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gif" ContentType="image/gi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40"/>
        <w:spacing w:line="360" w:lineRule="auto"/>
        <w:rPr>
          <w:rFonts w:hint="eastAsia"/>
          <w:b/>
          <w:bCs/>
          <w:sz w:val="40"/>
          <w:szCs w:val="40"/>
        </w:rPr>
      </w:pPr>
      <w:bookmarkStart w:id="0" w:name="_Toc578"/>
      <w:bookmarkStart w:id="1" w:name="_Toc5725"/>
      <w:bookmarkStart w:id="2" w:name="_Toc6478"/>
      <w:r>
        <w:rPr>
          <w:rFonts w:hint="eastAsia"/>
          <w:b/>
          <w:bCs/>
          <w:sz w:val="40"/>
          <w:szCs w:val="40"/>
        </w:rPr>
        <w:t xml:space="preserve">项目编号：510185202100013 </w:t>
      </w:r>
    </w:p>
    <w:p>
      <w:pPr>
        <w:pStyle w:val="40"/>
        <w:spacing w:line="360" w:lineRule="auto"/>
        <w:rPr>
          <w:rFonts w:hint="eastAsia"/>
          <w:b/>
          <w:bCs/>
          <w:sz w:val="40"/>
          <w:szCs w:val="40"/>
        </w:rPr>
      </w:pPr>
      <w:r>
        <w:rPr>
          <w:rFonts w:hint="eastAsia"/>
          <w:b/>
          <w:bCs/>
          <w:sz w:val="40"/>
          <w:szCs w:val="40"/>
        </w:rPr>
        <w:t>内部编号：ZCYH-2021-0105S</w:t>
      </w:r>
    </w:p>
    <w:p>
      <w:pPr>
        <w:pStyle w:val="40"/>
        <w:spacing w:line="360" w:lineRule="auto"/>
        <w:rPr>
          <w:b/>
          <w:bCs/>
          <w:sz w:val="40"/>
          <w:szCs w:val="40"/>
        </w:rPr>
      </w:pPr>
      <w:r>
        <w:rPr>
          <w:rFonts w:hint="eastAsia"/>
          <w:b/>
          <w:bCs/>
          <w:sz w:val="40"/>
          <w:szCs w:val="40"/>
        </w:rPr>
        <w:t>项目名称：</w:t>
      </w:r>
      <w:r>
        <w:rPr>
          <w:rFonts w:hint="eastAsia"/>
          <w:b/>
          <w:bCs/>
          <w:sz w:val="40"/>
          <w:szCs w:val="40"/>
          <w:lang w:eastAsia="zh-CN"/>
        </w:rPr>
        <w:t>简阳市规划和自然资源局简阳市地下管线普查成果更新探测服务、监理服务、质检服务采购项目</w:t>
      </w:r>
    </w:p>
    <w:p>
      <w:pPr>
        <w:pStyle w:val="40"/>
        <w:wordWrap w:val="0"/>
        <w:topLinePunct/>
        <w:spacing w:beforeLines="1400" w:afterLines="1400" w:line="240" w:lineRule="auto"/>
        <w:jc w:val="center"/>
        <w:rPr>
          <w:b/>
          <w:bCs/>
          <w:sz w:val="96"/>
          <w:szCs w:val="96"/>
        </w:rPr>
      </w:pPr>
      <w:r>
        <w:rPr>
          <w:rFonts w:hint="eastAsia"/>
          <w:b/>
          <w:bCs/>
          <w:sz w:val="96"/>
          <w:szCs w:val="96"/>
        </w:rPr>
        <w:t>招标文件</w:t>
      </w:r>
    </w:p>
    <w:p>
      <w:pPr>
        <w:pStyle w:val="40"/>
        <w:spacing w:line="360" w:lineRule="auto"/>
        <w:jc w:val="center"/>
        <w:rPr>
          <w:b/>
          <w:bCs/>
          <w:sz w:val="28"/>
          <w:szCs w:val="28"/>
        </w:rPr>
      </w:pPr>
      <w:r>
        <w:rPr>
          <w:rFonts w:hint="eastAsia"/>
          <w:b/>
          <w:bCs/>
          <w:sz w:val="28"/>
          <w:szCs w:val="28"/>
        </w:rPr>
        <w:t>中国·四川</w:t>
      </w:r>
    </w:p>
    <w:p>
      <w:pPr>
        <w:pStyle w:val="40"/>
        <w:spacing w:line="360" w:lineRule="auto"/>
        <w:ind w:left="2400" w:leftChars="1000"/>
        <w:rPr>
          <w:rFonts w:hint="eastAsia" w:eastAsia="宋体"/>
          <w:b/>
          <w:bCs/>
          <w:sz w:val="28"/>
          <w:szCs w:val="28"/>
          <w:lang w:eastAsia="zh-CN"/>
        </w:rPr>
      </w:pPr>
      <w:r>
        <w:rPr>
          <w:rFonts w:hint="eastAsia"/>
          <w:b/>
          <w:bCs/>
          <w:sz w:val="28"/>
          <w:szCs w:val="28"/>
        </w:rPr>
        <w:t>采   购   人：</w:t>
      </w:r>
      <w:r>
        <w:rPr>
          <w:rFonts w:hint="eastAsia"/>
          <w:b/>
          <w:bCs/>
          <w:sz w:val="28"/>
          <w:szCs w:val="28"/>
          <w:lang w:eastAsia="zh-CN"/>
        </w:rPr>
        <w:t>简阳市规划和自然资源局</w:t>
      </w:r>
    </w:p>
    <w:p>
      <w:pPr>
        <w:pStyle w:val="40"/>
        <w:spacing w:line="360" w:lineRule="auto"/>
        <w:ind w:left="2400" w:leftChars="1000"/>
        <w:rPr>
          <w:rFonts w:hint="eastAsia" w:eastAsia="宋体"/>
          <w:b/>
          <w:bCs/>
          <w:sz w:val="28"/>
          <w:szCs w:val="28"/>
          <w:lang w:eastAsia="zh-CN"/>
        </w:rPr>
      </w:pPr>
      <w:r>
        <w:rPr>
          <w:rFonts w:hint="eastAsia"/>
          <w:b/>
          <w:bCs/>
          <w:sz w:val="28"/>
          <w:szCs w:val="28"/>
        </w:rPr>
        <w:t>采购代理机构：</w:t>
      </w:r>
      <w:r>
        <w:rPr>
          <w:rFonts w:hint="eastAsia"/>
          <w:b/>
          <w:bCs/>
          <w:sz w:val="28"/>
          <w:szCs w:val="28"/>
          <w:lang w:eastAsia="zh-CN"/>
        </w:rPr>
        <w:t>四川意惠采购招标代理有限公司</w:t>
      </w:r>
    </w:p>
    <w:p>
      <w:pPr>
        <w:pStyle w:val="40"/>
        <w:spacing w:line="360" w:lineRule="auto"/>
        <w:ind w:left="2400" w:leftChars="1000"/>
        <w:rPr>
          <w:b/>
          <w:bCs/>
          <w:sz w:val="28"/>
          <w:szCs w:val="28"/>
        </w:rPr>
      </w:pPr>
      <w:r>
        <w:rPr>
          <w:rFonts w:hint="eastAsia"/>
          <w:b/>
          <w:bCs/>
          <w:sz w:val="28"/>
          <w:szCs w:val="28"/>
        </w:rPr>
        <w:t>文  件 编 制：由采购人和采购代理机构共同编制</w:t>
      </w:r>
    </w:p>
    <w:p>
      <w:pPr>
        <w:pStyle w:val="40"/>
        <w:spacing w:line="360" w:lineRule="auto"/>
        <w:jc w:val="center"/>
        <w:rPr>
          <w:b/>
          <w:bCs/>
          <w:sz w:val="28"/>
          <w:szCs w:val="28"/>
        </w:rPr>
        <w:sectPr>
          <w:headerReference r:id="rId7" w:type="first"/>
          <w:footerReference r:id="rId9" w:type="first"/>
          <w:headerReference r:id="rId5" w:type="default"/>
          <w:headerReference r:id="rId6" w:type="even"/>
          <w:footerReference r:id="rId8" w:type="even"/>
          <w:pgSz w:w="11906" w:h="16838"/>
          <w:pgMar w:top="1440" w:right="1083" w:bottom="1440" w:left="1083" w:header="851" w:footer="992" w:gutter="0"/>
          <w:pgNumType w:start="0"/>
          <w:cols w:space="720" w:num="1"/>
          <w:titlePg/>
          <w:docGrid w:linePitch="312" w:charSpace="0"/>
        </w:sectPr>
      </w:pPr>
      <w:r>
        <w:rPr>
          <w:rFonts w:hint="eastAsia"/>
          <w:b/>
          <w:bCs/>
          <w:sz w:val="28"/>
          <w:szCs w:val="28"/>
        </w:rPr>
        <w:t>二○二一年</w:t>
      </w:r>
      <w:r>
        <w:rPr>
          <w:rFonts w:hint="eastAsia"/>
          <w:b/>
          <w:bCs/>
          <w:sz w:val="28"/>
          <w:szCs w:val="28"/>
          <w:lang w:val="en-US" w:eastAsia="zh-CN"/>
        </w:rPr>
        <w:t>四</w:t>
      </w:r>
      <w:r>
        <w:rPr>
          <w:rFonts w:hint="eastAsia"/>
          <w:b/>
          <w:bCs/>
          <w:sz w:val="28"/>
          <w:szCs w:val="28"/>
        </w:rPr>
        <w:t>月</w:t>
      </w:r>
    </w:p>
    <w:p>
      <w:pPr>
        <w:pStyle w:val="40"/>
        <w:jc w:val="center"/>
      </w:pPr>
      <w:r>
        <w:rPr>
          <w:rFonts w:hint="eastAsia"/>
        </w:rPr>
        <w:t>目  录</w:t>
      </w:r>
      <w:bookmarkEnd w:id="0"/>
      <w:bookmarkEnd w:id="1"/>
    </w:p>
    <w:p>
      <w:pPr>
        <w:pStyle w:val="21"/>
        <w:tabs>
          <w:tab w:val="right" w:leader="dot" w:pos="9866"/>
          <w:tab w:val="clear" w:pos="0"/>
          <w:tab w:val="clear" w:pos="9746"/>
        </w:tabs>
      </w:pPr>
      <w:bookmarkStart w:id="3" w:name="_Toc26242"/>
      <w:bookmarkStart w:id="4" w:name="_Toc15794"/>
      <w:bookmarkStart w:id="5" w:name="_Toc28748"/>
      <w:r>
        <w:fldChar w:fldCharType="begin"/>
      </w:r>
      <w:r>
        <w:instrText xml:space="preserve">TOC \o "1-3" \h \u </w:instrText>
      </w:r>
      <w:r>
        <w:fldChar w:fldCharType="separate"/>
      </w:r>
      <w:r>
        <w:fldChar w:fldCharType="begin"/>
      </w:r>
      <w:r>
        <w:instrText xml:space="preserve"> HYPERLINK \l _Toc22603 </w:instrText>
      </w:r>
      <w:r>
        <w:fldChar w:fldCharType="separate"/>
      </w:r>
      <w:r>
        <w:rPr>
          <w:rFonts w:hint="eastAsia" w:ascii="宋体" w:hAnsi="宋体" w:eastAsia="宋体" w:cs="宋体"/>
        </w:rPr>
        <w:t xml:space="preserve">第一章 </w:t>
      </w:r>
      <w:r>
        <w:rPr>
          <w:rFonts w:hint="eastAsia"/>
        </w:rPr>
        <w:t>投标邀请</w:t>
      </w:r>
      <w:r>
        <w:tab/>
      </w:r>
      <w:r>
        <w:fldChar w:fldCharType="begin"/>
      </w:r>
      <w:r>
        <w:instrText xml:space="preserve"> PAGEREF _Toc22603 \h </w:instrText>
      </w:r>
      <w:r>
        <w:fldChar w:fldCharType="separate"/>
      </w:r>
      <w:r>
        <w:t>5</w:t>
      </w:r>
      <w:r>
        <w:fldChar w:fldCharType="end"/>
      </w:r>
      <w:r>
        <w:fldChar w:fldCharType="end"/>
      </w:r>
    </w:p>
    <w:p>
      <w:pPr>
        <w:pStyle w:val="21"/>
        <w:tabs>
          <w:tab w:val="right" w:leader="dot" w:pos="9866"/>
          <w:tab w:val="clear" w:pos="0"/>
          <w:tab w:val="clear" w:pos="9746"/>
        </w:tabs>
      </w:pPr>
      <w:r>
        <w:fldChar w:fldCharType="begin"/>
      </w:r>
      <w:r>
        <w:instrText xml:space="preserve"> HYPERLINK \l _Toc9051 </w:instrText>
      </w:r>
      <w:r>
        <w:fldChar w:fldCharType="separate"/>
      </w:r>
      <w:r>
        <w:rPr>
          <w:rFonts w:hint="eastAsia" w:ascii="宋体" w:hAnsi="宋体" w:eastAsia="宋体" w:cs="宋体"/>
        </w:rPr>
        <w:t xml:space="preserve">第二章 </w:t>
      </w:r>
      <w:r>
        <w:rPr>
          <w:rFonts w:hint="eastAsia"/>
        </w:rPr>
        <w:t>投标人须知</w:t>
      </w:r>
      <w:r>
        <w:tab/>
      </w:r>
      <w:r>
        <w:fldChar w:fldCharType="begin"/>
      </w:r>
      <w:r>
        <w:instrText xml:space="preserve"> PAGEREF _Toc9051 \h </w:instrText>
      </w:r>
      <w:r>
        <w:fldChar w:fldCharType="separate"/>
      </w:r>
      <w:r>
        <w:t>8</w:t>
      </w:r>
      <w:r>
        <w:fldChar w:fldCharType="end"/>
      </w:r>
      <w:r>
        <w:fldChar w:fldCharType="end"/>
      </w:r>
    </w:p>
    <w:p>
      <w:pPr>
        <w:pStyle w:val="22"/>
        <w:tabs>
          <w:tab w:val="right" w:leader="dot" w:pos="9866"/>
          <w:tab w:val="clear" w:pos="0"/>
        </w:tabs>
      </w:pPr>
      <w:r>
        <w:fldChar w:fldCharType="begin"/>
      </w:r>
      <w:r>
        <w:instrText xml:space="preserve"> HYPERLINK \l _Toc10820 </w:instrText>
      </w:r>
      <w:r>
        <w:fldChar w:fldCharType="separate"/>
      </w:r>
      <w:r>
        <w:rPr>
          <w:rFonts w:hint="eastAsia"/>
        </w:rPr>
        <w:t>一、 投标人须知前附表</w:t>
      </w:r>
      <w:r>
        <w:tab/>
      </w:r>
      <w:r>
        <w:fldChar w:fldCharType="begin"/>
      </w:r>
      <w:r>
        <w:instrText xml:space="preserve"> PAGEREF _Toc10820 \h </w:instrText>
      </w:r>
      <w:r>
        <w:fldChar w:fldCharType="separate"/>
      </w:r>
      <w:r>
        <w:t>8</w:t>
      </w:r>
      <w:r>
        <w:fldChar w:fldCharType="end"/>
      </w:r>
      <w:r>
        <w:fldChar w:fldCharType="end"/>
      </w:r>
    </w:p>
    <w:p>
      <w:pPr>
        <w:pStyle w:val="22"/>
        <w:tabs>
          <w:tab w:val="right" w:leader="dot" w:pos="9866"/>
          <w:tab w:val="clear" w:pos="0"/>
        </w:tabs>
      </w:pPr>
      <w:r>
        <w:fldChar w:fldCharType="begin"/>
      </w:r>
      <w:r>
        <w:instrText xml:space="preserve"> HYPERLINK \l _Toc24426 </w:instrText>
      </w:r>
      <w:r>
        <w:fldChar w:fldCharType="separate"/>
      </w:r>
      <w:r>
        <w:rPr>
          <w:rFonts w:hint="eastAsia"/>
        </w:rPr>
        <w:t>二、 总 则</w:t>
      </w:r>
      <w:r>
        <w:tab/>
      </w:r>
      <w:r>
        <w:fldChar w:fldCharType="begin"/>
      </w:r>
      <w:r>
        <w:instrText xml:space="preserve"> PAGEREF _Toc24426 \h </w:instrText>
      </w:r>
      <w:r>
        <w:fldChar w:fldCharType="separate"/>
      </w:r>
      <w:r>
        <w:t>14</w:t>
      </w:r>
      <w:r>
        <w:fldChar w:fldCharType="end"/>
      </w:r>
      <w:r>
        <w:fldChar w:fldCharType="end"/>
      </w:r>
    </w:p>
    <w:p>
      <w:pPr>
        <w:pStyle w:val="16"/>
        <w:tabs>
          <w:tab w:val="right" w:leader="dot" w:pos="9866"/>
          <w:tab w:val="clear" w:pos="0"/>
        </w:tabs>
      </w:pPr>
      <w:r>
        <w:fldChar w:fldCharType="begin"/>
      </w:r>
      <w:r>
        <w:instrText xml:space="preserve"> HYPERLINK \l _Toc7112 </w:instrText>
      </w:r>
      <w:r>
        <w:fldChar w:fldCharType="separate"/>
      </w:r>
      <w:r>
        <w:rPr>
          <w:rFonts w:hint="eastAsia" w:ascii="宋体" w:hAnsi="宋体" w:eastAsia="宋体" w:cs="宋体"/>
        </w:rPr>
        <w:t xml:space="preserve">(一) </w:t>
      </w:r>
      <w:r>
        <w:rPr>
          <w:rFonts w:hint="eastAsia"/>
        </w:rPr>
        <w:t>适用范围</w:t>
      </w:r>
      <w:r>
        <w:tab/>
      </w:r>
      <w:r>
        <w:fldChar w:fldCharType="begin"/>
      </w:r>
      <w:r>
        <w:instrText xml:space="preserve"> PAGEREF _Toc7112 \h </w:instrText>
      </w:r>
      <w:r>
        <w:fldChar w:fldCharType="separate"/>
      </w:r>
      <w:r>
        <w:t>14</w:t>
      </w:r>
      <w:r>
        <w:fldChar w:fldCharType="end"/>
      </w:r>
      <w:r>
        <w:fldChar w:fldCharType="end"/>
      </w:r>
    </w:p>
    <w:p>
      <w:pPr>
        <w:pStyle w:val="16"/>
        <w:tabs>
          <w:tab w:val="right" w:leader="dot" w:pos="9866"/>
          <w:tab w:val="clear" w:pos="0"/>
        </w:tabs>
      </w:pPr>
      <w:r>
        <w:fldChar w:fldCharType="begin"/>
      </w:r>
      <w:r>
        <w:instrText xml:space="preserve"> HYPERLINK \l _Toc26348 </w:instrText>
      </w:r>
      <w:r>
        <w:fldChar w:fldCharType="separate"/>
      </w:r>
      <w:r>
        <w:rPr>
          <w:rFonts w:hint="eastAsia" w:ascii="宋体" w:hAnsi="宋体" w:eastAsia="宋体" w:cs="宋体"/>
        </w:rPr>
        <w:t xml:space="preserve">(二) </w:t>
      </w:r>
      <w:r>
        <w:rPr>
          <w:rFonts w:hint="eastAsia"/>
        </w:rPr>
        <w:t>有关定义</w:t>
      </w:r>
      <w:r>
        <w:tab/>
      </w:r>
      <w:r>
        <w:fldChar w:fldCharType="begin"/>
      </w:r>
      <w:r>
        <w:instrText xml:space="preserve"> PAGEREF _Toc26348 \h </w:instrText>
      </w:r>
      <w:r>
        <w:fldChar w:fldCharType="separate"/>
      </w:r>
      <w:r>
        <w:t>14</w:t>
      </w:r>
      <w:r>
        <w:fldChar w:fldCharType="end"/>
      </w:r>
      <w:r>
        <w:fldChar w:fldCharType="end"/>
      </w:r>
    </w:p>
    <w:p>
      <w:pPr>
        <w:pStyle w:val="16"/>
        <w:tabs>
          <w:tab w:val="right" w:leader="dot" w:pos="9866"/>
          <w:tab w:val="clear" w:pos="0"/>
        </w:tabs>
      </w:pPr>
      <w:r>
        <w:fldChar w:fldCharType="begin"/>
      </w:r>
      <w:r>
        <w:instrText xml:space="preserve"> HYPERLINK \l _Toc2491 </w:instrText>
      </w:r>
      <w:r>
        <w:fldChar w:fldCharType="separate"/>
      </w:r>
      <w:r>
        <w:rPr>
          <w:rFonts w:hint="eastAsia" w:ascii="宋体" w:hAnsi="宋体" w:eastAsia="宋体" w:cs="宋体"/>
        </w:rPr>
        <w:t xml:space="preserve">(三) </w:t>
      </w:r>
      <w:r>
        <w:rPr>
          <w:rFonts w:hint="eastAsia"/>
        </w:rPr>
        <w:t>合格的投标人(实质性要求)</w:t>
      </w:r>
      <w:r>
        <w:tab/>
      </w:r>
      <w:r>
        <w:fldChar w:fldCharType="begin"/>
      </w:r>
      <w:r>
        <w:instrText xml:space="preserve"> PAGEREF _Toc2491 \h </w:instrText>
      </w:r>
      <w:r>
        <w:fldChar w:fldCharType="separate"/>
      </w:r>
      <w:r>
        <w:t>14</w:t>
      </w:r>
      <w:r>
        <w:fldChar w:fldCharType="end"/>
      </w:r>
      <w:r>
        <w:fldChar w:fldCharType="end"/>
      </w:r>
    </w:p>
    <w:p>
      <w:pPr>
        <w:pStyle w:val="16"/>
        <w:tabs>
          <w:tab w:val="right" w:leader="dot" w:pos="9866"/>
          <w:tab w:val="clear" w:pos="0"/>
        </w:tabs>
      </w:pPr>
      <w:r>
        <w:fldChar w:fldCharType="begin"/>
      </w:r>
      <w:r>
        <w:instrText xml:space="preserve"> HYPERLINK \l _Toc17870 </w:instrText>
      </w:r>
      <w:r>
        <w:fldChar w:fldCharType="separate"/>
      </w:r>
      <w:r>
        <w:rPr>
          <w:rFonts w:hint="eastAsia" w:ascii="宋体" w:hAnsi="宋体" w:eastAsia="宋体" w:cs="宋体"/>
        </w:rPr>
        <w:t xml:space="preserve">(四) </w:t>
      </w:r>
      <w:r>
        <w:rPr>
          <w:rFonts w:hint="eastAsia"/>
        </w:rPr>
        <w:t>投标费用(实质性要求)</w:t>
      </w:r>
      <w:r>
        <w:tab/>
      </w:r>
      <w:r>
        <w:fldChar w:fldCharType="begin"/>
      </w:r>
      <w:r>
        <w:instrText xml:space="preserve"> PAGEREF _Toc17870 \h </w:instrText>
      </w:r>
      <w:r>
        <w:fldChar w:fldCharType="separate"/>
      </w:r>
      <w:r>
        <w:t>14</w:t>
      </w:r>
      <w:r>
        <w:fldChar w:fldCharType="end"/>
      </w:r>
      <w:r>
        <w:fldChar w:fldCharType="end"/>
      </w:r>
    </w:p>
    <w:p>
      <w:pPr>
        <w:pStyle w:val="16"/>
        <w:tabs>
          <w:tab w:val="right" w:leader="dot" w:pos="9866"/>
          <w:tab w:val="clear" w:pos="0"/>
        </w:tabs>
      </w:pPr>
      <w:r>
        <w:fldChar w:fldCharType="begin"/>
      </w:r>
      <w:r>
        <w:instrText xml:space="preserve"> HYPERLINK \l _Toc20611 </w:instrText>
      </w:r>
      <w:r>
        <w:fldChar w:fldCharType="separate"/>
      </w:r>
      <w:r>
        <w:rPr>
          <w:rFonts w:hint="eastAsia" w:ascii="宋体" w:hAnsi="宋体" w:eastAsia="宋体" w:cs="宋体"/>
        </w:rPr>
        <w:t xml:space="preserve">(五) </w:t>
      </w:r>
      <w:r>
        <w:rPr>
          <w:rFonts w:hint="eastAsia"/>
        </w:rPr>
        <w:t>充分、公平竞争保障措施(实质性要求)</w:t>
      </w:r>
      <w:r>
        <w:tab/>
      </w:r>
      <w:r>
        <w:fldChar w:fldCharType="begin"/>
      </w:r>
      <w:r>
        <w:instrText xml:space="preserve"> PAGEREF _Toc20611 \h </w:instrText>
      </w:r>
      <w:r>
        <w:fldChar w:fldCharType="separate"/>
      </w:r>
      <w:r>
        <w:t>14</w:t>
      </w:r>
      <w:r>
        <w:fldChar w:fldCharType="end"/>
      </w:r>
      <w:r>
        <w:fldChar w:fldCharType="end"/>
      </w:r>
    </w:p>
    <w:p>
      <w:pPr>
        <w:pStyle w:val="22"/>
        <w:tabs>
          <w:tab w:val="right" w:leader="dot" w:pos="9866"/>
          <w:tab w:val="clear" w:pos="0"/>
        </w:tabs>
      </w:pPr>
      <w:r>
        <w:fldChar w:fldCharType="begin"/>
      </w:r>
      <w:r>
        <w:instrText xml:space="preserve"> HYPERLINK \l _Toc11847 </w:instrText>
      </w:r>
      <w:r>
        <w:fldChar w:fldCharType="separate"/>
      </w:r>
      <w:r>
        <w:rPr>
          <w:rFonts w:hint="eastAsia"/>
        </w:rPr>
        <w:t>三、 招标文件</w:t>
      </w:r>
      <w:r>
        <w:tab/>
      </w:r>
      <w:r>
        <w:fldChar w:fldCharType="begin"/>
      </w:r>
      <w:r>
        <w:instrText xml:space="preserve"> PAGEREF _Toc11847 \h </w:instrText>
      </w:r>
      <w:r>
        <w:fldChar w:fldCharType="separate"/>
      </w:r>
      <w:r>
        <w:t>15</w:t>
      </w:r>
      <w:r>
        <w:fldChar w:fldCharType="end"/>
      </w:r>
      <w:r>
        <w:fldChar w:fldCharType="end"/>
      </w:r>
    </w:p>
    <w:p>
      <w:pPr>
        <w:pStyle w:val="16"/>
        <w:tabs>
          <w:tab w:val="right" w:leader="dot" w:pos="9866"/>
          <w:tab w:val="clear" w:pos="0"/>
        </w:tabs>
      </w:pPr>
      <w:r>
        <w:fldChar w:fldCharType="begin"/>
      </w:r>
      <w:r>
        <w:instrText xml:space="preserve"> HYPERLINK \l _Toc11075 </w:instrText>
      </w:r>
      <w:r>
        <w:fldChar w:fldCharType="separate"/>
      </w:r>
      <w:r>
        <w:rPr>
          <w:rFonts w:hint="eastAsia" w:ascii="宋体" w:hAnsi="宋体" w:eastAsia="宋体" w:cs="宋体"/>
        </w:rPr>
        <w:t xml:space="preserve">(一) </w:t>
      </w:r>
      <w:r>
        <w:rPr>
          <w:rFonts w:hint="eastAsia"/>
        </w:rPr>
        <w:t>招标文件的构成</w:t>
      </w:r>
      <w:r>
        <w:tab/>
      </w:r>
      <w:r>
        <w:fldChar w:fldCharType="begin"/>
      </w:r>
      <w:r>
        <w:instrText xml:space="preserve"> PAGEREF _Toc11075 \h </w:instrText>
      </w:r>
      <w:r>
        <w:fldChar w:fldCharType="separate"/>
      </w:r>
      <w:r>
        <w:t>15</w:t>
      </w:r>
      <w:r>
        <w:fldChar w:fldCharType="end"/>
      </w:r>
      <w:r>
        <w:fldChar w:fldCharType="end"/>
      </w:r>
    </w:p>
    <w:p>
      <w:pPr>
        <w:pStyle w:val="16"/>
        <w:tabs>
          <w:tab w:val="right" w:leader="dot" w:pos="9866"/>
          <w:tab w:val="clear" w:pos="0"/>
        </w:tabs>
      </w:pPr>
      <w:r>
        <w:fldChar w:fldCharType="begin"/>
      </w:r>
      <w:r>
        <w:instrText xml:space="preserve"> HYPERLINK \l _Toc427 </w:instrText>
      </w:r>
      <w:r>
        <w:fldChar w:fldCharType="separate"/>
      </w:r>
      <w:r>
        <w:rPr>
          <w:rFonts w:hint="eastAsia" w:ascii="宋体" w:hAnsi="宋体" w:eastAsia="宋体" w:cs="宋体"/>
        </w:rPr>
        <w:t xml:space="preserve">(二) </w:t>
      </w:r>
      <w:r>
        <w:rPr>
          <w:rFonts w:hint="eastAsia"/>
        </w:rPr>
        <w:t>招标文件的澄清和修改</w:t>
      </w:r>
      <w:r>
        <w:tab/>
      </w:r>
      <w:r>
        <w:fldChar w:fldCharType="begin"/>
      </w:r>
      <w:r>
        <w:instrText xml:space="preserve"> PAGEREF _Toc427 \h </w:instrText>
      </w:r>
      <w:r>
        <w:fldChar w:fldCharType="separate"/>
      </w:r>
      <w:r>
        <w:t>16</w:t>
      </w:r>
      <w:r>
        <w:fldChar w:fldCharType="end"/>
      </w:r>
      <w:r>
        <w:fldChar w:fldCharType="end"/>
      </w:r>
    </w:p>
    <w:p>
      <w:pPr>
        <w:pStyle w:val="16"/>
        <w:tabs>
          <w:tab w:val="right" w:leader="dot" w:pos="9866"/>
          <w:tab w:val="clear" w:pos="0"/>
        </w:tabs>
      </w:pPr>
      <w:r>
        <w:fldChar w:fldCharType="begin"/>
      </w:r>
      <w:r>
        <w:instrText xml:space="preserve"> HYPERLINK \l _Toc9674 </w:instrText>
      </w:r>
      <w:r>
        <w:fldChar w:fldCharType="separate"/>
      </w:r>
      <w:r>
        <w:rPr>
          <w:rFonts w:hint="eastAsia" w:ascii="宋体" w:hAnsi="宋体" w:eastAsia="宋体" w:cs="宋体"/>
        </w:rPr>
        <w:t xml:space="preserve">(三) </w:t>
      </w:r>
      <w:r>
        <w:rPr>
          <w:rFonts w:hint="eastAsia"/>
        </w:rPr>
        <w:t>答疑会和现场考察</w:t>
      </w:r>
      <w:r>
        <w:tab/>
      </w:r>
      <w:r>
        <w:fldChar w:fldCharType="begin"/>
      </w:r>
      <w:r>
        <w:instrText xml:space="preserve"> PAGEREF _Toc9674 \h </w:instrText>
      </w:r>
      <w:r>
        <w:fldChar w:fldCharType="separate"/>
      </w:r>
      <w:r>
        <w:t>16</w:t>
      </w:r>
      <w:r>
        <w:fldChar w:fldCharType="end"/>
      </w:r>
      <w:r>
        <w:fldChar w:fldCharType="end"/>
      </w:r>
    </w:p>
    <w:p>
      <w:pPr>
        <w:pStyle w:val="22"/>
        <w:tabs>
          <w:tab w:val="right" w:leader="dot" w:pos="9866"/>
          <w:tab w:val="clear" w:pos="0"/>
        </w:tabs>
      </w:pPr>
      <w:r>
        <w:fldChar w:fldCharType="begin"/>
      </w:r>
      <w:r>
        <w:instrText xml:space="preserve"> HYPERLINK \l _Toc21781 </w:instrText>
      </w:r>
      <w:r>
        <w:fldChar w:fldCharType="separate"/>
      </w:r>
      <w:r>
        <w:rPr>
          <w:rFonts w:hint="eastAsia"/>
        </w:rPr>
        <w:t>四、 投标文件</w:t>
      </w:r>
      <w:r>
        <w:tab/>
      </w:r>
      <w:r>
        <w:fldChar w:fldCharType="begin"/>
      </w:r>
      <w:r>
        <w:instrText xml:space="preserve"> PAGEREF _Toc21781 \h </w:instrText>
      </w:r>
      <w:r>
        <w:fldChar w:fldCharType="separate"/>
      </w:r>
      <w:r>
        <w:t>16</w:t>
      </w:r>
      <w:r>
        <w:fldChar w:fldCharType="end"/>
      </w:r>
      <w:r>
        <w:fldChar w:fldCharType="end"/>
      </w:r>
    </w:p>
    <w:p>
      <w:pPr>
        <w:pStyle w:val="16"/>
        <w:tabs>
          <w:tab w:val="right" w:leader="dot" w:pos="9866"/>
          <w:tab w:val="clear" w:pos="0"/>
        </w:tabs>
      </w:pPr>
      <w:r>
        <w:fldChar w:fldCharType="begin"/>
      </w:r>
      <w:r>
        <w:instrText xml:space="preserve"> HYPERLINK \l _Toc32562 </w:instrText>
      </w:r>
      <w:r>
        <w:fldChar w:fldCharType="separate"/>
      </w:r>
      <w:r>
        <w:rPr>
          <w:rFonts w:hint="eastAsia" w:ascii="宋体" w:hAnsi="宋体" w:eastAsia="宋体" w:cs="宋体"/>
        </w:rPr>
        <w:t xml:space="preserve">(一) </w:t>
      </w:r>
      <w:r>
        <w:rPr>
          <w:rFonts w:hint="eastAsia"/>
        </w:rPr>
        <w:t>投标文件的语言(实质性要求)</w:t>
      </w:r>
      <w:r>
        <w:tab/>
      </w:r>
      <w:r>
        <w:fldChar w:fldCharType="begin"/>
      </w:r>
      <w:r>
        <w:instrText xml:space="preserve"> PAGEREF _Toc32562 \h </w:instrText>
      </w:r>
      <w:r>
        <w:fldChar w:fldCharType="separate"/>
      </w:r>
      <w:r>
        <w:t>16</w:t>
      </w:r>
      <w:r>
        <w:fldChar w:fldCharType="end"/>
      </w:r>
      <w:r>
        <w:fldChar w:fldCharType="end"/>
      </w:r>
    </w:p>
    <w:p>
      <w:pPr>
        <w:pStyle w:val="16"/>
        <w:tabs>
          <w:tab w:val="right" w:leader="dot" w:pos="9866"/>
          <w:tab w:val="clear" w:pos="0"/>
        </w:tabs>
      </w:pPr>
      <w:r>
        <w:fldChar w:fldCharType="begin"/>
      </w:r>
      <w:r>
        <w:instrText xml:space="preserve"> HYPERLINK \l _Toc30736 </w:instrText>
      </w:r>
      <w:r>
        <w:fldChar w:fldCharType="separate"/>
      </w:r>
      <w:r>
        <w:rPr>
          <w:rFonts w:hint="eastAsia" w:ascii="宋体" w:hAnsi="宋体" w:eastAsia="宋体" w:cs="宋体"/>
        </w:rPr>
        <w:t xml:space="preserve">(二) </w:t>
      </w:r>
      <w:r>
        <w:rPr>
          <w:rFonts w:hint="eastAsia"/>
        </w:rPr>
        <w:t>计量单位(实质性要求)</w:t>
      </w:r>
      <w:r>
        <w:tab/>
      </w:r>
      <w:r>
        <w:fldChar w:fldCharType="begin"/>
      </w:r>
      <w:r>
        <w:instrText xml:space="preserve"> PAGEREF _Toc30736 \h </w:instrText>
      </w:r>
      <w:r>
        <w:fldChar w:fldCharType="separate"/>
      </w:r>
      <w:r>
        <w:t>17</w:t>
      </w:r>
      <w:r>
        <w:fldChar w:fldCharType="end"/>
      </w:r>
      <w:r>
        <w:fldChar w:fldCharType="end"/>
      </w:r>
    </w:p>
    <w:p>
      <w:pPr>
        <w:pStyle w:val="16"/>
        <w:tabs>
          <w:tab w:val="right" w:leader="dot" w:pos="9866"/>
          <w:tab w:val="clear" w:pos="0"/>
        </w:tabs>
      </w:pPr>
      <w:r>
        <w:fldChar w:fldCharType="begin"/>
      </w:r>
      <w:r>
        <w:instrText xml:space="preserve"> HYPERLINK \l _Toc2628 </w:instrText>
      </w:r>
      <w:r>
        <w:fldChar w:fldCharType="separate"/>
      </w:r>
      <w:r>
        <w:rPr>
          <w:rFonts w:hint="eastAsia" w:ascii="宋体" w:hAnsi="宋体" w:eastAsia="宋体" w:cs="宋体"/>
        </w:rPr>
        <w:t xml:space="preserve">(三) </w:t>
      </w:r>
      <w:r>
        <w:rPr>
          <w:rFonts w:hint="eastAsia"/>
        </w:rPr>
        <w:t>投标货币(实质性要求)</w:t>
      </w:r>
      <w:r>
        <w:tab/>
      </w:r>
      <w:r>
        <w:fldChar w:fldCharType="begin"/>
      </w:r>
      <w:r>
        <w:instrText xml:space="preserve"> PAGEREF _Toc2628 \h </w:instrText>
      </w:r>
      <w:r>
        <w:fldChar w:fldCharType="separate"/>
      </w:r>
      <w:r>
        <w:t>17</w:t>
      </w:r>
      <w:r>
        <w:fldChar w:fldCharType="end"/>
      </w:r>
      <w:r>
        <w:fldChar w:fldCharType="end"/>
      </w:r>
    </w:p>
    <w:p>
      <w:pPr>
        <w:pStyle w:val="16"/>
        <w:tabs>
          <w:tab w:val="right" w:leader="dot" w:pos="9866"/>
          <w:tab w:val="clear" w:pos="0"/>
        </w:tabs>
      </w:pPr>
      <w:r>
        <w:fldChar w:fldCharType="begin"/>
      </w:r>
      <w:r>
        <w:instrText xml:space="preserve"> HYPERLINK \l _Toc30189 </w:instrText>
      </w:r>
      <w:r>
        <w:fldChar w:fldCharType="separate"/>
      </w:r>
      <w:r>
        <w:rPr>
          <w:rFonts w:hint="eastAsia" w:ascii="宋体" w:hAnsi="宋体" w:eastAsia="宋体" w:cs="宋体"/>
        </w:rPr>
        <w:t xml:space="preserve">(四) </w:t>
      </w:r>
      <w:r>
        <w:rPr>
          <w:rFonts w:hint="eastAsia"/>
        </w:rPr>
        <w:t>联合体投标(实质性要求)</w:t>
      </w:r>
      <w:r>
        <w:tab/>
      </w:r>
      <w:r>
        <w:fldChar w:fldCharType="begin"/>
      </w:r>
      <w:r>
        <w:instrText xml:space="preserve"> PAGEREF _Toc30189 \h </w:instrText>
      </w:r>
      <w:r>
        <w:fldChar w:fldCharType="separate"/>
      </w:r>
      <w:r>
        <w:t>17</w:t>
      </w:r>
      <w:r>
        <w:fldChar w:fldCharType="end"/>
      </w:r>
      <w:r>
        <w:fldChar w:fldCharType="end"/>
      </w:r>
    </w:p>
    <w:p>
      <w:pPr>
        <w:pStyle w:val="16"/>
        <w:tabs>
          <w:tab w:val="right" w:leader="dot" w:pos="9866"/>
          <w:tab w:val="clear" w:pos="0"/>
        </w:tabs>
      </w:pPr>
      <w:r>
        <w:fldChar w:fldCharType="begin"/>
      </w:r>
      <w:r>
        <w:instrText xml:space="preserve"> HYPERLINK \l _Toc16916 </w:instrText>
      </w:r>
      <w:r>
        <w:fldChar w:fldCharType="separate"/>
      </w:r>
      <w:r>
        <w:rPr>
          <w:rFonts w:hint="eastAsia" w:ascii="宋体" w:hAnsi="宋体" w:eastAsia="宋体" w:cs="宋体"/>
        </w:rPr>
        <w:t xml:space="preserve">(五) </w:t>
      </w:r>
      <w:r>
        <w:rPr>
          <w:rFonts w:hint="eastAsia"/>
        </w:rPr>
        <w:t>知识产权(实质性要求)</w:t>
      </w:r>
      <w:r>
        <w:tab/>
      </w:r>
      <w:r>
        <w:fldChar w:fldCharType="begin"/>
      </w:r>
      <w:r>
        <w:instrText xml:space="preserve"> PAGEREF _Toc16916 \h </w:instrText>
      </w:r>
      <w:r>
        <w:fldChar w:fldCharType="separate"/>
      </w:r>
      <w:r>
        <w:t>17</w:t>
      </w:r>
      <w:r>
        <w:fldChar w:fldCharType="end"/>
      </w:r>
      <w:r>
        <w:fldChar w:fldCharType="end"/>
      </w:r>
    </w:p>
    <w:p>
      <w:pPr>
        <w:pStyle w:val="16"/>
        <w:tabs>
          <w:tab w:val="right" w:leader="dot" w:pos="9866"/>
          <w:tab w:val="clear" w:pos="0"/>
        </w:tabs>
      </w:pPr>
      <w:r>
        <w:fldChar w:fldCharType="begin"/>
      </w:r>
      <w:r>
        <w:instrText xml:space="preserve"> HYPERLINK \l _Toc3689 </w:instrText>
      </w:r>
      <w:r>
        <w:fldChar w:fldCharType="separate"/>
      </w:r>
      <w:r>
        <w:rPr>
          <w:rFonts w:hint="eastAsia" w:ascii="宋体" w:hAnsi="宋体" w:eastAsia="宋体" w:cs="宋体"/>
        </w:rPr>
        <w:t xml:space="preserve">(六) </w:t>
      </w:r>
      <w:r>
        <w:rPr>
          <w:rFonts w:hint="eastAsia"/>
        </w:rPr>
        <w:t>投标文件的组成</w:t>
      </w:r>
      <w:r>
        <w:tab/>
      </w:r>
      <w:r>
        <w:fldChar w:fldCharType="begin"/>
      </w:r>
      <w:r>
        <w:instrText xml:space="preserve"> PAGEREF _Toc3689 \h </w:instrText>
      </w:r>
      <w:r>
        <w:fldChar w:fldCharType="separate"/>
      </w:r>
      <w:r>
        <w:t>17</w:t>
      </w:r>
      <w:r>
        <w:fldChar w:fldCharType="end"/>
      </w:r>
      <w:r>
        <w:fldChar w:fldCharType="end"/>
      </w:r>
    </w:p>
    <w:p>
      <w:pPr>
        <w:pStyle w:val="16"/>
        <w:tabs>
          <w:tab w:val="right" w:leader="dot" w:pos="9866"/>
          <w:tab w:val="clear" w:pos="0"/>
        </w:tabs>
      </w:pPr>
      <w:r>
        <w:fldChar w:fldCharType="begin"/>
      </w:r>
      <w:r>
        <w:instrText xml:space="preserve"> HYPERLINK \l _Toc15482 </w:instrText>
      </w:r>
      <w:r>
        <w:fldChar w:fldCharType="separate"/>
      </w:r>
      <w:r>
        <w:rPr>
          <w:rFonts w:hint="eastAsia" w:ascii="宋体" w:hAnsi="宋体" w:eastAsia="宋体" w:cs="宋体"/>
        </w:rPr>
        <w:t xml:space="preserve">(七) </w:t>
      </w:r>
      <w:r>
        <w:rPr>
          <w:rFonts w:hint="eastAsia"/>
        </w:rPr>
        <w:t>投标文件格式</w:t>
      </w:r>
      <w:r>
        <w:tab/>
      </w:r>
      <w:r>
        <w:fldChar w:fldCharType="begin"/>
      </w:r>
      <w:r>
        <w:instrText xml:space="preserve"> PAGEREF _Toc15482 \h </w:instrText>
      </w:r>
      <w:r>
        <w:fldChar w:fldCharType="separate"/>
      </w:r>
      <w:r>
        <w:t>18</w:t>
      </w:r>
      <w:r>
        <w:fldChar w:fldCharType="end"/>
      </w:r>
      <w:r>
        <w:fldChar w:fldCharType="end"/>
      </w:r>
    </w:p>
    <w:p>
      <w:pPr>
        <w:pStyle w:val="16"/>
        <w:tabs>
          <w:tab w:val="right" w:leader="dot" w:pos="9866"/>
          <w:tab w:val="clear" w:pos="0"/>
        </w:tabs>
      </w:pPr>
      <w:r>
        <w:fldChar w:fldCharType="begin"/>
      </w:r>
      <w:r>
        <w:instrText xml:space="preserve"> HYPERLINK \l _Toc18632 </w:instrText>
      </w:r>
      <w:r>
        <w:fldChar w:fldCharType="separate"/>
      </w:r>
      <w:r>
        <w:rPr>
          <w:rFonts w:hint="eastAsia" w:ascii="宋体" w:hAnsi="宋体" w:eastAsia="宋体" w:cs="宋体"/>
        </w:rPr>
        <w:t xml:space="preserve">(八) </w:t>
      </w:r>
      <w:r>
        <w:rPr>
          <w:rFonts w:hint="eastAsia"/>
        </w:rPr>
        <w:t>投标保证金</w:t>
      </w:r>
      <w:r>
        <w:tab/>
      </w:r>
      <w:r>
        <w:fldChar w:fldCharType="begin"/>
      </w:r>
      <w:r>
        <w:instrText xml:space="preserve"> PAGEREF _Toc18632 \h </w:instrText>
      </w:r>
      <w:r>
        <w:fldChar w:fldCharType="separate"/>
      </w:r>
      <w:r>
        <w:t>19</w:t>
      </w:r>
      <w:r>
        <w:fldChar w:fldCharType="end"/>
      </w:r>
      <w:r>
        <w:fldChar w:fldCharType="end"/>
      </w:r>
    </w:p>
    <w:p>
      <w:pPr>
        <w:pStyle w:val="16"/>
        <w:tabs>
          <w:tab w:val="right" w:leader="dot" w:pos="9866"/>
          <w:tab w:val="clear" w:pos="0"/>
        </w:tabs>
      </w:pPr>
      <w:r>
        <w:fldChar w:fldCharType="begin"/>
      </w:r>
      <w:r>
        <w:instrText xml:space="preserve"> HYPERLINK \l _Toc12622 </w:instrText>
      </w:r>
      <w:r>
        <w:fldChar w:fldCharType="separate"/>
      </w:r>
      <w:r>
        <w:rPr>
          <w:rFonts w:hint="eastAsia" w:ascii="宋体" w:hAnsi="宋体" w:eastAsia="宋体" w:cs="宋体"/>
        </w:rPr>
        <w:t xml:space="preserve">(九) </w:t>
      </w:r>
      <w:r>
        <w:rPr>
          <w:rFonts w:hint="eastAsia"/>
        </w:rPr>
        <w:t>投标有效期(实质性要求)</w:t>
      </w:r>
      <w:r>
        <w:tab/>
      </w:r>
      <w:r>
        <w:fldChar w:fldCharType="begin"/>
      </w:r>
      <w:r>
        <w:instrText xml:space="preserve"> PAGEREF _Toc12622 \h </w:instrText>
      </w:r>
      <w:r>
        <w:fldChar w:fldCharType="separate"/>
      </w:r>
      <w:r>
        <w:t>19</w:t>
      </w:r>
      <w:r>
        <w:fldChar w:fldCharType="end"/>
      </w:r>
      <w:r>
        <w:fldChar w:fldCharType="end"/>
      </w:r>
    </w:p>
    <w:p>
      <w:pPr>
        <w:pStyle w:val="16"/>
        <w:tabs>
          <w:tab w:val="right" w:leader="dot" w:pos="9866"/>
          <w:tab w:val="clear" w:pos="0"/>
        </w:tabs>
      </w:pPr>
      <w:r>
        <w:fldChar w:fldCharType="begin"/>
      </w:r>
      <w:r>
        <w:instrText xml:space="preserve"> HYPERLINK \l _Toc7321 </w:instrText>
      </w:r>
      <w:r>
        <w:fldChar w:fldCharType="separate"/>
      </w:r>
      <w:r>
        <w:rPr>
          <w:rFonts w:hint="eastAsia" w:ascii="宋体" w:hAnsi="宋体" w:eastAsia="宋体" w:cs="宋体"/>
        </w:rPr>
        <w:t xml:space="preserve">(十) </w:t>
      </w:r>
      <w:r>
        <w:rPr>
          <w:rFonts w:hint="eastAsia"/>
        </w:rPr>
        <w:t>投标文件的印制和签署</w:t>
      </w:r>
      <w:r>
        <w:tab/>
      </w:r>
      <w:r>
        <w:fldChar w:fldCharType="begin"/>
      </w:r>
      <w:r>
        <w:instrText xml:space="preserve"> PAGEREF _Toc7321 \h </w:instrText>
      </w:r>
      <w:r>
        <w:fldChar w:fldCharType="separate"/>
      </w:r>
      <w:r>
        <w:t>19</w:t>
      </w:r>
      <w:r>
        <w:fldChar w:fldCharType="end"/>
      </w:r>
      <w:r>
        <w:fldChar w:fldCharType="end"/>
      </w:r>
    </w:p>
    <w:p>
      <w:pPr>
        <w:pStyle w:val="16"/>
        <w:tabs>
          <w:tab w:val="right" w:leader="dot" w:pos="9866"/>
          <w:tab w:val="clear" w:pos="0"/>
        </w:tabs>
      </w:pPr>
      <w:r>
        <w:fldChar w:fldCharType="begin"/>
      </w:r>
      <w:r>
        <w:instrText xml:space="preserve"> HYPERLINK \l _Toc17557 </w:instrText>
      </w:r>
      <w:r>
        <w:fldChar w:fldCharType="separate"/>
      </w:r>
      <w:r>
        <w:rPr>
          <w:rFonts w:hint="eastAsia" w:ascii="宋体" w:hAnsi="宋体" w:eastAsia="宋体" w:cs="宋体"/>
        </w:rPr>
        <w:t xml:space="preserve">(十一) </w:t>
      </w:r>
      <w:r>
        <w:rPr>
          <w:rFonts w:hint="eastAsia"/>
        </w:rPr>
        <w:t>投标文件的密封和标注</w:t>
      </w:r>
      <w:r>
        <w:tab/>
      </w:r>
      <w:r>
        <w:fldChar w:fldCharType="begin"/>
      </w:r>
      <w:r>
        <w:instrText xml:space="preserve"> PAGEREF _Toc17557 \h </w:instrText>
      </w:r>
      <w:r>
        <w:fldChar w:fldCharType="separate"/>
      </w:r>
      <w:r>
        <w:t>20</w:t>
      </w:r>
      <w:r>
        <w:fldChar w:fldCharType="end"/>
      </w:r>
      <w:r>
        <w:fldChar w:fldCharType="end"/>
      </w:r>
    </w:p>
    <w:p>
      <w:pPr>
        <w:pStyle w:val="16"/>
        <w:tabs>
          <w:tab w:val="right" w:leader="dot" w:pos="9866"/>
          <w:tab w:val="clear" w:pos="0"/>
        </w:tabs>
      </w:pPr>
      <w:r>
        <w:fldChar w:fldCharType="begin"/>
      </w:r>
      <w:r>
        <w:instrText xml:space="preserve"> HYPERLINK \l _Toc17846 </w:instrText>
      </w:r>
      <w:r>
        <w:fldChar w:fldCharType="separate"/>
      </w:r>
      <w:r>
        <w:rPr>
          <w:rFonts w:hint="eastAsia" w:ascii="宋体" w:hAnsi="宋体" w:eastAsia="宋体" w:cs="宋体"/>
        </w:rPr>
        <w:t xml:space="preserve">(十二) </w:t>
      </w:r>
      <w:r>
        <w:rPr>
          <w:rFonts w:hint="eastAsia"/>
        </w:rPr>
        <w:t>投标文件的递交</w:t>
      </w:r>
      <w:r>
        <w:tab/>
      </w:r>
      <w:r>
        <w:fldChar w:fldCharType="begin"/>
      </w:r>
      <w:r>
        <w:instrText xml:space="preserve"> PAGEREF _Toc17846 \h </w:instrText>
      </w:r>
      <w:r>
        <w:fldChar w:fldCharType="separate"/>
      </w:r>
      <w:r>
        <w:t>20</w:t>
      </w:r>
      <w:r>
        <w:fldChar w:fldCharType="end"/>
      </w:r>
      <w:r>
        <w:fldChar w:fldCharType="end"/>
      </w:r>
    </w:p>
    <w:p>
      <w:pPr>
        <w:pStyle w:val="16"/>
        <w:tabs>
          <w:tab w:val="right" w:leader="dot" w:pos="9866"/>
          <w:tab w:val="clear" w:pos="0"/>
        </w:tabs>
      </w:pPr>
      <w:r>
        <w:fldChar w:fldCharType="begin"/>
      </w:r>
      <w:r>
        <w:instrText xml:space="preserve"> HYPERLINK \l _Toc29441 </w:instrText>
      </w:r>
      <w:r>
        <w:fldChar w:fldCharType="separate"/>
      </w:r>
      <w:r>
        <w:rPr>
          <w:rFonts w:hint="eastAsia" w:ascii="宋体" w:hAnsi="宋体" w:eastAsia="宋体" w:cs="宋体"/>
        </w:rPr>
        <w:t xml:space="preserve">(十三) </w:t>
      </w:r>
      <w:r>
        <w:rPr>
          <w:rFonts w:hint="eastAsia"/>
        </w:rPr>
        <w:t>投标文件的修改和撤回</w:t>
      </w:r>
      <w:r>
        <w:tab/>
      </w:r>
      <w:r>
        <w:fldChar w:fldCharType="begin"/>
      </w:r>
      <w:r>
        <w:instrText xml:space="preserve"> PAGEREF _Toc29441 \h </w:instrText>
      </w:r>
      <w:r>
        <w:fldChar w:fldCharType="separate"/>
      </w:r>
      <w:r>
        <w:t>20</w:t>
      </w:r>
      <w:r>
        <w:fldChar w:fldCharType="end"/>
      </w:r>
      <w:r>
        <w:fldChar w:fldCharType="end"/>
      </w:r>
    </w:p>
    <w:p>
      <w:pPr>
        <w:pStyle w:val="22"/>
        <w:tabs>
          <w:tab w:val="right" w:leader="dot" w:pos="9866"/>
          <w:tab w:val="clear" w:pos="0"/>
        </w:tabs>
      </w:pPr>
      <w:r>
        <w:fldChar w:fldCharType="begin"/>
      </w:r>
      <w:r>
        <w:instrText xml:space="preserve"> HYPERLINK \l _Toc17737 </w:instrText>
      </w:r>
      <w:r>
        <w:fldChar w:fldCharType="separate"/>
      </w:r>
      <w:r>
        <w:rPr>
          <w:rFonts w:hint="eastAsia"/>
        </w:rPr>
        <w:t>五、 开标和中标</w:t>
      </w:r>
      <w:r>
        <w:tab/>
      </w:r>
      <w:r>
        <w:fldChar w:fldCharType="begin"/>
      </w:r>
      <w:r>
        <w:instrText xml:space="preserve"> PAGEREF _Toc17737 \h </w:instrText>
      </w:r>
      <w:r>
        <w:fldChar w:fldCharType="separate"/>
      </w:r>
      <w:r>
        <w:t>21</w:t>
      </w:r>
      <w:r>
        <w:fldChar w:fldCharType="end"/>
      </w:r>
      <w:r>
        <w:fldChar w:fldCharType="end"/>
      </w:r>
    </w:p>
    <w:p>
      <w:pPr>
        <w:pStyle w:val="16"/>
        <w:tabs>
          <w:tab w:val="right" w:leader="dot" w:pos="9866"/>
          <w:tab w:val="clear" w:pos="0"/>
        </w:tabs>
      </w:pPr>
      <w:r>
        <w:fldChar w:fldCharType="begin"/>
      </w:r>
      <w:r>
        <w:instrText xml:space="preserve"> HYPERLINK \l _Toc15209 </w:instrText>
      </w:r>
      <w:r>
        <w:fldChar w:fldCharType="separate"/>
      </w:r>
      <w:r>
        <w:rPr>
          <w:rFonts w:hint="eastAsia" w:ascii="宋体" w:hAnsi="宋体" w:eastAsia="宋体" w:cs="宋体"/>
        </w:rPr>
        <w:t xml:space="preserve">(一) </w:t>
      </w:r>
      <w:r>
        <w:rPr>
          <w:rFonts w:hint="eastAsia"/>
        </w:rPr>
        <w:t>开标</w:t>
      </w:r>
      <w:r>
        <w:tab/>
      </w:r>
      <w:r>
        <w:fldChar w:fldCharType="begin"/>
      </w:r>
      <w:r>
        <w:instrText xml:space="preserve"> PAGEREF _Toc15209 \h </w:instrText>
      </w:r>
      <w:r>
        <w:fldChar w:fldCharType="separate"/>
      </w:r>
      <w:r>
        <w:t>21</w:t>
      </w:r>
      <w:r>
        <w:fldChar w:fldCharType="end"/>
      </w:r>
      <w:r>
        <w:fldChar w:fldCharType="end"/>
      </w:r>
    </w:p>
    <w:p>
      <w:pPr>
        <w:pStyle w:val="16"/>
        <w:tabs>
          <w:tab w:val="right" w:leader="dot" w:pos="9866"/>
          <w:tab w:val="clear" w:pos="0"/>
        </w:tabs>
      </w:pPr>
      <w:r>
        <w:fldChar w:fldCharType="begin"/>
      </w:r>
      <w:r>
        <w:instrText xml:space="preserve"> HYPERLINK \l _Toc24528 </w:instrText>
      </w:r>
      <w:r>
        <w:fldChar w:fldCharType="separate"/>
      </w:r>
      <w:r>
        <w:rPr>
          <w:rFonts w:hint="eastAsia" w:ascii="宋体" w:hAnsi="宋体" w:eastAsia="宋体" w:cs="宋体"/>
        </w:rPr>
        <w:t xml:space="preserve">(二) </w:t>
      </w:r>
      <w:r>
        <w:rPr>
          <w:rFonts w:hint="eastAsia"/>
        </w:rPr>
        <w:t>开标程序</w:t>
      </w:r>
      <w:r>
        <w:tab/>
      </w:r>
      <w:r>
        <w:fldChar w:fldCharType="begin"/>
      </w:r>
      <w:r>
        <w:instrText xml:space="preserve"> PAGEREF _Toc24528 \h </w:instrText>
      </w:r>
      <w:r>
        <w:fldChar w:fldCharType="separate"/>
      </w:r>
      <w:r>
        <w:t>21</w:t>
      </w:r>
      <w:r>
        <w:fldChar w:fldCharType="end"/>
      </w:r>
      <w:r>
        <w:fldChar w:fldCharType="end"/>
      </w:r>
    </w:p>
    <w:p>
      <w:pPr>
        <w:pStyle w:val="16"/>
        <w:tabs>
          <w:tab w:val="right" w:leader="dot" w:pos="9866"/>
          <w:tab w:val="clear" w:pos="0"/>
        </w:tabs>
      </w:pPr>
      <w:r>
        <w:fldChar w:fldCharType="begin"/>
      </w:r>
      <w:r>
        <w:instrText xml:space="preserve"> HYPERLINK \l _Toc13617 </w:instrText>
      </w:r>
      <w:r>
        <w:fldChar w:fldCharType="separate"/>
      </w:r>
      <w:r>
        <w:rPr>
          <w:rFonts w:hint="eastAsia" w:ascii="宋体" w:hAnsi="宋体" w:eastAsia="宋体" w:cs="宋体"/>
        </w:rPr>
        <w:t xml:space="preserve">(三) </w:t>
      </w:r>
      <w:r>
        <w:rPr>
          <w:rFonts w:hint="eastAsia"/>
        </w:rPr>
        <w:t>开评标过程存档</w:t>
      </w:r>
      <w:r>
        <w:tab/>
      </w:r>
      <w:r>
        <w:fldChar w:fldCharType="begin"/>
      </w:r>
      <w:r>
        <w:instrText xml:space="preserve"> PAGEREF _Toc13617 \h </w:instrText>
      </w:r>
      <w:r>
        <w:fldChar w:fldCharType="separate"/>
      </w:r>
      <w:r>
        <w:t>22</w:t>
      </w:r>
      <w:r>
        <w:fldChar w:fldCharType="end"/>
      </w:r>
      <w:r>
        <w:fldChar w:fldCharType="end"/>
      </w:r>
    </w:p>
    <w:p>
      <w:pPr>
        <w:pStyle w:val="16"/>
        <w:tabs>
          <w:tab w:val="right" w:leader="dot" w:pos="9866"/>
          <w:tab w:val="clear" w:pos="0"/>
        </w:tabs>
      </w:pPr>
      <w:r>
        <w:fldChar w:fldCharType="begin"/>
      </w:r>
      <w:r>
        <w:instrText xml:space="preserve"> HYPERLINK \l _Toc10367 </w:instrText>
      </w:r>
      <w:r>
        <w:fldChar w:fldCharType="separate"/>
      </w:r>
      <w:r>
        <w:rPr>
          <w:rFonts w:hint="eastAsia" w:ascii="宋体" w:hAnsi="宋体" w:eastAsia="宋体" w:cs="宋体"/>
        </w:rPr>
        <w:t xml:space="preserve">(四) </w:t>
      </w:r>
      <w:r>
        <w:rPr>
          <w:rFonts w:hint="eastAsia"/>
        </w:rPr>
        <w:t>中标结果</w:t>
      </w:r>
      <w:r>
        <w:tab/>
      </w:r>
      <w:r>
        <w:fldChar w:fldCharType="begin"/>
      </w:r>
      <w:r>
        <w:instrText xml:space="preserve"> PAGEREF _Toc10367 \h </w:instrText>
      </w:r>
      <w:r>
        <w:fldChar w:fldCharType="separate"/>
      </w:r>
      <w:r>
        <w:t>22</w:t>
      </w:r>
      <w:r>
        <w:fldChar w:fldCharType="end"/>
      </w:r>
      <w:r>
        <w:fldChar w:fldCharType="end"/>
      </w:r>
    </w:p>
    <w:p>
      <w:pPr>
        <w:pStyle w:val="16"/>
        <w:tabs>
          <w:tab w:val="right" w:leader="dot" w:pos="9866"/>
          <w:tab w:val="clear" w:pos="0"/>
        </w:tabs>
      </w:pPr>
      <w:r>
        <w:fldChar w:fldCharType="begin"/>
      </w:r>
      <w:r>
        <w:instrText xml:space="preserve"> HYPERLINK \l _Toc691 </w:instrText>
      </w:r>
      <w:r>
        <w:fldChar w:fldCharType="separate"/>
      </w:r>
      <w:r>
        <w:rPr>
          <w:rFonts w:hint="eastAsia" w:ascii="宋体" w:hAnsi="宋体" w:eastAsia="宋体" w:cs="宋体"/>
        </w:rPr>
        <w:t xml:space="preserve">(五) </w:t>
      </w:r>
      <w:r>
        <w:rPr>
          <w:rFonts w:hint="eastAsia"/>
        </w:rPr>
        <w:t>中标通知书</w:t>
      </w:r>
      <w:r>
        <w:tab/>
      </w:r>
      <w:r>
        <w:fldChar w:fldCharType="begin"/>
      </w:r>
      <w:r>
        <w:instrText xml:space="preserve"> PAGEREF _Toc691 \h </w:instrText>
      </w:r>
      <w:r>
        <w:fldChar w:fldCharType="separate"/>
      </w:r>
      <w:r>
        <w:t>22</w:t>
      </w:r>
      <w:r>
        <w:fldChar w:fldCharType="end"/>
      </w:r>
      <w:r>
        <w:fldChar w:fldCharType="end"/>
      </w:r>
    </w:p>
    <w:p>
      <w:pPr>
        <w:pStyle w:val="22"/>
        <w:tabs>
          <w:tab w:val="right" w:leader="dot" w:pos="9866"/>
          <w:tab w:val="clear" w:pos="0"/>
        </w:tabs>
      </w:pPr>
      <w:r>
        <w:fldChar w:fldCharType="begin"/>
      </w:r>
      <w:r>
        <w:instrText xml:space="preserve"> HYPERLINK \l _Toc27758 </w:instrText>
      </w:r>
      <w:r>
        <w:fldChar w:fldCharType="separate"/>
      </w:r>
      <w:r>
        <w:rPr>
          <w:rFonts w:hint="eastAsia"/>
        </w:rPr>
        <w:t>六、 签订及履行合同和验收</w:t>
      </w:r>
      <w:r>
        <w:tab/>
      </w:r>
      <w:r>
        <w:fldChar w:fldCharType="begin"/>
      </w:r>
      <w:r>
        <w:instrText xml:space="preserve"> PAGEREF _Toc27758 \h </w:instrText>
      </w:r>
      <w:r>
        <w:fldChar w:fldCharType="separate"/>
      </w:r>
      <w:r>
        <w:t>23</w:t>
      </w:r>
      <w:r>
        <w:fldChar w:fldCharType="end"/>
      </w:r>
      <w:r>
        <w:fldChar w:fldCharType="end"/>
      </w:r>
    </w:p>
    <w:p>
      <w:pPr>
        <w:pStyle w:val="16"/>
        <w:tabs>
          <w:tab w:val="right" w:leader="dot" w:pos="9866"/>
          <w:tab w:val="clear" w:pos="0"/>
        </w:tabs>
      </w:pPr>
      <w:r>
        <w:fldChar w:fldCharType="begin"/>
      </w:r>
      <w:r>
        <w:instrText xml:space="preserve"> HYPERLINK \l _Toc18471 </w:instrText>
      </w:r>
      <w:r>
        <w:fldChar w:fldCharType="separate"/>
      </w:r>
      <w:r>
        <w:rPr>
          <w:rFonts w:hint="eastAsia" w:ascii="宋体" w:hAnsi="宋体" w:eastAsia="宋体" w:cs="宋体"/>
        </w:rPr>
        <w:t xml:space="preserve">(一) </w:t>
      </w:r>
      <w:r>
        <w:rPr>
          <w:rFonts w:hint="eastAsia"/>
        </w:rPr>
        <w:t>签订合同</w:t>
      </w:r>
      <w:r>
        <w:tab/>
      </w:r>
      <w:r>
        <w:fldChar w:fldCharType="begin"/>
      </w:r>
      <w:r>
        <w:instrText xml:space="preserve"> PAGEREF _Toc18471 \h </w:instrText>
      </w:r>
      <w:r>
        <w:fldChar w:fldCharType="separate"/>
      </w:r>
      <w:r>
        <w:t>23</w:t>
      </w:r>
      <w:r>
        <w:fldChar w:fldCharType="end"/>
      </w:r>
      <w:r>
        <w:fldChar w:fldCharType="end"/>
      </w:r>
    </w:p>
    <w:p>
      <w:pPr>
        <w:pStyle w:val="16"/>
        <w:tabs>
          <w:tab w:val="right" w:leader="dot" w:pos="9866"/>
          <w:tab w:val="clear" w:pos="0"/>
        </w:tabs>
      </w:pPr>
      <w:r>
        <w:fldChar w:fldCharType="begin"/>
      </w:r>
      <w:r>
        <w:instrText xml:space="preserve"> HYPERLINK \l _Toc9330 </w:instrText>
      </w:r>
      <w:r>
        <w:fldChar w:fldCharType="separate"/>
      </w:r>
      <w:r>
        <w:rPr>
          <w:rFonts w:hint="eastAsia" w:ascii="宋体" w:hAnsi="宋体" w:eastAsia="宋体" w:cs="宋体"/>
        </w:rPr>
        <w:t xml:space="preserve">(二) </w:t>
      </w:r>
      <w:r>
        <w:rPr>
          <w:rFonts w:hint="eastAsia"/>
        </w:rPr>
        <w:t>合同分包(实质性要求)</w:t>
      </w:r>
      <w:r>
        <w:tab/>
      </w:r>
      <w:r>
        <w:fldChar w:fldCharType="begin"/>
      </w:r>
      <w:r>
        <w:instrText xml:space="preserve"> PAGEREF _Toc9330 \h </w:instrText>
      </w:r>
      <w:r>
        <w:fldChar w:fldCharType="separate"/>
      </w:r>
      <w:r>
        <w:t>23</w:t>
      </w:r>
      <w:r>
        <w:fldChar w:fldCharType="end"/>
      </w:r>
      <w:r>
        <w:fldChar w:fldCharType="end"/>
      </w:r>
    </w:p>
    <w:p>
      <w:pPr>
        <w:pStyle w:val="16"/>
        <w:tabs>
          <w:tab w:val="right" w:leader="dot" w:pos="9866"/>
          <w:tab w:val="clear" w:pos="0"/>
        </w:tabs>
      </w:pPr>
      <w:r>
        <w:fldChar w:fldCharType="begin"/>
      </w:r>
      <w:r>
        <w:instrText xml:space="preserve"> HYPERLINK \l _Toc21151 </w:instrText>
      </w:r>
      <w:r>
        <w:fldChar w:fldCharType="separate"/>
      </w:r>
      <w:r>
        <w:rPr>
          <w:rFonts w:hint="eastAsia" w:ascii="宋体" w:hAnsi="宋体" w:eastAsia="宋体" w:cs="宋体"/>
        </w:rPr>
        <w:t xml:space="preserve">(三) </w:t>
      </w:r>
      <w:r>
        <w:rPr>
          <w:rFonts w:hint="eastAsia"/>
        </w:rPr>
        <w:t>合同转包(实质性要求)</w:t>
      </w:r>
      <w:r>
        <w:tab/>
      </w:r>
      <w:r>
        <w:fldChar w:fldCharType="begin"/>
      </w:r>
      <w:r>
        <w:instrText xml:space="preserve"> PAGEREF _Toc21151 \h </w:instrText>
      </w:r>
      <w:r>
        <w:fldChar w:fldCharType="separate"/>
      </w:r>
      <w:r>
        <w:t>23</w:t>
      </w:r>
      <w:r>
        <w:fldChar w:fldCharType="end"/>
      </w:r>
      <w:r>
        <w:fldChar w:fldCharType="end"/>
      </w:r>
    </w:p>
    <w:p>
      <w:pPr>
        <w:pStyle w:val="16"/>
        <w:tabs>
          <w:tab w:val="right" w:leader="dot" w:pos="9866"/>
          <w:tab w:val="clear" w:pos="0"/>
        </w:tabs>
      </w:pPr>
      <w:r>
        <w:fldChar w:fldCharType="begin"/>
      </w:r>
      <w:r>
        <w:instrText xml:space="preserve"> HYPERLINK \l _Toc2714 </w:instrText>
      </w:r>
      <w:r>
        <w:fldChar w:fldCharType="separate"/>
      </w:r>
      <w:r>
        <w:rPr>
          <w:rFonts w:hint="eastAsia" w:ascii="宋体" w:hAnsi="宋体" w:eastAsia="宋体" w:cs="宋体"/>
        </w:rPr>
        <w:t xml:space="preserve">(四) </w:t>
      </w:r>
      <w:r>
        <w:rPr>
          <w:rFonts w:hint="eastAsia"/>
        </w:rPr>
        <w:t>补充合同</w:t>
      </w:r>
      <w:r>
        <w:tab/>
      </w:r>
      <w:r>
        <w:fldChar w:fldCharType="begin"/>
      </w:r>
      <w:r>
        <w:instrText xml:space="preserve"> PAGEREF _Toc2714 \h </w:instrText>
      </w:r>
      <w:r>
        <w:fldChar w:fldCharType="separate"/>
      </w:r>
      <w:r>
        <w:t>23</w:t>
      </w:r>
      <w:r>
        <w:fldChar w:fldCharType="end"/>
      </w:r>
      <w:r>
        <w:fldChar w:fldCharType="end"/>
      </w:r>
    </w:p>
    <w:p>
      <w:pPr>
        <w:pStyle w:val="16"/>
        <w:tabs>
          <w:tab w:val="right" w:leader="dot" w:pos="9866"/>
          <w:tab w:val="clear" w:pos="0"/>
        </w:tabs>
      </w:pPr>
      <w:r>
        <w:fldChar w:fldCharType="begin"/>
      </w:r>
      <w:r>
        <w:instrText xml:space="preserve"> HYPERLINK \l _Toc14355 </w:instrText>
      </w:r>
      <w:r>
        <w:fldChar w:fldCharType="separate"/>
      </w:r>
      <w:r>
        <w:rPr>
          <w:rFonts w:hint="eastAsia" w:ascii="宋体" w:hAnsi="宋体" w:eastAsia="宋体" w:cs="宋体"/>
        </w:rPr>
        <w:t xml:space="preserve">(五) </w:t>
      </w:r>
      <w:r>
        <w:rPr>
          <w:rFonts w:hint="eastAsia"/>
        </w:rPr>
        <w:t>合同公告备案</w:t>
      </w:r>
      <w:r>
        <w:tab/>
      </w:r>
      <w:r>
        <w:fldChar w:fldCharType="begin"/>
      </w:r>
      <w:r>
        <w:instrText xml:space="preserve"> PAGEREF _Toc14355 \h </w:instrText>
      </w:r>
      <w:r>
        <w:fldChar w:fldCharType="separate"/>
      </w:r>
      <w:r>
        <w:t>24</w:t>
      </w:r>
      <w:r>
        <w:fldChar w:fldCharType="end"/>
      </w:r>
      <w:r>
        <w:fldChar w:fldCharType="end"/>
      </w:r>
    </w:p>
    <w:p>
      <w:pPr>
        <w:pStyle w:val="16"/>
        <w:tabs>
          <w:tab w:val="right" w:leader="dot" w:pos="9866"/>
          <w:tab w:val="clear" w:pos="0"/>
        </w:tabs>
      </w:pPr>
      <w:r>
        <w:fldChar w:fldCharType="begin"/>
      </w:r>
      <w:r>
        <w:instrText xml:space="preserve"> HYPERLINK \l _Toc6301 </w:instrText>
      </w:r>
      <w:r>
        <w:fldChar w:fldCharType="separate"/>
      </w:r>
      <w:r>
        <w:rPr>
          <w:rFonts w:hint="eastAsia" w:ascii="宋体" w:hAnsi="宋体" w:eastAsia="宋体" w:cs="宋体"/>
        </w:rPr>
        <w:t xml:space="preserve">(六) </w:t>
      </w:r>
      <w:r>
        <w:rPr>
          <w:rFonts w:hint="eastAsia"/>
        </w:rPr>
        <w:t>履约保证金</w:t>
      </w:r>
      <w:r>
        <w:tab/>
      </w:r>
      <w:r>
        <w:fldChar w:fldCharType="begin"/>
      </w:r>
      <w:r>
        <w:instrText xml:space="preserve"> PAGEREF _Toc6301 \h </w:instrText>
      </w:r>
      <w:r>
        <w:fldChar w:fldCharType="separate"/>
      </w:r>
      <w:r>
        <w:t>24</w:t>
      </w:r>
      <w:r>
        <w:fldChar w:fldCharType="end"/>
      </w:r>
      <w:r>
        <w:fldChar w:fldCharType="end"/>
      </w:r>
    </w:p>
    <w:p>
      <w:pPr>
        <w:pStyle w:val="16"/>
        <w:tabs>
          <w:tab w:val="right" w:leader="dot" w:pos="9866"/>
          <w:tab w:val="clear" w:pos="0"/>
        </w:tabs>
      </w:pPr>
      <w:r>
        <w:fldChar w:fldCharType="begin"/>
      </w:r>
      <w:r>
        <w:instrText xml:space="preserve"> HYPERLINK \l _Toc16526 </w:instrText>
      </w:r>
      <w:r>
        <w:fldChar w:fldCharType="separate"/>
      </w:r>
      <w:r>
        <w:rPr>
          <w:rFonts w:hint="eastAsia" w:ascii="宋体" w:hAnsi="宋体" w:eastAsia="宋体" w:cs="宋体"/>
        </w:rPr>
        <w:t xml:space="preserve">(七) </w:t>
      </w:r>
      <w:r>
        <w:rPr>
          <w:rFonts w:hint="eastAsia"/>
        </w:rPr>
        <w:t>履行合同</w:t>
      </w:r>
      <w:r>
        <w:tab/>
      </w:r>
      <w:r>
        <w:fldChar w:fldCharType="begin"/>
      </w:r>
      <w:r>
        <w:instrText xml:space="preserve"> PAGEREF _Toc16526 \h </w:instrText>
      </w:r>
      <w:r>
        <w:fldChar w:fldCharType="separate"/>
      </w:r>
      <w:r>
        <w:t>24</w:t>
      </w:r>
      <w:r>
        <w:fldChar w:fldCharType="end"/>
      </w:r>
      <w:r>
        <w:fldChar w:fldCharType="end"/>
      </w:r>
    </w:p>
    <w:p>
      <w:pPr>
        <w:pStyle w:val="16"/>
        <w:tabs>
          <w:tab w:val="right" w:leader="dot" w:pos="9866"/>
          <w:tab w:val="clear" w:pos="0"/>
        </w:tabs>
      </w:pPr>
      <w:r>
        <w:fldChar w:fldCharType="begin"/>
      </w:r>
      <w:r>
        <w:instrText xml:space="preserve"> HYPERLINK \l _Toc7876 </w:instrText>
      </w:r>
      <w:r>
        <w:fldChar w:fldCharType="separate"/>
      </w:r>
      <w:r>
        <w:rPr>
          <w:rFonts w:hint="eastAsia" w:ascii="宋体" w:hAnsi="宋体" w:eastAsia="宋体" w:cs="宋体"/>
        </w:rPr>
        <w:t xml:space="preserve">(八) </w:t>
      </w:r>
      <w:r>
        <w:rPr>
          <w:rFonts w:hint="eastAsia"/>
        </w:rPr>
        <w:t>验收</w:t>
      </w:r>
      <w:r>
        <w:tab/>
      </w:r>
      <w:r>
        <w:fldChar w:fldCharType="begin"/>
      </w:r>
      <w:r>
        <w:instrText xml:space="preserve"> PAGEREF _Toc7876 \h </w:instrText>
      </w:r>
      <w:r>
        <w:fldChar w:fldCharType="separate"/>
      </w:r>
      <w:r>
        <w:t>24</w:t>
      </w:r>
      <w:r>
        <w:fldChar w:fldCharType="end"/>
      </w:r>
      <w:r>
        <w:fldChar w:fldCharType="end"/>
      </w:r>
    </w:p>
    <w:p>
      <w:pPr>
        <w:pStyle w:val="16"/>
        <w:tabs>
          <w:tab w:val="right" w:leader="dot" w:pos="9866"/>
          <w:tab w:val="clear" w:pos="0"/>
        </w:tabs>
      </w:pPr>
      <w:r>
        <w:fldChar w:fldCharType="begin"/>
      </w:r>
      <w:r>
        <w:instrText xml:space="preserve"> HYPERLINK \l _Toc10742 </w:instrText>
      </w:r>
      <w:r>
        <w:fldChar w:fldCharType="separate"/>
      </w:r>
      <w:r>
        <w:rPr>
          <w:rFonts w:hint="eastAsia" w:ascii="宋体" w:hAnsi="宋体" w:eastAsia="宋体" w:cs="宋体"/>
        </w:rPr>
        <w:t xml:space="preserve">(九) </w:t>
      </w:r>
      <w:r>
        <w:rPr>
          <w:rFonts w:hint="eastAsia"/>
        </w:rPr>
        <w:t>资金支付方式、时间、条件</w:t>
      </w:r>
      <w:r>
        <w:tab/>
      </w:r>
      <w:r>
        <w:fldChar w:fldCharType="begin"/>
      </w:r>
      <w:r>
        <w:instrText xml:space="preserve"> PAGEREF _Toc10742 \h </w:instrText>
      </w:r>
      <w:r>
        <w:fldChar w:fldCharType="separate"/>
      </w:r>
      <w:r>
        <w:t>24</w:t>
      </w:r>
      <w:r>
        <w:fldChar w:fldCharType="end"/>
      </w:r>
      <w:r>
        <w:fldChar w:fldCharType="end"/>
      </w:r>
    </w:p>
    <w:p>
      <w:pPr>
        <w:pStyle w:val="22"/>
        <w:tabs>
          <w:tab w:val="right" w:leader="dot" w:pos="9866"/>
          <w:tab w:val="clear" w:pos="0"/>
        </w:tabs>
      </w:pPr>
      <w:r>
        <w:fldChar w:fldCharType="begin"/>
      </w:r>
      <w:r>
        <w:instrText xml:space="preserve"> HYPERLINK \l _Toc24338 </w:instrText>
      </w:r>
      <w:r>
        <w:fldChar w:fldCharType="separate"/>
      </w:r>
      <w:r>
        <w:rPr>
          <w:rFonts w:hint="eastAsia"/>
        </w:rPr>
        <w:t>七、 投标纪律要求</w:t>
      </w:r>
      <w:r>
        <w:tab/>
      </w:r>
      <w:r>
        <w:fldChar w:fldCharType="begin"/>
      </w:r>
      <w:r>
        <w:instrText xml:space="preserve"> PAGEREF _Toc24338 \h </w:instrText>
      </w:r>
      <w:r>
        <w:fldChar w:fldCharType="separate"/>
      </w:r>
      <w:r>
        <w:t>24</w:t>
      </w:r>
      <w:r>
        <w:fldChar w:fldCharType="end"/>
      </w:r>
      <w:r>
        <w:fldChar w:fldCharType="end"/>
      </w:r>
    </w:p>
    <w:p>
      <w:pPr>
        <w:pStyle w:val="22"/>
        <w:tabs>
          <w:tab w:val="right" w:leader="dot" w:pos="9866"/>
          <w:tab w:val="clear" w:pos="0"/>
        </w:tabs>
      </w:pPr>
      <w:r>
        <w:fldChar w:fldCharType="begin"/>
      </w:r>
      <w:r>
        <w:instrText xml:space="preserve"> HYPERLINK \l _Toc8981 </w:instrText>
      </w:r>
      <w:r>
        <w:fldChar w:fldCharType="separate"/>
      </w:r>
      <w:r>
        <w:rPr>
          <w:rFonts w:hint="eastAsia"/>
        </w:rPr>
        <w:t>八、 其他</w:t>
      </w:r>
      <w:r>
        <w:tab/>
      </w:r>
      <w:r>
        <w:fldChar w:fldCharType="begin"/>
      </w:r>
      <w:r>
        <w:instrText xml:space="preserve"> PAGEREF _Toc8981 \h </w:instrText>
      </w:r>
      <w:r>
        <w:fldChar w:fldCharType="separate"/>
      </w:r>
      <w:r>
        <w:t>25</w:t>
      </w:r>
      <w:r>
        <w:fldChar w:fldCharType="end"/>
      </w:r>
      <w:r>
        <w:fldChar w:fldCharType="end"/>
      </w:r>
    </w:p>
    <w:p>
      <w:pPr>
        <w:pStyle w:val="16"/>
        <w:tabs>
          <w:tab w:val="right" w:leader="dot" w:pos="9866"/>
          <w:tab w:val="clear" w:pos="0"/>
        </w:tabs>
      </w:pPr>
      <w:r>
        <w:fldChar w:fldCharType="begin"/>
      </w:r>
      <w:r>
        <w:instrText xml:space="preserve"> HYPERLINK \l _Toc14007 </w:instrText>
      </w:r>
      <w:r>
        <w:fldChar w:fldCharType="separate"/>
      </w:r>
      <w:r>
        <w:rPr>
          <w:rFonts w:hint="eastAsia" w:ascii="宋体" w:hAnsi="宋体" w:eastAsia="宋体" w:cs="宋体"/>
        </w:rPr>
        <w:t xml:space="preserve">(一) </w:t>
      </w:r>
      <w:r>
        <w:rPr>
          <w:rFonts w:hint="eastAsia"/>
        </w:rPr>
        <w:t>询问、质疑和投诉</w:t>
      </w:r>
      <w:r>
        <w:tab/>
      </w:r>
      <w:r>
        <w:fldChar w:fldCharType="begin"/>
      </w:r>
      <w:r>
        <w:instrText xml:space="preserve"> PAGEREF _Toc14007 \h </w:instrText>
      </w:r>
      <w:r>
        <w:fldChar w:fldCharType="separate"/>
      </w:r>
      <w:r>
        <w:t>25</w:t>
      </w:r>
      <w:r>
        <w:fldChar w:fldCharType="end"/>
      </w:r>
      <w:r>
        <w:fldChar w:fldCharType="end"/>
      </w:r>
    </w:p>
    <w:p>
      <w:pPr>
        <w:pStyle w:val="16"/>
        <w:tabs>
          <w:tab w:val="right" w:leader="dot" w:pos="9866"/>
          <w:tab w:val="clear" w:pos="0"/>
        </w:tabs>
      </w:pPr>
      <w:r>
        <w:fldChar w:fldCharType="begin"/>
      </w:r>
      <w:r>
        <w:instrText xml:space="preserve"> HYPERLINK \l _Toc32703 </w:instrText>
      </w:r>
      <w:r>
        <w:fldChar w:fldCharType="separate"/>
      </w:r>
      <w:r>
        <w:rPr>
          <w:rFonts w:hint="eastAsia" w:ascii="宋体" w:hAnsi="宋体" w:eastAsia="宋体" w:cs="宋体"/>
        </w:rPr>
        <w:t xml:space="preserve">(二) </w:t>
      </w:r>
      <w:r>
        <w:rPr>
          <w:rFonts w:hint="eastAsia"/>
        </w:rPr>
        <w:t>关于行贿犯罪档案查询工作的规定</w:t>
      </w:r>
      <w:r>
        <w:tab/>
      </w:r>
      <w:r>
        <w:fldChar w:fldCharType="begin"/>
      </w:r>
      <w:r>
        <w:instrText xml:space="preserve"> PAGEREF _Toc32703 \h </w:instrText>
      </w:r>
      <w:r>
        <w:fldChar w:fldCharType="separate"/>
      </w:r>
      <w:r>
        <w:t>25</w:t>
      </w:r>
      <w:r>
        <w:fldChar w:fldCharType="end"/>
      </w:r>
      <w:r>
        <w:fldChar w:fldCharType="end"/>
      </w:r>
    </w:p>
    <w:p>
      <w:pPr>
        <w:pStyle w:val="16"/>
        <w:tabs>
          <w:tab w:val="right" w:leader="dot" w:pos="9866"/>
          <w:tab w:val="clear" w:pos="0"/>
        </w:tabs>
      </w:pPr>
      <w:r>
        <w:fldChar w:fldCharType="begin"/>
      </w:r>
      <w:r>
        <w:instrText xml:space="preserve"> HYPERLINK \l _Toc28689 </w:instrText>
      </w:r>
      <w:r>
        <w:fldChar w:fldCharType="separate"/>
      </w:r>
      <w:r>
        <w:rPr>
          <w:rFonts w:hint="eastAsia" w:ascii="宋体" w:hAnsi="宋体" w:eastAsia="宋体" w:cs="宋体"/>
        </w:rPr>
        <w:t xml:space="preserve">(三) </w:t>
      </w:r>
      <w:r>
        <w:rPr>
          <w:rFonts w:hint="eastAsia"/>
        </w:rPr>
        <w:t>串通投标的情形</w:t>
      </w:r>
      <w:r>
        <w:tab/>
      </w:r>
      <w:r>
        <w:fldChar w:fldCharType="begin"/>
      </w:r>
      <w:r>
        <w:instrText xml:space="preserve"> PAGEREF _Toc28689 \h </w:instrText>
      </w:r>
      <w:r>
        <w:fldChar w:fldCharType="separate"/>
      </w:r>
      <w:r>
        <w:t>25</w:t>
      </w:r>
      <w:r>
        <w:fldChar w:fldCharType="end"/>
      </w:r>
      <w:r>
        <w:fldChar w:fldCharType="end"/>
      </w:r>
    </w:p>
    <w:p>
      <w:pPr>
        <w:pStyle w:val="16"/>
        <w:tabs>
          <w:tab w:val="right" w:leader="dot" w:pos="9866"/>
          <w:tab w:val="clear" w:pos="0"/>
        </w:tabs>
      </w:pPr>
      <w:r>
        <w:fldChar w:fldCharType="begin"/>
      </w:r>
      <w:r>
        <w:instrText xml:space="preserve"> HYPERLINK \l _Toc30537 </w:instrText>
      </w:r>
      <w:r>
        <w:fldChar w:fldCharType="separate"/>
      </w:r>
      <w:r>
        <w:rPr>
          <w:rFonts w:hint="eastAsia" w:ascii="宋体" w:hAnsi="宋体" w:eastAsia="宋体" w:cs="宋体"/>
        </w:rPr>
        <w:t xml:space="preserve">(四) </w:t>
      </w:r>
      <w:r>
        <w:rPr>
          <w:rFonts w:hint="eastAsia"/>
        </w:rPr>
        <w:t>投标人信用信息查询</w:t>
      </w:r>
      <w:r>
        <w:tab/>
      </w:r>
      <w:r>
        <w:fldChar w:fldCharType="begin"/>
      </w:r>
      <w:r>
        <w:instrText xml:space="preserve"> PAGEREF _Toc30537 \h </w:instrText>
      </w:r>
      <w:r>
        <w:fldChar w:fldCharType="separate"/>
      </w:r>
      <w:r>
        <w:t>25</w:t>
      </w:r>
      <w:r>
        <w:fldChar w:fldCharType="end"/>
      </w:r>
      <w:r>
        <w:fldChar w:fldCharType="end"/>
      </w:r>
    </w:p>
    <w:p>
      <w:pPr>
        <w:pStyle w:val="16"/>
        <w:tabs>
          <w:tab w:val="right" w:leader="dot" w:pos="9866"/>
          <w:tab w:val="clear" w:pos="0"/>
        </w:tabs>
      </w:pPr>
      <w:r>
        <w:fldChar w:fldCharType="begin"/>
      </w:r>
      <w:r>
        <w:instrText xml:space="preserve"> HYPERLINK \l _Toc27083 </w:instrText>
      </w:r>
      <w:r>
        <w:fldChar w:fldCharType="separate"/>
      </w:r>
      <w:r>
        <w:rPr>
          <w:rFonts w:hint="eastAsia" w:ascii="宋体" w:hAnsi="宋体" w:eastAsia="宋体" w:cs="宋体"/>
        </w:rPr>
        <w:t xml:space="preserve">(五) </w:t>
      </w:r>
      <w:r>
        <w:rPr>
          <w:rFonts w:hint="eastAsia"/>
        </w:rPr>
        <w:t>解释说明</w:t>
      </w:r>
      <w:r>
        <w:tab/>
      </w:r>
      <w:r>
        <w:fldChar w:fldCharType="begin"/>
      </w:r>
      <w:r>
        <w:instrText xml:space="preserve"> PAGEREF _Toc27083 \h </w:instrText>
      </w:r>
      <w:r>
        <w:fldChar w:fldCharType="separate"/>
      </w:r>
      <w:r>
        <w:t>26</w:t>
      </w:r>
      <w:r>
        <w:fldChar w:fldCharType="end"/>
      </w:r>
      <w:r>
        <w:fldChar w:fldCharType="end"/>
      </w:r>
    </w:p>
    <w:p>
      <w:pPr>
        <w:pStyle w:val="21"/>
        <w:tabs>
          <w:tab w:val="right" w:leader="dot" w:pos="9866"/>
          <w:tab w:val="clear" w:pos="0"/>
          <w:tab w:val="clear" w:pos="9746"/>
        </w:tabs>
      </w:pPr>
      <w:r>
        <w:fldChar w:fldCharType="begin"/>
      </w:r>
      <w:r>
        <w:instrText xml:space="preserve"> HYPERLINK \l _Toc1972 </w:instrText>
      </w:r>
      <w:r>
        <w:fldChar w:fldCharType="separate"/>
      </w:r>
      <w:r>
        <w:rPr>
          <w:rFonts w:hint="eastAsia" w:ascii="宋体" w:hAnsi="宋体" w:eastAsia="宋体" w:cs="宋体"/>
        </w:rPr>
        <w:t xml:space="preserve">第三章 </w:t>
      </w:r>
      <w:r>
        <w:rPr>
          <w:rFonts w:hint="eastAsia"/>
        </w:rPr>
        <w:t>投标文件格式</w:t>
      </w:r>
      <w:r>
        <w:tab/>
      </w:r>
      <w:r>
        <w:fldChar w:fldCharType="begin"/>
      </w:r>
      <w:r>
        <w:instrText xml:space="preserve"> PAGEREF _Toc1972 \h </w:instrText>
      </w:r>
      <w:r>
        <w:fldChar w:fldCharType="separate"/>
      </w:r>
      <w:r>
        <w:t>27</w:t>
      </w:r>
      <w:r>
        <w:fldChar w:fldCharType="end"/>
      </w:r>
      <w:r>
        <w:fldChar w:fldCharType="end"/>
      </w:r>
    </w:p>
    <w:p>
      <w:pPr>
        <w:pStyle w:val="22"/>
        <w:tabs>
          <w:tab w:val="right" w:leader="dot" w:pos="9866"/>
          <w:tab w:val="clear" w:pos="0"/>
        </w:tabs>
      </w:pPr>
      <w:r>
        <w:fldChar w:fldCharType="begin"/>
      </w:r>
      <w:r>
        <w:instrText xml:space="preserve"> HYPERLINK \l _Toc25561 </w:instrText>
      </w:r>
      <w:r>
        <w:fldChar w:fldCharType="separate"/>
      </w:r>
      <w:r>
        <w:rPr>
          <w:rFonts w:hint="eastAsia"/>
          <w:szCs w:val="32"/>
        </w:rPr>
        <w:t>第一部分 资格、资质性及其他类似效力投标文件(格式)</w:t>
      </w:r>
      <w:r>
        <w:tab/>
      </w:r>
      <w:r>
        <w:fldChar w:fldCharType="begin"/>
      </w:r>
      <w:r>
        <w:instrText xml:space="preserve"> PAGEREF _Toc25561 \h </w:instrText>
      </w:r>
      <w:r>
        <w:fldChar w:fldCharType="separate"/>
      </w:r>
      <w:r>
        <w:t>30</w:t>
      </w:r>
      <w:r>
        <w:fldChar w:fldCharType="end"/>
      </w:r>
      <w:r>
        <w:fldChar w:fldCharType="end"/>
      </w:r>
    </w:p>
    <w:p>
      <w:pPr>
        <w:pStyle w:val="16"/>
        <w:tabs>
          <w:tab w:val="right" w:leader="dot" w:pos="9866"/>
          <w:tab w:val="clear" w:pos="0"/>
        </w:tabs>
      </w:pPr>
      <w:r>
        <w:fldChar w:fldCharType="begin"/>
      </w:r>
      <w:r>
        <w:instrText xml:space="preserve"> HYPERLINK \l _Toc11066 </w:instrText>
      </w:r>
      <w:r>
        <w:fldChar w:fldCharType="separate"/>
      </w:r>
      <w:r>
        <w:rPr>
          <w:rFonts w:hint="eastAsia"/>
        </w:rPr>
        <w:t>一、 法定代表人/单位负责人授权书</w:t>
      </w:r>
      <w:r>
        <w:tab/>
      </w:r>
      <w:r>
        <w:fldChar w:fldCharType="begin"/>
      </w:r>
      <w:r>
        <w:instrText xml:space="preserve"> PAGEREF _Toc11066 \h </w:instrText>
      </w:r>
      <w:r>
        <w:fldChar w:fldCharType="separate"/>
      </w:r>
      <w:r>
        <w:t>31</w:t>
      </w:r>
      <w:r>
        <w:fldChar w:fldCharType="end"/>
      </w:r>
      <w:r>
        <w:fldChar w:fldCharType="end"/>
      </w:r>
    </w:p>
    <w:p>
      <w:pPr>
        <w:pStyle w:val="16"/>
        <w:tabs>
          <w:tab w:val="right" w:leader="dot" w:pos="9866"/>
          <w:tab w:val="clear" w:pos="0"/>
        </w:tabs>
      </w:pPr>
      <w:r>
        <w:fldChar w:fldCharType="begin"/>
      </w:r>
      <w:r>
        <w:instrText xml:space="preserve"> HYPERLINK \l _Toc2396 </w:instrText>
      </w:r>
      <w:r>
        <w:fldChar w:fldCharType="separate"/>
      </w:r>
      <w:r>
        <w:rPr>
          <w:rFonts w:hint="eastAsia"/>
        </w:rPr>
        <w:t>一、 法定代表人/单位负责人证明书</w:t>
      </w:r>
      <w:r>
        <w:tab/>
      </w:r>
      <w:r>
        <w:fldChar w:fldCharType="begin"/>
      </w:r>
      <w:r>
        <w:instrText xml:space="preserve"> PAGEREF _Toc2396 \h </w:instrText>
      </w:r>
      <w:r>
        <w:fldChar w:fldCharType="separate"/>
      </w:r>
      <w:r>
        <w:t>32</w:t>
      </w:r>
      <w:r>
        <w:fldChar w:fldCharType="end"/>
      </w:r>
      <w:r>
        <w:fldChar w:fldCharType="end"/>
      </w:r>
    </w:p>
    <w:p>
      <w:pPr>
        <w:pStyle w:val="16"/>
        <w:tabs>
          <w:tab w:val="right" w:leader="dot" w:pos="9866"/>
          <w:tab w:val="clear" w:pos="0"/>
        </w:tabs>
      </w:pPr>
      <w:r>
        <w:fldChar w:fldCharType="begin"/>
      </w:r>
      <w:r>
        <w:instrText xml:space="preserve"> HYPERLINK \l _Toc15124 </w:instrText>
      </w:r>
      <w:r>
        <w:fldChar w:fldCharType="separate"/>
      </w:r>
      <w:r>
        <w:rPr>
          <w:rFonts w:hint="eastAsia"/>
        </w:rPr>
        <w:t>二、 具有独立承担民事责任的能力的证明材料</w:t>
      </w:r>
      <w:r>
        <w:tab/>
      </w:r>
      <w:r>
        <w:fldChar w:fldCharType="begin"/>
      </w:r>
      <w:r>
        <w:instrText xml:space="preserve"> PAGEREF _Toc15124 \h </w:instrText>
      </w:r>
      <w:r>
        <w:fldChar w:fldCharType="separate"/>
      </w:r>
      <w:r>
        <w:t>33</w:t>
      </w:r>
      <w:r>
        <w:fldChar w:fldCharType="end"/>
      </w:r>
      <w:r>
        <w:fldChar w:fldCharType="end"/>
      </w:r>
    </w:p>
    <w:p>
      <w:pPr>
        <w:pStyle w:val="16"/>
        <w:tabs>
          <w:tab w:val="right" w:leader="dot" w:pos="9866"/>
          <w:tab w:val="clear" w:pos="0"/>
        </w:tabs>
      </w:pPr>
      <w:r>
        <w:fldChar w:fldCharType="begin"/>
      </w:r>
      <w:r>
        <w:instrText xml:space="preserve"> HYPERLINK \l _Toc18110 </w:instrText>
      </w:r>
      <w:r>
        <w:fldChar w:fldCharType="separate"/>
      </w:r>
      <w:r>
        <w:rPr>
          <w:rFonts w:hint="eastAsia"/>
        </w:rPr>
        <w:t>三、 投标人具有良好的商业信誉和健全的财务会计制度的证明材料</w:t>
      </w:r>
      <w:r>
        <w:tab/>
      </w:r>
      <w:r>
        <w:fldChar w:fldCharType="begin"/>
      </w:r>
      <w:r>
        <w:instrText xml:space="preserve"> PAGEREF _Toc18110 \h </w:instrText>
      </w:r>
      <w:r>
        <w:fldChar w:fldCharType="separate"/>
      </w:r>
      <w:r>
        <w:t>34</w:t>
      </w:r>
      <w:r>
        <w:fldChar w:fldCharType="end"/>
      </w:r>
      <w:r>
        <w:fldChar w:fldCharType="end"/>
      </w:r>
    </w:p>
    <w:p>
      <w:pPr>
        <w:pStyle w:val="16"/>
        <w:tabs>
          <w:tab w:val="right" w:leader="dot" w:pos="9866"/>
          <w:tab w:val="clear" w:pos="0"/>
        </w:tabs>
      </w:pPr>
      <w:r>
        <w:fldChar w:fldCharType="begin"/>
      </w:r>
      <w:r>
        <w:instrText xml:space="preserve"> HYPERLINK \l _Toc29117 </w:instrText>
      </w:r>
      <w:r>
        <w:fldChar w:fldCharType="separate"/>
      </w:r>
      <w:r>
        <w:rPr>
          <w:rFonts w:hint="eastAsia"/>
        </w:rPr>
        <w:t>四、 投标人具有依法缴纳税收和社会保障资金的良好记录的证明材料</w:t>
      </w:r>
      <w:r>
        <w:tab/>
      </w:r>
      <w:r>
        <w:fldChar w:fldCharType="begin"/>
      </w:r>
      <w:r>
        <w:instrText xml:space="preserve"> PAGEREF _Toc29117 \h </w:instrText>
      </w:r>
      <w:r>
        <w:fldChar w:fldCharType="separate"/>
      </w:r>
      <w:r>
        <w:t>35</w:t>
      </w:r>
      <w:r>
        <w:fldChar w:fldCharType="end"/>
      </w:r>
      <w:r>
        <w:fldChar w:fldCharType="end"/>
      </w:r>
    </w:p>
    <w:p>
      <w:pPr>
        <w:pStyle w:val="16"/>
        <w:tabs>
          <w:tab w:val="right" w:leader="dot" w:pos="9866"/>
          <w:tab w:val="clear" w:pos="0"/>
        </w:tabs>
      </w:pPr>
      <w:r>
        <w:fldChar w:fldCharType="begin"/>
      </w:r>
      <w:r>
        <w:instrText xml:space="preserve"> HYPERLINK \l _Toc13692 </w:instrText>
      </w:r>
      <w:r>
        <w:fldChar w:fldCharType="separate"/>
      </w:r>
      <w:r>
        <w:rPr>
          <w:rFonts w:hint="eastAsia"/>
        </w:rPr>
        <w:t>五、 投标人具有履行合同所必需的设备和专业技术能力证明材料</w:t>
      </w:r>
      <w:r>
        <w:tab/>
      </w:r>
      <w:r>
        <w:fldChar w:fldCharType="begin"/>
      </w:r>
      <w:r>
        <w:instrText xml:space="preserve"> PAGEREF _Toc13692 \h </w:instrText>
      </w:r>
      <w:r>
        <w:fldChar w:fldCharType="separate"/>
      </w:r>
      <w:r>
        <w:t>36</w:t>
      </w:r>
      <w:r>
        <w:fldChar w:fldCharType="end"/>
      </w:r>
      <w:r>
        <w:fldChar w:fldCharType="end"/>
      </w:r>
    </w:p>
    <w:p>
      <w:pPr>
        <w:pStyle w:val="16"/>
        <w:tabs>
          <w:tab w:val="right" w:leader="dot" w:pos="9866"/>
          <w:tab w:val="clear" w:pos="0"/>
        </w:tabs>
      </w:pPr>
      <w:r>
        <w:fldChar w:fldCharType="begin"/>
      </w:r>
      <w:r>
        <w:instrText xml:space="preserve"> HYPERLINK \l _Toc20475 </w:instrText>
      </w:r>
      <w:r>
        <w:fldChar w:fldCharType="separate"/>
      </w:r>
      <w:r>
        <w:rPr>
          <w:rFonts w:hint="eastAsia"/>
        </w:rPr>
        <w:t>六、 投标人参加政府采购活动前三年内，在经营活动中没有重大违法记录的证明材料</w:t>
      </w:r>
      <w:r>
        <w:tab/>
      </w:r>
      <w:r>
        <w:fldChar w:fldCharType="begin"/>
      </w:r>
      <w:r>
        <w:instrText xml:space="preserve"> PAGEREF _Toc20475 \h </w:instrText>
      </w:r>
      <w:r>
        <w:fldChar w:fldCharType="separate"/>
      </w:r>
      <w:r>
        <w:t>37</w:t>
      </w:r>
      <w:r>
        <w:fldChar w:fldCharType="end"/>
      </w:r>
      <w:r>
        <w:fldChar w:fldCharType="end"/>
      </w:r>
    </w:p>
    <w:p>
      <w:pPr>
        <w:pStyle w:val="16"/>
        <w:tabs>
          <w:tab w:val="right" w:leader="dot" w:pos="9866"/>
          <w:tab w:val="clear" w:pos="0"/>
        </w:tabs>
      </w:pPr>
      <w:r>
        <w:fldChar w:fldCharType="begin"/>
      </w:r>
      <w:r>
        <w:instrText xml:space="preserve"> HYPERLINK \l _Toc29564 </w:instrText>
      </w:r>
      <w:r>
        <w:fldChar w:fldCharType="separate"/>
      </w:r>
      <w:r>
        <w:rPr>
          <w:rFonts w:hint="eastAsia"/>
          <w:lang w:val="zh-CN"/>
        </w:rPr>
        <w:t xml:space="preserve">七、 </w:t>
      </w:r>
      <w:r>
        <w:rPr>
          <w:rFonts w:hint="eastAsia"/>
        </w:rPr>
        <w:t>投标人</w:t>
      </w:r>
      <w:r>
        <w:rPr>
          <w:rFonts w:hint="eastAsia"/>
          <w:lang w:val="zh-CN"/>
        </w:rPr>
        <w:t>及其现任法定代表人、主要负责人不得具有行贿犯罪记录</w:t>
      </w:r>
      <w:r>
        <w:rPr>
          <w:rFonts w:hint="eastAsia"/>
        </w:rPr>
        <w:t>的承诺函</w:t>
      </w:r>
      <w:r>
        <w:tab/>
      </w:r>
      <w:r>
        <w:fldChar w:fldCharType="begin"/>
      </w:r>
      <w:r>
        <w:instrText xml:space="preserve"> PAGEREF _Toc29564 \h </w:instrText>
      </w:r>
      <w:r>
        <w:fldChar w:fldCharType="separate"/>
      </w:r>
      <w:r>
        <w:t>38</w:t>
      </w:r>
      <w:r>
        <w:fldChar w:fldCharType="end"/>
      </w:r>
      <w:r>
        <w:fldChar w:fldCharType="end"/>
      </w:r>
    </w:p>
    <w:p>
      <w:pPr>
        <w:pStyle w:val="16"/>
        <w:tabs>
          <w:tab w:val="right" w:leader="dot" w:pos="9866"/>
          <w:tab w:val="clear" w:pos="0"/>
        </w:tabs>
      </w:pPr>
      <w:r>
        <w:fldChar w:fldCharType="begin"/>
      </w:r>
      <w:r>
        <w:instrText xml:space="preserve"> HYPERLINK \l _Toc879 </w:instrText>
      </w:r>
      <w:r>
        <w:fldChar w:fldCharType="separate"/>
      </w:r>
      <w:r>
        <w:rPr>
          <w:rFonts w:hint="eastAsia"/>
        </w:rPr>
        <w:t>八、 根据采购项目的特殊要求，供应商提供具有特定条件的证明材料</w:t>
      </w:r>
      <w:r>
        <w:tab/>
      </w:r>
      <w:r>
        <w:fldChar w:fldCharType="begin"/>
      </w:r>
      <w:r>
        <w:instrText xml:space="preserve"> PAGEREF _Toc879 \h </w:instrText>
      </w:r>
      <w:r>
        <w:fldChar w:fldCharType="separate"/>
      </w:r>
      <w:r>
        <w:t>39</w:t>
      </w:r>
      <w:r>
        <w:fldChar w:fldCharType="end"/>
      </w:r>
      <w:r>
        <w:fldChar w:fldCharType="end"/>
      </w:r>
    </w:p>
    <w:p>
      <w:pPr>
        <w:pStyle w:val="16"/>
        <w:tabs>
          <w:tab w:val="right" w:leader="dot" w:pos="9866"/>
          <w:tab w:val="clear" w:pos="0"/>
        </w:tabs>
      </w:pPr>
      <w:r>
        <w:fldChar w:fldCharType="begin"/>
      </w:r>
      <w:r>
        <w:instrText xml:space="preserve"> HYPERLINK \l _Toc10725 </w:instrText>
      </w:r>
      <w:r>
        <w:fldChar w:fldCharType="separate"/>
      </w:r>
      <w:r>
        <w:rPr>
          <w:rFonts w:hint="eastAsia"/>
        </w:rPr>
        <w:t>九、 信用信息查询</w:t>
      </w:r>
      <w:r>
        <w:tab/>
      </w:r>
      <w:r>
        <w:fldChar w:fldCharType="begin"/>
      </w:r>
      <w:r>
        <w:instrText xml:space="preserve"> PAGEREF _Toc10725 \h </w:instrText>
      </w:r>
      <w:r>
        <w:fldChar w:fldCharType="separate"/>
      </w:r>
      <w:r>
        <w:t>40</w:t>
      </w:r>
      <w:r>
        <w:fldChar w:fldCharType="end"/>
      </w:r>
      <w:r>
        <w:fldChar w:fldCharType="end"/>
      </w:r>
    </w:p>
    <w:p>
      <w:pPr>
        <w:pStyle w:val="16"/>
        <w:tabs>
          <w:tab w:val="right" w:leader="dot" w:pos="9866"/>
          <w:tab w:val="clear" w:pos="0"/>
        </w:tabs>
      </w:pPr>
      <w:r>
        <w:fldChar w:fldCharType="begin"/>
      </w:r>
      <w:r>
        <w:instrText xml:space="preserve"> HYPERLINK \l _Toc8837 </w:instrText>
      </w:r>
      <w:r>
        <w:fldChar w:fldCharType="separate"/>
      </w:r>
      <w:r>
        <w:rPr>
          <w:rFonts w:hint="eastAsia"/>
        </w:rPr>
        <w:t>十、 符合《中华人民共和国政府采购法》第二十二条规定的条件的承诺及声明函</w:t>
      </w:r>
      <w:r>
        <w:tab/>
      </w:r>
      <w:r>
        <w:fldChar w:fldCharType="begin"/>
      </w:r>
      <w:r>
        <w:instrText xml:space="preserve"> PAGEREF _Toc8837 \h </w:instrText>
      </w:r>
      <w:r>
        <w:fldChar w:fldCharType="separate"/>
      </w:r>
      <w:r>
        <w:t>41</w:t>
      </w:r>
      <w:r>
        <w:fldChar w:fldCharType="end"/>
      </w:r>
      <w:r>
        <w:fldChar w:fldCharType="end"/>
      </w:r>
    </w:p>
    <w:p>
      <w:pPr>
        <w:pStyle w:val="22"/>
        <w:tabs>
          <w:tab w:val="right" w:leader="dot" w:pos="9866"/>
          <w:tab w:val="clear" w:pos="0"/>
        </w:tabs>
      </w:pPr>
      <w:r>
        <w:fldChar w:fldCharType="begin"/>
      </w:r>
      <w:r>
        <w:instrText xml:space="preserve"> HYPERLINK \l _Toc26571 </w:instrText>
      </w:r>
      <w:r>
        <w:fldChar w:fldCharType="separate"/>
      </w:r>
      <w:r>
        <w:rPr>
          <w:rFonts w:hint="eastAsia"/>
          <w:szCs w:val="32"/>
        </w:rPr>
        <w:t>第二部分 其他投标文件(格式)</w:t>
      </w:r>
      <w:r>
        <w:tab/>
      </w:r>
      <w:r>
        <w:fldChar w:fldCharType="begin"/>
      </w:r>
      <w:r>
        <w:instrText xml:space="preserve"> PAGEREF _Toc26571 \h </w:instrText>
      </w:r>
      <w:r>
        <w:fldChar w:fldCharType="separate"/>
      </w:r>
      <w:r>
        <w:t>42</w:t>
      </w:r>
      <w:r>
        <w:fldChar w:fldCharType="end"/>
      </w:r>
      <w:r>
        <w:fldChar w:fldCharType="end"/>
      </w:r>
    </w:p>
    <w:p>
      <w:pPr>
        <w:pStyle w:val="16"/>
        <w:tabs>
          <w:tab w:val="right" w:leader="dot" w:pos="9866"/>
          <w:tab w:val="clear" w:pos="0"/>
        </w:tabs>
      </w:pPr>
      <w:r>
        <w:fldChar w:fldCharType="begin"/>
      </w:r>
      <w:r>
        <w:instrText xml:space="preserve"> HYPERLINK \l _Toc28918 </w:instrText>
      </w:r>
      <w:r>
        <w:fldChar w:fldCharType="separate"/>
      </w:r>
      <w:r>
        <w:rPr>
          <w:rFonts w:hint="eastAsia"/>
        </w:rPr>
        <w:t>一、 投标函</w:t>
      </w:r>
      <w:r>
        <w:tab/>
      </w:r>
      <w:r>
        <w:fldChar w:fldCharType="begin"/>
      </w:r>
      <w:r>
        <w:instrText xml:space="preserve"> PAGEREF _Toc28918 \h </w:instrText>
      </w:r>
      <w:r>
        <w:fldChar w:fldCharType="separate"/>
      </w:r>
      <w:r>
        <w:t>43</w:t>
      </w:r>
      <w:r>
        <w:fldChar w:fldCharType="end"/>
      </w:r>
      <w:r>
        <w:fldChar w:fldCharType="end"/>
      </w:r>
    </w:p>
    <w:p>
      <w:pPr>
        <w:pStyle w:val="16"/>
        <w:tabs>
          <w:tab w:val="right" w:leader="dot" w:pos="9866"/>
          <w:tab w:val="clear" w:pos="0"/>
        </w:tabs>
      </w:pPr>
      <w:r>
        <w:fldChar w:fldCharType="begin"/>
      </w:r>
      <w:r>
        <w:instrText xml:space="preserve"> HYPERLINK \l _Toc22321 </w:instrText>
      </w:r>
      <w:r>
        <w:fldChar w:fldCharType="separate"/>
      </w:r>
      <w:r>
        <w:rPr>
          <w:rFonts w:hint="eastAsia"/>
        </w:rPr>
        <w:t>二、 实质性要求承诺</w:t>
      </w:r>
      <w:r>
        <w:tab/>
      </w:r>
      <w:r>
        <w:fldChar w:fldCharType="begin"/>
      </w:r>
      <w:r>
        <w:instrText xml:space="preserve"> PAGEREF _Toc22321 \h </w:instrText>
      </w:r>
      <w:r>
        <w:fldChar w:fldCharType="separate"/>
      </w:r>
      <w:r>
        <w:t>44</w:t>
      </w:r>
      <w:r>
        <w:fldChar w:fldCharType="end"/>
      </w:r>
      <w:r>
        <w:fldChar w:fldCharType="end"/>
      </w:r>
    </w:p>
    <w:p>
      <w:pPr>
        <w:pStyle w:val="16"/>
        <w:tabs>
          <w:tab w:val="right" w:leader="dot" w:pos="9866"/>
          <w:tab w:val="clear" w:pos="0"/>
        </w:tabs>
      </w:pPr>
      <w:r>
        <w:fldChar w:fldCharType="begin"/>
      </w:r>
      <w:r>
        <w:instrText xml:space="preserve"> HYPERLINK \l _Toc14646 </w:instrText>
      </w:r>
      <w:r>
        <w:fldChar w:fldCharType="separate"/>
      </w:r>
      <w:r>
        <w:rPr>
          <w:rFonts w:hint="eastAsia"/>
        </w:rPr>
        <w:t>三、 投标人诚信情况承诺函</w:t>
      </w:r>
      <w:r>
        <w:tab/>
      </w:r>
      <w:r>
        <w:fldChar w:fldCharType="begin"/>
      </w:r>
      <w:r>
        <w:instrText xml:space="preserve"> PAGEREF _Toc14646 \h </w:instrText>
      </w:r>
      <w:r>
        <w:fldChar w:fldCharType="separate"/>
      </w:r>
      <w:r>
        <w:t>46</w:t>
      </w:r>
      <w:r>
        <w:fldChar w:fldCharType="end"/>
      </w:r>
      <w:r>
        <w:fldChar w:fldCharType="end"/>
      </w:r>
    </w:p>
    <w:p>
      <w:pPr>
        <w:pStyle w:val="16"/>
        <w:tabs>
          <w:tab w:val="right" w:leader="dot" w:pos="9866"/>
          <w:tab w:val="clear" w:pos="0"/>
        </w:tabs>
      </w:pPr>
      <w:r>
        <w:fldChar w:fldCharType="begin"/>
      </w:r>
      <w:r>
        <w:instrText xml:space="preserve"> HYPERLINK \l _Toc18227 </w:instrText>
      </w:r>
      <w:r>
        <w:fldChar w:fldCharType="separate"/>
      </w:r>
      <w:r>
        <w:rPr>
          <w:rFonts w:hint="eastAsia"/>
        </w:rPr>
        <w:t>四、 投标人基本情况表</w:t>
      </w:r>
      <w:r>
        <w:tab/>
      </w:r>
      <w:r>
        <w:fldChar w:fldCharType="begin"/>
      </w:r>
      <w:r>
        <w:instrText xml:space="preserve"> PAGEREF _Toc18227 \h </w:instrText>
      </w:r>
      <w:r>
        <w:fldChar w:fldCharType="separate"/>
      </w:r>
      <w:r>
        <w:t>47</w:t>
      </w:r>
      <w:r>
        <w:fldChar w:fldCharType="end"/>
      </w:r>
      <w:r>
        <w:fldChar w:fldCharType="end"/>
      </w:r>
    </w:p>
    <w:p>
      <w:pPr>
        <w:pStyle w:val="16"/>
        <w:tabs>
          <w:tab w:val="right" w:leader="dot" w:pos="9866"/>
          <w:tab w:val="clear" w:pos="0"/>
        </w:tabs>
      </w:pPr>
      <w:r>
        <w:fldChar w:fldCharType="begin"/>
      </w:r>
      <w:r>
        <w:instrText xml:space="preserve"> HYPERLINK \l _Toc27274 </w:instrText>
      </w:r>
      <w:r>
        <w:fldChar w:fldCharType="separate"/>
      </w:r>
      <w:r>
        <w:rPr>
          <w:rFonts w:hint="eastAsia"/>
        </w:rPr>
        <w:t>五、 开标一览表</w:t>
      </w:r>
      <w:r>
        <w:rPr>
          <w:rFonts w:hint="eastAsia"/>
          <w:lang w:val="en-US" w:eastAsia="zh-CN"/>
        </w:rPr>
        <w:t>(适用于第一包、第二包、第三包)</w:t>
      </w:r>
      <w:r>
        <w:tab/>
      </w:r>
      <w:r>
        <w:fldChar w:fldCharType="begin"/>
      </w:r>
      <w:r>
        <w:instrText xml:space="preserve"> PAGEREF _Toc27274 \h </w:instrText>
      </w:r>
      <w:r>
        <w:fldChar w:fldCharType="separate"/>
      </w:r>
      <w:r>
        <w:t>48</w:t>
      </w:r>
      <w:r>
        <w:fldChar w:fldCharType="end"/>
      </w:r>
      <w:r>
        <w:fldChar w:fldCharType="end"/>
      </w:r>
    </w:p>
    <w:p>
      <w:pPr>
        <w:pStyle w:val="16"/>
        <w:tabs>
          <w:tab w:val="right" w:leader="dot" w:pos="9866"/>
          <w:tab w:val="clear" w:pos="0"/>
        </w:tabs>
      </w:pPr>
      <w:r>
        <w:fldChar w:fldCharType="begin"/>
      </w:r>
      <w:r>
        <w:instrText xml:space="preserve"> HYPERLINK \l _Toc7246 </w:instrText>
      </w:r>
      <w:r>
        <w:fldChar w:fldCharType="separate"/>
      </w:r>
      <w:r>
        <w:rPr>
          <w:rFonts w:hint="eastAsia"/>
        </w:rPr>
        <w:t>六、 开标一览表</w:t>
      </w:r>
      <w:r>
        <w:rPr>
          <w:rFonts w:hint="eastAsia"/>
          <w:lang w:val="en-US" w:eastAsia="zh-CN"/>
        </w:rPr>
        <w:t>(适用于第四包)</w:t>
      </w:r>
      <w:r>
        <w:tab/>
      </w:r>
      <w:r>
        <w:fldChar w:fldCharType="begin"/>
      </w:r>
      <w:r>
        <w:instrText xml:space="preserve"> PAGEREF _Toc7246 \h </w:instrText>
      </w:r>
      <w:r>
        <w:fldChar w:fldCharType="separate"/>
      </w:r>
      <w:r>
        <w:t>49</w:t>
      </w:r>
      <w:r>
        <w:fldChar w:fldCharType="end"/>
      </w:r>
      <w:r>
        <w:fldChar w:fldCharType="end"/>
      </w:r>
    </w:p>
    <w:p>
      <w:pPr>
        <w:pStyle w:val="16"/>
        <w:tabs>
          <w:tab w:val="right" w:leader="dot" w:pos="9866"/>
          <w:tab w:val="clear" w:pos="0"/>
        </w:tabs>
      </w:pPr>
      <w:r>
        <w:fldChar w:fldCharType="begin"/>
      </w:r>
      <w:r>
        <w:instrText xml:space="preserve"> HYPERLINK \l _Toc26778 </w:instrText>
      </w:r>
      <w:r>
        <w:fldChar w:fldCharType="separate"/>
      </w:r>
      <w:r>
        <w:rPr>
          <w:rFonts w:hint="eastAsia"/>
        </w:rPr>
        <w:t>七、 开标一览表</w:t>
      </w:r>
      <w:r>
        <w:rPr>
          <w:rFonts w:hint="eastAsia"/>
          <w:lang w:val="en-US" w:eastAsia="zh-CN"/>
        </w:rPr>
        <w:t>(适用于第五包)</w:t>
      </w:r>
      <w:r>
        <w:tab/>
      </w:r>
      <w:r>
        <w:fldChar w:fldCharType="begin"/>
      </w:r>
      <w:r>
        <w:instrText xml:space="preserve"> PAGEREF _Toc26778 \h </w:instrText>
      </w:r>
      <w:r>
        <w:fldChar w:fldCharType="separate"/>
      </w:r>
      <w:r>
        <w:t>50</w:t>
      </w:r>
      <w:r>
        <w:fldChar w:fldCharType="end"/>
      </w:r>
      <w:r>
        <w:fldChar w:fldCharType="end"/>
      </w:r>
    </w:p>
    <w:p>
      <w:pPr>
        <w:pStyle w:val="16"/>
        <w:tabs>
          <w:tab w:val="right" w:leader="dot" w:pos="9866"/>
          <w:tab w:val="clear" w:pos="0"/>
        </w:tabs>
      </w:pPr>
      <w:r>
        <w:fldChar w:fldCharType="begin"/>
      </w:r>
      <w:r>
        <w:instrText xml:space="preserve"> HYPERLINK \l _Toc34 </w:instrText>
      </w:r>
      <w:r>
        <w:fldChar w:fldCharType="separate"/>
      </w:r>
      <w:r>
        <w:rPr>
          <w:rFonts w:hint="eastAsia"/>
        </w:rPr>
        <w:t>八、 商务应答表</w:t>
      </w:r>
      <w:r>
        <w:tab/>
      </w:r>
      <w:r>
        <w:fldChar w:fldCharType="begin"/>
      </w:r>
      <w:r>
        <w:instrText xml:space="preserve"> PAGEREF _Toc34 \h </w:instrText>
      </w:r>
      <w:r>
        <w:fldChar w:fldCharType="separate"/>
      </w:r>
      <w:r>
        <w:t>51</w:t>
      </w:r>
      <w:r>
        <w:fldChar w:fldCharType="end"/>
      </w:r>
      <w:r>
        <w:fldChar w:fldCharType="end"/>
      </w:r>
    </w:p>
    <w:p>
      <w:pPr>
        <w:pStyle w:val="16"/>
        <w:tabs>
          <w:tab w:val="right" w:leader="dot" w:pos="9866"/>
          <w:tab w:val="clear" w:pos="0"/>
        </w:tabs>
      </w:pPr>
      <w:r>
        <w:fldChar w:fldCharType="begin"/>
      </w:r>
      <w:r>
        <w:instrText xml:space="preserve"> HYPERLINK \l _Toc8373 </w:instrText>
      </w:r>
      <w:r>
        <w:fldChar w:fldCharType="separate"/>
      </w:r>
      <w:r>
        <w:rPr>
          <w:rFonts w:hint="eastAsia"/>
        </w:rPr>
        <w:t>九、 服务应答表</w:t>
      </w:r>
      <w:r>
        <w:tab/>
      </w:r>
      <w:r>
        <w:fldChar w:fldCharType="begin"/>
      </w:r>
      <w:r>
        <w:instrText xml:space="preserve"> PAGEREF _Toc8373 \h </w:instrText>
      </w:r>
      <w:r>
        <w:fldChar w:fldCharType="separate"/>
      </w:r>
      <w:r>
        <w:t>52</w:t>
      </w:r>
      <w:r>
        <w:fldChar w:fldCharType="end"/>
      </w:r>
      <w:r>
        <w:fldChar w:fldCharType="end"/>
      </w:r>
    </w:p>
    <w:p>
      <w:pPr>
        <w:pStyle w:val="16"/>
        <w:tabs>
          <w:tab w:val="right" w:leader="dot" w:pos="9866"/>
          <w:tab w:val="clear" w:pos="0"/>
        </w:tabs>
      </w:pPr>
      <w:r>
        <w:fldChar w:fldCharType="begin"/>
      </w:r>
      <w:r>
        <w:instrText xml:space="preserve"> HYPERLINK \l _Toc13356 </w:instrText>
      </w:r>
      <w:r>
        <w:fldChar w:fldCharType="separate"/>
      </w:r>
      <w:r>
        <w:rPr>
          <w:rFonts w:hint="eastAsia"/>
        </w:rPr>
        <w:t>十、 履约能力及相关证明</w:t>
      </w:r>
      <w:r>
        <w:tab/>
      </w:r>
      <w:r>
        <w:fldChar w:fldCharType="begin"/>
      </w:r>
      <w:r>
        <w:instrText xml:space="preserve"> PAGEREF _Toc13356 \h </w:instrText>
      </w:r>
      <w:r>
        <w:fldChar w:fldCharType="separate"/>
      </w:r>
      <w:r>
        <w:t>53</w:t>
      </w:r>
      <w:r>
        <w:fldChar w:fldCharType="end"/>
      </w:r>
      <w:r>
        <w:fldChar w:fldCharType="end"/>
      </w:r>
    </w:p>
    <w:p>
      <w:pPr>
        <w:pStyle w:val="16"/>
        <w:tabs>
          <w:tab w:val="right" w:leader="dot" w:pos="9866"/>
          <w:tab w:val="clear" w:pos="0"/>
        </w:tabs>
      </w:pPr>
      <w:r>
        <w:fldChar w:fldCharType="begin"/>
      </w:r>
      <w:r>
        <w:instrText xml:space="preserve"> HYPERLINK \l _Toc23080 </w:instrText>
      </w:r>
      <w:r>
        <w:fldChar w:fldCharType="separate"/>
      </w:r>
      <w:r>
        <w:rPr>
          <w:rFonts w:hint="eastAsia"/>
        </w:rPr>
        <w:t>十一、 投标人针对本项目人员配置情况表</w:t>
      </w:r>
      <w:r>
        <w:tab/>
      </w:r>
      <w:r>
        <w:fldChar w:fldCharType="begin"/>
      </w:r>
      <w:r>
        <w:instrText xml:space="preserve"> PAGEREF _Toc23080 \h </w:instrText>
      </w:r>
      <w:r>
        <w:fldChar w:fldCharType="separate"/>
      </w:r>
      <w:r>
        <w:t>54</w:t>
      </w:r>
      <w:r>
        <w:fldChar w:fldCharType="end"/>
      </w:r>
      <w:r>
        <w:fldChar w:fldCharType="end"/>
      </w:r>
    </w:p>
    <w:p>
      <w:pPr>
        <w:pStyle w:val="16"/>
        <w:tabs>
          <w:tab w:val="right" w:leader="dot" w:pos="9866"/>
          <w:tab w:val="clear" w:pos="0"/>
        </w:tabs>
      </w:pPr>
      <w:r>
        <w:fldChar w:fldCharType="begin"/>
      </w:r>
      <w:r>
        <w:instrText xml:space="preserve"> HYPERLINK \l _Toc18236 </w:instrText>
      </w:r>
      <w:r>
        <w:fldChar w:fldCharType="separate"/>
      </w:r>
      <w:r>
        <w:rPr>
          <w:rFonts w:hint="eastAsia"/>
        </w:rPr>
        <w:t>十二、 中小企业声明函(如涉及)</w:t>
      </w:r>
      <w:r>
        <w:tab/>
      </w:r>
      <w:r>
        <w:fldChar w:fldCharType="begin"/>
      </w:r>
      <w:r>
        <w:instrText xml:space="preserve"> PAGEREF _Toc18236 \h </w:instrText>
      </w:r>
      <w:r>
        <w:fldChar w:fldCharType="separate"/>
      </w:r>
      <w:r>
        <w:t>55</w:t>
      </w:r>
      <w:r>
        <w:fldChar w:fldCharType="end"/>
      </w:r>
      <w:r>
        <w:fldChar w:fldCharType="end"/>
      </w:r>
    </w:p>
    <w:p>
      <w:pPr>
        <w:pStyle w:val="16"/>
        <w:tabs>
          <w:tab w:val="right" w:leader="dot" w:pos="9866"/>
          <w:tab w:val="clear" w:pos="0"/>
        </w:tabs>
      </w:pPr>
      <w:r>
        <w:fldChar w:fldCharType="begin"/>
      </w:r>
      <w:r>
        <w:instrText xml:space="preserve"> HYPERLINK \l _Toc8790 </w:instrText>
      </w:r>
      <w:r>
        <w:fldChar w:fldCharType="separate"/>
      </w:r>
      <w:r>
        <w:rPr>
          <w:rFonts w:hint="eastAsia"/>
        </w:rPr>
        <w:t>十三、 监狱企业相关证明材料(如涉及)</w:t>
      </w:r>
      <w:r>
        <w:tab/>
      </w:r>
      <w:r>
        <w:fldChar w:fldCharType="begin"/>
      </w:r>
      <w:r>
        <w:instrText xml:space="preserve"> PAGEREF _Toc8790 \h </w:instrText>
      </w:r>
      <w:r>
        <w:fldChar w:fldCharType="separate"/>
      </w:r>
      <w:r>
        <w:t>56</w:t>
      </w:r>
      <w:r>
        <w:fldChar w:fldCharType="end"/>
      </w:r>
      <w:r>
        <w:fldChar w:fldCharType="end"/>
      </w:r>
    </w:p>
    <w:p>
      <w:pPr>
        <w:pStyle w:val="16"/>
        <w:tabs>
          <w:tab w:val="right" w:leader="dot" w:pos="9866"/>
          <w:tab w:val="clear" w:pos="0"/>
        </w:tabs>
      </w:pPr>
      <w:r>
        <w:fldChar w:fldCharType="begin"/>
      </w:r>
      <w:r>
        <w:instrText xml:space="preserve"> HYPERLINK \l _Toc11192 </w:instrText>
      </w:r>
      <w:r>
        <w:fldChar w:fldCharType="separate"/>
      </w:r>
      <w:r>
        <w:rPr>
          <w:rFonts w:hint="eastAsia"/>
        </w:rPr>
        <w:t>十四、 残疾人福利性单位声明函(如涉及)</w:t>
      </w:r>
      <w:r>
        <w:tab/>
      </w:r>
      <w:r>
        <w:fldChar w:fldCharType="begin"/>
      </w:r>
      <w:r>
        <w:instrText xml:space="preserve"> PAGEREF _Toc11192 \h </w:instrText>
      </w:r>
      <w:r>
        <w:fldChar w:fldCharType="separate"/>
      </w:r>
      <w:r>
        <w:t>57</w:t>
      </w:r>
      <w:r>
        <w:fldChar w:fldCharType="end"/>
      </w:r>
      <w:r>
        <w:fldChar w:fldCharType="end"/>
      </w:r>
    </w:p>
    <w:p>
      <w:pPr>
        <w:pStyle w:val="16"/>
        <w:tabs>
          <w:tab w:val="right" w:leader="dot" w:pos="9866"/>
          <w:tab w:val="clear" w:pos="0"/>
        </w:tabs>
      </w:pPr>
      <w:r>
        <w:fldChar w:fldCharType="begin"/>
      </w:r>
      <w:r>
        <w:instrText xml:space="preserve"> HYPERLINK \l _Toc31340 </w:instrText>
      </w:r>
      <w:r>
        <w:fldChar w:fldCharType="separate"/>
      </w:r>
      <w:r>
        <w:rPr>
          <w:rFonts w:hint="eastAsia"/>
        </w:rPr>
        <w:t xml:space="preserve">十五、 </w:t>
      </w:r>
      <w:r>
        <w:rPr>
          <w:rFonts w:hint="eastAsia"/>
          <w:lang w:val="en-US" w:eastAsia="zh-CN"/>
        </w:rPr>
        <w:t>服务方案、技术方案(以评分表相关内容为准)</w:t>
      </w:r>
      <w:r>
        <w:tab/>
      </w:r>
      <w:r>
        <w:fldChar w:fldCharType="begin"/>
      </w:r>
      <w:r>
        <w:instrText xml:space="preserve"> PAGEREF _Toc31340 \h </w:instrText>
      </w:r>
      <w:r>
        <w:fldChar w:fldCharType="separate"/>
      </w:r>
      <w:r>
        <w:t>58</w:t>
      </w:r>
      <w:r>
        <w:fldChar w:fldCharType="end"/>
      </w:r>
      <w:r>
        <w:fldChar w:fldCharType="end"/>
      </w:r>
    </w:p>
    <w:p>
      <w:pPr>
        <w:pStyle w:val="16"/>
        <w:tabs>
          <w:tab w:val="right" w:leader="dot" w:pos="9866"/>
          <w:tab w:val="clear" w:pos="0"/>
        </w:tabs>
      </w:pPr>
      <w:r>
        <w:fldChar w:fldCharType="begin"/>
      </w:r>
      <w:r>
        <w:instrText xml:space="preserve"> HYPERLINK \l _Toc23794 </w:instrText>
      </w:r>
      <w:r>
        <w:fldChar w:fldCharType="separate"/>
      </w:r>
      <w:r>
        <w:rPr>
          <w:rFonts w:hint="eastAsia"/>
        </w:rPr>
        <w:t>十六、 招标代理服务费承诺函</w:t>
      </w:r>
      <w:r>
        <w:tab/>
      </w:r>
      <w:r>
        <w:fldChar w:fldCharType="begin"/>
      </w:r>
      <w:r>
        <w:instrText xml:space="preserve"> PAGEREF _Toc23794 \h </w:instrText>
      </w:r>
      <w:r>
        <w:fldChar w:fldCharType="separate"/>
      </w:r>
      <w:r>
        <w:t>59</w:t>
      </w:r>
      <w:r>
        <w:fldChar w:fldCharType="end"/>
      </w:r>
      <w:r>
        <w:fldChar w:fldCharType="end"/>
      </w:r>
    </w:p>
    <w:p>
      <w:pPr>
        <w:pStyle w:val="21"/>
        <w:tabs>
          <w:tab w:val="right" w:leader="dot" w:pos="9866"/>
          <w:tab w:val="clear" w:pos="0"/>
          <w:tab w:val="clear" w:pos="9746"/>
        </w:tabs>
      </w:pPr>
      <w:r>
        <w:fldChar w:fldCharType="begin"/>
      </w:r>
      <w:r>
        <w:instrText xml:space="preserve"> HYPERLINK \l _Toc23532 </w:instrText>
      </w:r>
      <w:r>
        <w:fldChar w:fldCharType="separate"/>
      </w:r>
      <w:r>
        <w:rPr>
          <w:rFonts w:hint="eastAsia" w:ascii="宋体" w:hAnsi="宋体" w:eastAsia="宋体" w:cs="宋体"/>
          <w:w w:val="95"/>
        </w:rPr>
        <w:t xml:space="preserve">第四章 </w:t>
      </w:r>
      <w:r>
        <w:rPr>
          <w:rFonts w:hint="eastAsia"/>
          <w:w w:val="95"/>
        </w:rPr>
        <w:t>投标人和投标产品的资格、资质性及其他类似效力要求</w:t>
      </w:r>
      <w:r>
        <w:tab/>
      </w:r>
      <w:r>
        <w:fldChar w:fldCharType="begin"/>
      </w:r>
      <w:r>
        <w:instrText xml:space="preserve"> PAGEREF _Toc23532 \h </w:instrText>
      </w:r>
      <w:r>
        <w:fldChar w:fldCharType="separate"/>
      </w:r>
      <w:r>
        <w:t>60</w:t>
      </w:r>
      <w:r>
        <w:fldChar w:fldCharType="end"/>
      </w:r>
      <w:r>
        <w:fldChar w:fldCharType="end"/>
      </w:r>
    </w:p>
    <w:p>
      <w:pPr>
        <w:pStyle w:val="22"/>
        <w:tabs>
          <w:tab w:val="right" w:leader="dot" w:pos="9866"/>
          <w:tab w:val="clear" w:pos="0"/>
        </w:tabs>
      </w:pPr>
      <w:r>
        <w:fldChar w:fldCharType="begin"/>
      </w:r>
      <w:r>
        <w:instrText xml:space="preserve"> HYPERLINK \l _Toc29710 </w:instrText>
      </w:r>
      <w:r>
        <w:fldChar w:fldCharType="separate"/>
      </w:r>
      <w:r>
        <w:rPr>
          <w:rFonts w:hint="eastAsia" w:ascii="宋体" w:hAnsi="宋体" w:eastAsia="宋体" w:cs="宋体"/>
          <w:lang w:val="zh-CN"/>
        </w:rPr>
        <w:t xml:space="preserve">一、 </w:t>
      </w:r>
      <w:r>
        <w:rPr>
          <w:rFonts w:hint="eastAsia"/>
        </w:rPr>
        <w:t>投标人资格、资质性及其他类似效力要求</w:t>
      </w:r>
      <w:r>
        <w:tab/>
      </w:r>
      <w:r>
        <w:fldChar w:fldCharType="begin"/>
      </w:r>
      <w:r>
        <w:instrText xml:space="preserve"> PAGEREF _Toc29710 \h </w:instrText>
      </w:r>
      <w:r>
        <w:fldChar w:fldCharType="separate"/>
      </w:r>
      <w:r>
        <w:t>60</w:t>
      </w:r>
      <w:r>
        <w:fldChar w:fldCharType="end"/>
      </w:r>
      <w:r>
        <w:fldChar w:fldCharType="end"/>
      </w:r>
    </w:p>
    <w:p>
      <w:pPr>
        <w:pStyle w:val="22"/>
        <w:tabs>
          <w:tab w:val="right" w:leader="dot" w:pos="9866"/>
          <w:tab w:val="clear" w:pos="0"/>
        </w:tabs>
      </w:pPr>
      <w:r>
        <w:fldChar w:fldCharType="begin"/>
      </w:r>
      <w:r>
        <w:instrText xml:space="preserve"> HYPERLINK \l _Toc4710 </w:instrText>
      </w:r>
      <w:r>
        <w:fldChar w:fldCharType="separate"/>
      </w:r>
      <w:r>
        <w:rPr>
          <w:rFonts w:hint="eastAsia" w:ascii="宋体" w:hAnsi="宋体" w:eastAsia="宋体" w:cs="宋体"/>
        </w:rPr>
        <w:t xml:space="preserve">二、 </w:t>
      </w:r>
      <w:r>
        <w:rPr>
          <w:rFonts w:hint="eastAsia"/>
        </w:rPr>
        <w:t>投标产品的资格、资质性及其他类似效力要求</w:t>
      </w:r>
      <w:r>
        <w:tab/>
      </w:r>
      <w:r>
        <w:fldChar w:fldCharType="begin"/>
      </w:r>
      <w:r>
        <w:instrText xml:space="preserve"> PAGEREF _Toc4710 \h </w:instrText>
      </w:r>
      <w:r>
        <w:fldChar w:fldCharType="separate"/>
      </w:r>
      <w:r>
        <w:t>60</w:t>
      </w:r>
      <w:r>
        <w:fldChar w:fldCharType="end"/>
      </w:r>
      <w:r>
        <w:fldChar w:fldCharType="end"/>
      </w:r>
    </w:p>
    <w:p>
      <w:pPr>
        <w:pStyle w:val="22"/>
        <w:tabs>
          <w:tab w:val="right" w:leader="dot" w:pos="9866"/>
          <w:tab w:val="clear" w:pos="0"/>
        </w:tabs>
      </w:pPr>
      <w:r>
        <w:fldChar w:fldCharType="begin"/>
      </w:r>
      <w:r>
        <w:instrText xml:space="preserve"> HYPERLINK \l _Toc20822 </w:instrText>
      </w:r>
      <w:r>
        <w:fldChar w:fldCharType="separate"/>
      </w:r>
      <w:r>
        <w:rPr>
          <w:rFonts w:hint="eastAsia" w:ascii="宋体" w:hAnsi="宋体" w:eastAsia="宋体" w:cs="宋体"/>
        </w:rPr>
        <w:t xml:space="preserve">三、 </w:t>
      </w:r>
      <w:r>
        <w:rPr>
          <w:rFonts w:hint="eastAsia"/>
        </w:rPr>
        <w:t>其他类似效力要求</w:t>
      </w:r>
      <w:r>
        <w:tab/>
      </w:r>
      <w:r>
        <w:fldChar w:fldCharType="begin"/>
      </w:r>
      <w:r>
        <w:instrText xml:space="preserve"> PAGEREF _Toc20822 \h </w:instrText>
      </w:r>
      <w:r>
        <w:fldChar w:fldCharType="separate"/>
      </w:r>
      <w:r>
        <w:t>60</w:t>
      </w:r>
      <w:r>
        <w:fldChar w:fldCharType="end"/>
      </w:r>
      <w:r>
        <w:fldChar w:fldCharType="end"/>
      </w:r>
    </w:p>
    <w:p>
      <w:pPr>
        <w:pStyle w:val="21"/>
        <w:tabs>
          <w:tab w:val="right" w:leader="dot" w:pos="9866"/>
          <w:tab w:val="clear" w:pos="0"/>
          <w:tab w:val="clear" w:pos="9746"/>
        </w:tabs>
      </w:pPr>
      <w:r>
        <w:fldChar w:fldCharType="begin"/>
      </w:r>
      <w:r>
        <w:instrText xml:space="preserve"> HYPERLINK \l _Toc7185 </w:instrText>
      </w:r>
      <w:r>
        <w:fldChar w:fldCharType="separate"/>
      </w:r>
      <w:r>
        <w:rPr>
          <w:rFonts w:hint="eastAsia" w:ascii="宋体" w:hAnsi="宋体" w:eastAsia="宋体" w:cs="宋体"/>
        </w:rPr>
        <w:t xml:space="preserve">第五章 </w:t>
      </w:r>
      <w:r>
        <w:rPr>
          <w:rFonts w:hint="eastAsia"/>
        </w:rPr>
        <w:t>资格性审查内容</w:t>
      </w:r>
      <w:r>
        <w:tab/>
      </w:r>
      <w:r>
        <w:fldChar w:fldCharType="begin"/>
      </w:r>
      <w:r>
        <w:instrText xml:space="preserve"> PAGEREF _Toc7185 \h </w:instrText>
      </w:r>
      <w:r>
        <w:fldChar w:fldCharType="separate"/>
      </w:r>
      <w:r>
        <w:t>62</w:t>
      </w:r>
      <w:r>
        <w:fldChar w:fldCharType="end"/>
      </w:r>
      <w:r>
        <w:fldChar w:fldCharType="end"/>
      </w:r>
    </w:p>
    <w:p>
      <w:pPr>
        <w:pStyle w:val="22"/>
        <w:tabs>
          <w:tab w:val="right" w:leader="dot" w:pos="9866"/>
          <w:tab w:val="clear" w:pos="0"/>
        </w:tabs>
      </w:pPr>
      <w:r>
        <w:fldChar w:fldCharType="begin"/>
      </w:r>
      <w:r>
        <w:instrText xml:space="preserve"> HYPERLINK \l _Toc25834 </w:instrText>
      </w:r>
      <w:r>
        <w:fldChar w:fldCharType="separate"/>
      </w:r>
      <w:r>
        <w:rPr>
          <w:rFonts w:hint="eastAsia" w:ascii="宋体" w:hAnsi="宋体" w:eastAsia="宋体" w:cs="宋体"/>
        </w:rPr>
        <w:t xml:space="preserve">一、 </w:t>
      </w:r>
      <w:r>
        <w:rPr>
          <w:rFonts w:hint="eastAsia"/>
        </w:rPr>
        <w:t>应当提供的投标人及投标产品资格、资质性及其他类似效力要求的相关证明材料</w:t>
      </w:r>
      <w:r>
        <w:tab/>
      </w:r>
      <w:r>
        <w:fldChar w:fldCharType="begin"/>
      </w:r>
      <w:r>
        <w:instrText xml:space="preserve"> PAGEREF _Toc25834 \h </w:instrText>
      </w:r>
      <w:r>
        <w:fldChar w:fldCharType="separate"/>
      </w:r>
      <w:r>
        <w:t>62</w:t>
      </w:r>
      <w:r>
        <w:fldChar w:fldCharType="end"/>
      </w:r>
      <w:r>
        <w:fldChar w:fldCharType="end"/>
      </w:r>
    </w:p>
    <w:p>
      <w:pPr>
        <w:pStyle w:val="22"/>
        <w:tabs>
          <w:tab w:val="right" w:leader="dot" w:pos="9866"/>
          <w:tab w:val="clear" w:pos="0"/>
        </w:tabs>
      </w:pPr>
      <w:r>
        <w:fldChar w:fldCharType="begin"/>
      </w:r>
      <w:r>
        <w:instrText xml:space="preserve"> HYPERLINK \l _Toc4141 </w:instrText>
      </w:r>
      <w:r>
        <w:fldChar w:fldCharType="separate"/>
      </w:r>
      <w:r>
        <w:rPr>
          <w:rFonts w:hint="eastAsia" w:ascii="宋体" w:hAnsi="宋体" w:eastAsia="宋体" w:cs="宋体"/>
        </w:rPr>
        <w:t xml:space="preserve">二、 </w:t>
      </w:r>
      <w:r>
        <w:rPr>
          <w:rFonts w:hint="eastAsia"/>
        </w:rPr>
        <w:t>审查程序</w:t>
      </w:r>
      <w:r>
        <w:tab/>
      </w:r>
      <w:r>
        <w:fldChar w:fldCharType="begin"/>
      </w:r>
      <w:r>
        <w:instrText xml:space="preserve"> PAGEREF _Toc4141 \h </w:instrText>
      </w:r>
      <w:r>
        <w:fldChar w:fldCharType="separate"/>
      </w:r>
      <w:r>
        <w:t>64</w:t>
      </w:r>
      <w:r>
        <w:fldChar w:fldCharType="end"/>
      </w:r>
      <w:r>
        <w:fldChar w:fldCharType="end"/>
      </w:r>
    </w:p>
    <w:p>
      <w:pPr>
        <w:pStyle w:val="21"/>
        <w:tabs>
          <w:tab w:val="right" w:leader="dot" w:pos="9866"/>
          <w:tab w:val="clear" w:pos="0"/>
          <w:tab w:val="clear" w:pos="9746"/>
        </w:tabs>
      </w:pPr>
      <w:r>
        <w:fldChar w:fldCharType="begin"/>
      </w:r>
      <w:r>
        <w:instrText xml:space="preserve"> HYPERLINK \l _Toc14893 </w:instrText>
      </w:r>
      <w:r>
        <w:fldChar w:fldCharType="separate"/>
      </w:r>
      <w:r>
        <w:rPr>
          <w:rFonts w:hint="eastAsia" w:ascii="宋体" w:hAnsi="宋体" w:eastAsia="宋体" w:cs="宋体"/>
        </w:rPr>
        <w:t xml:space="preserve">第六章 </w:t>
      </w:r>
      <w:r>
        <w:rPr>
          <w:rFonts w:hint="eastAsia"/>
        </w:rPr>
        <w:t>招标项目技术、服务、政府采购合同内容条款及其他商务要求</w:t>
      </w:r>
      <w:r>
        <w:tab/>
      </w:r>
      <w:r>
        <w:fldChar w:fldCharType="begin"/>
      </w:r>
      <w:r>
        <w:instrText xml:space="preserve"> PAGEREF _Toc14893 \h </w:instrText>
      </w:r>
      <w:r>
        <w:fldChar w:fldCharType="separate"/>
      </w:r>
      <w:r>
        <w:t>65</w:t>
      </w:r>
      <w:r>
        <w:fldChar w:fldCharType="end"/>
      </w:r>
      <w:r>
        <w:fldChar w:fldCharType="end"/>
      </w:r>
    </w:p>
    <w:p>
      <w:pPr>
        <w:pStyle w:val="22"/>
        <w:tabs>
          <w:tab w:val="right" w:leader="dot" w:pos="9866"/>
          <w:tab w:val="clear" w:pos="0"/>
        </w:tabs>
      </w:pPr>
      <w:r>
        <w:fldChar w:fldCharType="begin"/>
      </w:r>
      <w:r>
        <w:instrText xml:space="preserve"> HYPERLINK \l _Toc16709 </w:instrText>
      </w:r>
      <w:r>
        <w:fldChar w:fldCharType="separate"/>
      </w:r>
      <w:r>
        <w:rPr>
          <w:rFonts w:hint="eastAsia" w:ascii="宋体" w:hAnsi="宋体" w:eastAsia="宋体" w:cs="宋体"/>
        </w:rPr>
        <w:t xml:space="preserve">一、 </w:t>
      </w:r>
      <w:r>
        <w:rPr>
          <w:rFonts w:hint="eastAsia"/>
        </w:rPr>
        <w:t>项目背景</w:t>
      </w:r>
      <w:r>
        <w:tab/>
      </w:r>
      <w:r>
        <w:fldChar w:fldCharType="begin"/>
      </w:r>
      <w:r>
        <w:instrText xml:space="preserve"> PAGEREF _Toc16709 \h </w:instrText>
      </w:r>
      <w:r>
        <w:fldChar w:fldCharType="separate"/>
      </w:r>
      <w:r>
        <w:t>65</w:t>
      </w:r>
      <w:r>
        <w:fldChar w:fldCharType="end"/>
      </w:r>
      <w:r>
        <w:fldChar w:fldCharType="end"/>
      </w:r>
    </w:p>
    <w:p>
      <w:pPr>
        <w:pStyle w:val="22"/>
        <w:tabs>
          <w:tab w:val="right" w:leader="dot" w:pos="9866"/>
          <w:tab w:val="clear" w:pos="0"/>
        </w:tabs>
      </w:pPr>
      <w:r>
        <w:fldChar w:fldCharType="begin"/>
      </w:r>
      <w:r>
        <w:instrText xml:space="preserve"> HYPERLINK \l _Toc3910 </w:instrText>
      </w:r>
      <w:r>
        <w:fldChar w:fldCharType="separate"/>
      </w:r>
      <w:r>
        <w:rPr>
          <w:rFonts w:hint="eastAsia" w:ascii="宋体" w:hAnsi="宋体" w:eastAsia="宋体" w:cs="宋体"/>
          <w:lang w:eastAsia="zh-CN"/>
        </w:rPr>
        <w:t xml:space="preserve">二、 </w:t>
      </w:r>
      <w:r>
        <w:rPr>
          <w:rFonts w:hint="eastAsia"/>
          <w:lang w:eastAsia="zh-CN"/>
        </w:rPr>
        <w:t>工作目标</w:t>
      </w:r>
      <w:r>
        <w:tab/>
      </w:r>
      <w:r>
        <w:fldChar w:fldCharType="begin"/>
      </w:r>
      <w:r>
        <w:instrText xml:space="preserve"> PAGEREF _Toc3910 \h </w:instrText>
      </w:r>
      <w:r>
        <w:fldChar w:fldCharType="separate"/>
      </w:r>
      <w:r>
        <w:t>65</w:t>
      </w:r>
      <w:r>
        <w:fldChar w:fldCharType="end"/>
      </w:r>
      <w:r>
        <w:fldChar w:fldCharType="end"/>
      </w:r>
    </w:p>
    <w:p>
      <w:pPr>
        <w:pStyle w:val="22"/>
        <w:tabs>
          <w:tab w:val="right" w:leader="dot" w:pos="9866"/>
          <w:tab w:val="clear" w:pos="0"/>
        </w:tabs>
      </w:pPr>
      <w:r>
        <w:fldChar w:fldCharType="begin"/>
      </w:r>
      <w:r>
        <w:instrText xml:space="preserve"> HYPERLINK \l _Toc8398 </w:instrText>
      </w:r>
      <w:r>
        <w:fldChar w:fldCharType="separate"/>
      </w:r>
      <w:r>
        <w:rPr>
          <w:rFonts w:hint="eastAsia" w:ascii="宋体" w:hAnsi="宋体" w:eastAsia="宋体" w:cs="宋体"/>
        </w:rPr>
        <w:t xml:space="preserve">三、 </w:t>
      </w:r>
      <w:r>
        <w:rPr>
          <w:rFonts w:hint="eastAsia"/>
        </w:rPr>
        <w:t>※第一包</w:t>
      </w:r>
      <w:r>
        <w:rPr>
          <w:rFonts w:hint="eastAsia"/>
          <w:lang w:eastAsia="zh-CN"/>
        </w:rPr>
        <w:t>、第二包、第三包</w:t>
      </w:r>
      <w:r>
        <w:rPr>
          <w:rFonts w:hint="eastAsia"/>
        </w:rPr>
        <w:t>工作内容及要求</w:t>
      </w:r>
      <w:r>
        <w:tab/>
      </w:r>
      <w:r>
        <w:fldChar w:fldCharType="begin"/>
      </w:r>
      <w:r>
        <w:instrText xml:space="preserve"> PAGEREF _Toc8398 \h </w:instrText>
      </w:r>
      <w:r>
        <w:fldChar w:fldCharType="separate"/>
      </w:r>
      <w:r>
        <w:t>65</w:t>
      </w:r>
      <w:r>
        <w:fldChar w:fldCharType="end"/>
      </w:r>
      <w:r>
        <w:fldChar w:fldCharType="end"/>
      </w:r>
    </w:p>
    <w:p>
      <w:pPr>
        <w:pStyle w:val="22"/>
        <w:tabs>
          <w:tab w:val="right" w:leader="dot" w:pos="9866"/>
          <w:tab w:val="clear" w:pos="0"/>
        </w:tabs>
      </w:pPr>
      <w:r>
        <w:fldChar w:fldCharType="begin"/>
      </w:r>
      <w:r>
        <w:instrText xml:space="preserve"> HYPERLINK \l _Toc2976 </w:instrText>
      </w:r>
      <w:r>
        <w:fldChar w:fldCharType="separate"/>
      </w:r>
      <w:r>
        <w:rPr>
          <w:rFonts w:hint="eastAsia" w:ascii="宋体" w:hAnsi="宋体" w:eastAsia="宋体" w:cs="宋体"/>
        </w:rPr>
        <w:t xml:space="preserve">四、 </w:t>
      </w:r>
      <w:r>
        <w:rPr>
          <w:rFonts w:hint="eastAsia"/>
        </w:rPr>
        <w:t>※第</w:t>
      </w:r>
      <w:r>
        <w:rPr>
          <w:rFonts w:hint="eastAsia"/>
          <w:lang w:eastAsia="zh-CN"/>
        </w:rPr>
        <w:t>四</w:t>
      </w:r>
      <w:r>
        <w:rPr>
          <w:rFonts w:hint="eastAsia"/>
        </w:rPr>
        <w:t>包工作内容及要求</w:t>
      </w:r>
      <w:r>
        <w:tab/>
      </w:r>
      <w:r>
        <w:fldChar w:fldCharType="begin"/>
      </w:r>
      <w:r>
        <w:instrText xml:space="preserve"> PAGEREF _Toc2976 \h </w:instrText>
      </w:r>
      <w:r>
        <w:fldChar w:fldCharType="separate"/>
      </w:r>
      <w:r>
        <w:t>85</w:t>
      </w:r>
      <w:r>
        <w:fldChar w:fldCharType="end"/>
      </w:r>
      <w:r>
        <w:fldChar w:fldCharType="end"/>
      </w:r>
    </w:p>
    <w:p>
      <w:pPr>
        <w:pStyle w:val="22"/>
        <w:tabs>
          <w:tab w:val="right" w:leader="dot" w:pos="9866"/>
          <w:tab w:val="clear" w:pos="0"/>
        </w:tabs>
      </w:pPr>
      <w:r>
        <w:fldChar w:fldCharType="begin"/>
      </w:r>
      <w:r>
        <w:instrText xml:space="preserve"> HYPERLINK \l _Toc4978 </w:instrText>
      </w:r>
      <w:r>
        <w:fldChar w:fldCharType="separate"/>
      </w:r>
      <w:r>
        <w:rPr>
          <w:rFonts w:hint="eastAsia" w:ascii="宋体" w:hAnsi="宋体" w:eastAsia="宋体" w:cs="宋体"/>
        </w:rPr>
        <w:t xml:space="preserve">五、 </w:t>
      </w:r>
      <w:r>
        <w:rPr>
          <w:rFonts w:hint="eastAsia"/>
        </w:rPr>
        <w:t>※第</w:t>
      </w:r>
      <w:r>
        <w:rPr>
          <w:rFonts w:hint="eastAsia"/>
          <w:lang w:eastAsia="zh-CN"/>
        </w:rPr>
        <w:t>五</w:t>
      </w:r>
      <w:r>
        <w:rPr>
          <w:rFonts w:hint="eastAsia"/>
        </w:rPr>
        <w:t>包工作内容及要求</w:t>
      </w:r>
      <w:r>
        <w:tab/>
      </w:r>
      <w:r>
        <w:fldChar w:fldCharType="begin"/>
      </w:r>
      <w:r>
        <w:instrText xml:space="preserve"> PAGEREF _Toc4978 \h </w:instrText>
      </w:r>
      <w:r>
        <w:fldChar w:fldCharType="separate"/>
      </w:r>
      <w:r>
        <w:t>88</w:t>
      </w:r>
      <w:r>
        <w:fldChar w:fldCharType="end"/>
      </w:r>
      <w:r>
        <w:fldChar w:fldCharType="end"/>
      </w:r>
    </w:p>
    <w:p>
      <w:pPr>
        <w:pStyle w:val="22"/>
        <w:tabs>
          <w:tab w:val="right" w:leader="dot" w:pos="9866"/>
          <w:tab w:val="clear" w:pos="0"/>
        </w:tabs>
      </w:pPr>
      <w:r>
        <w:fldChar w:fldCharType="begin"/>
      </w:r>
      <w:r>
        <w:instrText xml:space="preserve"> HYPERLINK \l _Toc20554 </w:instrText>
      </w:r>
      <w:r>
        <w:fldChar w:fldCharType="separate"/>
      </w:r>
      <w:r>
        <w:rPr>
          <w:rFonts w:hint="eastAsia" w:ascii="宋体" w:hAnsi="宋体" w:eastAsia="宋体" w:cs="宋体"/>
        </w:rPr>
        <w:t xml:space="preserve">六、 </w:t>
      </w:r>
      <w:r>
        <w:rPr>
          <w:rFonts w:hint="eastAsia"/>
          <w:highlight w:val="none"/>
        </w:rPr>
        <w:t>※关系要求</w:t>
      </w:r>
      <w:r>
        <w:tab/>
      </w:r>
      <w:r>
        <w:fldChar w:fldCharType="begin"/>
      </w:r>
      <w:r>
        <w:instrText xml:space="preserve"> PAGEREF _Toc20554 \h </w:instrText>
      </w:r>
      <w:r>
        <w:fldChar w:fldCharType="separate"/>
      </w:r>
      <w:r>
        <w:t>89</w:t>
      </w:r>
      <w:r>
        <w:fldChar w:fldCharType="end"/>
      </w:r>
      <w:r>
        <w:fldChar w:fldCharType="end"/>
      </w:r>
    </w:p>
    <w:p>
      <w:pPr>
        <w:pStyle w:val="22"/>
        <w:tabs>
          <w:tab w:val="right" w:leader="dot" w:pos="9866"/>
          <w:tab w:val="clear" w:pos="0"/>
        </w:tabs>
      </w:pPr>
      <w:r>
        <w:fldChar w:fldCharType="begin"/>
      </w:r>
      <w:r>
        <w:instrText xml:space="preserve"> HYPERLINK \l _Toc28870 </w:instrText>
      </w:r>
      <w:r>
        <w:fldChar w:fldCharType="separate"/>
      </w:r>
      <w:r>
        <w:rPr>
          <w:rFonts w:hint="eastAsia" w:ascii="宋体" w:hAnsi="宋体" w:eastAsia="宋体" w:cs="宋体"/>
        </w:rPr>
        <w:t xml:space="preserve">七、 </w:t>
      </w:r>
      <w:r>
        <w:rPr>
          <w:rFonts w:hint="eastAsia"/>
        </w:rPr>
        <w:t>服务能力要求</w:t>
      </w:r>
      <w:r>
        <w:tab/>
      </w:r>
      <w:r>
        <w:fldChar w:fldCharType="begin"/>
      </w:r>
      <w:r>
        <w:instrText xml:space="preserve"> PAGEREF _Toc28870 \h </w:instrText>
      </w:r>
      <w:r>
        <w:fldChar w:fldCharType="separate"/>
      </w:r>
      <w:r>
        <w:t>90</w:t>
      </w:r>
      <w:r>
        <w:fldChar w:fldCharType="end"/>
      </w:r>
      <w:r>
        <w:fldChar w:fldCharType="end"/>
      </w:r>
    </w:p>
    <w:p>
      <w:pPr>
        <w:pStyle w:val="16"/>
        <w:tabs>
          <w:tab w:val="right" w:leader="dot" w:pos="9866"/>
          <w:tab w:val="clear" w:pos="0"/>
        </w:tabs>
      </w:pPr>
      <w:r>
        <w:fldChar w:fldCharType="begin"/>
      </w:r>
      <w:r>
        <w:instrText xml:space="preserve"> HYPERLINK \l _Toc12157 </w:instrText>
      </w:r>
      <w:r>
        <w:fldChar w:fldCharType="separate"/>
      </w:r>
      <w:r>
        <w:rPr>
          <w:rFonts w:hint="eastAsia" w:ascii="宋体" w:hAnsi="宋体" w:eastAsia="宋体" w:cs="宋体"/>
        </w:rPr>
        <w:t xml:space="preserve">(一) </w:t>
      </w:r>
      <w:r>
        <w:rPr>
          <w:rFonts w:hint="eastAsia"/>
        </w:rPr>
        <w:t>服务方案编制要求</w:t>
      </w:r>
      <w:r>
        <w:tab/>
      </w:r>
      <w:r>
        <w:fldChar w:fldCharType="begin"/>
      </w:r>
      <w:r>
        <w:instrText xml:space="preserve"> PAGEREF _Toc12157 \h </w:instrText>
      </w:r>
      <w:r>
        <w:fldChar w:fldCharType="separate"/>
      </w:r>
      <w:r>
        <w:t>90</w:t>
      </w:r>
      <w:r>
        <w:fldChar w:fldCharType="end"/>
      </w:r>
      <w:r>
        <w:fldChar w:fldCharType="end"/>
      </w:r>
    </w:p>
    <w:p>
      <w:pPr>
        <w:pStyle w:val="16"/>
        <w:tabs>
          <w:tab w:val="right" w:leader="dot" w:pos="9866"/>
          <w:tab w:val="clear" w:pos="0"/>
        </w:tabs>
      </w:pPr>
      <w:r>
        <w:fldChar w:fldCharType="begin"/>
      </w:r>
      <w:r>
        <w:instrText xml:space="preserve"> HYPERLINK \l _Toc7749 </w:instrText>
      </w:r>
      <w:r>
        <w:fldChar w:fldCharType="separate"/>
      </w:r>
      <w:r>
        <w:rPr>
          <w:rFonts w:hint="eastAsia" w:ascii="宋体" w:hAnsi="宋体" w:eastAsia="宋体" w:cs="宋体"/>
        </w:rPr>
        <w:t xml:space="preserve">(二) </w:t>
      </w:r>
      <w:r>
        <w:rPr>
          <w:rFonts w:hint="eastAsia"/>
        </w:rPr>
        <w:t>履约能力要求</w:t>
      </w:r>
      <w:r>
        <w:tab/>
      </w:r>
      <w:r>
        <w:fldChar w:fldCharType="begin"/>
      </w:r>
      <w:r>
        <w:instrText xml:space="preserve"> PAGEREF _Toc7749 \h </w:instrText>
      </w:r>
      <w:r>
        <w:fldChar w:fldCharType="separate"/>
      </w:r>
      <w:r>
        <w:t>90</w:t>
      </w:r>
      <w:r>
        <w:fldChar w:fldCharType="end"/>
      </w:r>
      <w:r>
        <w:fldChar w:fldCharType="end"/>
      </w:r>
    </w:p>
    <w:p>
      <w:pPr>
        <w:pStyle w:val="22"/>
        <w:tabs>
          <w:tab w:val="right" w:leader="dot" w:pos="9866"/>
          <w:tab w:val="clear" w:pos="0"/>
        </w:tabs>
      </w:pPr>
      <w:r>
        <w:fldChar w:fldCharType="begin"/>
      </w:r>
      <w:r>
        <w:instrText xml:space="preserve"> HYPERLINK \l _Toc28378 </w:instrText>
      </w:r>
      <w:r>
        <w:fldChar w:fldCharType="separate"/>
      </w:r>
      <w:r>
        <w:rPr>
          <w:rFonts w:hint="eastAsia" w:ascii="宋体" w:hAnsi="宋体" w:eastAsia="宋体" w:cs="宋体"/>
        </w:rPr>
        <w:t xml:space="preserve">八、 </w:t>
      </w:r>
      <w:r>
        <w:rPr>
          <w:rFonts w:hint="eastAsia"/>
        </w:rPr>
        <w:t>※商务要求</w:t>
      </w:r>
      <w:r>
        <w:tab/>
      </w:r>
      <w:r>
        <w:fldChar w:fldCharType="begin"/>
      </w:r>
      <w:r>
        <w:instrText xml:space="preserve"> PAGEREF _Toc28378 \h </w:instrText>
      </w:r>
      <w:r>
        <w:fldChar w:fldCharType="separate"/>
      </w:r>
      <w:r>
        <w:t>90</w:t>
      </w:r>
      <w:r>
        <w:fldChar w:fldCharType="end"/>
      </w:r>
      <w:r>
        <w:fldChar w:fldCharType="end"/>
      </w:r>
    </w:p>
    <w:p>
      <w:pPr>
        <w:pStyle w:val="16"/>
        <w:tabs>
          <w:tab w:val="right" w:leader="dot" w:pos="9866"/>
          <w:tab w:val="clear" w:pos="0"/>
        </w:tabs>
      </w:pPr>
      <w:r>
        <w:fldChar w:fldCharType="begin"/>
      </w:r>
      <w:r>
        <w:instrText xml:space="preserve"> HYPERLINK \l _Toc3396 </w:instrText>
      </w:r>
      <w:r>
        <w:fldChar w:fldCharType="separate"/>
      </w:r>
      <w:r>
        <w:rPr>
          <w:rFonts w:hint="eastAsia" w:ascii="宋体" w:hAnsi="宋体" w:eastAsia="宋体" w:cs="宋体"/>
        </w:rPr>
        <w:t xml:space="preserve">(一) </w:t>
      </w:r>
      <w:r>
        <w:rPr>
          <w:rFonts w:hint="eastAsia"/>
        </w:rPr>
        <w:t>履约时间和地点</w:t>
      </w:r>
      <w:r>
        <w:tab/>
      </w:r>
      <w:r>
        <w:fldChar w:fldCharType="begin"/>
      </w:r>
      <w:r>
        <w:instrText xml:space="preserve"> PAGEREF _Toc3396 \h </w:instrText>
      </w:r>
      <w:r>
        <w:fldChar w:fldCharType="separate"/>
      </w:r>
      <w:r>
        <w:t>90</w:t>
      </w:r>
      <w:r>
        <w:fldChar w:fldCharType="end"/>
      </w:r>
      <w:r>
        <w:fldChar w:fldCharType="end"/>
      </w:r>
    </w:p>
    <w:p>
      <w:pPr>
        <w:pStyle w:val="16"/>
        <w:tabs>
          <w:tab w:val="right" w:leader="dot" w:pos="9866"/>
          <w:tab w:val="clear" w:pos="0"/>
        </w:tabs>
      </w:pPr>
      <w:r>
        <w:fldChar w:fldCharType="begin"/>
      </w:r>
      <w:r>
        <w:instrText xml:space="preserve"> HYPERLINK \l _Toc3258 </w:instrText>
      </w:r>
      <w:r>
        <w:fldChar w:fldCharType="separate"/>
      </w:r>
      <w:r>
        <w:rPr>
          <w:rFonts w:hint="eastAsia" w:ascii="宋体" w:hAnsi="宋体" w:eastAsia="宋体" w:cs="宋体"/>
        </w:rPr>
        <w:t xml:space="preserve">(二) </w:t>
      </w:r>
      <w:r>
        <w:rPr>
          <w:rFonts w:hint="eastAsia"/>
        </w:rPr>
        <w:t>合同价款</w:t>
      </w:r>
      <w:r>
        <w:tab/>
      </w:r>
      <w:r>
        <w:fldChar w:fldCharType="begin"/>
      </w:r>
      <w:r>
        <w:instrText xml:space="preserve"> PAGEREF _Toc3258 \h </w:instrText>
      </w:r>
      <w:r>
        <w:fldChar w:fldCharType="separate"/>
      </w:r>
      <w:r>
        <w:t>90</w:t>
      </w:r>
      <w:r>
        <w:fldChar w:fldCharType="end"/>
      </w:r>
      <w:r>
        <w:fldChar w:fldCharType="end"/>
      </w:r>
    </w:p>
    <w:p>
      <w:pPr>
        <w:pStyle w:val="16"/>
        <w:tabs>
          <w:tab w:val="right" w:leader="dot" w:pos="9866"/>
          <w:tab w:val="clear" w:pos="0"/>
        </w:tabs>
      </w:pPr>
      <w:r>
        <w:fldChar w:fldCharType="begin"/>
      </w:r>
      <w:r>
        <w:instrText xml:space="preserve"> HYPERLINK \l _Toc7336 </w:instrText>
      </w:r>
      <w:r>
        <w:fldChar w:fldCharType="separate"/>
      </w:r>
      <w:r>
        <w:rPr>
          <w:rFonts w:hint="eastAsia" w:ascii="宋体" w:hAnsi="宋体" w:eastAsia="宋体" w:cs="宋体"/>
        </w:rPr>
        <w:t xml:space="preserve">(三) </w:t>
      </w:r>
      <w:r>
        <w:rPr>
          <w:rFonts w:hint="eastAsia"/>
        </w:rPr>
        <w:t>付款方式</w:t>
      </w:r>
      <w:r>
        <w:tab/>
      </w:r>
      <w:r>
        <w:fldChar w:fldCharType="begin"/>
      </w:r>
      <w:r>
        <w:instrText xml:space="preserve"> PAGEREF _Toc7336 \h </w:instrText>
      </w:r>
      <w:r>
        <w:fldChar w:fldCharType="separate"/>
      </w:r>
      <w:r>
        <w:t>90</w:t>
      </w:r>
      <w:r>
        <w:fldChar w:fldCharType="end"/>
      </w:r>
      <w:r>
        <w:fldChar w:fldCharType="end"/>
      </w:r>
    </w:p>
    <w:p>
      <w:pPr>
        <w:pStyle w:val="16"/>
        <w:tabs>
          <w:tab w:val="right" w:leader="dot" w:pos="9866"/>
          <w:tab w:val="clear" w:pos="0"/>
        </w:tabs>
      </w:pPr>
      <w:r>
        <w:fldChar w:fldCharType="begin"/>
      </w:r>
      <w:r>
        <w:instrText xml:space="preserve"> HYPERLINK \l _Toc9883 </w:instrText>
      </w:r>
      <w:r>
        <w:fldChar w:fldCharType="separate"/>
      </w:r>
      <w:r>
        <w:rPr>
          <w:rFonts w:hint="eastAsia" w:ascii="宋体" w:hAnsi="宋体" w:eastAsia="宋体" w:cs="宋体"/>
        </w:rPr>
        <w:t xml:space="preserve">(四) </w:t>
      </w:r>
      <w:r>
        <w:rPr>
          <w:rFonts w:hint="eastAsia"/>
        </w:rPr>
        <w:t>违约责任</w:t>
      </w:r>
      <w:r>
        <w:tab/>
      </w:r>
      <w:r>
        <w:fldChar w:fldCharType="begin"/>
      </w:r>
      <w:r>
        <w:instrText xml:space="preserve"> PAGEREF _Toc9883 \h </w:instrText>
      </w:r>
      <w:r>
        <w:fldChar w:fldCharType="separate"/>
      </w:r>
      <w:r>
        <w:t>91</w:t>
      </w:r>
      <w:r>
        <w:fldChar w:fldCharType="end"/>
      </w:r>
      <w:r>
        <w:fldChar w:fldCharType="end"/>
      </w:r>
    </w:p>
    <w:p>
      <w:pPr>
        <w:pStyle w:val="16"/>
        <w:tabs>
          <w:tab w:val="right" w:leader="dot" w:pos="9866"/>
          <w:tab w:val="clear" w:pos="0"/>
        </w:tabs>
      </w:pPr>
      <w:r>
        <w:fldChar w:fldCharType="begin"/>
      </w:r>
      <w:r>
        <w:instrText xml:space="preserve"> HYPERLINK \l _Toc28029 </w:instrText>
      </w:r>
      <w:r>
        <w:fldChar w:fldCharType="separate"/>
      </w:r>
      <w:r>
        <w:rPr>
          <w:rFonts w:hint="eastAsia" w:ascii="宋体" w:hAnsi="宋体" w:eastAsia="宋体" w:cs="宋体"/>
        </w:rPr>
        <w:t xml:space="preserve">(五) </w:t>
      </w:r>
      <w:r>
        <w:rPr>
          <w:rFonts w:hint="eastAsia"/>
        </w:rPr>
        <w:t>解决争议的方法</w:t>
      </w:r>
      <w:r>
        <w:tab/>
      </w:r>
      <w:r>
        <w:fldChar w:fldCharType="begin"/>
      </w:r>
      <w:r>
        <w:instrText xml:space="preserve"> PAGEREF _Toc28029 \h </w:instrText>
      </w:r>
      <w:r>
        <w:fldChar w:fldCharType="separate"/>
      </w:r>
      <w:r>
        <w:t>91</w:t>
      </w:r>
      <w:r>
        <w:fldChar w:fldCharType="end"/>
      </w:r>
      <w:r>
        <w:fldChar w:fldCharType="end"/>
      </w:r>
    </w:p>
    <w:p>
      <w:pPr>
        <w:pStyle w:val="16"/>
        <w:tabs>
          <w:tab w:val="right" w:leader="dot" w:pos="9866"/>
          <w:tab w:val="clear" w:pos="0"/>
        </w:tabs>
      </w:pPr>
      <w:r>
        <w:fldChar w:fldCharType="begin"/>
      </w:r>
      <w:r>
        <w:instrText xml:space="preserve"> HYPERLINK \l _Toc29905 </w:instrText>
      </w:r>
      <w:r>
        <w:fldChar w:fldCharType="separate"/>
      </w:r>
      <w:r>
        <w:rPr>
          <w:rFonts w:hint="eastAsia" w:ascii="宋体" w:hAnsi="宋体" w:eastAsia="宋体" w:cs="宋体"/>
        </w:rPr>
        <w:t xml:space="preserve">(六) </w:t>
      </w:r>
      <w:r>
        <w:rPr>
          <w:rFonts w:hint="eastAsia"/>
        </w:rPr>
        <w:t>验收方法和标准</w:t>
      </w:r>
      <w:r>
        <w:tab/>
      </w:r>
      <w:r>
        <w:fldChar w:fldCharType="begin"/>
      </w:r>
      <w:r>
        <w:instrText xml:space="preserve"> PAGEREF _Toc29905 \h </w:instrText>
      </w:r>
      <w:r>
        <w:fldChar w:fldCharType="separate"/>
      </w:r>
      <w:r>
        <w:t>91</w:t>
      </w:r>
      <w:r>
        <w:fldChar w:fldCharType="end"/>
      </w:r>
      <w:r>
        <w:fldChar w:fldCharType="end"/>
      </w:r>
    </w:p>
    <w:p>
      <w:pPr>
        <w:pStyle w:val="16"/>
        <w:tabs>
          <w:tab w:val="right" w:leader="dot" w:pos="9866"/>
          <w:tab w:val="clear" w:pos="0"/>
        </w:tabs>
      </w:pPr>
      <w:r>
        <w:fldChar w:fldCharType="begin"/>
      </w:r>
      <w:r>
        <w:instrText xml:space="preserve"> HYPERLINK \l _Toc27738 </w:instrText>
      </w:r>
      <w:r>
        <w:fldChar w:fldCharType="separate"/>
      </w:r>
      <w:r>
        <w:rPr>
          <w:rFonts w:hint="eastAsia" w:ascii="宋体" w:hAnsi="宋体" w:eastAsia="宋体" w:cs="宋体"/>
        </w:rPr>
        <w:t xml:space="preserve">(七) </w:t>
      </w:r>
      <w:r>
        <w:rPr>
          <w:rFonts w:hint="eastAsia"/>
        </w:rPr>
        <w:t>其他要求</w:t>
      </w:r>
      <w:r>
        <w:tab/>
      </w:r>
      <w:r>
        <w:fldChar w:fldCharType="begin"/>
      </w:r>
      <w:r>
        <w:instrText xml:space="preserve"> PAGEREF _Toc27738 \h </w:instrText>
      </w:r>
      <w:r>
        <w:fldChar w:fldCharType="separate"/>
      </w:r>
      <w:r>
        <w:t>92</w:t>
      </w:r>
      <w:r>
        <w:fldChar w:fldCharType="end"/>
      </w:r>
      <w:r>
        <w:fldChar w:fldCharType="end"/>
      </w:r>
    </w:p>
    <w:p>
      <w:pPr>
        <w:pStyle w:val="21"/>
        <w:tabs>
          <w:tab w:val="right" w:leader="dot" w:pos="9866"/>
          <w:tab w:val="clear" w:pos="0"/>
          <w:tab w:val="clear" w:pos="9746"/>
        </w:tabs>
      </w:pPr>
      <w:r>
        <w:fldChar w:fldCharType="begin"/>
      </w:r>
      <w:r>
        <w:instrText xml:space="preserve"> HYPERLINK \l _Toc14565 </w:instrText>
      </w:r>
      <w:r>
        <w:fldChar w:fldCharType="separate"/>
      </w:r>
      <w:r>
        <w:rPr>
          <w:rFonts w:hint="eastAsia" w:ascii="宋体" w:hAnsi="宋体" w:eastAsia="宋体" w:cs="宋体"/>
        </w:rPr>
        <w:t xml:space="preserve">第七章 </w:t>
      </w:r>
      <w:r>
        <w:rPr>
          <w:rFonts w:hint="eastAsia"/>
        </w:rPr>
        <w:t>评标办法</w:t>
      </w:r>
      <w:r>
        <w:tab/>
      </w:r>
      <w:r>
        <w:fldChar w:fldCharType="begin"/>
      </w:r>
      <w:r>
        <w:instrText xml:space="preserve"> PAGEREF _Toc14565 \h </w:instrText>
      </w:r>
      <w:r>
        <w:fldChar w:fldCharType="separate"/>
      </w:r>
      <w:r>
        <w:t>93</w:t>
      </w:r>
      <w:r>
        <w:fldChar w:fldCharType="end"/>
      </w:r>
      <w:r>
        <w:fldChar w:fldCharType="end"/>
      </w:r>
    </w:p>
    <w:p>
      <w:pPr>
        <w:pStyle w:val="22"/>
        <w:tabs>
          <w:tab w:val="right" w:leader="dot" w:pos="9866"/>
          <w:tab w:val="clear" w:pos="0"/>
        </w:tabs>
      </w:pPr>
      <w:r>
        <w:fldChar w:fldCharType="begin"/>
      </w:r>
      <w:r>
        <w:instrText xml:space="preserve"> HYPERLINK \l _Toc26305 </w:instrText>
      </w:r>
      <w:r>
        <w:fldChar w:fldCharType="separate"/>
      </w:r>
      <w:r>
        <w:rPr>
          <w:rFonts w:hint="eastAsia" w:ascii="宋体" w:hAnsi="宋体" w:eastAsia="宋体" w:cs="宋体"/>
        </w:rPr>
        <w:t xml:space="preserve">一、 </w:t>
      </w:r>
      <w:r>
        <w:rPr>
          <w:rFonts w:hint="eastAsia"/>
        </w:rPr>
        <w:t>总则</w:t>
      </w:r>
      <w:r>
        <w:tab/>
      </w:r>
      <w:r>
        <w:fldChar w:fldCharType="begin"/>
      </w:r>
      <w:r>
        <w:instrText xml:space="preserve"> PAGEREF _Toc26305 \h </w:instrText>
      </w:r>
      <w:r>
        <w:fldChar w:fldCharType="separate"/>
      </w:r>
      <w:r>
        <w:t>93</w:t>
      </w:r>
      <w:r>
        <w:fldChar w:fldCharType="end"/>
      </w:r>
      <w:r>
        <w:fldChar w:fldCharType="end"/>
      </w:r>
    </w:p>
    <w:p>
      <w:pPr>
        <w:pStyle w:val="22"/>
        <w:tabs>
          <w:tab w:val="right" w:leader="dot" w:pos="9866"/>
          <w:tab w:val="clear" w:pos="0"/>
        </w:tabs>
      </w:pPr>
      <w:r>
        <w:fldChar w:fldCharType="begin"/>
      </w:r>
      <w:r>
        <w:instrText xml:space="preserve"> HYPERLINK \l _Toc23526 </w:instrText>
      </w:r>
      <w:r>
        <w:fldChar w:fldCharType="separate"/>
      </w:r>
      <w:r>
        <w:rPr>
          <w:rFonts w:hint="eastAsia" w:ascii="宋体" w:hAnsi="宋体" w:eastAsia="宋体" w:cs="宋体"/>
        </w:rPr>
        <w:t xml:space="preserve">二、 </w:t>
      </w:r>
      <w:r>
        <w:rPr>
          <w:rFonts w:hint="eastAsia"/>
        </w:rPr>
        <w:t>评标方法</w:t>
      </w:r>
      <w:r>
        <w:tab/>
      </w:r>
      <w:r>
        <w:fldChar w:fldCharType="begin"/>
      </w:r>
      <w:r>
        <w:instrText xml:space="preserve"> PAGEREF _Toc23526 \h </w:instrText>
      </w:r>
      <w:r>
        <w:fldChar w:fldCharType="separate"/>
      </w:r>
      <w:r>
        <w:t>93</w:t>
      </w:r>
      <w:r>
        <w:fldChar w:fldCharType="end"/>
      </w:r>
      <w:r>
        <w:fldChar w:fldCharType="end"/>
      </w:r>
    </w:p>
    <w:p>
      <w:pPr>
        <w:pStyle w:val="22"/>
        <w:tabs>
          <w:tab w:val="right" w:leader="dot" w:pos="9866"/>
          <w:tab w:val="clear" w:pos="0"/>
        </w:tabs>
      </w:pPr>
      <w:r>
        <w:fldChar w:fldCharType="begin"/>
      </w:r>
      <w:r>
        <w:instrText xml:space="preserve"> HYPERLINK \l _Toc5303 </w:instrText>
      </w:r>
      <w:r>
        <w:fldChar w:fldCharType="separate"/>
      </w:r>
      <w:r>
        <w:rPr>
          <w:rFonts w:hint="eastAsia" w:ascii="宋体" w:hAnsi="宋体" w:eastAsia="宋体" w:cs="宋体"/>
        </w:rPr>
        <w:t xml:space="preserve">三、 </w:t>
      </w:r>
      <w:r>
        <w:rPr>
          <w:rFonts w:hint="eastAsia"/>
        </w:rPr>
        <w:t>评标程序</w:t>
      </w:r>
      <w:r>
        <w:tab/>
      </w:r>
      <w:r>
        <w:fldChar w:fldCharType="begin"/>
      </w:r>
      <w:r>
        <w:instrText xml:space="preserve"> PAGEREF _Toc5303 \h </w:instrText>
      </w:r>
      <w:r>
        <w:fldChar w:fldCharType="separate"/>
      </w:r>
      <w:r>
        <w:t>93</w:t>
      </w:r>
      <w:r>
        <w:fldChar w:fldCharType="end"/>
      </w:r>
      <w:r>
        <w:fldChar w:fldCharType="end"/>
      </w:r>
    </w:p>
    <w:p>
      <w:pPr>
        <w:pStyle w:val="22"/>
        <w:tabs>
          <w:tab w:val="right" w:leader="dot" w:pos="9866"/>
          <w:tab w:val="clear" w:pos="0"/>
        </w:tabs>
      </w:pPr>
      <w:r>
        <w:fldChar w:fldCharType="begin"/>
      </w:r>
      <w:r>
        <w:instrText xml:space="preserve"> HYPERLINK \l _Toc9266 </w:instrText>
      </w:r>
      <w:r>
        <w:fldChar w:fldCharType="separate"/>
      </w:r>
      <w:r>
        <w:rPr>
          <w:rFonts w:hint="eastAsia" w:ascii="宋体" w:hAnsi="宋体" w:eastAsia="宋体" w:cs="宋体"/>
        </w:rPr>
        <w:t xml:space="preserve">四、 </w:t>
      </w:r>
      <w:r>
        <w:rPr>
          <w:rFonts w:hint="eastAsia"/>
        </w:rPr>
        <w:t>评标细则及标准</w:t>
      </w:r>
      <w:r>
        <w:tab/>
      </w:r>
      <w:r>
        <w:fldChar w:fldCharType="begin"/>
      </w:r>
      <w:r>
        <w:instrText xml:space="preserve"> PAGEREF _Toc9266 \h </w:instrText>
      </w:r>
      <w:r>
        <w:fldChar w:fldCharType="separate"/>
      </w:r>
      <w:r>
        <w:t>96</w:t>
      </w:r>
      <w:r>
        <w:fldChar w:fldCharType="end"/>
      </w:r>
      <w:r>
        <w:fldChar w:fldCharType="end"/>
      </w:r>
    </w:p>
    <w:p>
      <w:pPr>
        <w:pStyle w:val="22"/>
        <w:tabs>
          <w:tab w:val="right" w:leader="dot" w:pos="9866"/>
          <w:tab w:val="clear" w:pos="0"/>
        </w:tabs>
      </w:pPr>
      <w:r>
        <w:fldChar w:fldCharType="begin"/>
      </w:r>
      <w:r>
        <w:instrText xml:space="preserve"> HYPERLINK \l _Toc32746 </w:instrText>
      </w:r>
      <w:r>
        <w:fldChar w:fldCharType="separate"/>
      </w:r>
      <w:r>
        <w:rPr>
          <w:rFonts w:hint="eastAsia" w:cs="宋体"/>
          <w:bCs/>
        </w:rPr>
        <w:t>第一包</w:t>
      </w:r>
      <w:r>
        <w:rPr>
          <w:rFonts w:hint="eastAsia" w:cs="宋体"/>
          <w:bCs/>
          <w:lang w:eastAsia="zh-CN"/>
        </w:rPr>
        <w:t>、第二包、第三包</w:t>
      </w:r>
      <w:r>
        <w:rPr>
          <w:rFonts w:hint="eastAsia" w:cs="宋体"/>
          <w:bCs/>
        </w:rPr>
        <w:t>：</w:t>
      </w:r>
      <w:r>
        <w:tab/>
      </w:r>
      <w:r>
        <w:fldChar w:fldCharType="begin"/>
      </w:r>
      <w:r>
        <w:instrText xml:space="preserve"> PAGEREF _Toc32746 \h </w:instrText>
      </w:r>
      <w:r>
        <w:fldChar w:fldCharType="separate"/>
      </w:r>
      <w:r>
        <w:t>97</w:t>
      </w:r>
      <w:r>
        <w:fldChar w:fldCharType="end"/>
      </w:r>
      <w:r>
        <w:fldChar w:fldCharType="end"/>
      </w:r>
    </w:p>
    <w:p>
      <w:pPr>
        <w:pStyle w:val="22"/>
        <w:tabs>
          <w:tab w:val="right" w:leader="dot" w:pos="9866"/>
          <w:tab w:val="clear" w:pos="0"/>
        </w:tabs>
      </w:pPr>
      <w:r>
        <w:fldChar w:fldCharType="begin"/>
      </w:r>
      <w:r>
        <w:instrText xml:space="preserve"> HYPERLINK \l _Toc26234 </w:instrText>
      </w:r>
      <w:r>
        <w:fldChar w:fldCharType="separate"/>
      </w:r>
      <w:r>
        <w:rPr>
          <w:rFonts w:hint="eastAsia" w:cs="宋体"/>
          <w:bCs/>
        </w:rPr>
        <w:t>第</w:t>
      </w:r>
      <w:r>
        <w:rPr>
          <w:rFonts w:hint="eastAsia" w:cs="宋体"/>
          <w:bCs/>
          <w:lang w:eastAsia="zh-CN"/>
        </w:rPr>
        <w:t>四</w:t>
      </w:r>
      <w:r>
        <w:rPr>
          <w:rFonts w:hint="eastAsia" w:cs="宋体"/>
          <w:bCs/>
        </w:rPr>
        <w:t>包：</w:t>
      </w:r>
      <w:r>
        <w:tab/>
      </w:r>
      <w:r>
        <w:fldChar w:fldCharType="begin"/>
      </w:r>
      <w:r>
        <w:instrText xml:space="preserve"> PAGEREF _Toc26234 \h </w:instrText>
      </w:r>
      <w:r>
        <w:fldChar w:fldCharType="separate"/>
      </w:r>
      <w:r>
        <w:t>97</w:t>
      </w:r>
      <w:r>
        <w:fldChar w:fldCharType="end"/>
      </w:r>
      <w:r>
        <w:fldChar w:fldCharType="end"/>
      </w:r>
    </w:p>
    <w:p>
      <w:pPr>
        <w:pStyle w:val="22"/>
        <w:tabs>
          <w:tab w:val="right" w:leader="dot" w:pos="9866"/>
          <w:tab w:val="clear" w:pos="0"/>
        </w:tabs>
      </w:pPr>
      <w:r>
        <w:fldChar w:fldCharType="begin"/>
      </w:r>
      <w:r>
        <w:instrText xml:space="preserve"> HYPERLINK \l _Toc15635 </w:instrText>
      </w:r>
      <w:r>
        <w:fldChar w:fldCharType="separate"/>
      </w:r>
      <w:r>
        <w:rPr>
          <w:rFonts w:hint="eastAsia" w:cs="宋体"/>
          <w:bCs/>
        </w:rPr>
        <w:t>第</w:t>
      </w:r>
      <w:r>
        <w:rPr>
          <w:rFonts w:hint="eastAsia" w:cs="宋体"/>
          <w:bCs/>
          <w:lang w:eastAsia="zh-CN"/>
        </w:rPr>
        <w:t>五</w:t>
      </w:r>
      <w:r>
        <w:rPr>
          <w:rFonts w:hint="eastAsia" w:cs="宋体"/>
          <w:bCs/>
        </w:rPr>
        <w:t>包：</w:t>
      </w:r>
      <w:r>
        <w:tab/>
      </w:r>
      <w:r>
        <w:fldChar w:fldCharType="begin"/>
      </w:r>
      <w:r>
        <w:instrText xml:space="preserve"> PAGEREF _Toc15635 \h </w:instrText>
      </w:r>
      <w:r>
        <w:fldChar w:fldCharType="separate"/>
      </w:r>
      <w:r>
        <w:t>99</w:t>
      </w:r>
      <w:r>
        <w:fldChar w:fldCharType="end"/>
      </w:r>
      <w:r>
        <w:fldChar w:fldCharType="end"/>
      </w:r>
    </w:p>
    <w:p>
      <w:pPr>
        <w:pStyle w:val="22"/>
        <w:tabs>
          <w:tab w:val="right" w:leader="dot" w:pos="9866"/>
          <w:tab w:val="clear" w:pos="0"/>
        </w:tabs>
      </w:pPr>
      <w:r>
        <w:fldChar w:fldCharType="begin"/>
      </w:r>
      <w:r>
        <w:instrText xml:space="preserve"> HYPERLINK \l _Toc29722 </w:instrText>
      </w:r>
      <w:r>
        <w:fldChar w:fldCharType="separate"/>
      </w:r>
      <w:r>
        <w:rPr>
          <w:rFonts w:hint="eastAsia" w:ascii="宋体" w:hAnsi="宋体" w:eastAsia="宋体" w:cs="宋体"/>
        </w:rPr>
        <w:t xml:space="preserve">五、 </w:t>
      </w:r>
      <w:r>
        <w:rPr>
          <w:rFonts w:hint="eastAsia"/>
        </w:rPr>
        <w:t>复核</w:t>
      </w:r>
      <w:r>
        <w:tab/>
      </w:r>
      <w:r>
        <w:fldChar w:fldCharType="begin"/>
      </w:r>
      <w:r>
        <w:instrText xml:space="preserve"> PAGEREF _Toc29722 \h </w:instrText>
      </w:r>
      <w:r>
        <w:fldChar w:fldCharType="separate"/>
      </w:r>
      <w:r>
        <w:t>103</w:t>
      </w:r>
      <w:r>
        <w:fldChar w:fldCharType="end"/>
      </w:r>
      <w:r>
        <w:fldChar w:fldCharType="end"/>
      </w:r>
    </w:p>
    <w:p>
      <w:pPr>
        <w:pStyle w:val="22"/>
        <w:tabs>
          <w:tab w:val="right" w:leader="dot" w:pos="9866"/>
          <w:tab w:val="clear" w:pos="0"/>
        </w:tabs>
      </w:pPr>
      <w:r>
        <w:fldChar w:fldCharType="begin"/>
      </w:r>
      <w:r>
        <w:instrText xml:space="preserve"> HYPERLINK \l _Toc20867 </w:instrText>
      </w:r>
      <w:r>
        <w:fldChar w:fldCharType="separate"/>
      </w:r>
      <w:r>
        <w:rPr>
          <w:rFonts w:hint="eastAsia" w:ascii="宋体" w:hAnsi="宋体" w:eastAsia="宋体" w:cs="宋体"/>
        </w:rPr>
        <w:t xml:space="preserve">六、 </w:t>
      </w:r>
      <w:r>
        <w:rPr>
          <w:rFonts w:hint="eastAsia"/>
        </w:rPr>
        <w:t>推荐中标候选供应商</w:t>
      </w:r>
      <w:r>
        <w:tab/>
      </w:r>
      <w:r>
        <w:fldChar w:fldCharType="begin"/>
      </w:r>
      <w:r>
        <w:instrText xml:space="preserve"> PAGEREF _Toc20867 \h </w:instrText>
      </w:r>
      <w:r>
        <w:fldChar w:fldCharType="separate"/>
      </w:r>
      <w:r>
        <w:t>104</w:t>
      </w:r>
      <w:r>
        <w:fldChar w:fldCharType="end"/>
      </w:r>
      <w:r>
        <w:fldChar w:fldCharType="end"/>
      </w:r>
    </w:p>
    <w:p>
      <w:pPr>
        <w:pStyle w:val="22"/>
        <w:tabs>
          <w:tab w:val="right" w:leader="dot" w:pos="9866"/>
          <w:tab w:val="clear" w:pos="0"/>
        </w:tabs>
      </w:pPr>
      <w:r>
        <w:fldChar w:fldCharType="begin"/>
      </w:r>
      <w:r>
        <w:instrText xml:space="preserve"> HYPERLINK \l _Toc22776 </w:instrText>
      </w:r>
      <w:r>
        <w:fldChar w:fldCharType="separate"/>
      </w:r>
      <w:r>
        <w:rPr>
          <w:rFonts w:hint="eastAsia" w:ascii="宋体" w:hAnsi="宋体" w:eastAsia="宋体" w:cs="宋体"/>
        </w:rPr>
        <w:t xml:space="preserve">七、 </w:t>
      </w:r>
      <w:r>
        <w:rPr>
          <w:rFonts w:hint="eastAsia"/>
        </w:rPr>
        <w:t>出具评标报告</w:t>
      </w:r>
      <w:r>
        <w:tab/>
      </w:r>
      <w:r>
        <w:fldChar w:fldCharType="begin"/>
      </w:r>
      <w:r>
        <w:instrText xml:space="preserve"> PAGEREF _Toc22776 \h </w:instrText>
      </w:r>
      <w:r>
        <w:fldChar w:fldCharType="separate"/>
      </w:r>
      <w:r>
        <w:t>104</w:t>
      </w:r>
      <w:r>
        <w:fldChar w:fldCharType="end"/>
      </w:r>
      <w:r>
        <w:fldChar w:fldCharType="end"/>
      </w:r>
    </w:p>
    <w:p>
      <w:pPr>
        <w:pStyle w:val="22"/>
        <w:tabs>
          <w:tab w:val="right" w:leader="dot" w:pos="9866"/>
          <w:tab w:val="clear" w:pos="0"/>
        </w:tabs>
      </w:pPr>
      <w:r>
        <w:fldChar w:fldCharType="begin"/>
      </w:r>
      <w:r>
        <w:instrText xml:space="preserve"> HYPERLINK \l _Toc11770 </w:instrText>
      </w:r>
      <w:r>
        <w:fldChar w:fldCharType="separate"/>
      </w:r>
      <w:r>
        <w:rPr>
          <w:rFonts w:hint="eastAsia" w:ascii="宋体" w:hAnsi="宋体" w:eastAsia="宋体" w:cs="宋体"/>
        </w:rPr>
        <w:t xml:space="preserve">八、 </w:t>
      </w:r>
      <w:r>
        <w:rPr>
          <w:rFonts w:hint="eastAsia"/>
        </w:rPr>
        <w:t>废标</w:t>
      </w:r>
      <w:r>
        <w:tab/>
      </w:r>
      <w:r>
        <w:fldChar w:fldCharType="begin"/>
      </w:r>
      <w:r>
        <w:instrText xml:space="preserve"> PAGEREF _Toc11770 \h </w:instrText>
      </w:r>
      <w:r>
        <w:fldChar w:fldCharType="separate"/>
      </w:r>
      <w:r>
        <w:t>104</w:t>
      </w:r>
      <w:r>
        <w:fldChar w:fldCharType="end"/>
      </w:r>
      <w:r>
        <w:fldChar w:fldCharType="end"/>
      </w:r>
    </w:p>
    <w:p>
      <w:pPr>
        <w:pStyle w:val="22"/>
        <w:tabs>
          <w:tab w:val="right" w:leader="dot" w:pos="9866"/>
          <w:tab w:val="clear" w:pos="0"/>
        </w:tabs>
      </w:pPr>
      <w:r>
        <w:fldChar w:fldCharType="begin"/>
      </w:r>
      <w:r>
        <w:instrText xml:space="preserve"> HYPERLINK \l _Toc19842 </w:instrText>
      </w:r>
      <w:r>
        <w:fldChar w:fldCharType="separate"/>
      </w:r>
      <w:r>
        <w:rPr>
          <w:rFonts w:hint="eastAsia" w:ascii="宋体" w:hAnsi="宋体" w:eastAsia="宋体" w:cs="宋体"/>
        </w:rPr>
        <w:t xml:space="preserve">九、 </w:t>
      </w:r>
      <w:r>
        <w:rPr>
          <w:rFonts w:hint="eastAsia"/>
        </w:rPr>
        <w:t>定标</w:t>
      </w:r>
      <w:r>
        <w:tab/>
      </w:r>
      <w:r>
        <w:fldChar w:fldCharType="begin"/>
      </w:r>
      <w:r>
        <w:instrText xml:space="preserve"> PAGEREF _Toc19842 \h </w:instrText>
      </w:r>
      <w:r>
        <w:fldChar w:fldCharType="separate"/>
      </w:r>
      <w:r>
        <w:t>104</w:t>
      </w:r>
      <w:r>
        <w:fldChar w:fldCharType="end"/>
      </w:r>
      <w:r>
        <w:fldChar w:fldCharType="end"/>
      </w:r>
    </w:p>
    <w:p>
      <w:pPr>
        <w:pStyle w:val="22"/>
        <w:tabs>
          <w:tab w:val="right" w:leader="dot" w:pos="9866"/>
          <w:tab w:val="clear" w:pos="0"/>
        </w:tabs>
      </w:pPr>
      <w:r>
        <w:fldChar w:fldCharType="begin"/>
      </w:r>
      <w:r>
        <w:instrText xml:space="preserve"> HYPERLINK \l _Toc12592 </w:instrText>
      </w:r>
      <w:r>
        <w:fldChar w:fldCharType="separate"/>
      </w:r>
      <w:r>
        <w:rPr>
          <w:rFonts w:hint="eastAsia" w:ascii="宋体" w:hAnsi="宋体" w:eastAsia="宋体" w:cs="宋体"/>
        </w:rPr>
        <w:t xml:space="preserve">十、 </w:t>
      </w:r>
      <w:r>
        <w:rPr>
          <w:rFonts w:hint="eastAsia"/>
        </w:rPr>
        <w:t>评标专家在政府采购活动中承担以下义务</w:t>
      </w:r>
      <w:r>
        <w:tab/>
      </w:r>
      <w:r>
        <w:fldChar w:fldCharType="begin"/>
      </w:r>
      <w:r>
        <w:instrText xml:space="preserve"> PAGEREF _Toc12592 \h </w:instrText>
      </w:r>
      <w:r>
        <w:fldChar w:fldCharType="separate"/>
      </w:r>
      <w:r>
        <w:t>105</w:t>
      </w:r>
      <w:r>
        <w:fldChar w:fldCharType="end"/>
      </w:r>
      <w:r>
        <w:fldChar w:fldCharType="end"/>
      </w:r>
    </w:p>
    <w:p>
      <w:pPr>
        <w:pStyle w:val="22"/>
        <w:tabs>
          <w:tab w:val="right" w:leader="dot" w:pos="9866"/>
          <w:tab w:val="clear" w:pos="0"/>
        </w:tabs>
      </w:pPr>
      <w:r>
        <w:fldChar w:fldCharType="begin"/>
      </w:r>
      <w:r>
        <w:instrText xml:space="preserve"> HYPERLINK \l _Toc9610 </w:instrText>
      </w:r>
      <w:r>
        <w:fldChar w:fldCharType="separate"/>
      </w:r>
      <w:r>
        <w:rPr>
          <w:rFonts w:hint="eastAsia" w:ascii="宋体" w:hAnsi="宋体" w:eastAsia="宋体" w:cs="宋体"/>
        </w:rPr>
        <w:t xml:space="preserve">十一、 </w:t>
      </w:r>
      <w:r>
        <w:rPr>
          <w:rFonts w:hint="eastAsia"/>
        </w:rPr>
        <w:t>评标专家在政府采购活动中应当遵守以下工作纪律</w:t>
      </w:r>
      <w:r>
        <w:tab/>
      </w:r>
      <w:r>
        <w:fldChar w:fldCharType="begin"/>
      </w:r>
      <w:r>
        <w:instrText xml:space="preserve"> PAGEREF _Toc9610 \h </w:instrText>
      </w:r>
      <w:r>
        <w:fldChar w:fldCharType="separate"/>
      </w:r>
      <w:r>
        <w:t>105</w:t>
      </w:r>
      <w:r>
        <w:fldChar w:fldCharType="end"/>
      </w:r>
      <w:r>
        <w:fldChar w:fldCharType="end"/>
      </w:r>
    </w:p>
    <w:p>
      <w:pPr>
        <w:pStyle w:val="22"/>
        <w:tabs>
          <w:tab w:val="right" w:leader="dot" w:pos="9866"/>
          <w:tab w:val="clear" w:pos="0"/>
        </w:tabs>
      </w:pPr>
      <w:r>
        <w:fldChar w:fldCharType="begin"/>
      </w:r>
      <w:r>
        <w:instrText xml:space="preserve"> HYPERLINK \l _Toc30652 </w:instrText>
      </w:r>
      <w:r>
        <w:fldChar w:fldCharType="separate"/>
      </w:r>
      <w:r>
        <w:rPr>
          <w:rFonts w:hint="eastAsia" w:ascii="宋体" w:hAnsi="宋体" w:eastAsia="宋体" w:cs="宋体"/>
        </w:rPr>
        <w:t xml:space="preserve">十二、 </w:t>
      </w:r>
      <w:r>
        <w:rPr>
          <w:rFonts w:hint="eastAsia"/>
        </w:rPr>
        <w:t>评标委员会及其成员不得有下列行为</w:t>
      </w:r>
      <w:r>
        <w:tab/>
      </w:r>
      <w:r>
        <w:fldChar w:fldCharType="begin"/>
      </w:r>
      <w:r>
        <w:instrText xml:space="preserve"> PAGEREF _Toc30652 \h </w:instrText>
      </w:r>
      <w:r>
        <w:fldChar w:fldCharType="separate"/>
      </w:r>
      <w:r>
        <w:t>106</w:t>
      </w:r>
      <w:r>
        <w:fldChar w:fldCharType="end"/>
      </w:r>
      <w:r>
        <w:fldChar w:fldCharType="end"/>
      </w:r>
    </w:p>
    <w:p>
      <w:pPr>
        <w:pStyle w:val="22"/>
        <w:tabs>
          <w:tab w:val="right" w:leader="dot" w:pos="9866"/>
          <w:tab w:val="clear" w:pos="0"/>
        </w:tabs>
      </w:pPr>
      <w:r>
        <w:fldChar w:fldCharType="begin"/>
      </w:r>
      <w:r>
        <w:instrText xml:space="preserve"> HYPERLINK \l _Toc2832 </w:instrText>
      </w:r>
      <w:r>
        <w:fldChar w:fldCharType="separate"/>
      </w:r>
      <w:r>
        <w:rPr>
          <w:rFonts w:hint="eastAsia" w:ascii="宋体" w:hAnsi="宋体" w:eastAsia="宋体" w:cs="宋体"/>
        </w:rPr>
        <w:t xml:space="preserve">十三、 </w:t>
      </w:r>
      <w:r>
        <w:rPr>
          <w:rFonts w:hint="eastAsia"/>
        </w:rPr>
        <w:t>评标委员会及其成员不得有下列违约情形</w:t>
      </w:r>
      <w:r>
        <w:tab/>
      </w:r>
      <w:r>
        <w:fldChar w:fldCharType="begin"/>
      </w:r>
      <w:r>
        <w:instrText xml:space="preserve"> PAGEREF _Toc2832 \h </w:instrText>
      </w:r>
      <w:r>
        <w:fldChar w:fldCharType="separate"/>
      </w:r>
      <w:r>
        <w:t>106</w:t>
      </w:r>
      <w:r>
        <w:fldChar w:fldCharType="end"/>
      </w:r>
      <w:r>
        <w:fldChar w:fldCharType="end"/>
      </w:r>
    </w:p>
    <w:p>
      <w:pPr>
        <w:pStyle w:val="21"/>
        <w:tabs>
          <w:tab w:val="right" w:leader="dot" w:pos="9866"/>
          <w:tab w:val="clear" w:pos="0"/>
          <w:tab w:val="clear" w:pos="9746"/>
        </w:tabs>
      </w:pPr>
      <w:r>
        <w:fldChar w:fldCharType="begin"/>
      </w:r>
      <w:r>
        <w:instrText xml:space="preserve"> HYPERLINK \l _Toc11337 </w:instrText>
      </w:r>
      <w:r>
        <w:fldChar w:fldCharType="separate"/>
      </w:r>
      <w:r>
        <w:rPr>
          <w:rFonts w:hint="eastAsia" w:ascii="宋体" w:hAnsi="宋体" w:eastAsia="宋体" w:cs="宋体"/>
        </w:rPr>
        <w:t xml:space="preserve">第八章 </w:t>
      </w:r>
      <w:r>
        <w:rPr>
          <w:rFonts w:hint="eastAsia"/>
        </w:rPr>
        <w:t>政府采购合同(参考文本)</w:t>
      </w:r>
      <w:r>
        <w:tab/>
      </w:r>
      <w:r>
        <w:fldChar w:fldCharType="begin"/>
      </w:r>
      <w:r>
        <w:instrText xml:space="preserve"> PAGEREF _Toc11337 \h </w:instrText>
      </w:r>
      <w:r>
        <w:fldChar w:fldCharType="separate"/>
      </w:r>
      <w:r>
        <w:t>108</w:t>
      </w:r>
      <w:r>
        <w:fldChar w:fldCharType="end"/>
      </w:r>
      <w:r>
        <w:fldChar w:fldCharType="end"/>
      </w:r>
    </w:p>
    <w:p>
      <w:pPr>
        <w:pStyle w:val="22"/>
        <w:tabs>
          <w:tab w:val="right" w:leader="dot" w:pos="9866"/>
          <w:tab w:val="clear" w:pos="0"/>
        </w:tabs>
      </w:pPr>
      <w:r>
        <w:fldChar w:fldCharType="begin"/>
      </w:r>
      <w:r>
        <w:instrText xml:space="preserve"> HYPERLINK \l _Toc3121 </w:instrText>
      </w:r>
      <w:r>
        <w:fldChar w:fldCharType="separate"/>
      </w:r>
      <w:r>
        <w:rPr>
          <w:rFonts w:hint="eastAsia" w:ascii="宋体" w:hAnsi="宋体" w:eastAsia="宋体" w:cs="宋体"/>
        </w:rPr>
        <w:t xml:space="preserve">一、 </w:t>
      </w:r>
      <w:r>
        <w:rPr>
          <w:rFonts w:hint="eastAsia" w:asciiTheme="minorEastAsia" w:hAnsiTheme="minorEastAsia" w:eastAsiaTheme="minorEastAsia" w:cstheme="minorEastAsia"/>
        </w:rPr>
        <w:t>项目基本情况</w:t>
      </w:r>
      <w:r>
        <w:tab/>
      </w:r>
      <w:r>
        <w:fldChar w:fldCharType="begin"/>
      </w:r>
      <w:r>
        <w:instrText xml:space="preserve"> PAGEREF _Toc3121 \h </w:instrText>
      </w:r>
      <w:r>
        <w:fldChar w:fldCharType="separate"/>
      </w:r>
      <w:r>
        <w:t>108</w:t>
      </w:r>
      <w:r>
        <w:fldChar w:fldCharType="end"/>
      </w:r>
      <w:r>
        <w:fldChar w:fldCharType="end"/>
      </w:r>
    </w:p>
    <w:p>
      <w:pPr>
        <w:pStyle w:val="22"/>
        <w:tabs>
          <w:tab w:val="right" w:leader="dot" w:pos="9866"/>
          <w:tab w:val="clear" w:pos="0"/>
        </w:tabs>
      </w:pPr>
      <w:r>
        <w:fldChar w:fldCharType="begin"/>
      </w:r>
      <w:r>
        <w:instrText xml:space="preserve"> HYPERLINK \l _Toc25129 </w:instrText>
      </w:r>
      <w:r>
        <w:fldChar w:fldCharType="separate"/>
      </w:r>
      <w:r>
        <w:rPr>
          <w:rFonts w:hint="eastAsia" w:ascii="宋体" w:hAnsi="宋体" w:eastAsia="宋体" w:cs="宋体"/>
        </w:rPr>
        <w:t xml:space="preserve">二、 </w:t>
      </w:r>
      <w:r>
        <w:rPr>
          <w:rFonts w:hint="eastAsia"/>
        </w:rPr>
        <w:t>合同履行</w:t>
      </w:r>
      <w:r>
        <w:tab/>
      </w:r>
      <w:r>
        <w:fldChar w:fldCharType="begin"/>
      </w:r>
      <w:r>
        <w:instrText xml:space="preserve"> PAGEREF _Toc25129 \h </w:instrText>
      </w:r>
      <w:r>
        <w:fldChar w:fldCharType="separate"/>
      </w:r>
      <w:r>
        <w:t>108</w:t>
      </w:r>
      <w:r>
        <w:fldChar w:fldCharType="end"/>
      </w:r>
      <w:r>
        <w:fldChar w:fldCharType="end"/>
      </w:r>
    </w:p>
    <w:p>
      <w:pPr>
        <w:pStyle w:val="22"/>
        <w:tabs>
          <w:tab w:val="right" w:leader="dot" w:pos="9866"/>
          <w:tab w:val="clear" w:pos="0"/>
        </w:tabs>
      </w:pPr>
      <w:r>
        <w:fldChar w:fldCharType="begin"/>
      </w:r>
      <w:r>
        <w:instrText xml:space="preserve"> HYPERLINK \l _Toc32226 </w:instrText>
      </w:r>
      <w:r>
        <w:fldChar w:fldCharType="separate"/>
      </w:r>
      <w:r>
        <w:rPr>
          <w:rFonts w:hint="eastAsia" w:ascii="宋体" w:hAnsi="宋体" w:eastAsia="宋体" w:cs="宋体"/>
        </w:rPr>
        <w:t xml:space="preserve">三、 </w:t>
      </w:r>
      <w:r>
        <w:rPr>
          <w:rFonts w:hint="eastAsia"/>
        </w:rPr>
        <w:t>合同标的</w:t>
      </w:r>
      <w:r>
        <w:tab/>
      </w:r>
      <w:r>
        <w:fldChar w:fldCharType="begin"/>
      </w:r>
      <w:r>
        <w:instrText xml:space="preserve"> PAGEREF _Toc32226 \h </w:instrText>
      </w:r>
      <w:r>
        <w:fldChar w:fldCharType="separate"/>
      </w:r>
      <w:r>
        <w:t>108</w:t>
      </w:r>
      <w:r>
        <w:fldChar w:fldCharType="end"/>
      </w:r>
      <w:r>
        <w:fldChar w:fldCharType="end"/>
      </w:r>
    </w:p>
    <w:p>
      <w:pPr>
        <w:pStyle w:val="22"/>
        <w:tabs>
          <w:tab w:val="right" w:leader="dot" w:pos="9866"/>
          <w:tab w:val="clear" w:pos="0"/>
        </w:tabs>
      </w:pPr>
      <w:r>
        <w:fldChar w:fldCharType="begin"/>
      </w:r>
      <w:r>
        <w:instrText xml:space="preserve"> HYPERLINK \l _Toc5577 </w:instrText>
      </w:r>
      <w:r>
        <w:fldChar w:fldCharType="separate"/>
      </w:r>
      <w:r>
        <w:rPr>
          <w:rFonts w:hint="eastAsia" w:ascii="宋体" w:hAnsi="宋体" w:eastAsia="宋体" w:cs="宋体"/>
        </w:rPr>
        <w:t xml:space="preserve">四、 </w:t>
      </w:r>
      <w:r>
        <w:rPr>
          <w:rFonts w:hint="eastAsia"/>
        </w:rPr>
        <w:t>质量标准</w:t>
      </w:r>
      <w:r>
        <w:tab/>
      </w:r>
      <w:r>
        <w:fldChar w:fldCharType="begin"/>
      </w:r>
      <w:r>
        <w:instrText xml:space="preserve"> PAGEREF _Toc5577 \h </w:instrText>
      </w:r>
      <w:r>
        <w:fldChar w:fldCharType="separate"/>
      </w:r>
      <w:r>
        <w:t>108</w:t>
      </w:r>
      <w:r>
        <w:fldChar w:fldCharType="end"/>
      </w:r>
      <w:r>
        <w:fldChar w:fldCharType="end"/>
      </w:r>
    </w:p>
    <w:p>
      <w:pPr>
        <w:pStyle w:val="22"/>
        <w:tabs>
          <w:tab w:val="right" w:leader="dot" w:pos="9866"/>
          <w:tab w:val="clear" w:pos="0"/>
        </w:tabs>
      </w:pPr>
      <w:r>
        <w:fldChar w:fldCharType="begin"/>
      </w:r>
      <w:r>
        <w:instrText xml:space="preserve"> HYPERLINK \l _Toc277 </w:instrText>
      </w:r>
      <w:r>
        <w:fldChar w:fldCharType="separate"/>
      </w:r>
      <w:r>
        <w:rPr>
          <w:rFonts w:hint="eastAsia" w:ascii="宋体" w:hAnsi="宋体" w:eastAsia="宋体" w:cs="宋体"/>
        </w:rPr>
        <w:t xml:space="preserve">五、 </w:t>
      </w:r>
      <w:r>
        <w:rPr>
          <w:rFonts w:hint="eastAsia"/>
        </w:rPr>
        <w:t>验收要求</w:t>
      </w:r>
      <w:r>
        <w:tab/>
      </w:r>
      <w:r>
        <w:fldChar w:fldCharType="begin"/>
      </w:r>
      <w:r>
        <w:instrText xml:space="preserve"> PAGEREF _Toc277 \h </w:instrText>
      </w:r>
      <w:r>
        <w:fldChar w:fldCharType="separate"/>
      </w:r>
      <w:r>
        <w:t>109</w:t>
      </w:r>
      <w:r>
        <w:fldChar w:fldCharType="end"/>
      </w:r>
      <w:r>
        <w:fldChar w:fldCharType="end"/>
      </w:r>
    </w:p>
    <w:p>
      <w:pPr>
        <w:pStyle w:val="22"/>
        <w:tabs>
          <w:tab w:val="right" w:leader="dot" w:pos="9866"/>
          <w:tab w:val="clear" w:pos="0"/>
        </w:tabs>
      </w:pPr>
      <w:r>
        <w:fldChar w:fldCharType="begin"/>
      </w:r>
      <w:r>
        <w:instrText xml:space="preserve"> HYPERLINK \l _Toc2458 </w:instrText>
      </w:r>
      <w:r>
        <w:fldChar w:fldCharType="separate"/>
      </w:r>
      <w:r>
        <w:rPr>
          <w:rFonts w:hint="eastAsia" w:ascii="宋体" w:hAnsi="宋体" w:eastAsia="宋体" w:cs="宋体"/>
        </w:rPr>
        <w:t xml:space="preserve">六、 </w:t>
      </w:r>
      <w:r>
        <w:rPr>
          <w:rFonts w:hint="eastAsia"/>
        </w:rPr>
        <w:t>合同价款及支付方式</w:t>
      </w:r>
      <w:r>
        <w:tab/>
      </w:r>
      <w:r>
        <w:fldChar w:fldCharType="begin"/>
      </w:r>
      <w:r>
        <w:instrText xml:space="preserve"> PAGEREF _Toc2458 \h </w:instrText>
      </w:r>
      <w:r>
        <w:fldChar w:fldCharType="separate"/>
      </w:r>
      <w:r>
        <w:t>109</w:t>
      </w:r>
      <w:r>
        <w:fldChar w:fldCharType="end"/>
      </w:r>
      <w:r>
        <w:fldChar w:fldCharType="end"/>
      </w:r>
    </w:p>
    <w:p>
      <w:pPr>
        <w:pStyle w:val="22"/>
        <w:tabs>
          <w:tab w:val="right" w:leader="dot" w:pos="9866"/>
          <w:tab w:val="clear" w:pos="0"/>
        </w:tabs>
      </w:pPr>
      <w:r>
        <w:fldChar w:fldCharType="begin"/>
      </w:r>
      <w:r>
        <w:instrText xml:space="preserve"> HYPERLINK \l _Toc9855 </w:instrText>
      </w:r>
      <w:r>
        <w:fldChar w:fldCharType="separate"/>
      </w:r>
      <w:r>
        <w:rPr>
          <w:rFonts w:hint="eastAsia" w:ascii="宋体" w:hAnsi="宋体" w:eastAsia="宋体" w:cs="宋体"/>
        </w:rPr>
        <w:t xml:space="preserve">七、 </w:t>
      </w:r>
      <w:r>
        <w:rPr>
          <w:rFonts w:hint="eastAsia"/>
        </w:rPr>
        <w:t>知识产权</w:t>
      </w:r>
      <w:r>
        <w:tab/>
      </w:r>
      <w:r>
        <w:fldChar w:fldCharType="begin"/>
      </w:r>
      <w:r>
        <w:instrText xml:space="preserve"> PAGEREF _Toc9855 \h </w:instrText>
      </w:r>
      <w:r>
        <w:fldChar w:fldCharType="separate"/>
      </w:r>
      <w:r>
        <w:t>109</w:t>
      </w:r>
      <w:r>
        <w:fldChar w:fldCharType="end"/>
      </w:r>
      <w:r>
        <w:fldChar w:fldCharType="end"/>
      </w:r>
    </w:p>
    <w:p>
      <w:pPr>
        <w:pStyle w:val="22"/>
        <w:tabs>
          <w:tab w:val="right" w:leader="dot" w:pos="9866"/>
          <w:tab w:val="clear" w:pos="0"/>
        </w:tabs>
      </w:pPr>
      <w:r>
        <w:fldChar w:fldCharType="begin"/>
      </w:r>
      <w:r>
        <w:instrText xml:space="preserve"> HYPERLINK \l _Toc11111 </w:instrText>
      </w:r>
      <w:r>
        <w:fldChar w:fldCharType="separate"/>
      </w:r>
      <w:r>
        <w:rPr>
          <w:rFonts w:hint="eastAsia" w:ascii="宋体" w:hAnsi="宋体" w:eastAsia="宋体" w:cs="宋体"/>
        </w:rPr>
        <w:t xml:space="preserve">八、 </w:t>
      </w:r>
      <w:r>
        <w:rPr>
          <w:rFonts w:hint="eastAsia"/>
        </w:rPr>
        <w:t>无产权瑕疵条款</w:t>
      </w:r>
      <w:r>
        <w:tab/>
      </w:r>
      <w:r>
        <w:fldChar w:fldCharType="begin"/>
      </w:r>
      <w:r>
        <w:instrText xml:space="preserve"> PAGEREF _Toc11111 \h </w:instrText>
      </w:r>
      <w:r>
        <w:fldChar w:fldCharType="separate"/>
      </w:r>
      <w:r>
        <w:t>109</w:t>
      </w:r>
      <w:r>
        <w:fldChar w:fldCharType="end"/>
      </w:r>
      <w:r>
        <w:fldChar w:fldCharType="end"/>
      </w:r>
    </w:p>
    <w:p>
      <w:pPr>
        <w:pStyle w:val="22"/>
        <w:tabs>
          <w:tab w:val="right" w:leader="dot" w:pos="9866"/>
          <w:tab w:val="clear" w:pos="0"/>
        </w:tabs>
      </w:pPr>
      <w:r>
        <w:fldChar w:fldCharType="begin"/>
      </w:r>
      <w:r>
        <w:instrText xml:space="preserve"> HYPERLINK \l _Toc19738 </w:instrText>
      </w:r>
      <w:r>
        <w:fldChar w:fldCharType="separate"/>
      </w:r>
      <w:r>
        <w:rPr>
          <w:rFonts w:hint="eastAsia" w:ascii="宋体" w:hAnsi="宋体" w:eastAsia="宋体" w:cs="宋体"/>
        </w:rPr>
        <w:t xml:space="preserve">九、 </w:t>
      </w:r>
      <w:r>
        <w:rPr>
          <w:rFonts w:hint="eastAsia"/>
        </w:rPr>
        <w:t>甲方的权利和义务</w:t>
      </w:r>
      <w:r>
        <w:tab/>
      </w:r>
      <w:r>
        <w:fldChar w:fldCharType="begin"/>
      </w:r>
      <w:r>
        <w:instrText xml:space="preserve"> PAGEREF _Toc19738 \h </w:instrText>
      </w:r>
      <w:r>
        <w:fldChar w:fldCharType="separate"/>
      </w:r>
      <w:r>
        <w:t>109</w:t>
      </w:r>
      <w:r>
        <w:fldChar w:fldCharType="end"/>
      </w:r>
      <w:r>
        <w:fldChar w:fldCharType="end"/>
      </w:r>
    </w:p>
    <w:p>
      <w:pPr>
        <w:pStyle w:val="22"/>
        <w:tabs>
          <w:tab w:val="right" w:leader="dot" w:pos="9866"/>
          <w:tab w:val="clear" w:pos="0"/>
        </w:tabs>
      </w:pPr>
      <w:r>
        <w:fldChar w:fldCharType="begin"/>
      </w:r>
      <w:r>
        <w:instrText xml:space="preserve"> HYPERLINK \l _Toc19761 </w:instrText>
      </w:r>
      <w:r>
        <w:fldChar w:fldCharType="separate"/>
      </w:r>
      <w:r>
        <w:rPr>
          <w:rFonts w:hint="eastAsia" w:ascii="宋体" w:hAnsi="宋体" w:eastAsia="宋体" w:cs="宋体"/>
        </w:rPr>
        <w:t xml:space="preserve">十、 </w:t>
      </w:r>
      <w:r>
        <w:rPr>
          <w:rFonts w:hint="eastAsia"/>
        </w:rPr>
        <w:t>乙方的权利和义务</w:t>
      </w:r>
      <w:r>
        <w:tab/>
      </w:r>
      <w:r>
        <w:fldChar w:fldCharType="begin"/>
      </w:r>
      <w:r>
        <w:instrText xml:space="preserve"> PAGEREF _Toc19761 \h </w:instrText>
      </w:r>
      <w:r>
        <w:fldChar w:fldCharType="separate"/>
      </w:r>
      <w:r>
        <w:t>109</w:t>
      </w:r>
      <w:r>
        <w:fldChar w:fldCharType="end"/>
      </w:r>
      <w:r>
        <w:fldChar w:fldCharType="end"/>
      </w:r>
    </w:p>
    <w:p>
      <w:pPr>
        <w:pStyle w:val="22"/>
        <w:tabs>
          <w:tab w:val="right" w:leader="dot" w:pos="9866"/>
          <w:tab w:val="clear" w:pos="0"/>
        </w:tabs>
      </w:pPr>
      <w:r>
        <w:fldChar w:fldCharType="begin"/>
      </w:r>
      <w:r>
        <w:instrText xml:space="preserve"> HYPERLINK \l _Toc31245 </w:instrText>
      </w:r>
      <w:r>
        <w:fldChar w:fldCharType="separate"/>
      </w:r>
      <w:r>
        <w:rPr>
          <w:rFonts w:hint="eastAsia" w:ascii="宋体" w:hAnsi="宋体" w:eastAsia="宋体" w:cs="宋体"/>
        </w:rPr>
        <w:t xml:space="preserve">十一、 </w:t>
      </w:r>
      <w:r>
        <w:rPr>
          <w:rFonts w:hint="eastAsia"/>
        </w:rPr>
        <w:t>违约责任</w:t>
      </w:r>
      <w:r>
        <w:tab/>
      </w:r>
      <w:r>
        <w:fldChar w:fldCharType="begin"/>
      </w:r>
      <w:r>
        <w:instrText xml:space="preserve"> PAGEREF _Toc31245 \h </w:instrText>
      </w:r>
      <w:r>
        <w:fldChar w:fldCharType="separate"/>
      </w:r>
      <w:r>
        <w:t>110</w:t>
      </w:r>
      <w:r>
        <w:fldChar w:fldCharType="end"/>
      </w:r>
      <w:r>
        <w:fldChar w:fldCharType="end"/>
      </w:r>
    </w:p>
    <w:p>
      <w:pPr>
        <w:pStyle w:val="22"/>
        <w:tabs>
          <w:tab w:val="right" w:leader="dot" w:pos="9866"/>
          <w:tab w:val="clear" w:pos="0"/>
        </w:tabs>
      </w:pPr>
      <w:r>
        <w:fldChar w:fldCharType="begin"/>
      </w:r>
      <w:r>
        <w:instrText xml:space="preserve"> HYPERLINK \l _Toc5634 </w:instrText>
      </w:r>
      <w:r>
        <w:fldChar w:fldCharType="separate"/>
      </w:r>
      <w:r>
        <w:rPr>
          <w:rFonts w:hint="eastAsia" w:ascii="宋体" w:hAnsi="宋体" w:eastAsia="宋体" w:cs="宋体"/>
        </w:rPr>
        <w:t xml:space="preserve">十二、 </w:t>
      </w:r>
      <w:r>
        <w:rPr>
          <w:rFonts w:hint="eastAsia"/>
        </w:rPr>
        <w:t>不可抗力事件处理</w:t>
      </w:r>
      <w:r>
        <w:tab/>
      </w:r>
      <w:r>
        <w:fldChar w:fldCharType="begin"/>
      </w:r>
      <w:r>
        <w:instrText xml:space="preserve"> PAGEREF _Toc5634 \h </w:instrText>
      </w:r>
      <w:r>
        <w:fldChar w:fldCharType="separate"/>
      </w:r>
      <w:r>
        <w:t>110</w:t>
      </w:r>
      <w:r>
        <w:fldChar w:fldCharType="end"/>
      </w:r>
      <w:r>
        <w:fldChar w:fldCharType="end"/>
      </w:r>
    </w:p>
    <w:p>
      <w:pPr>
        <w:pStyle w:val="22"/>
        <w:tabs>
          <w:tab w:val="right" w:leader="dot" w:pos="9866"/>
          <w:tab w:val="clear" w:pos="0"/>
        </w:tabs>
      </w:pPr>
      <w:r>
        <w:fldChar w:fldCharType="begin"/>
      </w:r>
      <w:r>
        <w:instrText xml:space="preserve"> HYPERLINK \l _Toc7347 </w:instrText>
      </w:r>
      <w:r>
        <w:fldChar w:fldCharType="separate"/>
      </w:r>
      <w:r>
        <w:rPr>
          <w:rFonts w:hint="eastAsia" w:ascii="宋体" w:hAnsi="宋体" w:eastAsia="宋体" w:cs="宋体"/>
        </w:rPr>
        <w:t xml:space="preserve">十三、 </w:t>
      </w:r>
      <w:r>
        <w:rPr>
          <w:rFonts w:hint="eastAsia"/>
        </w:rPr>
        <w:t>解决争议的方法</w:t>
      </w:r>
      <w:r>
        <w:tab/>
      </w:r>
      <w:r>
        <w:fldChar w:fldCharType="begin"/>
      </w:r>
      <w:r>
        <w:instrText xml:space="preserve"> PAGEREF _Toc7347 \h </w:instrText>
      </w:r>
      <w:r>
        <w:fldChar w:fldCharType="separate"/>
      </w:r>
      <w:r>
        <w:t>110</w:t>
      </w:r>
      <w:r>
        <w:fldChar w:fldCharType="end"/>
      </w:r>
      <w:r>
        <w:fldChar w:fldCharType="end"/>
      </w:r>
    </w:p>
    <w:p>
      <w:pPr>
        <w:pStyle w:val="22"/>
        <w:tabs>
          <w:tab w:val="right" w:leader="dot" w:pos="9866"/>
          <w:tab w:val="clear" w:pos="0"/>
        </w:tabs>
      </w:pPr>
      <w:r>
        <w:fldChar w:fldCharType="begin"/>
      </w:r>
      <w:r>
        <w:instrText xml:space="preserve"> HYPERLINK \l _Toc29281 </w:instrText>
      </w:r>
      <w:r>
        <w:fldChar w:fldCharType="separate"/>
      </w:r>
      <w:r>
        <w:rPr>
          <w:rFonts w:hint="eastAsia" w:ascii="宋体" w:hAnsi="宋体" w:eastAsia="宋体" w:cs="宋体"/>
        </w:rPr>
        <w:t xml:space="preserve">十四、 </w:t>
      </w:r>
      <w:r>
        <w:rPr>
          <w:rFonts w:hint="eastAsia"/>
        </w:rPr>
        <w:t>合同生效及其他</w:t>
      </w:r>
      <w:r>
        <w:tab/>
      </w:r>
      <w:r>
        <w:fldChar w:fldCharType="begin"/>
      </w:r>
      <w:r>
        <w:instrText xml:space="preserve"> PAGEREF _Toc29281 \h </w:instrText>
      </w:r>
      <w:r>
        <w:fldChar w:fldCharType="separate"/>
      </w:r>
      <w:r>
        <w:t>110</w:t>
      </w:r>
      <w:r>
        <w:fldChar w:fldCharType="end"/>
      </w:r>
      <w:r>
        <w:fldChar w:fldCharType="end"/>
      </w:r>
    </w:p>
    <w:p>
      <w:pPr>
        <w:pStyle w:val="22"/>
        <w:tabs>
          <w:tab w:val="right" w:leader="dot" w:pos="9866"/>
          <w:tab w:val="clear" w:pos="0"/>
        </w:tabs>
      </w:pPr>
      <w:r>
        <w:fldChar w:fldCharType="begin"/>
      </w:r>
      <w:r>
        <w:instrText xml:space="preserve"> HYPERLINK \l _Toc1989 </w:instrText>
      </w:r>
      <w:r>
        <w:fldChar w:fldCharType="separate"/>
      </w:r>
      <w:r>
        <w:rPr>
          <w:rFonts w:hint="eastAsia" w:ascii="宋体" w:hAnsi="宋体" w:eastAsia="宋体" w:cs="宋体"/>
        </w:rPr>
        <w:t xml:space="preserve">十五、 </w:t>
      </w:r>
      <w:r>
        <w:rPr>
          <w:rFonts w:hint="eastAsia"/>
        </w:rPr>
        <w:t>附件</w:t>
      </w:r>
      <w:r>
        <w:tab/>
      </w:r>
      <w:r>
        <w:fldChar w:fldCharType="begin"/>
      </w:r>
      <w:r>
        <w:instrText xml:space="preserve"> PAGEREF _Toc1989 \h </w:instrText>
      </w:r>
      <w:r>
        <w:fldChar w:fldCharType="separate"/>
      </w:r>
      <w:r>
        <w:t>110</w:t>
      </w:r>
      <w:r>
        <w:fldChar w:fldCharType="end"/>
      </w:r>
      <w:r>
        <w:fldChar w:fldCharType="end"/>
      </w:r>
    </w:p>
    <w:p>
      <w:pPr>
        <w:pStyle w:val="21"/>
        <w:tabs>
          <w:tab w:val="right" w:leader="dot" w:pos="9866"/>
          <w:tab w:val="clear" w:pos="0"/>
          <w:tab w:val="clear" w:pos="9746"/>
        </w:tabs>
      </w:pPr>
      <w:r>
        <w:fldChar w:fldCharType="begin"/>
      </w:r>
      <w:r>
        <w:instrText xml:space="preserve"> HYPERLINK \l _Toc18754 </w:instrText>
      </w:r>
      <w:r>
        <w:fldChar w:fldCharType="separate"/>
      </w:r>
      <w:r>
        <w:rPr>
          <w:rFonts w:hint="eastAsia" w:ascii="宋体" w:hAnsi="宋体" w:eastAsia="宋体" w:cs="宋体"/>
        </w:rPr>
        <w:t xml:space="preserve">第九章 </w:t>
      </w:r>
      <w:r>
        <w:rPr>
          <w:rFonts w:hint="eastAsia"/>
        </w:rPr>
        <w:t>附件</w:t>
      </w:r>
      <w:r>
        <w:tab/>
      </w:r>
      <w:r>
        <w:fldChar w:fldCharType="begin"/>
      </w:r>
      <w:r>
        <w:instrText xml:space="preserve"> PAGEREF _Toc18754 \h </w:instrText>
      </w:r>
      <w:r>
        <w:fldChar w:fldCharType="separate"/>
      </w:r>
      <w:r>
        <w:t>113</w:t>
      </w:r>
      <w:r>
        <w:fldChar w:fldCharType="end"/>
      </w:r>
      <w:r>
        <w:fldChar w:fldCharType="end"/>
      </w:r>
    </w:p>
    <w:p>
      <w:pPr>
        <w:keepNext w:val="0"/>
        <w:keepLines w:val="0"/>
        <w:pageBreakBefore w:val="0"/>
        <w:widowControl w:val="0"/>
        <w:kinsoku/>
        <w:overflowPunct/>
        <w:autoSpaceDE/>
        <w:autoSpaceDN/>
        <w:bidi w:val="0"/>
        <w:adjustRightInd w:val="0"/>
        <w:snapToGrid w:val="0"/>
        <w:spacing w:line="340" w:lineRule="exact"/>
        <w:textAlignment w:val="auto"/>
      </w:pPr>
      <w:r>
        <w:fldChar w:fldCharType="end"/>
      </w:r>
    </w:p>
    <w:p>
      <w:pPr>
        <w:pStyle w:val="54"/>
        <w:spacing w:before="120" w:after="120"/>
      </w:pPr>
      <w:r>
        <w:rPr>
          <w:rFonts w:hint="eastAsia"/>
        </w:rPr>
        <w:br w:type="page"/>
      </w:r>
      <w:bookmarkEnd w:id="2"/>
      <w:bookmarkEnd w:id="3"/>
      <w:bookmarkEnd w:id="4"/>
      <w:bookmarkStart w:id="6" w:name="_Toc9731"/>
      <w:bookmarkStart w:id="7" w:name="_Toc22603"/>
      <w:bookmarkStart w:id="8" w:name="_Toc217446031"/>
      <w:bookmarkStart w:id="9" w:name="_Toc213396759"/>
      <w:bookmarkStart w:id="10" w:name="_Toc213496267"/>
      <w:bookmarkStart w:id="11" w:name="_Toc213396945"/>
      <w:bookmarkStart w:id="12" w:name="_Toc213397009"/>
      <w:r>
        <w:rPr>
          <w:rFonts w:hint="eastAsia"/>
        </w:rPr>
        <w:t>投标邀请</w:t>
      </w:r>
      <w:bookmarkEnd w:id="5"/>
      <w:bookmarkEnd w:id="6"/>
      <w:bookmarkEnd w:id="7"/>
    </w:p>
    <w:p>
      <w:pPr>
        <w:pStyle w:val="52"/>
      </w:pPr>
      <w:r>
        <w:rPr>
          <w:rFonts w:hint="eastAsia"/>
          <w:lang w:val="zh-CN"/>
        </w:rPr>
        <w:t>四川意惠采购招标代理有限公司</w:t>
      </w:r>
      <w:r>
        <w:rPr>
          <w:rFonts w:hint="eastAsia"/>
        </w:rPr>
        <w:t>受</w:t>
      </w:r>
      <w:r>
        <w:rPr>
          <w:rFonts w:hint="eastAsia"/>
          <w:u w:val="single"/>
          <w:lang w:eastAsia="zh-CN"/>
        </w:rPr>
        <w:t>简阳市规划和自然资源局</w:t>
      </w:r>
      <w:r>
        <w:rPr>
          <w:rFonts w:hint="eastAsia"/>
        </w:rPr>
        <w:t>的委托，拟对</w:t>
      </w:r>
      <w:r>
        <w:rPr>
          <w:rFonts w:hint="eastAsia"/>
          <w:u w:val="single"/>
          <w:lang w:eastAsia="zh-CN"/>
        </w:rPr>
        <w:t>简阳市规划和自然资源局简阳市地下管线普查成果更新探测服务、监理服务、质检服务采购项目</w:t>
      </w:r>
      <w:r>
        <w:rPr>
          <w:rFonts w:hint="eastAsia"/>
        </w:rPr>
        <w:t>进行国内公开招标，兹邀请符合本次招标要求的供应商参加投标。</w:t>
      </w:r>
    </w:p>
    <w:p>
      <w:pPr>
        <w:pStyle w:val="48"/>
        <w:numPr>
          <w:ilvl w:val="0"/>
          <w:numId w:val="7"/>
        </w:numPr>
        <w:spacing w:line="420" w:lineRule="exact"/>
        <w:ind w:firstLine="482" w:firstLineChars="200"/>
      </w:pPr>
      <w:r>
        <w:rPr>
          <w:rFonts w:hint="eastAsia"/>
          <w:b/>
          <w:bCs/>
        </w:rPr>
        <w:t>项目编号：510185202100013</w:t>
      </w:r>
    </w:p>
    <w:p>
      <w:pPr>
        <w:pStyle w:val="48"/>
        <w:numPr>
          <w:ilvl w:val="0"/>
          <w:numId w:val="7"/>
        </w:numPr>
        <w:spacing w:line="420" w:lineRule="exact"/>
        <w:ind w:firstLine="482" w:firstLineChars="200"/>
      </w:pPr>
      <w:r>
        <w:rPr>
          <w:rFonts w:hint="eastAsia"/>
          <w:b/>
          <w:bCs/>
        </w:rPr>
        <w:t>项目名称：</w:t>
      </w:r>
      <w:r>
        <w:rPr>
          <w:rFonts w:hint="eastAsia"/>
          <w:lang w:eastAsia="zh-CN"/>
        </w:rPr>
        <w:t>简阳市规划和自然资源局简阳市地下管线普查成果更新探测服务、监理服务、质检服务采购项目</w:t>
      </w:r>
    </w:p>
    <w:p>
      <w:pPr>
        <w:pStyle w:val="48"/>
        <w:numPr>
          <w:ilvl w:val="0"/>
          <w:numId w:val="7"/>
        </w:numPr>
        <w:spacing w:line="420" w:lineRule="exact"/>
        <w:ind w:firstLine="482" w:firstLineChars="200"/>
        <w:rPr>
          <w:highlight w:val="none"/>
        </w:rPr>
      </w:pPr>
      <w:r>
        <w:rPr>
          <w:rFonts w:hint="eastAsia"/>
          <w:b/>
          <w:bCs/>
          <w:highlight w:val="none"/>
        </w:rPr>
        <w:t>资金来源：</w:t>
      </w:r>
      <w:r>
        <w:rPr>
          <w:rFonts w:hint="eastAsia"/>
          <w:highlight w:val="none"/>
        </w:rPr>
        <w:t>财政资金已落实，</w:t>
      </w:r>
      <w:r>
        <w:rPr>
          <w:rFonts w:hint="eastAsia"/>
          <w:color w:val="auto"/>
          <w:highlight w:val="none"/>
        </w:rPr>
        <w:t>本次采购预算为</w:t>
      </w:r>
      <w:r>
        <w:rPr>
          <w:rFonts w:hint="eastAsia"/>
          <w:color w:val="auto"/>
          <w:highlight w:val="none"/>
          <w:lang w:val="en-US" w:eastAsia="zh-CN"/>
        </w:rPr>
        <w:t>8800000</w:t>
      </w:r>
      <w:r>
        <w:rPr>
          <w:rFonts w:hint="eastAsia"/>
          <w:color w:val="auto"/>
          <w:highlight w:val="none"/>
        </w:rPr>
        <w:t>元(其中第一包为</w:t>
      </w:r>
      <w:r>
        <w:rPr>
          <w:rFonts w:hint="eastAsia"/>
          <w:color w:val="auto"/>
          <w:highlight w:val="none"/>
          <w:lang w:val="en-US" w:eastAsia="zh-CN"/>
        </w:rPr>
        <w:t>2433056</w:t>
      </w:r>
      <w:r>
        <w:rPr>
          <w:rFonts w:hint="eastAsia"/>
          <w:color w:val="auto"/>
          <w:highlight w:val="none"/>
          <w:lang w:val="zh-CN"/>
        </w:rPr>
        <w:t>元</w:t>
      </w:r>
      <w:r>
        <w:rPr>
          <w:rFonts w:hint="eastAsia"/>
          <w:color w:val="auto"/>
          <w:highlight w:val="none"/>
        </w:rPr>
        <w:t>，第二包为</w:t>
      </w:r>
      <w:r>
        <w:rPr>
          <w:rFonts w:hint="eastAsia"/>
          <w:color w:val="auto"/>
          <w:highlight w:val="none"/>
          <w:lang w:val="en-US" w:eastAsia="zh-CN"/>
        </w:rPr>
        <w:t>2561814</w:t>
      </w:r>
      <w:r>
        <w:rPr>
          <w:rFonts w:hint="eastAsia"/>
          <w:color w:val="auto"/>
          <w:highlight w:val="none"/>
          <w:lang w:val="zh-CN"/>
        </w:rPr>
        <w:t>元</w:t>
      </w:r>
      <w:r>
        <w:rPr>
          <w:rFonts w:hint="eastAsia"/>
          <w:color w:val="auto"/>
          <w:highlight w:val="none"/>
        </w:rPr>
        <w:t>，第三包为</w:t>
      </w:r>
      <w:r>
        <w:rPr>
          <w:rFonts w:hint="eastAsia"/>
          <w:color w:val="auto"/>
          <w:highlight w:val="none"/>
          <w:lang w:val="en-US" w:eastAsia="zh-CN"/>
        </w:rPr>
        <w:t xml:space="preserve"> 3005130</w:t>
      </w:r>
      <w:r>
        <w:rPr>
          <w:rFonts w:hint="eastAsia"/>
          <w:color w:val="auto"/>
          <w:highlight w:val="none"/>
          <w:lang w:val="zh-CN"/>
        </w:rPr>
        <w:t>元</w:t>
      </w:r>
      <w:r>
        <w:rPr>
          <w:rFonts w:hint="eastAsia"/>
          <w:color w:val="auto"/>
          <w:highlight w:val="none"/>
          <w:lang w:val="en-US" w:eastAsia="zh-CN"/>
        </w:rPr>
        <w:t>，第四包为400000元，第五包为400000元</w:t>
      </w:r>
      <w:r>
        <w:rPr>
          <w:rFonts w:hint="eastAsia"/>
          <w:color w:val="auto"/>
          <w:highlight w:val="none"/>
        </w:rPr>
        <w:t>)；计划号</w:t>
      </w:r>
      <w:r>
        <w:rPr>
          <w:rFonts w:hint="eastAsia"/>
          <w:color w:val="auto"/>
          <w:highlight w:val="none"/>
          <w:lang w:eastAsia="zh-CN"/>
        </w:rPr>
        <w:t>：</w:t>
      </w:r>
      <w:r>
        <w:rPr>
          <w:rFonts w:hint="eastAsia"/>
          <w:color w:val="auto"/>
          <w:highlight w:val="none"/>
          <w:lang w:eastAsia="zh-CN"/>
        </w:rPr>
        <w:fldChar w:fldCharType="begin"/>
      </w:r>
      <w:r>
        <w:rPr>
          <w:rFonts w:hint="eastAsia"/>
          <w:color w:val="auto"/>
          <w:highlight w:val="none"/>
          <w:lang w:eastAsia="zh-CN"/>
        </w:rPr>
        <w:instrText xml:space="preserve"> HYPERLINK "https://pay.zcygov.cn/purchaseplan_front/" \l "/plan/list/detail?id=1000000000004862310&amp;encrypt=167e6b12b4f15dde1d403cd255a91d9b" \t "https://www.zcygov.cn/bidding-entrust/" \l "/purchaseFileMake/_blank" </w:instrText>
      </w:r>
      <w:r>
        <w:rPr>
          <w:rFonts w:hint="eastAsia"/>
          <w:color w:val="auto"/>
          <w:highlight w:val="none"/>
          <w:lang w:eastAsia="zh-CN"/>
        </w:rPr>
        <w:fldChar w:fldCharType="separate"/>
      </w:r>
      <w:r>
        <w:rPr>
          <w:rFonts w:hint="eastAsia"/>
          <w:color w:val="auto"/>
          <w:highlight w:val="none"/>
          <w:lang w:eastAsia="zh-CN"/>
        </w:rPr>
        <w:t>(2021)0111号</w:t>
      </w:r>
      <w:r>
        <w:rPr>
          <w:rFonts w:hint="eastAsia"/>
          <w:color w:val="auto"/>
          <w:highlight w:val="none"/>
          <w:lang w:eastAsia="zh-CN"/>
        </w:rPr>
        <w:fldChar w:fldCharType="end"/>
      </w:r>
      <w:r>
        <w:rPr>
          <w:rFonts w:hint="eastAsia"/>
          <w:color w:val="auto"/>
          <w:highlight w:val="none"/>
        </w:rPr>
        <w:t>。</w:t>
      </w:r>
    </w:p>
    <w:p>
      <w:pPr>
        <w:pStyle w:val="48"/>
        <w:numPr>
          <w:ilvl w:val="0"/>
          <w:numId w:val="7"/>
        </w:numPr>
        <w:spacing w:line="420" w:lineRule="exact"/>
        <w:ind w:firstLine="482" w:firstLineChars="200"/>
        <w:rPr>
          <w:b/>
          <w:bCs/>
        </w:rPr>
      </w:pPr>
      <w:r>
        <w:rPr>
          <w:rFonts w:hint="eastAsia"/>
          <w:b/>
          <w:bCs/>
        </w:rPr>
        <w:t>招标项目简介：</w:t>
      </w:r>
    </w:p>
    <w:p>
      <w:pPr>
        <w:pStyle w:val="48"/>
        <w:ind w:firstLine="482" w:firstLineChars="200"/>
      </w:pPr>
      <w:r>
        <w:rPr>
          <w:rFonts w:hint="eastAsia"/>
          <w:b/>
          <w:bCs/>
        </w:rPr>
        <w:t>(一)采购内容：</w:t>
      </w:r>
      <w:r>
        <w:rPr>
          <w:rFonts w:hint="eastAsia"/>
          <w:lang w:eastAsia="zh-CN"/>
        </w:rPr>
        <w:t>简阳市地下管线普查成果更新</w:t>
      </w:r>
      <w:r>
        <w:rPr>
          <w:rFonts w:hint="eastAsia"/>
        </w:rPr>
        <w:t>，共计</w:t>
      </w:r>
      <w:r>
        <w:rPr>
          <w:rFonts w:hint="eastAsia"/>
          <w:lang w:val="en-US" w:eastAsia="zh-CN"/>
        </w:rPr>
        <w:t>5</w:t>
      </w:r>
      <w:r>
        <w:rPr>
          <w:rFonts w:hint="eastAsia"/>
        </w:rPr>
        <w:t>个包，各包设置1名中标人，具体详见招标文件第六章。</w:t>
      </w:r>
    </w:p>
    <w:p>
      <w:pPr>
        <w:pStyle w:val="48"/>
        <w:ind w:firstLine="482" w:firstLineChars="200"/>
        <w:rPr>
          <w:highlight w:val="yellow"/>
        </w:rPr>
      </w:pPr>
      <w:r>
        <w:rPr>
          <w:rFonts w:hint="eastAsia"/>
          <w:b/>
          <w:bCs/>
        </w:rPr>
        <w:t>(二)采购用途：</w:t>
      </w:r>
      <w:r>
        <w:rPr>
          <w:rFonts w:hint="eastAsia"/>
        </w:rPr>
        <w:t>用于更新完善</w:t>
      </w:r>
      <w:r>
        <w:rPr>
          <w:rFonts w:hint="eastAsia"/>
          <w:lang w:eastAsia="zh-CN"/>
        </w:rPr>
        <w:t>地下管线基础信息系统</w:t>
      </w:r>
      <w:r>
        <w:rPr>
          <w:rFonts w:hint="eastAsia"/>
        </w:rPr>
        <w:t>。</w:t>
      </w:r>
    </w:p>
    <w:p>
      <w:pPr>
        <w:pStyle w:val="48"/>
        <w:ind w:firstLine="482" w:firstLineChars="200"/>
      </w:pPr>
      <w:r>
        <w:rPr>
          <w:rFonts w:hint="eastAsia"/>
          <w:b/>
          <w:bCs/>
        </w:rPr>
        <w:t>(三)项目性质：</w:t>
      </w:r>
      <w:r>
        <w:rPr>
          <w:rFonts w:hint="eastAsia"/>
        </w:rPr>
        <w:t>政府采购。</w:t>
      </w:r>
    </w:p>
    <w:p>
      <w:pPr>
        <w:pStyle w:val="48"/>
        <w:numPr>
          <w:ilvl w:val="0"/>
          <w:numId w:val="7"/>
        </w:numPr>
        <w:spacing w:line="420" w:lineRule="exact"/>
        <w:ind w:firstLine="482" w:firstLineChars="200"/>
        <w:rPr>
          <w:b/>
          <w:bCs/>
        </w:rPr>
      </w:pPr>
      <w:r>
        <w:rPr>
          <w:rFonts w:hint="eastAsia"/>
          <w:b/>
          <w:bCs/>
        </w:rPr>
        <w:t>供应商参加本次政府采购活动应具备下列条件：</w:t>
      </w:r>
    </w:p>
    <w:p>
      <w:pPr>
        <w:pStyle w:val="48"/>
        <w:spacing w:line="460" w:lineRule="exact"/>
        <w:ind w:firstLine="480" w:firstLineChars="200"/>
        <w:rPr>
          <w:lang w:val="zh-CN"/>
        </w:rPr>
      </w:pPr>
      <w:r>
        <w:rPr>
          <w:rFonts w:hint="eastAsia"/>
        </w:rPr>
        <w:t>(一)</w:t>
      </w:r>
      <w:r>
        <w:rPr>
          <w:rFonts w:hint="eastAsia"/>
          <w:lang w:val="zh-CN"/>
        </w:rPr>
        <w:t>符合《中华人民共和国政府采购法》第二十二条规定的条件：</w:t>
      </w:r>
    </w:p>
    <w:p>
      <w:pPr>
        <w:pStyle w:val="48"/>
        <w:spacing w:line="460" w:lineRule="exact"/>
        <w:ind w:firstLine="480" w:firstLineChars="200"/>
      </w:pPr>
      <w:r>
        <w:rPr>
          <w:rFonts w:hint="eastAsia"/>
        </w:rPr>
        <w:t>1.具有独立承担</w:t>
      </w:r>
      <w:r>
        <w:fldChar w:fldCharType="begin"/>
      </w:r>
      <w:r>
        <w:instrText xml:space="preserve"> HYPERLINK "http://www.lawtime.cn/info/minfa/mszeren/" \t "_blank" </w:instrText>
      </w:r>
      <w:r>
        <w:fldChar w:fldCharType="separate"/>
      </w:r>
      <w:r>
        <w:rPr>
          <w:rFonts w:hint="eastAsia"/>
        </w:rPr>
        <w:t>民事责任</w:t>
      </w:r>
      <w:r>
        <w:rPr>
          <w:rFonts w:hint="eastAsia"/>
        </w:rPr>
        <w:fldChar w:fldCharType="end"/>
      </w:r>
      <w:r>
        <w:rPr>
          <w:rFonts w:hint="eastAsia"/>
        </w:rPr>
        <w:t>的能力；</w:t>
      </w:r>
    </w:p>
    <w:p>
      <w:pPr>
        <w:pStyle w:val="48"/>
        <w:spacing w:line="460" w:lineRule="exact"/>
        <w:ind w:firstLine="480" w:firstLineChars="200"/>
      </w:pPr>
      <w:r>
        <w:rPr>
          <w:rFonts w:hint="eastAsia"/>
        </w:rPr>
        <w:t>2.具有良好的商业信誉和健全的财务会计制度；</w:t>
      </w:r>
    </w:p>
    <w:p>
      <w:pPr>
        <w:pStyle w:val="48"/>
        <w:spacing w:line="460" w:lineRule="exact"/>
        <w:ind w:firstLine="480" w:firstLineChars="200"/>
      </w:pPr>
      <w:r>
        <w:rPr>
          <w:rFonts w:hint="eastAsia"/>
        </w:rPr>
        <w:t>3.具有履行合同所必需的设备和专业技术能力；</w:t>
      </w:r>
    </w:p>
    <w:p>
      <w:pPr>
        <w:pStyle w:val="48"/>
        <w:spacing w:line="460" w:lineRule="exact"/>
        <w:ind w:firstLine="480" w:firstLineChars="200"/>
      </w:pPr>
      <w:r>
        <w:rPr>
          <w:rFonts w:hint="eastAsia"/>
        </w:rPr>
        <w:t>4.有依法缴纳税收和</w:t>
      </w:r>
      <w:r>
        <w:fldChar w:fldCharType="begin"/>
      </w:r>
      <w:r>
        <w:instrText xml:space="preserve"> HYPERLINK "http://www.lawtime.cn/info/laodong/shehuibaozhang/" \t "_blank" </w:instrText>
      </w:r>
      <w:r>
        <w:fldChar w:fldCharType="separate"/>
      </w:r>
      <w:r>
        <w:rPr>
          <w:rFonts w:hint="eastAsia"/>
        </w:rPr>
        <w:t>社会保障</w:t>
      </w:r>
      <w:r>
        <w:rPr>
          <w:rFonts w:hint="eastAsia"/>
        </w:rPr>
        <w:fldChar w:fldCharType="end"/>
      </w:r>
      <w:r>
        <w:rPr>
          <w:rFonts w:hint="eastAsia"/>
        </w:rPr>
        <w:t>资金的良好记录；</w:t>
      </w:r>
    </w:p>
    <w:p>
      <w:pPr>
        <w:pStyle w:val="48"/>
        <w:spacing w:line="460" w:lineRule="exact"/>
        <w:ind w:firstLine="480" w:firstLineChars="200"/>
      </w:pPr>
      <w:r>
        <w:rPr>
          <w:rFonts w:hint="eastAsia"/>
        </w:rPr>
        <w:t>5.参加政府采购活动前三年内，在经营活动中没有重大违法记录；</w:t>
      </w:r>
    </w:p>
    <w:p>
      <w:pPr>
        <w:pStyle w:val="48"/>
        <w:spacing w:line="460" w:lineRule="exact"/>
        <w:ind w:firstLine="480" w:firstLineChars="200"/>
      </w:pPr>
      <w:r>
        <w:rPr>
          <w:rFonts w:hint="eastAsia"/>
        </w:rPr>
        <w:t>6.法律、</w:t>
      </w:r>
      <w:r>
        <w:fldChar w:fldCharType="begin"/>
      </w:r>
      <w:r>
        <w:instrText xml:space="preserve"> HYPERLINK "http://www.lawtime.cn/info/sifakaoshi/xingzhengfa/" \t "_blank" </w:instrText>
      </w:r>
      <w:r>
        <w:fldChar w:fldCharType="separate"/>
      </w:r>
      <w:r>
        <w:rPr>
          <w:rFonts w:hint="eastAsia"/>
        </w:rPr>
        <w:t>行政法</w:t>
      </w:r>
      <w:r>
        <w:rPr>
          <w:rFonts w:hint="eastAsia"/>
        </w:rPr>
        <w:fldChar w:fldCharType="end"/>
      </w:r>
      <w:r>
        <w:rPr>
          <w:rFonts w:hint="eastAsia"/>
        </w:rPr>
        <w:t>规规定的其他条件。</w:t>
      </w:r>
    </w:p>
    <w:p>
      <w:pPr>
        <w:pStyle w:val="48"/>
        <w:spacing w:line="460" w:lineRule="exact"/>
        <w:ind w:firstLine="480" w:firstLineChars="200"/>
        <w:rPr>
          <w:lang w:val="zh-CN"/>
        </w:rPr>
      </w:pPr>
      <w:r>
        <w:rPr>
          <w:rFonts w:hint="eastAsia"/>
        </w:rPr>
        <w:t>(</w:t>
      </w:r>
      <w:r>
        <w:rPr>
          <w:rFonts w:hint="eastAsia"/>
          <w:lang w:val="en-US" w:eastAsia="zh-CN"/>
        </w:rPr>
        <w:t>二</w:t>
      </w:r>
      <w:r>
        <w:rPr>
          <w:rFonts w:hint="eastAsia"/>
        </w:rPr>
        <w:t>)</w:t>
      </w:r>
      <w:r>
        <w:rPr>
          <w:rFonts w:hint="eastAsia"/>
          <w:lang w:val="zh-CN"/>
        </w:rPr>
        <w:t>本项目的特定资格要求：</w:t>
      </w:r>
    </w:p>
    <w:p>
      <w:pPr>
        <w:pStyle w:val="48"/>
        <w:spacing w:line="460" w:lineRule="exact"/>
        <w:ind w:firstLine="480" w:firstLineChars="200"/>
      </w:pPr>
      <w:r>
        <w:rPr>
          <w:rFonts w:hint="eastAsia"/>
        </w:rPr>
        <w:t>1.各包供应商应具备的资质证书：</w:t>
      </w:r>
    </w:p>
    <w:p>
      <w:pPr>
        <w:pStyle w:val="48"/>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rPr>
      </w:pPr>
      <w:r>
        <w:rPr>
          <w:rFonts w:hint="eastAsia"/>
        </w:rPr>
        <w:t>(1)第一包</w:t>
      </w:r>
      <w:r>
        <w:rPr>
          <w:rFonts w:hint="eastAsia"/>
          <w:lang w:eastAsia="zh-CN"/>
        </w:rPr>
        <w:t>、第二包、第三包</w:t>
      </w:r>
      <w:r>
        <w:rPr>
          <w:rFonts w:hint="eastAsia"/>
        </w:rPr>
        <w:t>：</w:t>
      </w:r>
      <w:r>
        <w:rPr>
          <w:rFonts w:hint="eastAsia"/>
          <w:lang w:eastAsia="zh-CN"/>
        </w:rPr>
        <w:t>供应商须具有国家行政主管部门颁发且在有效期内的甲级工程测量资质(含地下管线测量子项)和乙级及以上</w:t>
      </w:r>
      <w:r>
        <w:rPr>
          <w:rFonts w:hint="eastAsia"/>
          <w:lang w:val="en-US" w:eastAsia="zh-CN"/>
        </w:rPr>
        <w:t>地理信息系统工程</w:t>
      </w:r>
      <w:r>
        <w:rPr>
          <w:rFonts w:hint="eastAsia"/>
          <w:lang w:eastAsia="zh-CN"/>
        </w:rPr>
        <w:t>资质</w:t>
      </w:r>
      <w:r>
        <w:rPr>
          <w:rFonts w:hint="eastAsia"/>
          <w:lang w:val="en-US" w:eastAsia="zh-CN"/>
        </w:rPr>
        <w:t>（含地理信息系统及数据库建设子项）</w:t>
      </w:r>
      <w:r>
        <w:rPr>
          <w:rFonts w:hint="eastAsia"/>
        </w:rPr>
        <w:t>；</w:t>
      </w:r>
    </w:p>
    <w:p>
      <w:pPr>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rPr>
      </w:pPr>
      <w:r>
        <w:rPr>
          <w:rFonts w:hint="eastAsia"/>
        </w:rPr>
        <w:t>(</w:t>
      </w:r>
      <w:r>
        <w:rPr>
          <w:rFonts w:hint="eastAsia"/>
          <w:lang w:val="en-US" w:eastAsia="zh-CN"/>
        </w:rPr>
        <w:t>2</w:t>
      </w:r>
      <w:r>
        <w:rPr>
          <w:rFonts w:hint="eastAsia"/>
        </w:rPr>
        <w:t>)第</w:t>
      </w:r>
      <w:r>
        <w:rPr>
          <w:rFonts w:hint="eastAsia"/>
          <w:lang w:eastAsia="zh-CN"/>
        </w:rPr>
        <w:t>四</w:t>
      </w:r>
      <w:r>
        <w:rPr>
          <w:rFonts w:hint="eastAsia"/>
        </w:rPr>
        <w:t>包：供应商</w:t>
      </w:r>
      <w:r>
        <w:rPr>
          <w:rFonts w:hint="eastAsia"/>
          <w:lang w:eastAsia="zh-CN"/>
        </w:rPr>
        <w:t>须</w:t>
      </w:r>
      <w:r>
        <w:rPr>
          <w:rFonts w:hint="eastAsia"/>
        </w:rPr>
        <w:t>具有</w:t>
      </w:r>
      <w:r>
        <w:rPr>
          <w:rFonts w:hint="eastAsia"/>
          <w:lang w:eastAsia="zh-CN"/>
        </w:rPr>
        <w:t>国家行政主管部门</w:t>
      </w:r>
      <w:r>
        <w:rPr>
          <w:rFonts w:hint="eastAsia"/>
        </w:rPr>
        <w:t>颁发</w:t>
      </w:r>
      <w:r>
        <w:rPr>
          <w:rFonts w:hint="eastAsia"/>
          <w:lang w:eastAsia="zh-CN"/>
        </w:rPr>
        <w:t>且在有效期内</w:t>
      </w:r>
      <w:r>
        <w:rPr>
          <w:rFonts w:hint="eastAsia"/>
        </w:rPr>
        <w:t>的</w:t>
      </w:r>
      <w:r>
        <w:rPr>
          <w:rFonts w:hint="eastAsia"/>
          <w:lang w:val="en-US" w:eastAsia="zh-CN"/>
        </w:rPr>
        <w:t>甲级工程测量资质（含</w:t>
      </w:r>
      <w:r>
        <w:rPr>
          <w:rFonts w:hint="eastAsia" w:asciiTheme="minorEastAsia" w:hAnsiTheme="minorEastAsia"/>
          <w:szCs w:val="21"/>
        </w:rPr>
        <w:t>地下管线测量</w:t>
      </w:r>
      <w:r>
        <w:rPr>
          <w:rFonts w:hint="eastAsia" w:asciiTheme="minorEastAsia" w:hAnsiTheme="minorEastAsia"/>
          <w:szCs w:val="21"/>
          <w:lang w:eastAsia="zh-CN"/>
        </w:rPr>
        <w:t>和</w:t>
      </w:r>
      <w:r>
        <w:rPr>
          <w:rFonts w:hint="eastAsia" w:asciiTheme="minorEastAsia" w:hAnsiTheme="minorEastAsia"/>
          <w:szCs w:val="21"/>
        </w:rPr>
        <w:t>工程测量监理</w:t>
      </w:r>
      <w:r>
        <w:rPr>
          <w:rFonts w:hint="eastAsia" w:asciiTheme="minorEastAsia" w:hAnsiTheme="minorEastAsia"/>
          <w:szCs w:val="21"/>
          <w:lang w:eastAsia="zh-CN"/>
        </w:rPr>
        <w:t>子项</w:t>
      </w:r>
      <w:r>
        <w:rPr>
          <w:rFonts w:hint="eastAsia"/>
          <w:lang w:val="en-US" w:eastAsia="zh-CN"/>
        </w:rPr>
        <w:t>）</w:t>
      </w:r>
      <w:r>
        <w:rPr>
          <w:rFonts w:hint="eastAsia"/>
        </w:rPr>
        <w:t>；</w:t>
      </w:r>
    </w:p>
    <w:p>
      <w:pPr>
        <w:pStyle w:val="48"/>
        <w:keepNext w:val="0"/>
        <w:keepLines w:val="0"/>
        <w:pageBreakBefore w:val="0"/>
        <w:widowControl w:val="0"/>
        <w:numPr>
          <w:ilvl w:val="0"/>
          <w:numId w:val="8"/>
        </w:numPr>
        <w:tabs>
          <w:tab w:val="clear" w:pos="312"/>
        </w:tabs>
        <w:kinsoku/>
        <w:overflowPunct/>
        <w:autoSpaceDE/>
        <w:autoSpaceDN/>
        <w:bidi w:val="0"/>
        <w:adjustRightInd w:val="0"/>
        <w:snapToGrid w:val="0"/>
        <w:spacing w:line="440" w:lineRule="exact"/>
        <w:ind w:firstLine="480" w:firstLineChars="200"/>
        <w:textAlignment w:val="auto"/>
        <w:rPr>
          <w:rFonts w:hint="eastAsia"/>
        </w:rPr>
      </w:pPr>
      <w:r>
        <w:rPr>
          <w:rFonts w:hint="eastAsia"/>
        </w:rPr>
        <w:t>第</w:t>
      </w:r>
      <w:r>
        <w:rPr>
          <w:rFonts w:hint="eastAsia"/>
          <w:lang w:eastAsia="zh-CN"/>
        </w:rPr>
        <w:t>五</w:t>
      </w:r>
      <w:r>
        <w:rPr>
          <w:rFonts w:hint="eastAsia"/>
        </w:rPr>
        <w:t>包：</w:t>
      </w:r>
      <w:r>
        <w:rPr>
          <w:rFonts w:hint="eastAsia"/>
          <w:lang w:eastAsia="zh-CN"/>
        </w:rPr>
        <w:t>供应商须具有</w:t>
      </w:r>
      <w:r>
        <w:rPr>
          <w:rFonts w:hint="eastAsia"/>
        </w:rPr>
        <w:t>CMA</w:t>
      </w:r>
      <w:r>
        <w:rPr>
          <w:rFonts w:hint="eastAsia"/>
          <w:lang w:eastAsia="zh-CN"/>
        </w:rPr>
        <w:t>检验检测机构资质认定证书</w:t>
      </w:r>
      <w:r>
        <w:rPr>
          <w:rFonts w:hint="eastAsia"/>
        </w:rPr>
        <w:t>(</w:t>
      </w:r>
      <w:r>
        <w:rPr>
          <w:rFonts w:hint="eastAsia"/>
          <w:lang w:val="en-US" w:eastAsia="zh-CN"/>
        </w:rPr>
        <w:t>资质</w:t>
      </w:r>
      <w:r>
        <w:rPr>
          <w:rFonts w:hint="eastAsia"/>
          <w:lang w:eastAsia="zh-CN"/>
        </w:rPr>
        <w:t>范围须包含平面控制测量、高程控制测量、地下管线测量</w:t>
      </w:r>
      <w:r>
        <w:rPr>
          <w:rFonts w:hint="eastAsia"/>
        </w:rPr>
        <w:t>)。</w:t>
      </w:r>
    </w:p>
    <w:p>
      <w:pPr>
        <w:pStyle w:val="48"/>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lang w:val="zh-CN"/>
        </w:rPr>
      </w:pPr>
      <w:r>
        <w:rPr>
          <w:rFonts w:hint="eastAsia"/>
        </w:rPr>
        <w:t>2.本项目不接受联合体投标。</w:t>
      </w:r>
    </w:p>
    <w:p>
      <w:pPr>
        <w:pStyle w:val="48"/>
        <w:numPr>
          <w:ilvl w:val="0"/>
          <w:numId w:val="7"/>
        </w:numPr>
        <w:spacing w:line="420" w:lineRule="exact"/>
        <w:ind w:firstLine="482" w:firstLineChars="200"/>
        <w:rPr>
          <w:b/>
          <w:bCs/>
        </w:rPr>
      </w:pPr>
      <w:r>
        <w:rPr>
          <w:rFonts w:hint="eastAsia"/>
          <w:b/>
          <w:bCs/>
        </w:rPr>
        <w:t>禁止参加本次采购活动的供应商</w:t>
      </w:r>
    </w:p>
    <w:p>
      <w:pPr>
        <w:pStyle w:val="40"/>
        <w:spacing w:line="420" w:lineRule="exact"/>
        <w:ind w:firstLine="480" w:firstLineChars="200"/>
        <w:rPr>
          <w:b/>
          <w:bCs/>
          <w:highlight w:val="none"/>
        </w:rPr>
      </w:pPr>
      <w:bookmarkStart w:id="13" w:name="PO_默认文件内容_4"/>
      <w:r>
        <w:rPr>
          <w:rFonts w:hint="eastAsia"/>
        </w:rPr>
        <w:t>根据《关于在政府采购活动中查询及使用信用记录有关问题的通知》(财库〔2016〕125号)的要求，采购代理机构将通</w:t>
      </w:r>
      <w:r>
        <w:rPr>
          <w:rFonts w:hint="eastAsia"/>
          <w:highlight w:val="none"/>
        </w:rPr>
        <w:t>过“信用中国”网站(www.creditchina.gov.cn)、“中国政府采购网”网站(www.ccgp.gov.cn)等渠道查询供应商在投标文件递交截止日前的信用记录并保存信用记录结果网页截图，拒绝列入失信被执行人名单、重大税收违法案件当事人名单、政府采购严重违法失信行为记录名单中的供应商报名参加本项目的采购活动。</w:t>
      </w:r>
      <w:bookmarkEnd w:id="13"/>
    </w:p>
    <w:p>
      <w:pPr>
        <w:pStyle w:val="48"/>
        <w:numPr>
          <w:ilvl w:val="0"/>
          <w:numId w:val="7"/>
        </w:numPr>
        <w:spacing w:line="420" w:lineRule="exact"/>
        <w:ind w:firstLine="482" w:firstLineChars="200"/>
        <w:rPr>
          <w:b/>
          <w:bCs/>
          <w:highlight w:val="none"/>
        </w:rPr>
      </w:pPr>
      <w:r>
        <w:rPr>
          <w:rFonts w:hint="eastAsia"/>
          <w:b/>
          <w:bCs/>
          <w:highlight w:val="none"/>
        </w:rPr>
        <w:t>获取招标文件的时间期限、地点、方式及招标文件售价</w:t>
      </w:r>
    </w:p>
    <w:p>
      <w:pPr>
        <w:pStyle w:val="48"/>
        <w:ind w:firstLine="482" w:firstLineChars="200"/>
        <w:rPr>
          <w:highlight w:val="none"/>
          <w:lang w:val="zh-CN"/>
        </w:rPr>
      </w:pPr>
      <w:r>
        <w:rPr>
          <w:rFonts w:hint="eastAsia"/>
          <w:b/>
          <w:bCs/>
          <w:highlight w:val="none"/>
        </w:rPr>
        <w:t>(一)获取招标文件的时间期限(即报名时间)</w:t>
      </w:r>
      <w:r>
        <w:rPr>
          <w:rFonts w:hint="eastAsia"/>
          <w:highlight w:val="none"/>
        </w:rPr>
        <w:t>：</w:t>
      </w:r>
      <w:r>
        <w:rPr>
          <w:rFonts w:hint="eastAsia"/>
          <w:highlight w:val="none"/>
          <w:u w:val="single"/>
        </w:rPr>
        <w:t>202</w:t>
      </w:r>
      <w:r>
        <w:rPr>
          <w:rFonts w:hint="eastAsia"/>
          <w:highlight w:val="none"/>
          <w:u w:val="single"/>
          <w:lang w:val="en-US" w:eastAsia="zh-CN"/>
        </w:rPr>
        <w:t>1</w:t>
      </w:r>
      <w:r>
        <w:rPr>
          <w:rFonts w:hint="eastAsia"/>
          <w:highlight w:val="none"/>
          <w:u w:val="single"/>
        </w:rPr>
        <w:t>年</w:t>
      </w:r>
      <w:r>
        <w:rPr>
          <w:rFonts w:hint="eastAsia"/>
          <w:highlight w:val="none"/>
          <w:u w:val="single"/>
          <w:lang w:val="en-US" w:eastAsia="zh-CN"/>
        </w:rPr>
        <w:t>4</w:t>
      </w:r>
      <w:r>
        <w:rPr>
          <w:rFonts w:hint="eastAsia"/>
          <w:highlight w:val="none"/>
          <w:u w:val="single"/>
        </w:rPr>
        <w:t>月</w:t>
      </w:r>
      <w:r>
        <w:rPr>
          <w:rFonts w:hint="eastAsia"/>
          <w:highlight w:val="none"/>
          <w:u w:val="single"/>
          <w:lang w:val="en-US" w:eastAsia="zh-CN"/>
        </w:rPr>
        <w:t>28</w:t>
      </w:r>
      <w:r>
        <w:rPr>
          <w:rFonts w:hint="eastAsia"/>
          <w:highlight w:val="none"/>
          <w:u w:val="single"/>
        </w:rPr>
        <w:t>日至202</w:t>
      </w:r>
      <w:r>
        <w:rPr>
          <w:rFonts w:hint="eastAsia"/>
          <w:highlight w:val="none"/>
          <w:u w:val="single"/>
          <w:lang w:val="en-US" w:eastAsia="zh-CN"/>
        </w:rPr>
        <w:t>1</w:t>
      </w:r>
      <w:r>
        <w:rPr>
          <w:rFonts w:hint="eastAsia"/>
          <w:highlight w:val="none"/>
          <w:u w:val="single"/>
        </w:rPr>
        <w:t>年</w:t>
      </w:r>
      <w:r>
        <w:rPr>
          <w:rFonts w:hint="eastAsia"/>
          <w:highlight w:val="none"/>
          <w:u w:val="single"/>
          <w:lang w:val="en-US" w:eastAsia="zh-CN"/>
        </w:rPr>
        <w:t>5</w:t>
      </w:r>
      <w:r>
        <w:rPr>
          <w:rFonts w:hint="eastAsia"/>
          <w:highlight w:val="none"/>
          <w:u w:val="single"/>
        </w:rPr>
        <w:t>月</w:t>
      </w:r>
      <w:r>
        <w:rPr>
          <w:rFonts w:hint="eastAsia"/>
          <w:highlight w:val="none"/>
          <w:u w:val="single"/>
          <w:lang w:val="en-US" w:eastAsia="zh-CN"/>
        </w:rPr>
        <w:t>7</w:t>
      </w:r>
      <w:bookmarkStart w:id="1858" w:name="_GoBack"/>
      <w:bookmarkEnd w:id="1858"/>
      <w:r>
        <w:rPr>
          <w:rFonts w:hint="eastAsia"/>
          <w:highlight w:val="none"/>
          <w:u w:val="single"/>
        </w:rPr>
        <w:t>日，每天上午9时00分至12时00分，下午14时00分至17时00分(北京时间，法定节假日除外)。</w:t>
      </w:r>
    </w:p>
    <w:p>
      <w:pPr>
        <w:pStyle w:val="48"/>
        <w:ind w:firstLine="482" w:firstLineChars="200"/>
        <w:rPr>
          <w:highlight w:val="none"/>
          <w:lang w:val="zh-CN"/>
        </w:rPr>
      </w:pPr>
      <w:r>
        <w:rPr>
          <w:rFonts w:hint="eastAsia"/>
          <w:b/>
          <w:bCs/>
          <w:highlight w:val="none"/>
        </w:rPr>
        <w:t>(二)获取招标文件的地点：</w:t>
      </w:r>
      <w:r>
        <w:rPr>
          <w:rFonts w:hint="eastAsia"/>
          <w:b w:val="0"/>
          <w:bCs w:val="0"/>
          <w:highlight w:val="none"/>
          <w:lang w:val="en-US" w:eastAsia="zh-CN"/>
        </w:rPr>
        <w:t>网上(远程)获取</w:t>
      </w:r>
      <w:r>
        <w:rPr>
          <w:rFonts w:hint="eastAsia"/>
          <w:b w:val="0"/>
          <w:bCs w:val="0"/>
          <w:highlight w:val="none"/>
          <w:lang w:val="zh-CN"/>
        </w:rPr>
        <w:t>。</w:t>
      </w:r>
    </w:p>
    <w:p>
      <w:pPr>
        <w:pStyle w:val="48"/>
        <w:spacing w:line="460" w:lineRule="exact"/>
        <w:ind w:firstLine="482" w:firstLineChars="200"/>
        <w:rPr>
          <w:b/>
          <w:bCs/>
          <w:highlight w:val="none"/>
        </w:rPr>
      </w:pPr>
      <w:r>
        <w:rPr>
          <w:rFonts w:hint="eastAsia"/>
          <w:b/>
          <w:bCs/>
          <w:highlight w:val="none"/>
        </w:rPr>
        <w:t>(三)获取招标文件的方式：</w:t>
      </w:r>
    </w:p>
    <w:p>
      <w:pPr>
        <w:pStyle w:val="48"/>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b w:val="0"/>
          <w:bCs w:val="0"/>
          <w:color w:val="auto"/>
          <w:highlight w:val="none"/>
          <w:lang w:val="en-US" w:eastAsia="zh-CN"/>
        </w:rPr>
        <w:t>1.</w:t>
      </w:r>
      <w:r>
        <w:rPr>
          <w:rFonts w:hint="eastAsia" w:ascii="宋体" w:hAnsi="宋体" w:eastAsia="宋体" w:cs="宋体"/>
          <w:color w:val="auto"/>
          <w:highlight w:val="none"/>
          <w:lang w:val="en-US" w:eastAsia="zh-CN"/>
        </w:rPr>
        <w:t>供应商网上(远程)获取招标文件时，请先自行下载公告附件中的《报名信息登记表》、《介绍信(格式)》，并按相关要求填写信息(供应商名称、经办人姓名、经办人手机号、单位座机及传真号、电子邮箱等)</w:t>
      </w:r>
      <w:r>
        <w:rPr>
          <w:rFonts w:hint="eastAsia" w:ascii="宋体" w:hAnsi="宋体" w:eastAsia="宋体" w:cs="宋体"/>
          <w:color w:val="auto"/>
          <w:highlight w:val="none"/>
        </w:rPr>
        <w:t>。</w:t>
      </w:r>
    </w:p>
    <w:p>
      <w:pPr>
        <w:pStyle w:val="48"/>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2.将已填写的《报名信息登记表》、《介绍信》(附经办人身份证复印件)加盖供应商单位公章后扫描成图片连同报名费用支付凭证截图发送至</w:t>
      </w:r>
      <w:r>
        <w:rPr>
          <w:rFonts w:hint="eastAsia" w:ascii="宋体" w:hAnsi="宋体" w:eastAsia="宋体" w:cs="宋体"/>
          <w:color w:val="auto"/>
          <w:highlight w:val="none"/>
          <w:lang w:val="en-US" w:eastAsia="zh-CN"/>
        </w:rPr>
        <w:fldChar w:fldCharType="begin"/>
      </w:r>
      <w:r>
        <w:rPr>
          <w:rFonts w:hint="eastAsia" w:ascii="宋体" w:hAnsi="宋体" w:eastAsia="宋体" w:cs="宋体"/>
          <w:color w:val="auto"/>
          <w:highlight w:val="none"/>
          <w:lang w:val="en-US" w:eastAsia="zh-CN"/>
        </w:rPr>
        <w:instrText xml:space="preserve"> HYPERLINK "mailto:scqxzb@163.com" </w:instrText>
      </w:r>
      <w:r>
        <w:rPr>
          <w:rFonts w:hint="eastAsia" w:ascii="宋体" w:hAnsi="宋体" w:eastAsia="宋体" w:cs="宋体"/>
          <w:color w:val="auto"/>
          <w:highlight w:val="none"/>
          <w:lang w:val="en-US" w:eastAsia="zh-CN"/>
        </w:rPr>
        <w:fldChar w:fldCharType="separate"/>
      </w:r>
      <w:r>
        <w:rPr>
          <w:rFonts w:hint="eastAsia" w:ascii="宋体" w:hAnsi="宋体" w:eastAsia="宋体" w:cs="宋体"/>
          <w:color w:val="auto"/>
          <w:highlight w:val="none"/>
          <w:lang w:val="en-US" w:eastAsia="zh-CN"/>
        </w:rPr>
        <w:t>scyh1211@163.com</w:t>
      </w:r>
      <w:r>
        <w:rPr>
          <w:rFonts w:hint="eastAsia" w:ascii="宋体" w:hAnsi="宋体" w:eastAsia="宋体" w:cs="宋体"/>
          <w:color w:val="auto"/>
          <w:highlight w:val="none"/>
          <w:lang w:val="en-US" w:eastAsia="zh-CN"/>
        </w:rPr>
        <w:fldChar w:fldCharType="end"/>
      </w:r>
      <w:r>
        <w:rPr>
          <w:rFonts w:hint="eastAsia" w:ascii="宋体" w:hAnsi="宋体" w:eastAsia="宋体" w:cs="宋体"/>
          <w:color w:val="auto"/>
          <w:highlight w:val="none"/>
          <w:lang w:val="en-US" w:eastAsia="zh-CN"/>
        </w:rPr>
        <w:t>。</w:t>
      </w:r>
    </w:p>
    <w:p>
      <w:pPr>
        <w:pStyle w:val="48"/>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注：《报名信息登记表》、《介绍信》(附经办人身份证复印件)加盖单位公章的原件请于开标当日交至四川意惠采购招标代理有限公司招标文件发售办理处。</w:t>
      </w:r>
    </w:p>
    <w:p>
      <w:pPr>
        <w:pStyle w:val="48"/>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en-US" w:eastAsia="zh-CN"/>
        </w:rPr>
        <w:t>3.报名咨询电话：</w:t>
      </w:r>
      <w:r>
        <w:rPr>
          <w:rFonts w:hint="eastAsia" w:ascii="宋体" w:hAnsi="宋体" w:eastAsia="宋体" w:cs="宋体"/>
          <w:color w:val="auto"/>
          <w:highlight w:val="none"/>
          <w:lang w:val="zh-CN" w:eastAsia="zh-CN"/>
        </w:rPr>
        <w:t>028-85316813。</w:t>
      </w:r>
    </w:p>
    <w:p>
      <w:pPr>
        <w:pStyle w:val="48"/>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供应商</w:t>
      </w:r>
      <w:r>
        <w:rPr>
          <w:rFonts w:hint="eastAsia" w:ascii="宋体" w:hAnsi="宋体" w:eastAsia="宋体" w:cs="宋体"/>
          <w:color w:val="auto"/>
          <w:highlight w:val="none"/>
        </w:rPr>
        <w:t>购买招标文件时须如实认真填写项目信息及</w:t>
      </w:r>
      <w:r>
        <w:rPr>
          <w:rFonts w:hint="eastAsia" w:ascii="宋体" w:hAnsi="宋体" w:eastAsia="宋体" w:cs="宋体"/>
          <w:color w:val="auto"/>
          <w:highlight w:val="none"/>
          <w:lang w:val="en-US" w:eastAsia="zh-CN"/>
        </w:rPr>
        <w:t>供应商</w:t>
      </w:r>
      <w:r>
        <w:rPr>
          <w:rFonts w:hint="eastAsia" w:ascii="宋体" w:hAnsi="宋体" w:eastAsia="宋体" w:cs="宋体"/>
          <w:color w:val="auto"/>
          <w:highlight w:val="none"/>
        </w:rPr>
        <w:t>信息；若因</w:t>
      </w:r>
      <w:r>
        <w:rPr>
          <w:rFonts w:hint="eastAsia" w:ascii="宋体" w:hAnsi="宋体" w:eastAsia="宋体" w:cs="宋体"/>
          <w:color w:val="auto"/>
          <w:highlight w:val="none"/>
          <w:lang w:val="en-US" w:eastAsia="zh-CN"/>
        </w:rPr>
        <w:t>供应商</w:t>
      </w:r>
      <w:r>
        <w:rPr>
          <w:rFonts w:hint="eastAsia" w:ascii="宋体" w:hAnsi="宋体" w:eastAsia="宋体" w:cs="宋体"/>
          <w:color w:val="auto"/>
          <w:highlight w:val="none"/>
        </w:rPr>
        <w:t>提供的错误信息，对</w:t>
      </w:r>
      <w:r>
        <w:rPr>
          <w:rFonts w:hint="eastAsia" w:ascii="宋体" w:hAnsi="宋体" w:eastAsia="宋体" w:cs="宋体"/>
          <w:color w:val="auto"/>
          <w:highlight w:val="none"/>
          <w:lang w:val="en-US" w:eastAsia="zh-CN"/>
        </w:rPr>
        <w:t>其</w:t>
      </w:r>
      <w:r>
        <w:rPr>
          <w:rFonts w:hint="eastAsia" w:ascii="宋体" w:hAnsi="宋体" w:eastAsia="宋体" w:cs="宋体"/>
          <w:color w:val="auto"/>
          <w:highlight w:val="none"/>
        </w:rPr>
        <w:t>投标事宜造成影响的，由</w:t>
      </w:r>
      <w:r>
        <w:rPr>
          <w:rFonts w:hint="eastAsia" w:ascii="宋体" w:hAnsi="宋体" w:eastAsia="宋体" w:cs="宋体"/>
          <w:color w:val="auto"/>
          <w:highlight w:val="none"/>
          <w:lang w:val="en-US" w:eastAsia="zh-CN"/>
        </w:rPr>
        <w:t>供应商</w:t>
      </w:r>
      <w:r>
        <w:rPr>
          <w:rFonts w:hint="eastAsia" w:ascii="宋体" w:hAnsi="宋体" w:eastAsia="宋体" w:cs="宋体"/>
          <w:color w:val="auto"/>
          <w:highlight w:val="none"/>
        </w:rPr>
        <w:t>自行承担</w:t>
      </w:r>
      <w:r>
        <w:rPr>
          <w:rFonts w:hint="eastAsia" w:ascii="宋体" w:hAnsi="宋体" w:eastAsia="宋体" w:cs="宋体"/>
          <w:color w:val="auto"/>
          <w:highlight w:val="none"/>
          <w:lang w:val="en-US" w:eastAsia="zh-CN"/>
        </w:rPr>
        <w:t>所有</w:t>
      </w:r>
      <w:r>
        <w:rPr>
          <w:rFonts w:hint="eastAsia" w:ascii="宋体" w:hAnsi="宋体" w:eastAsia="宋体" w:cs="宋体"/>
          <w:color w:val="auto"/>
          <w:highlight w:val="none"/>
        </w:rPr>
        <w:t>责任</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若供应商需变更</w:t>
      </w:r>
      <w:r>
        <w:rPr>
          <w:rFonts w:hint="eastAsia" w:ascii="宋体" w:hAnsi="宋体" w:eastAsia="宋体" w:cs="宋体"/>
          <w:color w:val="auto"/>
          <w:highlight w:val="none"/>
        </w:rPr>
        <w:t>报名信息，请于</w:t>
      </w:r>
      <w:r>
        <w:rPr>
          <w:rFonts w:hint="eastAsia" w:ascii="宋体" w:hAnsi="宋体" w:eastAsia="宋体" w:cs="宋体"/>
          <w:color w:val="auto"/>
          <w:highlight w:val="none"/>
          <w:lang w:val="en-US" w:eastAsia="zh-CN"/>
        </w:rPr>
        <w:t>获取招标文件截止之</w:t>
      </w:r>
      <w:r>
        <w:rPr>
          <w:rFonts w:hint="eastAsia" w:ascii="宋体" w:hAnsi="宋体" w:eastAsia="宋体" w:cs="宋体"/>
          <w:color w:val="auto"/>
          <w:highlight w:val="none"/>
        </w:rPr>
        <w:t>日前</w:t>
      </w:r>
      <w:r>
        <w:rPr>
          <w:rFonts w:hint="eastAsia" w:ascii="宋体" w:hAnsi="宋体" w:eastAsia="宋体" w:cs="宋体"/>
          <w:color w:val="auto"/>
          <w:highlight w:val="none"/>
          <w:lang w:val="en-US" w:eastAsia="zh-CN"/>
        </w:rPr>
        <w:t>联系</w:t>
      </w:r>
      <w:r>
        <w:rPr>
          <w:rFonts w:hint="eastAsia" w:ascii="宋体" w:hAnsi="宋体" w:eastAsia="宋体" w:cs="宋体"/>
          <w:color w:val="auto"/>
          <w:highlight w:val="none"/>
        </w:rPr>
        <w:t>采购代理机构重新</w:t>
      </w:r>
      <w:r>
        <w:rPr>
          <w:rFonts w:hint="eastAsia" w:ascii="宋体" w:hAnsi="宋体" w:eastAsia="宋体" w:cs="宋体"/>
          <w:color w:val="auto"/>
          <w:highlight w:val="none"/>
          <w:lang w:val="en-US" w:eastAsia="zh-CN"/>
        </w:rPr>
        <w:t>登记</w:t>
      </w:r>
      <w:r>
        <w:rPr>
          <w:rFonts w:hint="eastAsia" w:ascii="宋体" w:hAnsi="宋体" w:eastAsia="宋体" w:cs="宋体"/>
          <w:color w:val="auto"/>
          <w:highlight w:val="none"/>
          <w:lang w:eastAsia="zh-CN"/>
        </w:rPr>
        <w:t>)。</w:t>
      </w:r>
    </w:p>
    <w:p>
      <w:pPr>
        <w:pStyle w:val="48"/>
        <w:ind w:firstLine="482" w:firstLineChars="200"/>
        <w:rPr>
          <w:highlight w:val="none"/>
        </w:rPr>
      </w:pPr>
      <w:r>
        <w:rPr>
          <w:rFonts w:hint="eastAsia"/>
          <w:b/>
          <w:bCs/>
          <w:highlight w:val="none"/>
        </w:rPr>
        <w:t>(四)</w:t>
      </w:r>
      <w:r>
        <w:rPr>
          <w:rFonts w:hint="eastAsia"/>
          <w:b/>
          <w:bCs/>
          <w:highlight w:val="none"/>
          <w:lang w:val="zh-CN"/>
        </w:rPr>
        <w:t>招标文件售价：</w:t>
      </w:r>
      <w:r>
        <w:rPr>
          <w:rFonts w:hint="eastAsia"/>
          <w:highlight w:val="none"/>
          <w:lang w:val="zh-CN"/>
        </w:rPr>
        <w:t>人民币</w:t>
      </w:r>
      <w:r>
        <w:rPr>
          <w:rFonts w:hint="eastAsia"/>
          <w:highlight w:val="none"/>
          <w:lang w:val="en-US" w:eastAsia="zh-CN"/>
        </w:rPr>
        <w:t>0</w:t>
      </w:r>
      <w:r>
        <w:rPr>
          <w:rFonts w:hint="eastAsia"/>
          <w:highlight w:val="none"/>
        </w:rPr>
        <w:t>元</w:t>
      </w:r>
      <w:r>
        <w:rPr>
          <w:rFonts w:hint="eastAsia"/>
          <w:highlight w:val="none"/>
          <w:lang w:val="zh-CN"/>
        </w:rPr>
        <w:t xml:space="preserve">/份(招标文件售后不退, </w:t>
      </w:r>
      <w:r>
        <w:rPr>
          <w:rFonts w:hint="eastAsia"/>
          <w:highlight w:val="none"/>
        </w:rPr>
        <w:t>投标资格不得转让)。</w:t>
      </w:r>
    </w:p>
    <w:p>
      <w:pPr>
        <w:pStyle w:val="48"/>
        <w:ind w:firstLine="482" w:firstLineChars="200"/>
        <w:rPr>
          <w:highlight w:val="none"/>
        </w:rPr>
      </w:pPr>
      <w:r>
        <w:rPr>
          <w:rFonts w:hint="eastAsia"/>
          <w:b/>
          <w:bCs/>
          <w:highlight w:val="none"/>
        </w:rPr>
        <w:t>(五)</w:t>
      </w:r>
      <w:r>
        <w:rPr>
          <w:rFonts w:hint="eastAsia"/>
          <w:highlight w:val="none"/>
        </w:rPr>
        <w:t>供应商应在规定的时间内按上述要求获取本招标文件并登记，否则均无资格参加该项目的投标。</w:t>
      </w:r>
    </w:p>
    <w:p>
      <w:pPr>
        <w:pStyle w:val="48"/>
        <w:numPr>
          <w:ilvl w:val="0"/>
          <w:numId w:val="7"/>
        </w:numPr>
        <w:spacing w:line="420" w:lineRule="exact"/>
        <w:ind w:firstLine="482" w:firstLineChars="200"/>
        <w:rPr>
          <w:b/>
          <w:bCs/>
          <w:highlight w:val="none"/>
        </w:rPr>
      </w:pPr>
      <w:r>
        <w:rPr>
          <w:rFonts w:hint="eastAsia"/>
          <w:b/>
          <w:bCs/>
          <w:highlight w:val="none"/>
        </w:rPr>
        <w:t>投标文件的递交</w:t>
      </w:r>
    </w:p>
    <w:p>
      <w:pPr>
        <w:pStyle w:val="48"/>
        <w:ind w:firstLine="480" w:firstLineChars="200"/>
        <w:rPr>
          <w:highlight w:val="none"/>
        </w:rPr>
      </w:pPr>
      <w:r>
        <w:rPr>
          <w:rFonts w:hint="eastAsia"/>
          <w:highlight w:val="none"/>
        </w:rPr>
        <w:t>(一)投标文件递交起止时间：202</w:t>
      </w:r>
      <w:r>
        <w:rPr>
          <w:rFonts w:hint="eastAsia"/>
          <w:highlight w:val="none"/>
          <w:lang w:val="en-US" w:eastAsia="zh-CN"/>
        </w:rPr>
        <w:t>1</w:t>
      </w:r>
      <w:r>
        <w:rPr>
          <w:rFonts w:hint="eastAsia"/>
          <w:highlight w:val="none"/>
        </w:rPr>
        <w:t>年</w:t>
      </w:r>
      <w:r>
        <w:rPr>
          <w:rFonts w:hint="eastAsia"/>
          <w:highlight w:val="none"/>
          <w:lang w:val="en-US" w:eastAsia="zh-CN"/>
        </w:rPr>
        <w:t>5</w:t>
      </w:r>
      <w:r>
        <w:rPr>
          <w:rFonts w:hint="eastAsia"/>
          <w:highlight w:val="none"/>
        </w:rPr>
        <w:t>月</w:t>
      </w:r>
      <w:r>
        <w:rPr>
          <w:rFonts w:hint="eastAsia"/>
          <w:highlight w:val="none"/>
          <w:lang w:val="en-US" w:eastAsia="zh-CN"/>
        </w:rPr>
        <w:t>18</w:t>
      </w:r>
      <w:r>
        <w:rPr>
          <w:rFonts w:hint="eastAsia"/>
          <w:highlight w:val="none"/>
        </w:rPr>
        <w:t>日</w:t>
      </w:r>
      <w:r>
        <w:rPr>
          <w:rFonts w:hint="eastAsia"/>
          <w:highlight w:val="none"/>
          <w:lang w:val="en-US" w:eastAsia="zh-CN"/>
        </w:rPr>
        <w:t>10</w:t>
      </w:r>
      <w:r>
        <w:rPr>
          <w:rFonts w:hint="eastAsia"/>
          <w:highlight w:val="none"/>
        </w:rPr>
        <w:t>时</w:t>
      </w:r>
      <w:r>
        <w:rPr>
          <w:rFonts w:hint="eastAsia"/>
          <w:highlight w:val="none"/>
          <w:lang w:val="en-US" w:eastAsia="zh-CN"/>
        </w:rPr>
        <w:t>0</w:t>
      </w:r>
      <w:r>
        <w:rPr>
          <w:rFonts w:hint="eastAsia"/>
          <w:highlight w:val="none"/>
        </w:rPr>
        <w:t>0分至10时</w:t>
      </w:r>
      <w:r>
        <w:rPr>
          <w:rFonts w:hint="eastAsia"/>
          <w:highlight w:val="none"/>
          <w:lang w:val="en-US" w:eastAsia="zh-CN"/>
        </w:rPr>
        <w:t>3</w:t>
      </w:r>
      <w:r>
        <w:rPr>
          <w:rFonts w:hint="eastAsia"/>
          <w:highlight w:val="none"/>
        </w:rPr>
        <w:t>0分。</w:t>
      </w:r>
    </w:p>
    <w:p>
      <w:pPr>
        <w:pStyle w:val="48"/>
        <w:ind w:firstLine="480" w:firstLineChars="200"/>
        <w:rPr>
          <w:highlight w:val="none"/>
        </w:rPr>
      </w:pPr>
      <w:r>
        <w:rPr>
          <w:rFonts w:hint="eastAsia"/>
          <w:highlight w:val="none"/>
        </w:rPr>
        <w:t>(二)投标文件递交地点：</w:t>
      </w:r>
      <w:r>
        <w:rPr>
          <w:rFonts w:hint="eastAsia"/>
          <w:highlight w:val="none"/>
          <w:lang w:val="zh-CN"/>
        </w:rPr>
        <w:t>成都市高新区天府大道中段1388号美年广场D座401号</w:t>
      </w:r>
      <w:r>
        <w:rPr>
          <w:rFonts w:hint="eastAsia"/>
          <w:highlight w:val="none"/>
        </w:rPr>
        <w:t>本项目开标室。</w:t>
      </w:r>
    </w:p>
    <w:p>
      <w:pPr>
        <w:pStyle w:val="48"/>
        <w:ind w:firstLine="480" w:firstLineChars="200"/>
        <w:rPr>
          <w:highlight w:val="none"/>
        </w:rPr>
      </w:pPr>
      <w:r>
        <w:rPr>
          <w:rFonts w:hint="eastAsia"/>
          <w:highlight w:val="none"/>
        </w:rPr>
        <w:t>(三)投标文件必须在投标截止时间前送达开标地点，逾期送达的投标文件恕不接收，本次招标不接受邮寄的投标文件。</w:t>
      </w:r>
    </w:p>
    <w:p>
      <w:pPr>
        <w:pStyle w:val="48"/>
        <w:numPr>
          <w:ilvl w:val="0"/>
          <w:numId w:val="7"/>
        </w:numPr>
        <w:spacing w:line="420" w:lineRule="exact"/>
        <w:ind w:firstLine="482" w:firstLineChars="200"/>
        <w:rPr>
          <w:b/>
          <w:bCs/>
          <w:highlight w:val="none"/>
        </w:rPr>
      </w:pPr>
      <w:r>
        <w:rPr>
          <w:rFonts w:hint="eastAsia"/>
          <w:b/>
          <w:bCs/>
          <w:highlight w:val="none"/>
        </w:rPr>
        <w:t>投标截止时间及开标时间：</w:t>
      </w:r>
      <w:r>
        <w:rPr>
          <w:rFonts w:hint="eastAsia"/>
          <w:highlight w:val="none"/>
        </w:rPr>
        <w:t>202</w:t>
      </w:r>
      <w:r>
        <w:rPr>
          <w:rFonts w:hint="eastAsia"/>
          <w:highlight w:val="none"/>
          <w:lang w:val="en-US" w:eastAsia="zh-CN"/>
        </w:rPr>
        <w:t>1</w:t>
      </w:r>
      <w:r>
        <w:rPr>
          <w:rFonts w:hint="eastAsia"/>
          <w:highlight w:val="none"/>
        </w:rPr>
        <w:t>年</w:t>
      </w:r>
      <w:r>
        <w:rPr>
          <w:rFonts w:hint="eastAsia"/>
          <w:highlight w:val="none"/>
          <w:lang w:val="en-US" w:eastAsia="zh-CN"/>
        </w:rPr>
        <w:t>5</w:t>
      </w:r>
      <w:r>
        <w:rPr>
          <w:rFonts w:hint="eastAsia"/>
          <w:highlight w:val="none"/>
        </w:rPr>
        <w:t>月</w:t>
      </w:r>
      <w:r>
        <w:rPr>
          <w:rFonts w:hint="eastAsia"/>
          <w:highlight w:val="none"/>
          <w:lang w:val="en-US" w:eastAsia="zh-CN"/>
        </w:rPr>
        <w:t>18</w:t>
      </w:r>
      <w:r>
        <w:rPr>
          <w:rFonts w:hint="eastAsia"/>
          <w:highlight w:val="none"/>
        </w:rPr>
        <w:t>日10时</w:t>
      </w:r>
      <w:r>
        <w:rPr>
          <w:rFonts w:hint="eastAsia"/>
          <w:highlight w:val="none"/>
          <w:lang w:val="en-US" w:eastAsia="zh-CN"/>
        </w:rPr>
        <w:t>3</w:t>
      </w:r>
      <w:r>
        <w:rPr>
          <w:rFonts w:hint="eastAsia"/>
          <w:highlight w:val="none"/>
        </w:rPr>
        <w:t>0分。</w:t>
      </w:r>
    </w:p>
    <w:p>
      <w:pPr>
        <w:pStyle w:val="48"/>
        <w:numPr>
          <w:ilvl w:val="0"/>
          <w:numId w:val="7"/>
        </w:numPr>
        <w:spacing w:line="420" w:lineRule="exact"/>
        <w:ind w:firstLine="482" w:firstLineChars="200"/>
        <w:rPr>
          <w:b/>
          <w:bCs/>
          <w:highlight w:val="none"/>
        </w:rPr>
      </w:pPr>
      <w:r>
        <w:rPr>
          <w:rFonts w:hint="eastAsia"/>
          <w:b/>
          <w:bCs/>
          <w:highlight w:val="none"/>
        </w:rPr>
        <w:t>开标地点：</w:t>
      </w:r>
      <w:r>
        <w:rPr>
          <w:rFonts w:hint="eastAsia"/>
          <w:highlight w:val="none"/>
          <w:lang w:val="zh-CN"/>
        </w:rPr>
        <w:t>成都市高新区天府大道中段1388号美年广场D座401号</w:t>
      </w:r>
      <w:r>
        <w:rPr>
          <w:rFonts w:hint="eastAsia"/>
          <w:highlight w:val="none"/>
        </w:rPr>
        <w:t>本项目开标室。</w:t>
      </w:r>
    </w:p>
    <w:p>
      <w:pPr>
        <w:pStyle w:val="48"/>
        <w:numPr>
          <w:ilvl w:val="0"/>
          <w:numId w:val="7"/>
        </w:numPr>
        <w:spacing w:line="420" w:lineRule="exact"/>
        <w:ind w:firstLine="482" w:firstLineChars="200"/>
        <w:rPr>
          <w:b/>
          <w:bCs/>
          <w:highlight w:val="none"/>
        </w:rPr>
      </w:pPr>
      <w:r>
        <w:rPr>
          <w:rFonts w:hint="eastAsia"/>
          <w:b/>
          <w:bCs/>
          <w:highlight w:val="none"/>
        </w:rPr>
        <w:t>采购信息发布媒体：</w:t>
      </w:r>
      <w:r>
        <w:rPr>
          <w:rFonts w:hint="eastAsia"/>
          <w:highlight w:val="none"/>
        </w:rPr>
        <w:t>“四川政府采购网”。</w:t>
      </w:r>
    </w:p>
    <w:p>
      <w:pPr>
        <w:pStyle w:val="48"/>
        <w:numPr>
          <w:ilvl w:val="0"/>
          <w:numId w:val="7"/>
        </w:numPr>
        <w:spacing w:line="420" w:lineRule="exact"/>
        <w:ind w:firstLine="482" w:firstLineChars="200"/>
        <w:rPr>
          <w:b/>
          <w:bCs/>
        </w:rPr>
      </w:pPr>
      <w:r>
        <w:rPr>
          <w:rFonts w:hint="eastAsia"/>
          <w:b/>
          <w:bCs/>
        </w:rPr>
        <w:t>供应商信用融资：</w:t>
      </w:r>
    </w:p>
    <w:p>
      <w:pPr>
        <w:pStyle w:val="52"/>
        <w:spacing w:line="420" w:lineRule="exact"/>
        <w:jc w:val="both"/>
      </w:pPr>
      <w:r>
        <w:rPr>
          <w:rFonts w:hint="eastAsia"/>
        </w:rPr>
        <w:t>根据《四川省财政厅关于推进四川省政府采购供应商信用融资工作的通知》(川财采〔2018〕123号)文件要求，为助力解决政府采购中标、中标人资金不足、融资难、融资贵的困难，促进供应商依法诚信参加政府采购活动，有融资需求的供应商可根据“四川政府采购网”公示的银行及其“政采贷”产品，自行选择符合自身情况的“政采贷”银行及其产品，凭中标通知书向银行提出贷款意向申请，并按照相关规定要求和贷款流程申请信用融资贷款。</w:t>
      </w:r>
    </w:p>
    <w:p>
      <w:pPr>
        <w:pStyle w:val="48"/>
        <w:numPr>
          <w:ilvl w:val="0"/>
          <w:numId w:val="7"/>
        </w:numPr>
        <w:spacing w:line="420" w:lineRule="exact"/>
        <w:ind w:firstLine="482" w:firstLineChars="200"/>
        <w:rPr>
          <w:b/>
          <w:bCs/>
        </w:rPr>
      </w:pPr>
      <w:r>
        <w:rPr>
          <w:rFonts w:hint="eastAsia"/>
          <w:b/>
          <w:bCs/>
        </w:rPr>
        <w:t>对本次招标提出询问，请按以下方式联系。</w:t>
      </w:r>
    </w:p>
    <w:p>
      <w:pPr>
        <w:pStyle w:val="48"/>
        <w:spacing w:line="460" w:lineRule="exact"/>
        <w:ind w:firstLine="482" w:firstLineChars="200"/>
        <w:rPr>
          <w:b/>
          <w:bCs/>
        </w:rPr>
      </w:pPr>
      <w:r>
        <w:rPr>
          <w:rFonts w:hint="eastAsia"/>
          <w:b/>
          <w:bCs/>
        </w:rPr>
        <w:t>(一)采购人信息</w:t>
      </w:r>
    </w:p>
    <w:p>
      <w:pPr>
        <w:pStyle w:val="48"/>
        <w:spacing w:line="460" w:lineRule="exact"/>
        <w:ind w:firstLine="480" w:firstLineChars="200"/>
        <w:rPr>
          <w:rFonts w:hint="eastAsia" w:eastAsia="宋体"/>
          <w:lang w:eastAsia="zh-CN"/>
        </w:rPr>
      </w:pPr>
      <w:r>
        <w:rPr>
          <w:rFonts w:hint="eastAsia"/>
        </w:rPr>
        <w:t>名    称：</w:t>
      </w:r>
      <w:r>
        <w:rPr>
          <w:rFonts w:hint="eastAsia"/>
          <w:lang w:eastAsia="zh-CN"/>
        </w:rPr>
        <w:t>简阳市规划和自然资源局</w:t>
      </w:r>
    </w:p>
    <w:p>
      <w:pPr>
        <w:pStyle w:val="48"/>
        <w:spacing w:line="460" w:lineRule="exact"/>
        <w:ind w:firstLine="480" w:firstLineChars="200"/>
        <w:rPr>
          <w:rFonts w:hint="eastAsia"/>
        </w:rPr>
      </w:pPr>
      <w:r>
        <w:rPr>
          <w:rFonts w:hint="eastAsia"/>
        </w:rPr>
        <w:t>地</w:t>
      </w:r>
      <w:r>
        <w:rPr>
          <w:rFonts w:hint="eastAsia"/>
          <w:lang w:val="en-US" w:eastAsia="zh-CN"/>
        </w:rPr>
        <w:t xml:space="preserve">    </w:t>
      </w:r>
      <w:r>
        <w:rPr>
          <w:rFonts w:hint="eastAsia"/>
        </w:rPr>
        <w:t>址：</w:t>
      </w:r>
      <w:r>
        <w:rPr>
          <w:rFonts w:hint="eastAsia"/>
          <w:lang w:val="en-US" w:eastAsia="zh-CN"/>
        </w:rPr>
        <w:t>四川省成都市简阳市印鳌路与鳌山路交叉口东北200米</w:t>
      </w:r>
    </w:p>
    <w:p>
      <w:pPr>
        <w:pStyle w:val="48"/>
        <w:spacing w:line="460" w:lineRule="exact"/>
        <w:ind w:firstLine="480" w:firstLineChars="200"/>
      </w:pPr>
      <w:r>
        <w:rPr>
          <w:rFonts w:hint="eastAsia"/>
        </w:rPr>
        <w:t>联 系 人：</w:t>
      </w:r>
      <w:r>
        <w:rPr>
          <w:rFonts w:hint="eastAsia"/>
          <w:lang w:val="en-US" w:eastAsia="zh-CN"/>
        </w:rPr>
        <w:t>范</w:t>
      </w:r>
      <w:r>
        <w:rPr>
          <w:rFonts w:hint="eastAsia"/>
          <w:lang w:eastAsia="zh-CN"/>
        </w:rPr>
        <w:t>老师</w:t>
      </w:r>
    </w:p>
    <w:p>
      <w:pPr>
        <w:pStyle w:val="48"/>
        <w:spacing w:line="460" w:lineRule="exact"/>
        <w:ind w:firstLine="480" w:firstLineChars="200"/>
      </w:pPr>
      <w:r>
        <w:rPr>
          <w:rFonts w:hint="eastAsia"/>
        </w:rPr>
        <w:t>联系方式：</w:t>
      </w:r>
      <w:r>
        <w:rPr>
          <w:rFonts w:hint="eastAsia"/>
          <w:lang w:val="en-US" w:eastAsia="zh-CN"/>
        </w:rPr>
        <w:t>028-27232373</w:t>
      </w:r>
    </w:p>
    <w:p>
      <w:pPr>
        <w:pStyle w:val="48"/>
        <w:spacing w:line="460" w:lineRule="exact"/>
        <w:ind w:firstLine="482" w:firstLineChars="200"/>
        <w:rPr>
          <w:b/>
          <w:bCs/>
        </w:rPr>
      </w:pPr>
      <w:r>
        <w:rPr>
          <w:rFonts w:hint="eastAsia"/>
          <w:b/>
          <w:bCs/>
        </w:rPr>
        <w:t>(二)采购代理机构信息</w:t>
      </w:r>
    </w:p>
    <w:p>
      <w:pPr>
        <w:pStyle w:val="48"/>
        <w:spacing w:line="460" w:lineRule="exact"/>
        <w:ind w:firstLine="480" w:firstLineChars="200"/>
        <w:rPr>
          <w:rFonts w:hint="eastAsia" w:eastAsia="宋体"/>
          <w:lang w:eastAsia="zh-CN"/>
        </w:rPr>
      </w:pPr>
      <w:r>
        <w:rPr>
          <w:rFonts w:hint="eastAsia"/>
        </w:rPr>
        <w:t>名    称：</w:t>
      </w:r>
      <w:r>
        <w:rPr>
          <w:rFonts w:hint="eastAsia"/>
          <w:lang w:eastAsia="zh-CN"/>
        </w:rPr>
        <w:t>四川意惠采购招标代理有限公司</w:t>
      </w:r>
    </w:p>
    <w:p>
      <w:pPr>
        <w:pStyle w:val="48"/>
        <w:spacing w:line="460" w:lineRule="exact"/>
        <w:ind w:firstLine="480" w:firstLineChars="200"/>
      </w:pPr>
      <w:r>
        <w:rPr>
          <w:rFonts w:hint="eastAsia"/>
        </w:rPr>
        <w:t>地    址：</w:t>
      </w:r>
      <w:r>
        <w:rPr>
          <w:rFonts w:hint="eastAsia"/>
          <w:lang w:val="zh-CN"/>
        </w:rPr>
        <w:t>成都市高新区天府大道中段1388号美年广场D座401号</w:t>
      </w:r>
    </w:p>
    <w:p>
      <w:pPr>
        <w:pStyle w:val="48"/>
        <w:spacing w:line="460" w:lineRule="exact"/>
        <w:ind w:firstLine="480" w:firstLineChars="200"/>
        <w:rPr>
          <w:rFonts w:hint="eastAsia" w:eastAsia="宋体"/>
          <w:b/>
          <w:bCs/>
          <w:lang w:eastAsia="zh-CN"/>
        </w:rPr>
      </w:pPr>
      <w:r>
        <w:rPr>
          <w:rFonts w:hint="eastAsia"/>
        </w:rPr>
        <w:t>联</w:t>
      </w:r>
      <w:r>
        <w:rPr>
          <w:rFonts w:hint="eastAsia"/>
          <w:lang w:val="en-US" w:eastAsia="zh-CN"/>
        </w:rPr>
        <w:t xml:space="preserve"> </w:t>
      </w:r>
      <w:r>
        <w:rPr>
          <w:rFonts w:hint="eastAsia"/>
        </w:rPr>
        <w:t>系</w:t>
      </w:r>
      <w:r>
        <w:rPr>
          <w:rFonts w:hint="eastAsia"/>
          <w:lang w:val="en-US" w:eastAsia="zh-CN"/>
        </w:rPr>
        <w:t xml:space="preserve"> </w:t>
      </w:r>
      <w:r>
        <w:rPr>
          <w:rFonts w:hint="eastAsia"/>
        </w:rPr>
        <w:t>人：</w:t>
      </w:r>
      <w:r>
        <w:rPr>
          <w:rFonts w:hint="eastAsia"/>
          <w:lang w:val="en-US" w:eastAsia="zh-CN"/>
        </w:rPr>
        <w:t>甘爽</w:t>
      </w:r>
    </w:p>
    <w:p>
      <w:pPr>
        <w:pStyle w:val="48"/>
        <w:spacing w:line="460" w:lineRule="exact"/>
        <w:ind w:firstLine="480" w:firstLineChars="200"/>
      </w:pPr>
      <w:r>
        <w:rPr>
          <w:rFonts w:hint="eastAsia"/>
          <w:lang w:val="zh-CN"/>
        </w:rPr>
        <w:t>联系电话：</w:t>
      </w:r>
      <w:r>
        <w:rPr>
          <w:rFonts w:hint="eastAsia" w:ascii="宋体" w:hAnsi="宋体" w:eastAsia="宋体" w:cs="宋体"/>
          <w:color w:val="auto"/>
          <w:highlight w:val="none"/>
          <w:lang w:val="zh-CN" w:eastAsia="zh-CN"/>
        </w:rPr>
        <w:t>028-85316813</w:t>
      </w:r>
    </w:p>
    <w:p>
      <w:pPr>
        <w:pStyle w:val="48"/>
        <w:spacing w:line="460" w:lineRule="exact"/>
        <w:ind w:firstLine="480" w:firstLineChars="200"/>
        <w:rPr>
          <w:lang w:val="zh-CN"/>
        </w:rPr>
      </w:pPr>
      <w:r>
        <w:rPr>
          <w:rFonts w:hint="eastAsia"/>
          <w:lang w:val="zh-CN"/>
        </w:rPr>
        <w:t>电子邮件：</w:t>
      </w:r>
      <w:r>
        <w:rPr>
          <w:rFonts w:hint="eastAsia"/>
          <w:lang w:val="zh-CN"/>
        </w:rPr>
        <w:fldChar w:fldCharType="begin"/>
      </w:r>
      <w:r>
        <w:rPr>
          <w:rFonts w:hint="eastAsia"/>
          <w:lang w:val="zh-CN"/>
        </w:rPr>
        <w:instrText xml:space="preserve"> HYPERLINK "mailto:scqxzb@163.com" </w:instrText>
      </w:r>
      <w:r>
        <w:rPr>
          <w:rFonts w:hint="eastAsia"/>
          <w:lang w:val="zh-CN"/>
        </w:rPr>
        <w:fldChar w:fldCharType="separate"/>
      </w:r>
      <w:r>
        <w:rPr>
          <w:rFonts w:hint="eastAsia"/>
          <w:lang w:val="zh-CN"/>
        </w:rPr>
        <w:t>scyh1211@163.com</w:t>
      </w:r>
      <w:r>
        <w:rPr>
          <w:rFonts w:hint="eastAsia"/>
          <w:lang w:val="zh-CN"/>
        </w:rPr>
        <w:fldChar w:fldCharType="end"/>
      </w:r>
    </w:p>
    <w:p>
      <w:pPr>
        <w:pStyle w:val="54"/>
        <w:spacing w:before="120" w:after="120"/>
      </w:pPr>
      <w:r>
        <w:rPr>
          <w:rFonts w:hint="eastAsia"/>
        </w:rPr>
        <w:br w:type="page"/>
      </w:r>
      <w:bookmarkEnd w:id="8"/>
      <w:bookmarkEnd w:id="9"/>
      <w:bookmarkEnd w:id="10"/>
      <w:bookmarkEnd w:id="11"/>
      <w:bookmarkEnd w:id="12"/>
      <w:bookmarkStart w:id="14" w:name="_Toc7416"/>
      <w:bookmarkStart w:id="15" w:name="_Toc25668"/>
      <w:bookmarkStart w:id="16" w:name="_Toc30888"/>
      <w:bookmarkStart w:id="17" w:name="_Toc9051"/>
      <w:bookmarkStart w:id="18" w:name="_Toc2482"/>
      <w:r>
        <w:rPr>
          <w:rFonts w:hint="eastAsia"/>
        </w:rPr>
        <w:t>投标人须知</w:t>
      </w:r>
      <w:bookmarkEnd w:id="14"/>
      <w:bookmarkEnd w:id="15"/>
      <w:bookmarkEnd w:id="16"/>
      <w:bookmarkEnd w:id="17"/>
      <w:bookmarkEnd w:id="18"/>
    </w:p>
    <w:p>
      <w:pPr>
        <w:pStyle w:val="49"/>
        <w:spacing w:before="120" w:after="120"/>
      </w:pPr>
      <w:bookmarkStart w:id="19" w:name="_Toc213397010"/>
      <w:bookmarkStart w:id="20" w:name="_Toc213396760"/>
      <w:bookmarkStart w:id="21" w:name="_Toc14035"/>
      <w:bookmarkStart w:id="22" w:name="_Toc6734"/>
      <w:bookmarkStart w:id="23" w:name="_Toc217446032"/>
      <w:bookmarkStart w:id="24" w:name="_Toc10820"/>
      <w:bookmarkStart w:id="25" w:name="_Toc28824"/>
      <w:bookmarkStart w:id="26" w:name="_Toc189727030"/>
      <w:bookmarkStart w:id="27" w:name="_Toc31215"/>
      <w:bookmarkStart w:id="28" w:name="_Toc213496268"/>
      <w:bookmarkStart w:id="29" w:name="_Toc213396946"/>
      <w:bookmarkStart w:id="30" w:name="_Toc327196261"/>
      <w:r>
        <w:rPr>
          <w:rFonts w:hint="eastAsia"/>
        </w:rPr>
        <w:t>投标人须知前附表</w:t>
      </w:r>
      <w:bookmarkEnd w:id="19"/>
      <w:bookmarkEnd w:id="20"/>
      <w:bookmarkEnd w:id="21"/>
      <w:bookmarkEnd w:id="22"/>
      <w:bookmarkEnd w:id="23"/>
      <w:bookmarkEnd w:id="24"/>
      <w:bookmarkEnd w:id="25"/>
      <w:bookmarkEnd w:id="26"/>
      <w:bookmarkEnd w:id="27"/>
      <w:bookmarkEnd w:id="28"/>
      <w:bookmarkEnd w:id="29"/>
      <w:bookmarkEnd w:id="30"/>
    </w:p>
    <w:tbl>
      <w:tblPr>
        <w:tblStyle w:val="26"/>
        <w:tblW w:w="9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0"/>
        <w:gridCol w:w="1839"/>
        <w:gridCol w:w="7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atLeast"/>
          <w:tblHeader/>
          <w:jc w:val="center"/>
        </w:trPr>
        <w:tc>
          <w:tcPr>
            <w:tcW w:w="570" w:type="dxa"/>
            <w:vAlign w:val="center"/>
          </w:tcPr>
          <w:p>
            <w:pPr>
              <w:pStyle w:val="51"/>
              <w:rPr>
                <w:b/>
                <w:bCs/>
                <w:lang w:val="zh-CN"/>
              </w:rPr>
            </w:pPr>
            <w:bookmarkStart w:id="31" w:name="_Toc327196262"/>
            <w:r>
              <w:rPr>
                <w:rFonts w:hint="eastAsia"/>
                <w:b/>
                <w:bCs/>
                <w:lang w:val="zh-CN"/>
              </w:rPr>
              <w:t>序号</w:t>
            </w:r>
          </w:p>
        </w:tc>
        <w:tc>
          <w:tcPr>
            <w:tcW w:w="1839" w:type="dxa"/>
            <w:vAlign w:val="center"/>
          </w:tcPr>
          <w:p>
            <w:pPr>
              <w:pStyle w:val="51"/>
              <w:rPr>
                <w:b/>
                <w:bCs/>
                <w:lang w:val="zh-CN"/>
              </w:rPr>
            </w:pPr>
            <w:r>
              <w:rPr>
                <w:rFonts w:hint="eastAsia"/>
                <w:b/>
                <w:bCs/>
              </w:rPr>
              <w:t>条款名称</w:t>
            </w:r>
          </w:p>
        </w:tc>
        <w:tc>
          <w:tcPr>
            <w:tcW w:w="7435" w:type="dxa"/>
            <w:vAlign w:val="center"/>
          </w:tcPr>
          <w:p>
            <w:pPr>
              <w:pStyle w:val="51"/>
              <w:ind w:left="60" w:leftChars="25" w:right="60" w:rightChars="25"/>
              <w:rPr>
                <w:b/>
                <w:bCs/>
                <w:lang w:val="zh-CN"/>
              </w:rPr>
            </w:pPr>
            <w:r>
              <w:rPr>
                <w:rFonts w:hint="eastAsia"/>
                <w:b/>
                <w:bCs/>
                <w:lang w:val="zh-CN"/>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51"/>
              <w:numPr>
                <w:ilvl w:val="0"/>
                <w:numId w:val="9"/>
              </w:numPr>
              <w:rPr>
                <w:lang w:val="zh-CN"/>
              </w:rPr>
            </w:pPr>
          </w:p>
        </w:tc>
        <w:tc>
          <w:tcPr>
            <w:tcW w:w="1839" w:type="dxa"/>
            <w:vAlign w:val="center"/>
          </w:tcPr>
          <w:p>
            <w:pPr>
              <w:pStyle w:val="51"/>
              <w:rPr>
                <w:highlight w:val="none"/>
              </w:rPr>
            </w:pPr>
            <w:r>
              <w:rPr>
                <w:rFonts w:hint="eastAsia"/>
                <w:highlight w:val="none"/>
              </w:rPr>
              <w:t>采购预算、报价要求</w:t>
            </w:r>
          </w:p>
          <w:p>
            <w:pPr>
              <w:pStyle w:val="51"/>
              <w:rPr>
                <w:highlight w:val="none"/>
                <w:lang w:val="zh-CN"/>
              </w:rPr>
            </w:pPr>
            <w:r>
              <w:rPr>
                <w:rFonts w:hint="eastAsia"/>
                <w:highlight w:val="none"/>
              </w:rPr>
              <w:t>(实质性要求)</w:t>
            </w:r>
          </w:p>
        </w:tc>
        <w:tc>
          <w:tcPr>
            <w:tcW w:w="7435" w:type="dxa"/>
            <w:vAlign w:val="center"/>
          </w:tcPr>
          <w:p>
            <w:pPr>
              <w:pStyle w:val="47"/>
              <w:numPr>
                <w:ilvl w:val="0"/>
                <w:numId w:val="10"/>
              </w:numPr>
              <w:tabs>
                <w:tab w:val="clear" w:pos="312"/>
              </w:tabs>
              <w:ind w:left="60" w:leftChars="25" w:right="60" w:rightChars="25"/>
              <w:rPr>
                <w:highlight w:val="none"/>
              </w:rPr>
            </w:pPr>
            <w:r>
              <w:rPr>
                <w:rFonts w:hint="eastAsia"/>
                <w:highlight w:val="none"/>
                <w:lang w:val="zh-CN"/>
              </w:rPr>
              <w:t>本项目</w:t>
            </w:r>
            <w:r>
              <w:rPr>
                <w:rFonts w:hint="eastAsia"/>
                <w:highlight w:val="none"/>
              </w:rPr>
              <w:t>采购</w:t>
            </w:r>
            <w:r>
              <w:rPr>
                <w:rFonts w:hint="eastAsia"/>
                <w:highlight w:val="none"/>
                <w:lang w:val="zh-CN"/>
              </w:rPr>
              <w:t>预算为</w:t>
            </w:r>
            <w:r>
              <w:rPr>
                <w:rFonts w:hint="eastAsia"/>
                <w:highlight w:val="none"/>
              </w:rPr>
              <w:t>人民币</w:t>
            </w:r>
            <w:r>
              <w:rPr>
                <w:rFonts w:hint="eastAsia"/>
                <w:highlight w:val="none"/>
                <w:lang w:val="en-US" w:eastAsia="zh-CN"/>
              </w:rPr>
              <w:t>8800000</w:t>
            </w:r>
            <w:r>
              <w:rPr>
                <w:rFonts w:hint="eastAsia"/>
                <w:highlight w:val="none"/>
                <w:lang w:val="zh-CN"/>
              </w:rPr>
              <w:t>元，</w:t>
            </w:r>
            <w:r>
              <w:rPr>
                <w:rFonts w:hint="eastAsia"/>
                <w:highlight w:val="none"/>
              </w:rPr>
              <w:t>分包预算为：</w:t>
            </w:r>
          </w:p>
          <w:p>
            <w:pPr>
              <w:pStyle w:val="47"/>
              <w:numPr>
                <w:ilvl w:val="0"/>
                <w:numId w:val="11"/>
              </w:numPr>
              <w:tabs>
                <w:tab w:val="clear" w:pos="312"/>
              </w:tabs>
              <w:ind w:left="60" w:leftChars="25" w:right="60" w:rightChars="25"/>
              <w:rPr>
                <w:highlight w:val="none"/>
                <w:lang w:val="zh-CN"/>
              </w:rPr>
            </w:pPr>
            <w:r>
              <w:rPr>
                <w:rFonts w:hint="eastAsia"/>
                <w:highlight w:val="none"/>
                <w:lang w:val="zh-CN"/>
              </w:rPr>
              <w:t>第一包</w:t>
            </w:r>
            <w:r>
              <w:rPr>
                <w:rFonts w:hint="eastAsia"/>
                <w:highlight w:val="none"/>
              </w:rPr>
              <w:t>预算</w:t>
            </w:r>
            <w:r>
              <w:rPr>
                <w:rFonts w:hint="eastAsia"/>
                <w:highlight w:val="none"/>
                <w:lang w:val="zh-CN"/>
              </w:rPr>
              <w:t>为</w:t>
            </w:r>
            <w:r>
              <w:rPr>
                <w:rFonts w:hint="eastAsia"/>
                <w:color w:val="auto"/>
                <w:highlight w:val="none"/>
                <w:lang w:val="en-US" w:eastAsia="zh-CN"/>
              </w:rPr>
              <w:t>2433056</w:t>
            </w:r>
            <w:r>
              <w:rPr>
                <w:rFonts w:hint="eastAsia"/>
                <w:highlight w:val="none"/>
                <w:lang w:val="zh-CN"/>
              </w:rPr>
              <w:t>元；</w:t>
            </w:r>
          </w:p>
          <w:p>
            <w:pPr>
              <w:pStyle w:val="47"/>
              <w:numPr>
                <w:ilvl w:val="0"/>
                <w:numId w:val="11"/>
              </w:numPr>
              <w:tabs>
                <w:tab w:val="clear" w:pos="312"/>
              </w:tabs>
              <w:ind w:left="60" w:leftChars="25" w:right="60" w:rightChars="25"/>
              <w:rPr>
                <w:highlight w:val="none"/>
              </w:rPr>
            </w:pPr>
            <w:r>
              <w:rPr>
                <w:rFonts w:hint="eastAsia"/>
                <w:highlight w:val="none"/>
                <w:lang w:val="zh-CN"/>
              </w:rPr>
              <w:t>第二包</w:t>
            </w:r>
            <w:r>
              <w:rPr>
                <w:rFonts w:hint="eastAsia"/>
                <w:highlight w:val="none"/>
              </w:rPr>
              <w:t>预算</w:t>
            </w:r>
            <w:r>
              <w:rPr>
                <w:rFonts w:hint="eastAsia"/>
                <w:highlight w:val="none"/>
                <w:lang w:val="zh-CN"/>
              </w:rPr>
              <w:t>为</w:t>
            </w:r>
            <w:r>
              <w:rPr>
                <w:rFonts w:hint="eastAsia"/>
                <w:color w:val="auto"/>
                <w:highlight w:val="none"/>
                <w:lang w:val="en-US" w:eastAsia="zh-CN"/>
              </w:rPr>
              <w:t>2561814</w:t>
            </w:r>
            <w:r>
              <w:rPr>
                <w:rFonts w:hint="eastAsia"/>
                <w:highlight w:val="none"/>
                <w:lang w:val="zh-CN"/>
              </w:rPr>
              <w:t>元；</w:t>
            </w:r>
          </w:p>
          <w:p>
            <w:pPr>
              <w:pStyle w:val="47"/>
              <w:numPr>
                <w:ilvl w:val="0"/>
                <w:numId w:val="11"/>
              </w:numPr>
              <w:tabs>
                <w:tab w:val="clear" w:pos="312"/>
              </w:tabs>
              <w:ind w:left="60" w:leftChars="25" w:right="60" w:rightChars="25"/>
              <w:rPr>
                <w:highlight w:val="none"/>
              </w:rPr>
            </w:pPr>
            <w:r>
              <w:rPr>
                <w:rFonts w:hint="eastAsia"/>
                <w:highlight w:val="none"/>
                <w:lang w:val="zh-CN"/>
              </w:rPr>
              <w:t>第三包</w:t>
            </w:r>
            <w:r>
              <w:rPr>
                <w:rFonts w:hint="eastAsia"/>
                <w:highlight w:val="none"/>
              </w:rPr>
              <w:t>预算</w:t>
            </w:r>
            <w:r>
              <w:rPr>
                <w:rFonts w:hint="eastAsia"/>
                <w:highlight w:val="none"/>
                <w:lang w:val="zh-CN"/>
              </w:rPr>
              <w:t>为</w:t>
            </w:r>
            <w:r>
              <w:rPr>
                <w:rFonts w:hint="eastAsia"/>
                <w:color w:val="auto"/>
                <w:highlight w:val="none"/>
                <w:lang w:val="en-US" w:eastAsia="zh-CN"/>
              </w:rPr>
              <w:t>3005130</w:t>
            </w:r>
            <w:r>
              <w:rPr>
                <w:rFonts w:hint="eastAsia"/>
                <w:highlight w:val="none"/>
                <w:lang w:val="zh-CN"/>
              </w:rPr>
              <w:t>元</w:t>
            </w:r>
            <w:r>
              <w:rPr>
                <w:rFonts w:hint="eastAsia"/>
                <w:highlight w:val="none"/>
                <w:lang w:val="zh-CN" w:eastAsia="zh-CN"/>
              </w:rPr>
              <w:t>；</w:t>
            </w:r>
          </w:p>
          <w:p>
            <w:pPr>
              <w:pStyle w:val="47"/>
              <w:numPr>
                <w:ilvl w:val="0"/>
                <w:numId w:val="11"/>
              </w:numPr>
              <w:tabs>
                <w:tab w:val="clear" w:pos="312"/>
              </w:tabs>
              <w:ind w:left="60" w:leftChars="25" w:right="60" w:rightChars="25"/>
              <w:rPr>
                <w:highlight w:val="none"/>
              </w:rPr>
            </w:pPr>
            <w:r>
              <w:rPr>
                <w:rFonts w:hint="eastAsia"/>
                <w:highlight w:val="none"/>
                <w:lang w:val="zh-CN" w:eastAsia="zh-CN"/>
              </w:rPr>
              <w:t>第四包预算为</w:t>
            </w:r>
            <w:r>
              <w:rPr>
                <w:rFonts w:hint="eastAsia"/>
                <w:highlight w:val="none"/>
                <w:lang w:val="en-US" w:eastAsia="zh-CN"/>
              </w:rPr>
              <w:t>400000元；</w:t>
            </w:r>
          </w:p>
          <w:p>
            <w:pPr>
              <w:pStyle w:val="47"/>
              <w:numPr>
                <w:ilvl w:val="0"/>
                <w:numId w:val="11"/>
              </w:numPr>
              <w:tabs>
                <w:tab w:val="clear" w:pos="312"/>
              </w:tabs>
              <w:ind w:left="60" w:leftChars="25" w:right="60" w:rightChars="25"/>
              <w:rPr>
                <w:highlight w:val="none"/>
              </w:rPr>
            </w:pPr>
            <w:r>
              <w:rPr>
                <w:rFonts w:hint="eastAsia"/>
                <w:highlight w:val="none"/>
                <w:lang w:val="en-US" w:eastAsia="zh-CN"/>
              </w:rPr>
              <w:t>第五包预算为400000元；</w:t>
            </w:r>
          </w:p>
          <w:p>
            <w:pPr>
              <w:pStyle w:val="47"/>
              <w:ind w:left="60" w:leftChars="25" w:right="60" w:rightChars="25"/>
              <w:rPr>
                <w:highlight w:val="none"/>
              </w:rPr>
            </w:pPr>
            <w:r>
              <w:rPr>
                <w:rFonts w:hint="eastAsia"/>
                <w:highlight w:val="none"/>
              </w:rPr>
              <w:t>2.</w:t>
            </w:r>
            <w:r>
              <w:rPr>
                <w:rFonts w:hint="eastAsia"/>
                <w:highlight w:val="none"/>
                <w:lang w:val="zh-CN"/>
              </w:rPr>
              <w:t>本项目</w:t>
            </w:r>
            <w:r>
              <w:rPr>
                <w:rFonts w:hint="eastAsia"/>
                <w:highlight w:val="none"/>
              </w:rPr>
              <w:t>第一包</w:t>
            </w:r>
            <w:r>
              <w:rPr>
                <w:rFonts w:hint="eastAsia"/>
                <w:highlight w:val="none"/>
                <w:lang w:eastAsia="zh-CN"/>
              </w:rPr>
              <w:t>、第二包、第</w:t>
            </w:r>
            <w:r>
              <w:rPr>
                <w:rFonts w:hint="eastAsia"/>
                <w:highlight w:val="none"/>
                <w:lang w:val="en-US" w:eastAsia="zh-CN"/>
              </w:rPr>
              <w:t>三</w:t>
            </w:r>
            <w:r>
              <w:rPr>
                <w:rFonts w:hint="eastAsia"/>
                <w:highlight w:val="none"/>
                <w:lang w:eastAsia="zh-CN"/>
              </w:rPr>
              <w:t>包</w:t>
            </w:r>
            <w:r>
              <w:rPr>
                <w:rFonts w:hint="eastAsia"/>
                <w:highlight w:val="none"/>
              </w:rPr>
              <w:t>投标报价不得超过招标文件规定的单价最高限价，第</w:t>
            </w:r>
            <w:r>
              <w:rPr>
                <w:rFonts w:hint="eastAsia"/>
                <w:highlight w:val="none"/>
                <w:lang w:val="en-US" w:eastAsia="zh-CN"/>
              </w:rPr>
              <w:t>四</w:t>
            </w:r>
            <w:r>
              <w:rPr>
                <w:rFonts w:hint="eastAsia"/>
                <w:highlight w:val="none"/>
              </w:rPr>
              <w:t>包、第</w:t>
            </w:r>
            <w:r>
              <w:rPr>
                <w:rFonts w:hint="eastAsia"/>
                <w:highlight w:val="none"/>
                <w:lang w:val="en-US" w:eastAsia="zh-CN"/>
              </w:rPr>
              <w:t>五</w:t>
            </w:r>
            <w:r>
              <w:rPr>
                <w:rFonts w:hint="eastAsia"/>
                <w:highlight w:val="none"/>
              </w:rPr>
              <w:t>包投标报价</w:t>
            </w:r>
            <w:r>
              <w:rPr>
                <w:rFonts w:hint="eastAsia"/>
                <w:highlight w:val="none"/>
                <w:lang w:val="zh-CN"/>
              </w:rPr>
              <w:t>不</w:t>
            </w:r>
            <w:r>
              <w:rPr>
                <w:rFonts w:hint="eastAsia"/>
                <w:highlight w:val="none"/>
              </w:rPr>
              <w:t>得</w:t>
            </w:r>
            <w:r>
              <w:rPr>
                <w:rFonts w:hint="eastAsia"/>
                <w:highlight w:val="none"/>
                <w:lang w:val="zh-CN"/>
              </w:rPr>
              <w:t>超过</w:t>
            </w:r>
            <w:r>
              <w:rPr>
                <w:rFonts w:hint="eastAsia"/>
                <w:highlight w:val="none"/>
              </w:rPr>
              <w:t>各包所对应的采购</w:t>
            </w:r>
            <w:r>
              <w:rPr>
                <w:rFonts w:hint="eastAsia"/>
                <w:highlight w:val="none"/>
                <w:lang w:val="zh-CN"/>
              </w:rPr>
              <w:t>预算，</w:t>
            </w:r>
            <w:r>
              <w:rPr>
                <w:rFonts w:hint="eastAsia"/>
                <w:highlight w:val="none"/>
              </w:rPr>
              <w:t>否则将被视为无效投标。</w:t>
            </w:r>
          </w:p>
          <w:p>
            <w:pPr>
              <w:pStyle w:val="47"/>
              <w:ind w:left="60" w:leftChars="25" w:right="60" w:rightChars="25"/>
              <w:rPr>
                <w:highlight w:val="none"/>
              </w:rPr>
            </w:pPr>
            <w:r>
              <w:rPr>
                <w:rFonts w:hint="eastAsia"/>
                <w:highlight w:val="none"/>
              </w:rPr>
              <w:t>3.其他报价要求详见第二章“本次招标报价要求”的规定。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51"/>
              <w:numPr>
                <w:ilvl w:val="0"/>
                <w:numId w:val="9"/>
              </w:numPr>
              <w:rPr>
                <w:lang w:val="zh-CN"/>
              </w:rPr>
            </w:pPr>
          </w:p>
        </w:tc>
        <w:tc>
          <w:tcPr>
            <w:tcW w:w="1839" w:type="dxa"/>
            <w:vAlign w:val="center"/>
          </w:tcPr>
          <w:p>
            <w:pPr>
              <w:pStyle w:val="51"/>
              <w:ind w:left="24" w:leftChars="10" w:right="24" w:rightChars="10"/>
              <w:rPr>
                <w:lang w:val="zh-CN"/>
              </w:rPr>
            </w:pPr>
            <w:r>
              <w:rPr>
                <w:rFonts w:hint="eastAsia"/>
              </w:rPr>
              <w:t>本项目所属行业</w:t>
            </w:r>
          </w:p>
        </w:tc>
        <w:tc>
          <w:tcPr>
            <w:tcW w:w="7435" w:type="dxa"/>
            <w:vAlign w:val="center"/>
          </w:tcPr>
          <w:p>
            <w:pPr>
              <w:pStyle w:val="47"/>
              <w:ind w:left="60" w:leftChars="25" w:right="60" w:rightChars="25"/>
            </w:pPr>
            <w:r>
              <w:rPr>
                <w:rFonts w:hint="eastAsia"/>
              </w:rPr>
              <w:t>本项目所属行业为</w:t>
            </w:r>
            <w:r>
              <w:rPr>
                <w:rFonts w:hint="eastAsia"/>
                <w:u w:val="single"/>
              </w:rPr>
              <w:t>其他未列明行</w:t>
            </w:r>
            <w:r>
              <w:rPr>
                <w:rFonts w:hint="eastAsia"/>
              </w:rPr>
              <w:t>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jc w:val="center"/>
        </w:trPr>
        <w:tc>
          <w:tcPr>
            <w:tcW w:w="570" w:type="dxa"/>
            <w:vAlign w:val="center"/>
          </w:tcPr>
          <w:p>
            <w:pPr>
              <w:pStyle w:val="51"/>
              <w:numPr>
                <w:ilvl w:val="0"/>
                <w:numId w:val="9"/>
              </w:numPr>
              <w:rPr>
                <w:lang w:val="zh-CN"/>
              </w:rPr>
            </w:pPr>
          </w:p>
        </w:tc>
        <w:tc>
          <w:tcPr>
            <w:tcW w:w="1839" w:type="dxa"/>
            <w:vAlign w:val="center"/>
          </w:tcPr>
          <w:p>
            <w:pPr>
              <w:pStyle w:val="51"/>
              <w:rPr>
                <w:lang w:val="zh-CN"/>
              </w:rPr>
            </w:pPr>
            <w:r>
              <w:rPr>
                <w:rFonts w:hint="eastAsia"/>
                <w:lang w:val="zh-CN"/>
              </w:rPr>
              <w:t>定向采购</w:t>
            </w:r>
          </w:p>
        </w:tc>
        <w:tc>
          <w:tcPr>
            <w:tcW w:w="7435" w:type="dxa"/>
            <w:vAlign w:val="center"/>
          </w:tcPr>
          <w:p>
            <w:pPr>
              <w:pStyle w:val="47"/>
              <w:ind w:left="60" w:leftChars="25" w:right="60" w:rightChars="25"/>
            </w:pPr>
            <w:r>
              <w:rPr>
                <w:rFonts w:hint="eastAsia"/>
              </w:rPr>
              <w:t>本项</w:t>
            </w:r>
            <w:r>
              <w:rPr>
                <w:rFonts w:hint="eastAsia"/>
                <w:highlight w:val="none"/>
              </w:rPr>
              <w:t>目为</w:t>
            </w:r>
            <w:r>
              <w:rPr>
                <w:rFonts w:hint="eastAsia"/>
                <w:highlight w:val="none"/>
                <w:lang w:val="zh-CN"/>
              </w:rPr>
              <w:t>非专</w:t>
            </w:r>
            <w:r>
              <w:rPr>
                <w:rFonts w:hint="eastAsia"/>
                <w:lang w:val="zh-CN"/>
              </w:rPr>
              <w:t>门面向中小</w:t>
            </w:r>
            <w:r>
              <w:rPr>
                <w:rFonts w:hint="eastAsia"/>
              </w:rPr>
              <w:t>微</w:t>
            </w:r>
            <w:r>
              <w:rPr>
                <w:rFonts w:hint="eastAsia"/>
                <w:lang w:val="zh-CN"/>
              </w:rPr>
              <w:t>企业</w:t>
            </w:r>
            <w:r>
              <w:rPr>
                <w:rFonts w:hint="eastAsia"/>
              </w:rPr>
              <w:t>采购</w:t>
            </w:r>
            <w:r>
              <w:rPr>
                <w:rFonts w:hint="eastAsia"/>
                <w:lang w:val="zh-CN"/>
              </w:rPr>
              <w:t>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rPr>
                <w:lang w:val="zh-CN"/>
              </w:rPr>
            </w:pPr>
          </w:p>
        </w:tc>
        <w:tc>
          <w:tcPr>
            <w:tcW w:w="1839" w:type="dxa"/>
            <w:vAlign w:val="center"/>
          </w:tcPr>
          <w:p>
            <w:pPr>
              <w:pStyle w:val="51"/>
              <w:rPr>
                <w:lang w:val="zh-CN"/>
              </w:rPr>
            </w:pPr>
            <w:r>
              <w:rPr>
                <w:rFonts w:hint="eastAsia"/>
                <w:lang w:val="zh-CN"/>
              </w:rPr>
              <w:t>采购方式</w:t>
            </w:r>
          </w:p>
        </w:tc>
        <w:tc>
          <w:tcPr>
            <w:tcW w:w="7435" w:type="dxa"/>
            <w:vAlign w:val="center"/>
          </w:tcPr>
          <w:p>
            <w:pPr>
              <w:pStyle w:val="47"/>
              <w:ind w:left="60" w:leftChars="25" w:right="60" w:rightChars="25"/>
              <w:rPr>
                <w:lang w:val="zh-CN"/>
              </w:rPr>
            </w:pPr>
            <w:r>
              <w:rPr>
                <w:rFonts w:hint="eastAsia"/>
                <w:lang w:val="zh-CN"/>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rPr>
                <w:lang w:val="zh-CN"/>
              </w:rPr>
            </w:pPr>
          </w:p>
        </w:tc>
        <w:tc>
          <w:tcPr>
            <w:tcW w:w="1839" w:type="dxa"/>
            <w:vAlign w:val="center"/>
          </w:tcPr>
          <w:p>
            <w:pPr>
              <w:pStyle w:val="51"/>
              <w:rPr>
                <w:lang w:val="zh-CN"/>
              </w:rPr>
            </w:pPr>
            <w:r>
              <w:rPr>
                <w:rFonts w:hint="eastAsia"/>
                <w:lang w:val="zh-CN"/>
              </w:rPr>
              <w:t>评标方法</w:t>
            </w:r>
          </w:p>
        </w:tc>
        <w:tc>
          <w:tcPr>
            <w:tcW w:w="7435" w:type="dxa"/>
            <w:vAlign w:val="center"/>
          </w:tcPr>
          <w:p>
            <w:pPr>
              <w:pStyle w:val="47"/>
              <w:ind w:left="60" w:leftChars="25" w:right="60" w:rightChars="25"/>
              <w:rPr>
                <w:lang w:val="zh-CN"/>
              </w:rPr>
            </w:pPr>
            <w:r>
              <w:rPr>
                <w:rFonts w:hint="eastAsia"/>
                <w:lang w:val="zh-CN"/>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rPr>
                <w:lang w:val="zh-CN"/>
              </w:rPr>
            </w:pPr>
          </w:p>
        </w:tc>
        <w:tc>
          <w:tcPr>
            <w:tcW w:w="1839" w:type="dxa"/>
            <w:vAlign w:val="center"/>
          </w:tcPr>
          <w:p>
            <w:pPr>
              <w:pStyle w:val="51"/>
            </w:pPr>
            <w:r>
              <w:rPr>
                <w:rFonts w:hint="eastAsia"/>
              </w:rPr>
              <w:t>联合体投标</w:t>
            </w:r>
          </w:p>
          <w:p>
            <w:pPr>
              <w:pStyle w:val="51"/>
              <w:rPr>
                <w:lang w:val="zh-CN"/>
              </w:rPr>
            </w:pPr>
            <w:r>
              <w:rPr>
                <w:rFonts w:hint="eastAsia"/>
              </w:rPr>
              <w:t>(实质性要求)</w:t>
            </w:r>
          </w:p>
        </w:tc>
        <w:tc>
          <w:tcPr>
            <w:tcW w:w="7435" w:type="dxa"/>
            <w:vAlign w:val="center"/>
          </w:tcPr>
          <w:p>
            <w:pPr>
              <w:pStyle w:val="47"/>
              <w:ind w:left="60" w:leftChars="25" w:right="60" w:rightChars="25"/>
              <w:rPr>
                <w:lang w:val="zh-CN"/>
              </w:rPr>
            </w:pPr>
            <w:r>
              <w:rPr>
                <w:rFonts w:hint="eastAsia"/>
              </w:rPr>
              <w:t>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rPr>
                <w:lang w:val="zh-CN"/>
              </w:rPr>
            </w:pPr>
          </w:p>
        </w:tc>
        <w:tc>
          <w:tcPr>
            <w:tcW w:w="1839" w:type="dxa"/>
            <w:vAlign w:val="center"/>
          </w:tcPr>
          <w:p>
            <w:pPr>
              <w:pStyle w:val="51"/>
            </w:pPr>
            <w:r>
              <w:rPr>
                <w:rFonts w:hint="eastAsia"/>
              </w:rPr>
              <w:t>投标有效期</w:t>
            </w:r>
          </w:p>
          <w:p>
            <w:pPr>
              <w:pStyle w:val="51"/>
              <w:rPr>
                <w:lang w:val="zh-CN"/>
              </w:rPr>
            </w:pPr>
            <w:r>
              <w:rPr>
                <w:rFonts w:hint="eastAsia"/>
              </w:rPr>
              <w:t>(实质性要求)</w:t>
            </w:r>
          </w:p>
        </w:tc>
        <w:tc>
          <w:tcPr>
            <w:tcW w:w="7435" w:type="dxa"/>
            <w:vAlign w:val="center"/>
          </w:tcPr>
          <w:p>
            <w:pPr>
              <w:pStyle w:val="47"/>
              <w:ind w:left="60" w:leftChars="25" w:right="60" w:rightChars="25"/>
              <w:rPr>
                <w:lang w:val="zh-CN"/>
              </w:rPr>
            </w:pPr>
            <w:r>
              <w:rPr>
                <w:rFonts w:hint="eastAsia"/>
              </w:rPr>
              <w:t>提交投标文件的截止之日起90日。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rPr>
                <w:lang w:val="zh-CN"/>
              </w:rPr>
            </w:pPr>
          </w:p>
        </w:tc>
        <w:tc>
          <w:tcPr>
            <w:tcW w:w="1839" w:type="dxa"/>
            <w:vAlign w:val="center"/>
          </w:tcPr>
          <w:p>
            <w:pPr>
              <w:pStyle w:val="51"/>
              <w:rPr>
                <w:lang w:val="zh-CN"/>
              </w:rPr>
            </w:pPr>
            <w:r>
              <w:rPr>
                <w:rFonts w:hint="eastAsia"/>
              </w:rPr>
              <w:t>备选投标方案和报价(实质性要求)</w:t>
            </w:r>
          </w:p>
        </w:tc>
        <w:tc>
          <w:tcPr>
            <w:tcW w:w="7435" w:type="dxa"/>
            <w:vAlign w:val="center"/>
          </w:tcPr>
          <w:p>
            <w:pPr>
              <w:pStyle w:val="47"/>
              <w:ind w:left="60" w:leftChars="25" w:right="60" w:rightChars="25"/>
              <w:rPr>
                <w:lang w:val="zh-CN"/>
              </w:rPr>
            </w:pPr>
            <w:r>
              <w:rPr>
                <w:rFonts w:hint="eastAsia"/>
              </w:rPr>
              <w:t>本项目不接受备选投标方案和多个报价。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pPr>
          </w:p>
        </w:tc>
        <w:tc>
          <w:tcPr>
            <w:tcW w:w="1839" w:type="dxa"/>
            <w:vAlign w:val="center"/>
          </w:tcPr>
          <w:p>
            <w:pPr>
              <w:pStyle w:val="51"/>
            </w:pPr>
            <w:r>
              <w:rPr>
                <w:rFonts w:hint="eastAsia"/>
              </w:rPr>
              <w:t>质量要求、履约验收</w:t>
            </w:r>
          </w:p>
          <w:p>
            <w:pPr>
              <w:pStyle w:val="51"/>
            </w:pPr>
            <w:r>
              <w:rPr>
                <w:rFonts w:hint="eastAsia"/>
              </w:rPr>
              <w:t>(实质性要求)</w:t>
            </w:r>
          </w:p>
        </w:tc>
        <w:tc>
          <w:tcPr>
            <w:tcW w:w="7435" w:type="dxa"/>
            <w:vAlign w:val="center"/>
          </w:tcPr>
          <w:p>
            <w:pPr>
              <w:pStyle w:val="47"/>
              <w:ind w:left="60" w:leftChars="25" w:right="60" w:rightChars="25"/>
            </w:pPr>
            <w:r>
              <w:rPr>
                <w:rFonts w:hint="eastAsia"/>
              </w:rPr>
              <w:t>1.质量要求：符合国家相关标准、行业标准、地方标准或者其他标准、规范要求；</w:t>
            </w:r>
          </w:p>
          <w:p>
            <w:pPr>
              <w:pStyle w:val="47"/>
              <w:ind w:left="60" w:leftChars="25" w:right="60" w:rightChars="25"/>
            </w:pPr>
            <w:r>
              <w:rPr>
                <w:rFonts w:hint="eastAsia"/>
              </w:rPr>
              <w:t>2.履约验收：中标人与采购人应严格按照《财政部关于进一步加强政府采购需求和履约验收管理的指导意见》(财库〔2016〕205号)、</w:t>
            </w:r>
            <w:r>
              <w:rPr>
                <w:rFonts w:hint="eastAsia"/>
                <w:lang w:val="en-US" w:eastAsia="zh-CN"/>
              </w:rPr>
              <w:t>参照</w:t>
            </w:r>
            <w:r>
              <w:rPr>
                <w:rFonts w:hint="eastAsia"/>
              </w:rPr>
              <w:t>四川省财政厅《四川省政府采购项目需求论证和履约验收管理办法》(川财采〔2015〕32号)的要求进行验收。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pPr>
          </w:p>
        </w:tc>
        <w:tc>
          <w:tcPr>
            <w:tcW w:w="1839" w:type="dxa"/>
            <w:vAlign w:val="center"/>
          </w:tcPr>
          <w:p>
            <w:pPr>
              <w:pStyle w:val="51"/>
            </w:pPr>
            <w:r>
              <w:rPr>
                <w:rFonts w:hint="eastAsia"/>
              </w:rPr>
              <w:t>现场考察、标前</w:t>
            </w:r>
          </w:p>
          <w:p>
            <w:pPr>
              <w:pStyle w:val="51"/>
            </w:pPr>
            <w:r>
              <w:rPr>
                <w:rFonts w:hint="eastAsia"/>
              </w:rPr>
              <w:t>答疑会</w:t>
            </w:r>
          </w:p>
        </w:tc>
        <w:tc>
          <w:tcPr>
            <w:tcW w:w="7435" w:type="dxa"/>
            <w:vAlign w:val="center"/>
          </w:tcPr>
          <w:p>
            <w:pPr>
              <w:pStyle w:val="47"/>
              <w:ind w:left="60" w:leftChars="25" w:right="60" w:rightChars="25"/>
            </w:pPr>
            <w:r>
              <w:rPr>
                <w:rFonts w:hint="eastAsia"/>
              </w:rPr>
              <w:t>1.采购人、采购代理机构可以视采购项目的具体情况，组织投标人进行现场考察或开标前答疑会，但不得单独或分别组织只有一个投标人参加的现场考察和答疑会。若组织答疑会和现场考察以采购代理机构通知为准。</w:t>
            </w:r>
          </w:p>
          <w:p>
            <w:pPr>
              <w:pStyle w:val="47"/>
              <w:ind w:left="60" w:leftChars="25" w:right="60" w:rightChars="25"/>
            </w:pPr>
            <w:r>
              <w:rPr>
                <w:rFonts w:hint="eastAsia"/>
              </w:rPr>
              <w:t>2.投标人考察现场所发生的一切费用由投标人自行承担。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rPr>
                <w:lang w:val="zh-CN"/>
              </w:rPr>
            </w:pPr>
          </w:p>
        </w:tc>
        <w:tc>
          <w:tcPr>
            <w:tcW w:w="1839" w:type="dxa"/>
            <w:vAlign w:val="center"/>
          </w:tcPr>
          <w:p>
            <w:pPr>
              <w:pStyle w:val="51"/>
              <w:rPr>
                <w:lang w:val="zh-CN"/>
              </w:rPr>
            </w:pPr>
            <w:r>
              <w:rPr>
                <w:rFonts w:hint="eastAsia"/>
                <w:lang w:val="zh-CN"/>
              </w:rPr>
              <w:t>投标保证金</w:t>
            </w:r>
          </w:p>
        </w:tc>
        <w:tc>
          <w:tcPr>
            <w:tcW w:w="7435" w:type="dxa"/>
            <w:vAlign w:val="center"/>
          </w:tcPr>
          <w:p>
            <w:pPr>
              <w:pStyle w:val="47"/>
              <w:ind w:left="60" w:leftChars="25" w:right="60" w:rightChars="25"/>
              <w:rPr>
                <w:lang w:val="zh-CN"/>
              </w:rPr>
            </w:pPr>
            <w:r>
              <w:rPr>
                <w:rFonts w:hint="eastAsia"/>
              </w:rPr>
              <w:t>本项目不收取投标保证金。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rPr>
                <w:lang w:val="zh-CN"/>
              </w:rPr>
            </w:pPr>
          </w:p>
        </w:tc>
        <w:tc>
          <w:tcPr>
            <w:tcW w:w="1839" w:type="dxa"/>
            <w:vAlign w:val="center"/>
          </w:tcPr>
          <w:p>
            <w:pPr>
              <w:pStyle w:val="51"/>
            </w:pPr>
            <w:r>
              <w:rPr>
                <w:rFonts w:hint="eastAsia"/>
              </w:rPr>
              <w:t>低于成本价不正当竞争预防措施</w:t>
            </w:r>
          </w:p>
          <w:p>
            <w:pPr>
              <w:pStyle w:val="51"/>
              <w:rPr>
                <w:lang w:val="zh-CN"/>
              </w:rPr>
            </w:pPr>
            <w:r>
              <w:rPr>
                <w:rFonts w:hint="eastAsia"/>
              </w:rPr>
              <w:t>(实质性要求)</w:t>
            </w:r>
          </w:p>
        </w:tc>
        <w:tc>
          <w:tcPr>
            <w:tcW w:w="7435" w:type="dxa"/>
            <w:vAlign w:val="center"/>
          </w:tcPr>
          <w:p>
            <w:pPr>
              <w:pStyle w:val="47"/>
              <w:ind w:left="60" w:leftChars="25" w:right="60" w:rightChars="25"/>
            </w:pPr>
            <w:r>
              <w:rPr>
                <w:rFonts w:hint="eastAsia"/>
              </w:rPr>
              <w:t>1.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供应商书面说明应当按照国家财务会计制度的规定要求，逐项就供应商提供的货物、工程和服务的主营业务成本(应根据供应商企业类型予以区别)、税金及附加、销售费用、管理费用、财务费用等成本构成事项详细陈述[若投标文件未附财务报告的，则还需提供完整的财务状况报告(含三表一附注)]。</w:t>
            </w:r>
          </w:p>
          <w:p>
            <w:pPr>
              <w:pStyle w:val="47"/>
              <w:ind w:left="60" w:leftChars="25" w:right="60" w:rightChars="25"/>
            </w:pPr>
            <w:r>
              <w:rPr>
                <w:rFonts w:hint="eastAsia"/>
              </w:rPr>
              <w:t>2.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47"/>
              <w:ind w:left="60" w:leftChars="25" w:right="60" w:rightChars="25"/>
              <w:rPr>
                <w:highlight w:val="magenta"/>
              </w:rPr>
            </w:pPr>
            <w:r>
              <w:rPr>
                <w:rFonts w:hint="eastAsia"/>
              </w:rPr>
              <w:t>3.供应商提供书面说明后，评标委员会应当结合采购项目采购需求、专业实际情况、供应商财务状况报告、与其他供应商比较情况等就供应商书面说明进行审查评价。供应商拒绝或者变相拒绝(包括未在规定时间内提供的)提供有效书面说明或者书面说明不能证明其报价合理性的，评标委员会应当将其投标文件作为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pPr>
          </w:p>
        </w:tc>
        <w:tc>
          <w:tcPr>
            <w:tcW w:w="1839" w:type="dxa"/>
            <w:vAlign w:val="center"/>
          </w:tcPr>
          <w:p>
            <w:pPr>
              <w:pStyle w:val="51"/>
            </w:pPr>
            <w:r>
              <w:rPr>
                <w:rFonts w:hint="eastAsia"/>
              </w:rPr>
              <w:t>小微企业、监狱企业、残疾人福利性单位价格扣除和失信企业报价加成或者扣分</w:t>
            </w:r>
          </w:p>
          <w:p>
            <w:pPr>
              <w:pStyle w:val="51"/>
            </w:pPr>
            <w:r>
              <w:rPr>
                <w:rFonts w:hint="eastAsia"/>
              </w:rPr>
              <w:t>(实质性要求)</w:t>
            </w:r>
          </w:p>
        </w:tc>
        <w:tc>
          <w:tcPr>
            <w:tcW w:w="7435" w:type="dxa"/>
            <w:vAlign w:val="center"/>
          </w:tcPr>
          <w:p>
            <w:pPr>
              <w:pStyle w:val="47"/>
              <w:numPr>
                <w:ilvl w:val="0"/>
                <w:numId w:val="12"/>
              </w:numPr>
              <w:ind w:left="60" w:leftChars="25" w:right="60" w:rightChars="25"/>
            </w:pPr>
            <w:r>
              <w:rPr>
                <w:rFonts w:hint="eastAsia"/>
              </w:rPr>
              <w:t>政府采购促进中小企业发展政策</w:t>
            </w:r>
          </w:p>
          <w:p>
            <w:pPr>
              <w:pStyle w:val="47"/>
              <w:numPr>
                <w:ilvl w:val="0"/>
                <w:numId w:val="13"/>
              </w:numPr>
              <w:tabs>
                <w:tab w:val="clear" w:pos="312"/>
              </w:tabs>
              <w:ind w:left="60" w:leftChars="25" w:right="60" w:rightChars="25"/>
            </w:pPr>
            <w:r>
              <w:rPr>
                <w:rFonts w:hint="eastAsia"/>
                <w:b/>
                <w:bCs/>
              </w:rPr>
              <w:t>定义：</w:t>
            </w:r>
            <w:r>
              <w:rPr>
                <w:rFonts w:hint="eastAsia"/>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pStyle w:val="47"/>
              <w:numPr>
                <w:ilvl w:val="0"/>
                <w:numId w:val="13"/>
              </w:numPr>
              <w:tabs>
                <w:tab w:val="clear" w:pos="312"/>
              </w:tabs>
              <w:ind w:left="60" w:leftChars="25" w:right="60" w:rightChars="25"/>
            </w:pPr>
            <w:r>
              <w:rPr>
                <w:rFonts w:hint="eastAsia"/>
                <w:b/>
                <w:bCs/>
              </w:rPr>
              <w:t>适用情形：</w:t>
            </w:r>
            <w:r>
              <w:rPr>
                <w:rFonts w:hint="eastAsia"/>
              </w:rPr>
              <w:t>在服务采购项目中，服务由中小企业承接，即提供服务的人员为中小企业依照《中华人民共和国劳动合同法》订立劳动合同的从业人员；</w:t>
            </w:r>
          </w:p>
          <w:p>
            <w:pPr>
              <w:pStyle w:val="47"/>
              <w:ind w:left="60" w:leftChars="25" w:right="60" w:rightChars="25"/>
            </w:pPr>
            <w:r>
              <w:rPr>
                <w:rFonts w:hint="eastAsia"/>
                <w:b/>
                <w:bCs/>
              </w:rPr>
              <w:t>注：关于中小微型企业划分标准详见附件二。</w:t>
            </w:r>
          </w:p>
          <w:p>
            <w:pPr>
              <w:pStyle w:val="47"/>
              <w:numPr>
                <w:ilvl w:val="0"/>
                <w:numId w:val="13"/>
              </w:numPr>
              <w:tabs>
                <w:tab w:val="clear" w:pos="312"/>
              </w:tabs>
              <w:ind w:left="60" w:leftChars="25" w:right="60" w:rightChars="25"/>
            </w:pPr>
            <w:r>
              <w:rPr>
                <w:rFonts w:hint="eastAsia"/>
              </w:rPr>
              <w:t>执行方式：</w:t>
            </w:r>
          </w:p>
          <w:p>
            <w:pPr>
              <w:pStyle w:val="47"/>
              <w:ind w:left="60" w:leftChars="25" w:right="60" w:rightChars="25"/>
            </w:pPr>
            <w:r>
              <w:rPr>
                <w:rFonts w:hint="eastAsia"/>
              </w:rPr>
              <w:t>(1)根据关于印发《政府采购促进中小企业发展管理办法》的通知(财库〔2020〕46号)、四川省财政厅 四川省经济和信息化委员会中国人民银行成都分行关于印发《四川省政府采购促进中小企业发展的若干规定》(川财采〔2016〕35号)的规定，对小型和微型企业的价格给予10%的价格扣除，用扣除后的价格参与评审(如涉及</w:t>
            </w:r>
            <w:r>
              <w:rPr>
                <w:spacing w:val="8"/>
              </w:rPr>
              <w:t>对于经主管预算单位统筹后未预留份额专门</w:t>
            </w:r>
            <w:r>
              <w:t>面向中小企业采购的采购项目，以及预留份额项目中的非预</w:t>
            </w:r>
            <w:r>
              <w:rPr>
                <w:spacing w:val="-2"/>
              </w:rPr>
              <w:t>留部分采购包</w:t>
            </w:r>
            <w:r>
              <w:rPr>
                <w:rFonts w:hint="eastAsia"/>
              </w:rPr>
              <w:t>)。</w:t>
            </w:r>
          </w:p>
          <w:p>
            <w:pPr>
              <w:pStyle w:val="47"/>
              <w:ind w:left="60" w:leftChars="25" w:right="60" w:rightChars="25"/>
            </w:pPr>
            <w:r>
              <w:rPr>
                <w:rFonts w:hint="eastAsia"/>
              </w:rPr>
              <w:t>(2)参加政府采购活动的中小企业应当提供《中小企业声明函》原件。</w:t>
            </w:r>
          </w:p>
          <w:p>
            <w:pPr>
              <w:pStyle w:val="47"/>
              <w:ind w:left="60" w:leftChars="25" w:right="60" w:rightChars="25"/>
            </w:pPr>
            <w:r>
              <w:rPr>
                <w:rFonts w:hint="eastAsia"/>
              </w:rPr>
              <w:t>(3)</w:t>
            </w:r>
            <w:r>
              <w:rPr>
                <w:spacing w:val="8"/>
              </w:rPr>
              <w:t>供应商按照本办法规定提供声明函内容不实的，属于提供虚假材料谋取中标、成交，依照《中华人民</w:t>
            </w:r>
            <w:r>
              <w:rPr>
                <w:spacing w:val="-2"/>
              </w:rPr>
              <w:t>共和国政府采购法》等国家有关规定追究相应责任</w:t>
            </w:r>
            <w:r>
              <w:rPr>
                <w:rFonts w:hint="eastAsia"/>
              </w:rPr>
              <w:t>。</w:t>
            </w:r>
          </w:p>
          <w:p>
            <w:pPr>
              <w:pStyle w:val="47"/>
              <w:ind w:left="60" w:leftChars="25" w:right="60" w:rightChars="25"/>
            </w:pPr>
            <w:r>
              <w:rPr>
                <w:rFonts w:hint="eastAsia"/>
              </w:rPr>
              <w:t>二、监狱企业价格扣除</w:t>
            </w:r>
          </w:p>
          <w:p>
            <w:pPr>
              <w:pStyle w:val="47"/>
              <w:ind w:left="60" w:leftChars="25" w:right="60" w:rightChars="25"/>
            </w:pPr>
            <w:r>
              <w:rPr>
                <w:rFonts w:hint="eastAsia"/>
              </w:rPr>
              <w:t>1.根据财政部司法部关于政府采购支持监狱企业发展有关问题的通知财库〔2014〕68号的规定，在政府采购活动中，监狱企业视同小型、微型企业，享受预留份额、评审中价格扣除等政府采购促进中小企业发展的政府采购政策。</w:t>
            </w:r>
          </w:p>
          <w:p>
            <w:pPr>
              <w:pStyle w:val="47"/>
              <w:ind w:left="60" w:leftChars="25" w:right="60" w:rightChars="25"/>
            </w:pPr>
            <w:r>
              <w:rPr>
                <w:rFonts w:hint="eastAsia"/>
              </w:rPr>
              <w:t>2.本项目对监狱企业参与投标的价格给予10%的扣除，用扣除后的价格参与评审。</w:t>
            </w:r>
          </w:p>
          <w:p>
            <w:pPr>
              <w:pStyle w:val="47"/>
              <w:ind w:left="60" w:leftChars="25" w:right="60" w:rightChars="25"/>
            </w:pPr>
            <w:r>
              <w:rPr>
                <w:rFonts w:hint="eastAsia"/>
              </w:rPr>
              <w:t>3.监狱企业参加政府采购活动时，应当提供由省级以上监狱管理局、戒毒管理局(含新疆生产建设兵团)出具的属于监狱企业的证明文件。</w:t>
            </w:r>
          </w:p>
          <w:p>
            <w:pPr>
              <w:pStyle w:val="47"/>
              <w:ind w:left="60" w:leftChars="25" w:right="60" w:rightChars="25"/>
            </w:pPr>
            <w:r>
              <w:rPr>
                <w:rFonts w:hint="eastAsia"/>
              </w:rPr>
              <w:t>4.监狱企业属于小型、微型企业的，不重复享受政策。</w:t>
            </w:r>
          </w:p>
          <w:p>
            <w:pPr>
              <w:pStyle w:val="47"/>
              <w:ind w:left="60" w:leftChars="25" w:right="60" w:rightChars="25"/>
            </w:pPr>
            <w:r>
              <w:rPr>
                <w:rFonts w:hint="eastAsia"/>
              </w:rPr>
              <w:t>三、残疾人福利性单位价格扣除</w:t>
            </w:r>
          </w:p>
          <w:p>
            <w:pPr>
              <w:pStyle w:val="47"/>
              <w:ind w:left="60" w:leftChars="25" w:right="60" w:rightChars="25"/>
            </w:pPr>
            <w:r>
              <w:rPr>
                <w:rFonts w:hint="eastAsia"/>
              </w:rPr>
              <w:t>1.根据《三部门联合发布关于促进残疾人就业政府采购政策的通知》(财库〔2017〕141号)的要求，在政府采购活动中，残疾人福利性单位视同小型、微型企业，享受预留份额、评审中价格扣除等促进中小企业发展的政府采购政策。</w:t>
            </w:r>
          </w:p>
          <w:p>
            <w:pPr>
              <w:pStyle w:val="47"/>
              <w:ind w:left="60" w:leftChars="25" w:right="60" w:rightChars="25"/>
            </w:pPr>
            <w:r>
              <w:rPr>
                <w:rFonts w:hint="eastAsia"/>
              </w:rPr>
              <w:t>2.本项目对残疾人福利性单位参与投标的价格给予10%的扣除，用扣除后的价格参与评审。</w:t>
            </w:r>
          </w:p>
          <w:p>
            <w:pPr>
              <w:pStyle w:val="47"/>
              <w:ind w:left="60" w:leftChars="25" w:right="60" w:rightChars="25"/>
            </w:pPr>
            <w:r>
              <w:rPr>
                <w:rFonts w:hint="eastAsia"/>
              </w:rPr>
              <w:t>3.残疾人福利性单位参加政府采购活动时，应当提供本通知规定的《残疾人福利性单位声明函》。</w:t>
            </w:r>
          </w:p>
          <w:p>
            <w:pPr>
              <w:pStyle w:val="47"/>
              <w:ind w:left="60" w:leftChars="25" w:right="60" w:rightChars="25"/>
            </w:pPr>
            <w:r>
              <w:rPr>
                <w:rFonts w:hint="eastAsia"/>
              </w:rPr>
              <w:t>4.供应商提供的《残疾人福利性单位声明函》与事实不符的，依照《政府采购法》第七十七条第一款的规定追究法律责任。</w:t>
            </w:r>
          </w:p>
          <w:p>
            <w:pPr>
              <w:pStyle w:val="47"/>
              <w:ind w:left="60" w:leftChars="25" w:right="60" w:rightChars="25"/>
            </w:pPr>
            <w:r>
              <w:rPr>
                <w:rFonts w:hint="eastAsia"/>
              </w:rPr>
              <w:t>5.残疾人福利性单位属于小型、微型企业的，不重复享受政策。</w:t>
            </w:r>
          </w:p>
          <w:p>
            <w:pPr>
              <w:pStyle w:val="47"/>
              <w:ind w:left="60" w:leftChars="25" w:right="60" w:rightChars="25"/>
            </w:pPr>
            <w:r>
              <w:rPr>
                <w:rFonts w:hint="eastAsia"/>
              </w:rPr>
              <w:t>四、失信企业报价加成或者扣分</w:t>
            </w:r>
          </w:p>
          <w:p>
            <w:pPr>
              <w:pStyle w:val="47"/>
              <w:ind w:left="60" w:leftChars="25" w:right="60" w:rightChars="25"/>
            </w:pPr>
            <w:r>
              <w:rPr>
                <w:rFonts w:hint="eastAsia"/>
              </w:rPr>
              <w:t>1.依据《四川省政府采购当事人诚信管理办法》，对记入诚信档案的且在有效期内的失信供应商，在参加政府采购活动中实行10%的报价加成，以加成后报价作为该供应商报价评审。供应商失信行为惩戒实行无限制累加制，因其失信行为进行报价加成惩戒后报价超过政府采购预算或最高限价(含单价限价)的，其响应文件按照无效处理</w:t>
            </w:r>
            <w:r>
              <w:rPr>
                <w:rFonts w:hint="eastAsia" w:cs="宋体"/>
                <w:kern w:val="0"/>
              </w:rPr>
              <w:t>。</w:t>
            </w:r>
          </w:p>
          <w:p>
            <w:pPr>
              <w:pStyle w:val="47"/>
              <w:ind w:left="60" w:leftChars="25" w:right="60" w:rightChars="25"/>
            </w:pPr>
            <w:r>
              <w:rPr>
                <w:rFonts w:hint="eastAsia"/>
              </w:rPr>
              <w:t>2.供应商参加政府采购活动时，应当就其诚信情况在投标文件中进行承诺。</w:t>
            </w:r>
          </w:p>
          <w:p>
            <w:pPr>
              <w:pStyle w:val="47"/>
              <w:ind w:left="60" w:leftChars="25" w:right="60" w:rightChars="25"/>
            </w:pPr>
            <w:r>
              <w:rPr>
                <w:rFonts w:hint="eastAsia"/>
              </w:rPr>
              <w:t>3.“信用中国”网站(www.creditchina.gov.cn)中列入失信被执行人和重大税收违法案件当事人名单的供应商和“中国政府采购网”(www.ccgp.gov.cn)政府采购严重违法失信行为记录名单中被财政部门禁止参加政府采购活动的供应商参加本项目投标作无效投标处理，不予报价加成或者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pPr>
          </w:p>
        </w:tc>
        <w:tc>
          <w:tcPr>
            <w:tcW w:w="1839" w:type="dxa"/>
            <w:vAlign w:val="center"/>
          </w:tcPr>
          <w:p>
            <w:pPr>
              <w:pStyle w:val="51"/>
            </w:pPr>
            <w:r>
              <w:rPr>
                <w:rFonts w:hint="eastAsia"/>
              </w:rPr>
              <w:t>建议品牌或者</w:t>
            </w:r>
          </w:p>
          <w:p>
            <w:pPr>
              <w:pStyle w:val="51"/>
            </w:pPr>
            <w:r>
              <w:rPr>
                <w:rFonts w:hint="eastAsia"/>
              </w:rPr>
              <w:t>供应商</w:t>
            </w:r>
          </w:p>
          <w:p>
            <w:pPr>
              <w:pStyle w:val="51"/>
            </w:pPr>
            <w:r>
              <w:rPr>
                <w:rFonts w:hint="eastAsia"/>
              </w:rPr>
              <w:t>(如涉及)</w:t>
            </w:r>
          </w:p>
        </w:tc>
        <w:tc>
          <w:tcPr>
            <w:tcW w:w="7435" w:type="dxa"/>
            <w:vAlign w:val="center"/>
          </w:tcPr>
          <w:p>
            <w:pPr>
              <w:pStyle w:val="47"/>
              <w:ind w:left="60" w:leftChars="25" w:right="60" w:rightChars="25"/>
            </w:pPr>
            <w:r>
              <w:rPr>
                <w:rFonts w:hint="eastAsia"/>
              </w:rPr>
              <w:t>若采购文件涉及建议品牌或者供应商，其目的是为了准确清楚说明采购项目的技术标准和要求，其意思表示为“参照或相当于”建议品牌或者供应商，其品牌或供应商具有可替代性。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pPr>
          </w:p>
        </w:tc>
        <w:tc>
          <w:tcPr>
            <w:tcW w:w="1839" w:type="dxa"/>
            <w:vAlign w:val="center"/>
          </w:tcPr>
          <w:p>
            <w:pPr>
              <w:pStyle w:val="51"/>
            </w:pPr>
            <w:r>
              <w:rPr>
                <w:rFonts w:hint="eastAsia"/>
              </w:rPr>
              <w:t>节能产品、环境标志产品、无线局域网产品采购政策</w:t>
            </w:r>
          </w:p>
        </w:tc>
        <w:tc>
          <w:tcPr>
            <w:tcW w:w="7435" w:type="dxa"/>
            <w:vAlign w:val="center"/>
          </w:tcPr>
          <w:p>
            <w:pPr>
              <w:pStyle w:val="47"/>
              <w:ind w:left="60" w:leftChars="25" w:right="60" w:rightChars="25"/>
            </w:pPr>
            <w:r>
              <w:rPr>
                <w:rFonts w:hint="eastAsia"/>
              </w:rPr>
              <w:t>本项目不涉及节能产品、环境标志产品、无线局域网产品，故不在采购文件中体现相关政策。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pPr>
          </w:p>
        </w:tc>
        <w:tc>
          <w:tcPr>
            <w:tcW w:w="1839" w:type="dxa"/>
            <w:vAlign w:val="center"/>
          </w:tcPr>
          <w:p>
            <w:pPr>
              <w:pStyle w:val="51"/>
            </w:pPr>
            <w:r>
              <w:rPr>
                <w:rFonts w:hint="eastAsia"/>
              </w:rPr>
              <w:t>其他强制性规定</w:t>
            </w:r>
          </w:p>
          <w:p>
            <w:pPr>
              <w:pStyle w:val="51"/>
            </w:pPr>
            <w:r>
              <w:rPr>
                <w:rFonts w:hint="eastAsia"/>
              </w:rPr>
              <w:t>(如涉及时作为实质性要求)</w:t>
            </w:r>
          </w:p>
        </w:tc>
        <w:tc>
          <w:tcPr>
            <w:tcW w:w="7435" w:type="dxa"/>
            <w:vAlign w:val="center"/>
          </w:tcPr>
          <w:p>
            <w:pPr>
              <w:pStyle w:val="47"/>
              <w:ind w:left="60" w:leftChars="25" w:right="60" w:rightChars="25"/>
            </w:pPr>
            <w:r>
              <w:rPr>
                <w:rFonts w:hint="eastAsia"/>
              </w:rPr>
              <w:t>国家或行业主管部门对采购产品的技术标准、质量标准和资格资质条件等有强制性规定的，必须符合其要求。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pPr>
          </w:p>
        </w:tc>
        <w:tc>
          <w:tcPr>
            <w:tcW w:w="1839" w:type="dxa"/>
            <w:vAlign w:val="center"/>
          </w:tcPr>
          <w:p>
            <w:pPr>
              <w:pStyle w:val="51"/>
              <w:rPr>
                <w:lang w:val="zh-CN"/>
              </w:rPr>
            </w:pPr>
            <w:r>
              <w:rPr>
                <w:rFonts w:hint="eastAsia"/>
                <w:lang w:val="zh-CN"/>
              </w:rPr>
              <w:t>评</w:t>
            </w:r>
            <w:r>
              <w:rPr>
                <w:rFonts w:hint="eastAsia"/>
              </w:rPr>
              <w:t>审</w:t>
            </w:r>
            <w:r>
              <w:rPr>
                <w:rFonts w:hint="eastAsia"/>
                <w:lang w:val="zh-CN"/>
              </w:rPr>
              <w:t>情况的公告</w:t>
            </w:r>
          </w:p>
        </w:tc>
        <w:tc>
          <w:tcPr>
            <w:tcW w:w="7435" w:type="dxa"/>
            <w:vAlign w:val="center"/>
          </w:tcPr>
          <w:p>
            <w:pPr>
              <w:pStyle w:val="47"/>
              <w:ind w:left="60" w:leftChars="25" w:right="60" w:rightChars="25"/>
            </w:pPr>
            <w:r>
              <w:rPr>
                <w:rFonts w:hint="eastAsia"/>
              </w:rPr>
              <w:t>1.所有供应商投标文件资格性、符合性审查情况、采用综合评分法时的总得分和分项汇总得分情况、评审结果等将在“四川政府采购网”采购结果公告附件中予以公告。</w:t>
            </w:r>
          </w:p>
          <w:p>
            <w:pPr>
              <w:pStyle w:val="47"/>
              <w:ind w:left="60" w:leftChars="25" w:right="60" w:rightChars="25"/>
              <w:rPr>
                <w:lang w:val="zh-CN"/>
              </w:rPr>
            </w:pPr>
            <w:r>
              <w:rPr>
                <w:rFonts w:hint="eastAsia"/>
              </w:rPr>
              <w:t>2.</w:t>
            </w:r>
            <w:r>
              <w:rPr>
                <w:rFonts w:hint="eastAsia"/>
                <w:lang w:val="zh-CN"/>
              </w:rPr>
              <w:t>根据《中华人民共和国政府采购法实施条例》第四十三条的规定，公告内容应当包括主要中标标的的名称、规格型号、数量、单价、服务要求以及评审专家名单。投标人须将投标文件中涉及商业秘密和知识产权的内容进行标注和说明，若未进行标注和说明的，视为全部内容均可公布，采购人或者采购代理机构对此不承担任何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ind w:left="24" w:leftChars="10" w:right="24" w:rightChars="10"/>
            </w:pPr>
          </w:p>
        </w:tc>
        <w:tc>
          <w:tcPr>
            <w:tcW w:w="1839" w:type="dxa"/>
            <w:vAlign w:val="center"/>
          </w:tcPr>
          <w:p>
            <w:pPr>
              <w:pStyle w:val="51"/>
              <w:ind w:left="24" w:leftChars="10" w:right="24" w:rightChars="10"/>
              <w:rPr>
                <w:lang w:val="zh-CN"/>
              </w:rPr>
            </w:pPr>
            <w:r>
              <w:rPr>
                <w:rFonts w:hint="eastAsia"/>
              </w:rPr>
              <w:t>中标通知书领取</w:t>
            </w:r>
          </w:p>
        </w:tc>
        <w:tc>
          <w:tcPr>
            <w:tcW w:w="7435" w:type="dxa"/>
            <w:vAlign w:val="center"/>
          </w:tcPr>
          <w:p>
            <w:pPr>
              <w:pStyle w:val="47"/>
              <w:ind w:left="60" w:leftChars="25" w:right="60" w:rightChars="25"/>
              <w:rPr>
                <w:lang w:val="zh-CN"/>
              </w:rPr>
            </w:pPr>
            <w:r>
              <w:rPr>
                <w:rFonts w:hint="eastAsia"/>
                <w:lang w:val="zh-CN"/>
              </w:rPr>
              <w:t>采购代理机构在中标人确定后2个工作日内，在“四川政府采购网”发布中标公告，同时采购代理机构将中标通知书快递至中标人。</w:t>
            </w:r>
          </w:p>
          <w:p>
            <w:pPr>
              <w:pStyle w:val="47"/>
              <w:ind w:left="60" w:leftChars="25" w:right="60" w:rightChars="25"/>
              <w:rPr>
                <w:rFonts w:hint="eastAsia" w:eastAsia="宋体"/>
                <w:lang w:eastAsia="zh-CN"/>
              </w:rPr>
            </w:pPr>
            <w:r>
              <w:rPr>
                <w:rFonts w:hint="eastAsia"/>
                <w:lang w:val="zh-CN"/>
              </w:rPr>
              <w:t>联系人：</w:t>
            </w:r>
            <w:r>
              <w:rPr>
                <w:rFonts w:hint="eastAsia"/>
                <w:lang w:val="en-US" w:eastAsia="zh-CN"/>
              </w:rPr>
              <w:t>甘爽</w:t>
            </w:r>
          </w:p>
          <w:p>
            <w:pPr>
              <w:pStyle w:val="47"/>
              <w:ind w:left="60" w:leftChars="25" w:right="60" w:rightChars="25"/>
            </w:pPr>
            <w:r>
              <w:rPr>
                <w:rFonts w:hint="eastAsia"/>
                <w:lang w:val="zh-CN"/>
              </w:rPr>
              <w:t>联系电话：028-85316813</w:t>
            </w:r>
          </w:p>
          <w:p>
            <w:pPr>
              <w:pStyle w:val="47"/>
              <w:ind w:left="60" w:leftChars="25" w:right="60" w:rightChars="25"/>
              <w:rPr>
                <w:rFonts w:hint="eastAsia" w:eastAsia="宋体"/>
                <w:lang w:eastAsia="zh-CN"/>
              </w:rPr>
            </w:pPr>
            <w:r>
              <w:rPr>
                <w:rFonts w:hint="eastAsia"/>
                <w:lang w:val="zh-CN"/>
              </w:rPr>
              <w:t>地址：</w:t>
            </w:r>
            <w:r>
              <w:rPr>
                <w:rFonts w:hint="eastAsia"/>
                <w:lang w:eastAsia="zh-CN"/>
              </w:rPr>
              <w:t>成都市高新区天府大道中段1388号美年广场D座401号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ind w:left="24" w:leftChars="10" w:right="24" w:rightChars="10"/>
            </w:pPr>
          </w:p>
        </w:tc>
        <w:tc>
          <w:tcPr>
            <w:tcW w:w="1839" w:type="dxa"/>
            <w:vAlign w:val="center"/>
          </w:tcPr>
          <w:p>
            <w:pPr>
              <w:pStyle w:val="51"/>
              <w:bidi w:val="0"/>
              <w:rPr>
                <w:rFonts w:hint="eastAsia"/>
                <w:highlight w:val="none"/>
                <w:lang w:val="zh-CN"/>
              </w:rPr>
            </w:pPr>
            <w:r>
              <w:rPr>
                <w:rFonts w:hint="eastAsia"/>
                <w:highlight w:val="none"/>
                <w:lang w:val="zh-CN"/>
              </w:rPr>
              <w:t>履约保证金</w:t>
            </w:r>
          </w:p>
          <w:p>
            <w:pPr>
              <w:pStyle w:val="51"/>
              <w:bidi w:val="0"/>
              <w:ind w:firstLine="0" w:firstLineChars="0"/>
              <w:rPr>
                <w:rFonts w:hint="eastAsia"/>
                <w:highlight w:val="none"/>
              </w:rPr>
            </w:pPr>
            <w:r>
              <w:rPr>
                <w:rFonts w:hint="eastAsia"/>
                <w:highlight w:val="none"/>
                <w:lang w:val="en-US" w:eastAsia="zh-CN"/>
              </w:rPr>
              <w:t>(实质性要求)</w:t>
            </w:r>
          </w:p>
        </w:tc>
        <w:tc>
          <w:tcPr>
            <w:tcW w:w="7435" w:type="dxa"/>
            <w:vAlign w:val="center"/>
          </w:tcPr>
          <w:p>
            <w:pPr>
              <w:pStyle w:val="47"/>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default" w:eastAsia="宋体"/>
                <w:highlight w:val="none"/>
                <w:lang w:val="en-US" w:eastAsia="zh-CN"/>
              </w:rPr>
            </w:pPr>
            <w:r>
              <w:rPr>
                <w:rFonts w:hint="eastAsia"/>
                <w:highlight w:val="none"/>
                <w:lang w:val="en-US" w:eastAsia="zh-CN"/>
              </w:rPr>
              <w:t>本项目不收取履约保证金。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9" w:hRule="atLeast"/>
          <w:jc w:val="center"/>
        </w:trPr>
        <w:tc>
          <w:tcPr>
            <w:tcW w:w="570" w:type="dxa"/>
            <w:vAlign w:val="center"/>
          </w:tcPr>
          <w:p>
            <w:pPr>
              <w:pStyle w:val="51"/>
              <w:numPr>
                <w:ilvl w:val="0"/>
                <w:numId w:val="9"/>
              </w:numPr>
            </w:pPr>
          </w:p>
        </w:tc>
        <w:tc>
          <w:tcPr>
            <w:tcW w:w="1839" w:type="dxa"/>
            <w:vAlign w:val="center"/>
          </w:tcPr>
          <w:p>
            <w:pPr>
              <w:pStyle w:val="51"/>
              <w:rPr>
                <w:lang w:val="zh-CN"/>
              </w:rPr>
            </w:pPr>
            <w:r>
              <w:rPr>
                <w:rFonts w:hint="eastAsia"/>
              </w:rPr>
              <w:t>招标</w:t>
            </w:r>
            <w:r>
              <w:rPr>
                <w:rFonts w:hint="eastAsia"/>
                <w:lang w:val="zh-CN"/>
              </w:rPr>
              <w:t>代理</w:t>
            </w:r>
          </w:p>
          <w:p>
            <w:pPr>
              <w:pStyle w:val="51"/>
            </w:pPr>
            <w:r>
              <w:rPr>
                <w:rFonts w:hint="eastAsia"/>
                <w:lang w:val="zh-CN"/>
              </w:rPr>
              <w:t>服务费</w:t>
            </w:r>
          </w:p>
        </w:tc>
        <w:tc>
          <w:tcPr>
            <w:tcW w:w="7435" w:type="dxa"/>
            <w:vAlign w:val="center"/>
          </w:tcPr>
          <w:p>
            <w:pPr>
              <w:pStyle w:val="47"/>
              <w:ind w:left="60" w:leftChars="25" w:right="60" w:rightChars="25"/>
              <w:rPr>
                <w:highlight w:val="none"/>
              </w:rPr>
            </w:pPr>
            <w:r>
              <w:rPr>
                <w:rFonts w:hint="eastAsia"/>
              </w:rPr>
              <w:t>1.收取标准：本项目定额计取招标代理服务费：第一包：21171元；第二包：21995元；第三包：24832元；第四包：4800元；第五包：4800元</w:t>
            </w:r>
            <w:r>
              <w:rPr>
                <w:rFonts w:hint="eastAsia"/>
                <w:highlight w:val="none"/>
              </w:rPr>
              <w:t>。</w:t>
            </w:r>
          </w:p>
          <w:p>
            <w:pPr>
              <w:pStyle w:val="47"/>
              <w:ind w:left="60" w:leftChars="25" w:right="60" w:rightChars="25"/>
              <w:rPr>
                <w:lang w:val="zh-CN"/>
              </w:rPr>
            </w:pPr>
            <w:r>
              <w:rPr>
                <w:rFonts w:hint="eastAsia"/>
                <w:highlight w:val="none"/>
              </w:rPr>
              <w:t>2.收取方式：</w:t>
            </w:r>
            <w:r>
              <w:rPr>
                <w:rFonts w:hint="eastAsia"/>
                <w:highlight w:val="none"/>
                <w:lang w:val="zh-CN"/>
              </w:rPr>
              <w:t>中标通知</w:t>
            </w:r>
            <w:r>
              <w:rPr>
                <w:rFonts w:hint="eastAsia"/>
                <w:lang w:val="zh-CN"/>
              </w:rPr>
              <w:t>发出后二个工作日内由中标人一次性支付</w:t>
            </w:r>
            <w:r>
              <w:rPr>
                <w:rFonts w:hint="eastAsia"/>
              </w:rPr>
              <w:t>至采购代理机构。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pPr>
          </w:p>
        </w:tc>
        <w:tc>
          <w:tcPr>
            <w:tcW w:w="1839" w:type="dxa"/>
            <w:vAlign w:val="center"/>
          </w:tcPr>
          <w:p>
            <w:pPr>
              <w:pStyle w:val="51"/>
            </w:pPr>
            <w:r>
              <w:rPr>
                <w:rFonts w:hint="eastAsia"/>
              </w:rPr>
              <w:t>政府采购供应商信用融资</w:t>
            </w:r>
          </w:p>
        </w:tc>
        <w:tc>
          <w:tcPr>
            <w:tcW w:w="7435" w:type="dxa"/>
            <w:vAlign w:val="center"/>
          </w:tcPr>
          <w:p>
            <w:pPr>
              <w:pStyle w:val="47"/>
              <w:ind w:left="60" w:leftChars="25" w:right="60" w:rightChars="25"/>
            </w:pPr>
            <w:r>
              <w:rPr>
                <w:rFonts w:hint="eastAsia"/>
              </w:rPr>
              <w:t>1.政府采购供应商信用融资，是指银行以政府采购供应商信用审查和政府采购信誉为基础，依托政府采购合同，按优于一般企业的贷款程序和利率，直接向申请贷款的供应商发放无财产抵押贷款的一种融资模式。</w:t>
            </w:r>
          </w:p>
          <w:p>
            <w:pPr>
              <w:pStyle w:val="47"/>
              <w:ind w:left="60" w:leftChars="25" w:right="60" w:rightChars="25"/>
            </w:pPr>
            <w:r>
              <w:rPr>
                <w:rFonts w:hint="eastAsia"/>
              </w:rPr>
              <w:t>2.根据《四川省财政厅关于推进四川省政府采购供应商信用融资工作的通知》(川财采〔2018〕123号)文件要求</w:t>
            </w:r>
            <w:r>
              <w:rPr>
                <w:rFonts w:hint="eastAsia"/>
                <w:lang w:val="en-US" w:eastAsia="zh-CN"/>
              </w:rPr>
              <w:t>及成都市财政局、中国人民银行成都分行营业管理部关于印发《成都市中小企业政府采购信用融资暂行办法》和《成都市级支持中小企业政府采购信用融资实施方案》的通知（成财采</w:t>
            </w:r>
            <w:r>
              <w:rPr>
                <w:rFonts w:hint="eastAsia"/>
              </w:rPr>
              <w:t>〔201</w:t>
            </w:r>
            <w:r>
              <w:rPr>
                <w:rFonts w:hint="eastAsia"/>
                <w:lang w:val="en-US" w:eastAsia="zh-CN"/>
              </w:rPr>
              <w:t>9</w:t>
            </w:r>
            <w:r>
              <w:rPr>
                <w:rFonts w:hint="eastAsia"/>
              </w:rPr>
              <w:t>〕1</w:t>
            </w:r>
            <w:r>
              <w:rPr>
                <w:rFonts w:hint="eastAsia"/>
                <w:lang w:val="en-US" w:eastAsia="zh-CN"/>
              </w:rPr>
              <w:t>7</w:t>
            </w:r>
            <w:r>
              <w:rPr>
                <w:rFonts w:hint="eastAsia"/>
              </w:rPr>
              <w:t>号</w:t>
            </w:r>
            <w:r>
              <w:rPr>
                <w:rFonts w:hint="eastAsia"/>
                <w:lang w:val="en-US" w:eastAsia="zh-CN"/>
              </w:rPr>
              <w:t>）</w:t>
            </w:r>
            <w:r>
              <w:rPr>
                <w:rFonts w:hint="eastAsia"/>
              </w:rPr>
              <w:t>，有融资需求的供应商可根据四川政府采购网公示的银行及其“政采贷”产品，自行选择符合自身情况的“政采贷”银行及其产品，凭中标通知书向银行提出贷款意向申请。</w:t>
            </w:r>
          </w:p>
          <w:p>
            <w:pPr>
              <w:pStyle w:val="47"/>
              <w:ind w:left="60" w:leftChars="25" w:right="60" w:rightChars="25"/>
            </w:pPr>
            <w:r>
              <w:rPr>
                <w:rFonts w:hint="eastAsia"/>
              </w:rPr>
              <w:t>3.“政采贷”政策咨询电话：</w:t>
            </w:r>
            <w:r>
              <w:rPr>
                <w:rFonts w:hint="eastAsia"/>
                <w:lang w:val="zh-CN"/>
              </w:rPr>
              <w:t>028-85316813</w:t>
            </w:r>
            <w:r>
              <w:rPr>
                <w:rFonts w:hint="eastAsia"/>
              </w:rPr>
              <w:t>。</w:t>
            </w:r>
          </w:p>
          <w:p>
            <w:pPr>
              <w:pStyle w:val="47"/>
              <w:ind w:left="60" w:leftChars="25" w:right="60" w:rightChars="25"/>
            </w:pPr>
            <w:r>
              <w:rPr>
                <w:rFonts w:hint="eastAsia"/>
              </w:rPr>
              <w:t>注：相关政策文件详见本采购文件附件内容。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pPr>
          </w:p>
        </w:tc>
        <w:tc>
          <w:tcPr>
            <w:tcW w:w="1839" w:type="dxa"/>
            <w:vAlign w:val="center"/>
          </w:tcPr>
          <w:p>
            <w:pPr>
              <w:pStyle w:val="51"/>
              <w:ind w:left="24" w:leftChars="10" w:right="24" w:rightChars="10"/>
            </w:pPr>
            <w:r>
              <w:rPr>
                <w:rFonts w:hint="eastAsia"/>
              </w:rPr>
              <w:t>政府采购合同公告备案</w:t>
            </w:r>
          </w:p>
        </w:tc>
        <w:tc>
          <w:tcPr>
            <w:tcW w:w="7435" w:type="dxa"/>
          </w:tcPr>
          <w:p>
            <w:pPr>
              <w:pStyle w:val="47"/>
              <w:ind w:left="60" w:leftChars="25" w:right="60" w:rightChars="25"/>
            </w:pPr>
            <w:r>
              <w:rPr>
                <w:rFonts w:hint="eastAsia"/>
              </w:rPr>
              <w:t>政府采购合同签订之日起2个工作日内，政府采购合同将在“四川政府采购网”公告；政府采购合同签订之日起七个工作日内，政府采购合同将向本采购项目同级财政部门</w:t>
            </w:r>
            <w:r>
              <w:rPr>
                <w:rFonts w:hint="eastAsia"/>
                <w:lang w:val="zh-CN"/>
              </w:rPr>
              <w:t>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pPr>
          </w:p>
        </w:tc>
        <w:tc>
          <w:tcPr>
            <w:tcW w:w="1839" w:type="dxa"/>
            <w:vAlign w:val="center"/>
          </w:tcPr>
          <w:p>
            <w:pPr>
              <w:pStyle w:val="51"/>
              <w:rPr>
                <w:lang w:val="zh-CN"/>
              </w:rPr>
            </w:pPr>
            <w:r>
              <w:rPr>
                <w:rFonts w:hint="eastAsia"/>
              </w:rPr>
              <w:t>供应商询问</w:t>
            </w:r>
          </w:p>
        </w:tc>
        <w:tc>
          <w:tcPr>
            <w:tcW w:w="7435" w:type="dxa"/>
          </w:tcPr>
          <w:p>
            <w:pPr>
              <w:pStyle w:val="47"/>
              <w:ind w:left="60" w:leftChars="25" w:right="60" w:rightChars="25"/>
              <w:rPr>
                <w:lang w:val="zh-CN"/>
              </w:rPr>
            </w:pPr>
            <w:r>
              <w:rPr>
                <w:rFonts w:hint="eastAsia"/>
              </w:rPr>
              <w:t>1.根据委托代理协议约定，采购人负责对采购文件技术参数部分的询问答复，</w:t>
            </w:r>
            <w:r>
              <w:rPr>
                <w:rFonts w:hint="eastAsia"/>
                <w:lang w:eastAsia="zh-CN"/>
              </w:rPr>
              <w:t>四川意惠采购招标代理有限公司</w:t>
            </w:r>
            <w:r>
              <w:rPr>
                <w:rFonts w:hint="eastAsia"/>
              </w:rPr>
              <w:t>负责采购文件技术参数部分以外的询问答复。</w:t>
            </w:r>
          </w:p>
          <w:p>
            <w:pPr>
              <w:pStyle w:val="47"/>
              <w:ind w:left="60" w:leftChars="25" w:right="60" w:rightChars="25"/>
            </w:pPr>
            <w:r>
              <w:rPr>
                <w:rFonts w:hint="eastAsia"/>
              </w:rPr>
              <w:t>2.询问内容不得涉及评审秘密、国家机密和商业秘密等保密内容。</w:t>
            </w:r>
          </w:p>
          <w:p>
            <w:pPr>
              <w:pStyle w:val="47"/>
              <w:ind w:left="60" w:leftChars="25" w:right="60" w:rightChars="25"/>
            </w:pPr>
            <w:r>
              <w:rPr>
                <w:rFonts w:hint="eastAsia"/>
              </w:rPr>
              <w:t>3.询问方式：询问人可以采用书面或口头或电子邮件等方式向</w:t>
            </w:r>
            <w:r>
              <w:rPr>
                <w:rFonts w:hint="eastAsia"/>
                <w:lang w:eastAsia="zh-CN"/>
              </w:rPr>
              <w:t>四川意惠采购招标代理有限公司</w:t>
            </w:r>
            <w:r>
              <w:rPr>
                <w:rFonts w:hint="eastAsia"/>
              </w:rPr>
              <w:t>提出；询问必须提供询问人基本信息(包含具体询问内容、询问人名称或姓名、联系人及联系电话、电子邮件)。</w:t>
            </w:r>
          </w:p>
          <w:p>
            <w:pPr>
              <w:pStyle w:val="47"/>
              <w:ind w:left="60" w:leftChars="25" w:right="60" w:rightChars="25"/>
            </w:pPr>
            <w:r>
              <w:rPr>
                <w:rFonts w:hint="eastAsia"/>
                <w:lang w:val="zh-CN"/>
              </w:rPr>
              <w:t>联系人：</w:t>
            </w:r>
            <w:r>
              <w:rPr>
                <w:rFonts w:hint="eastAsia"/>
                <w:lang w:val="zh-CN" w:eastAsia="zh-CN"/>
              </w:rPr>
              <w:t>甘爽</w:t>
            </w:r>
          </w:p>
          <w:p>
            <w:pPr>
              <w:pStyle w:val="47"/>
              <w:ind w:left="60" w:leftChars="25" w:right="60" w:rightChars="25"/>
              <w:rPr>
                <w:lang w:val="zh-CN"/>
              </w:rPr>
            </w:pPr>
            <w:r>
              <w:rPr>
                <w:rFonts w:hint="eastAsia"/>
                <w:lang w:val="zh-CN"/>
              </w:rPr>
              <w:t>联系电话：028-85316813</w:t>
            </w:r>
          </w:p>
          <w:p>
            <w:pPr>
              <w:pStyle w:val="47"/>
              <w:ind w:left="60" w:leftChars="25" w:right="60" w:rightChars="25"/>
              <w:rPr>
                <w:lang w:val="zh-CN"/>
              </w:rPr>
            </w:pPr>
            <w:r>
              <w:rPr>
                <w:rFonts w:hint="eastAsia"/>
                <w:lang w:val="zh-CN"/>
              </w:rPr>
              <w:t>地址：成都市高新区天府大道中段1388号美年广场D座401号</w:t>
            </w:r>
          </w:p>
          <w:p>
            <w:pPr>
              <w:pStyle w:val="47"/>
              <w:ind w:left="60" w:leftChars="25" w:right="60" w:rightChars="25"/>
            </w:pPr>
            <w:r>
              <w:rPr>
                <w:rFonts w:hint="eastAsia"/>
              </w:rPr>
              <w:t>邮编：610041</w:t>
            </w:r>
          </w:p>
          <w:p>
            <w:pPr>
              <w:pStyle w:val="47"/>
              <w:ind w:left="60" w:leftChars="25" w:right="60" w:rightChars="25"/>
            </w:pPr>
            <w:r>
              <w:rPr>
                <w:rFonts w:hint="eastAsia"/>
              </w:rPr>
              <w:t>4.询问提出的范围及主体：①采购文件及采购信息公告环节：依法获取采购文件的潜在供应商可以对采购文件及采购信息公告的内容向</w:t>
            </w:r>
            <w:r>
              <w:rPr>
                <w:rFonts w:hint="eastAsia"/>
                <w:lang w:eastAsia="zh-CN"/>
              </w:rPr>
              <w:t>四川意惠采购招标代理有限公司</w:t>
            </w:r>
            <w:r>
              <w:rPr>
                <w:rFonts w:hint="eastAsia"/>
              </w:rPr>
              <w:t>或采购人提出询问，仅对采购信息公告内容提出询问的，不限制询问主体。</w:t>
            </w:r>
            <w:r>
              <w:t>②</w:t>
            </w:r>
            <w:r>
              <w:rPr>
                <w:rFonts w:hint="eastAsia"/>
              </w:rPr>
              <w:t>采购过程、采购结果环节：参与采购活动的供应商可以对采购过程、采购结果相关问题向</w:t>
            </w:r>
            <w:r>
              <w:rPr>
                <w:rFonts w:hint="eastAsia"/>
                <w:lang w:eastAsia="zh-CN"/>
              </w:rPr>
              <w:t>四川意惠采购招标代理有限公司</w:t>
            </w:r>
            <w:r>
              <w:rPr>
                <w:rFonts w:hint="eastAsia"/>
              </w:rPr>
              <w:t>提出询问，未参与采购活动的供应商不得对此环节提出询问。</w:t>
            </w:r>
            <w:r>
              <w:t>③</w:t>
            </w:r>
            <w:r>
              <w:rPr>
                <w:rFonts w:hint="eastAsia"/>
              </w:rPr>
              <w:t>询问提出的时间原则上以政府采购活动中有效质疑的时间计算为准。</w:t>
            </w:r>
          </w:p>
          <w:p>
            <w:pPr>
              <w:pStyle w:val="47"/>
              <w:ind w:left="60" w:leftChars="25" w:right="60" w:rightChars="25"/>
            </w:pPr>
            <w:r>
              <w:rPr>
                <w:rFonts w:hint="eastAsia"/>
              </w:rPr>
              <w:t>5.为提高采购效率，降低社会成本，鼓励询问主体对于不损害国家及社会利益或自身合法权益的问题或情形采用询问方式处理解决(包含但不限于文字错误、标点符号、不影响投标文件的编制的情形)。</w:t>
            </w:r>
          </w:p>
          <w:p>
            <w:pPr>
              <w:pStyle w:val="47"/>
              <w:ind w:left="60" w:leftChars="25" w:right="60" w:rightChars="25"/>
            </w:pPr>
            <w:r>
              <w:rPr>
                <w:rFonts w:hint="eastAsia"/>
              </w:rPr>
              <w:t>6.为降低时间成本，减少不必要的干扰，</w:t>
            </w:r>
            <w:r>
              <w:rPr>
                <w:rFonts w:hint="eastAsia"/>
                <w:lang w:eastAsia="zh-CN"/>
              </w:rPr>
              <w:t>四川意惠采购招标代理有限公司</w:t>
            </w:r>
            <w:r>
              <w:rPr>
                <w:rFonts w:hint="eastAsia"/>
              </w:rPr>
              <w:t>或采购人可以不接受未按照约定时间提出的询问。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pPr>
          </w:p>
        </w:tc>
        <w:tc>
          <w:tcPr>
            <w:tcW w:w="1839" w:type="dxa"/>
            <w:vAlign w:val="center"/>
          </w:tcPr>
          <w:p>
            <w:pPr>
              <w:pStyle w:val="51"/>
              <w:rPr>
                <w:lang w:val="zh-CN"/>
              </w:rPr>
            </w:pPr>
            <w:r>
              <w:rPr>
                <w:rFonts w:hint="eastAsia"/>
              </w:rPr>
              <w:t>供应商质疑</w:t>
            </w:r>
          </w:p>
        </w:tc>
        <w:tc>
          <w:tcPr>
            <w:tcW w:w="7435" w:type="dxa"/>
            <w:vAlign w:val="center"/>
          </w:tcPr>
          <w:p>
            <w:pPr>
              <w:pStyle w:val="47"/>
              <w:ind w:left="60" w:leftChars="25" w:right="60" w:rightChars="25"/>
            </w:pPr>
            <w:r>
              <w:rPr>
                <w:rFonts w:hint="eastAsia"/>
              </w:rPr>
              <w:t>1.根据委托代理协议约定，对于采购文件(招标文件技术条款和除政府采购法第二十二条之外的其他资格条件、专业商务要求)的质疑由采购人负责答复；对于采购过程或采购结果由</w:t>
            </w:r>
            <w:r>
              <w:rPr>
                <w:rFonts w:hint="eastAsia"/>
                <w:lang w:eastAsia="zh-CN"/>
              </w:rPr>
              <w:t>四川意惠采购招标代理有限公司</w:t>
            </w:r>
            <w:r>
              <w:rPr>
                <w:rFonts w:hint="eastAsia"/>
              </w:rPr>
              <w:t>负责答复。</w:t>
            </w:r>
            <w:r>
              <w:rPr>
                <w:rFonts w:hint="eastAsia"/>
              </w:rPr>
              <w:br w:type="textWrapping"/>
            </w:r>
            <w:r>
              <w:rPr>
                <w:rFonts w:hint="eastAsia"/>
              </w:rPr>
              <w:t>2.供应商提出质疑应当坚持依法依规、诚实信用原则；不得超出采购文件、采购过程、采购结果的范围，不得进行虚假、恶意质疑，不得以质疑为手段获取不当得利、实现非法目的。</w:t>
            </w:r>
            <w:r>
              <w:rPr>
                <w:rFonts w:hint="eastAsia"/>
              </w:rPr>
              <w:br w:type="textWrapping"/>
            </w:r>
            <w:r>
              <w:rPr>
                <w:rFonts w:hint="eastAsia"/>
              </w:rPr>
              <w:t>3.提出质疑函的时限要求：供应商认为采购文件、采购过程、中标使其权益受到损害的，可以在知道或者应知其权益受到损害之日起7个工作日内，以书面形式向采购人、采购代理机构提出质疑。</w:t>
            </w:r>
            <w:r>
              <w:rPr>
                <w:rFonts w:hint="eastAsia"/>
              </w:rPr>
              <w:br w:type="textWrapping"/>
            </w:r>
            <w:r>
              <w:rPr>
                <w:rFonts w:hint="eastAsia"/>
              </w:rPr>
              <w:t xml:space="preserve">4.接收质疑函的方式：供应商在法定时间内以书面形式现场、邮寄或快递提交质疑函(①采用邮寄和快递形式提交的质疑函以采购代理机构或采购人亲自书面签收的为准；②收到质疑函后，进行质疑处理时：书面形式现场提交的以书面签收的日期为准，邮寄以寄出的邮戳日期为准，快递以受送达人在签收单上签收之日为准；③温馨提示：供应商提交质疑选择邮寄或快递形式时，请先联系采购人或采购代理机构，选择高效及时的方式。质疑供应商在质疑函签收后5个工作日内未收到质疑答复的，可主动电话询问我公司相关事宜)。 </w:t>
            </w:r>
          </w:p>
          <w:p>
            <w:pPr>
              <w:pStyle w:val="47"/>
              <w:ind w:left="60" w:leftChars="25" w:right="60" w:rightChars="25"/>
            </w:pPr>
            <w:r>
              <w:rPr>
                <w:rFonts w:hint="eastAsia"/>
              </w:rPr>
              <w:t>联系人：</w:t>
            </w:r>
            <w:r>
              <w:rPr>
                <w:rFonts w:hint="eastAsia"/>
                <w:lang w:val="en-US" w:eastAsia="zh-CN"/>
              </w:rPr>
              <w:t>甘爽</w:t>
            </w:r>
          </w:p>
          <w:p>
            <w:pPr>
              <w:pStyle w:val="47"/>
              <w:ind w:left="60" w:leftChars="25" w:right="60" w:rightChars="25"/>
            </w:pPr>
            <w:r>
              <w:rPr>
                <w:rFonts w:hint="eastAsia"/>
              </w:rPr>
              <w:t>联系部门：质量控制部</w:t>
            </w:r>
          </w:p>
          <w:p>
            <w:pPr>
              <w:pStyle w:val="47"/>
              <w:ind w:left="60" w:leftChars="25" w:right="60" w:rightChars="25"/>
            </w:pPr>
            <w:r>
              <w:rPr>
                <w:rFonts w:hint="eastAsia"/>
              </w:rPr>
              <w:t>联系电话：</w:t>
            </w:r>
            <w:r>
              <w:rPr>
                <w:rFonts w:hint="eastAsia"/>
                <w:lang w:val="zh-CN"/>
              </w:rPr>
              <w:t>028-85316813</w:t>
            </w:r>
          </w:p>
          <w:p>
            <w:pPr>
              <w:pStyle w:val="47"/>
              <w:ind w:left="60" w:leftChars="25" w:right="60" w:rightChars="25"/>
            </w:pPr>
            <w:r>
              <w:rPr>
                <w:rFonts w:hint="eastAsia"/>
              </w:rPr>
              <w:t>通讯地址：</w:t>
            </w:r>
            <w:r>
              <w:rPr>
                <w:rFonts w:hint="eastAsia"/>
                <w:lang w:val="zh-CN"/>
              </w:rPr>
              <w:t>成都市高新区天府大道中段1388号美年广场D座401号</w:t>
            </w:r>
          </w:p>
          <w:p>
            <w:pPr>
              <w:pStyle w:val="47"/>
              <w:ind w:left="60" w:leftChars="25" w:right="60" w:rightChars="25"/>
            </w:pPr>
            <w:r>
              <w:rPr>
                <w:rFonts w:hint="eastAsia"/>
              </w:rPr>
              <w:t>邮编：610041</w:t>
            </w:r>
          </w:p>
          <w:p>
            <w:pPr>
              <w:pStyle w:val="47"/>
              <w:ind w:left="60" w:leftChars="25" w:right="60" w:rightChars="25"/>
            </w:pPr>
            <w:r>
              <w:rPr>
                <w:rFonts w:hint="eastAsia"/>
              </w:rPr>
              <w:t>注：①根据《中华人民共和国政府采购法》等法律法规规定，供应商质疑应当有明确的请求和必要的证明材料，须符合《政府采购质疑和投诉办法》(财政部第94号令)规定，并使用财政部下发《质疑函》范本。</w:t>
            </w:r>
          </w:p>
          <w:p>
            <w:pPr>
              <w:pStyle w:val="47"/>
              <w:ind w:left="60" w:leftChars="25" w:right="60" w:rightChars="25"/>
            </w:pPr>
            <w:r>
              <w:rPr>
                <w:rFonts w:hint="eastAsia"/>
              </w:rPr>
              <w:t>明确的请求是指：供应商对采购文件还是对采购过程还是对中标结果提出质疑；想要达到的结果，如中标无效、废标、重新组织采购、赔偿、追究法律责任等；</w:t>
            </w:r>
          </w:p>
          <w:p>
            <w:pPr>
              <w:pStyle w:val="47"/>
              <w:ind w:left="60" w:leftChars="25" w:right="60" w:rightChars="25"/>
            </w:pPr>
            <w:r>
              <w:rPr>
                <w:rFonts w:hint="eastAsia"/>
              </w:rPr>
              <w:t>必要的证明材料是指：包含供应商的营业执照、授权委托书(法定代表人质疑时无需提供)、委托代理人身份证明、参加采购项目的证明、权益受到损害的证明材料、证明提出质疑的事实存在的材料等。</w:t>
            </w:r>
          </w:p>
          <w:p>
            <w:pPr>
              <w:pStyle w:val="47"/>
              <w:ind w:left="60" w:leftChars="25" w:right="60" w:rightChars="25"/>
            </w:pPr>
            <w:r>
              <w:rPr>
                <w:rFonts w:hint="eastAsia"/>
              </w:rPr>
              <w:t>如因供应商提出的质疑函不符合《政府采购质疑和投诉办法》(财政部令第94号)第十二条的要求，</w:t>
            </w:r>
            <w:r>
              <w:rPr>
                <w:rFonts w:hint="eastAsia"/>
                <w:lang w:eastAsia="zh-CN"/>
              </w:rPr>
              <w:t>四川意惠采购招标代理有限公司</w:t>
            </w:r>
            <w:r>
              <w:rPr>
                <w:rFonts w:hint="eastAsia"/>
              </w:rPr>
              <w:t>或采购人将要求供应商在法定质疑期内进行质疑函补正，未进行补正或在法定质疑期内未进行补正的，其所有不利后果由供应商自行承担。</w:t>
            </w:r>
          </w:p>
          <w:p>
            <w:pPr>
              <w:pStyle w:val="47"/>
              <w:ind w:left="60" w:leftChars="25" w:right="60" w:rightChars="25"/>
            </w:pPr>
            <w:r>
              <w:rPr>
                <w:rFonts w:hint="eastAsia"/>
              </w:rPr>
              <w:t>②供应商应当在法定质疑期内一次性提出针对同一采购程序环节的质疑。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pPr>
          </w:p>
        </w:tc>
        <w:tc>
          <w:tcPr>
            <w:tcW w:w="1839" w:type="dxa"/>
            <w:vAlign w:val="center"/>
          </w:tcPr>
          <w:p>
            <w:pPr>
              <w:pStyle w:val="51"/>
              <w:rPr>
                <w:highlight w:val="none"/>
                <w:lang w:val="zh-CN"/>
              </w:rPr>
            </w:pPr>
            <w:r>
              <w:rPr>
                <w:rFonts w:hint="eastAsia"/>
                <w:highlight w:val="none"/>
              </w:rPr>
              <w:t>供应商投诉</w:t>
            </w:r>
          </w:p>
        </w:tc>
        <w:tc>
          <w:tcPr>
            <w:tcW w:w="7435" w:type="dxa"/>
          </w:tcPr>
          <w:p>
            <w:pPr>
              <w:pStyle w:val="47"/>
              <w:ind w:left="60" w:leftChars="25" w:right="60" w:rightChars="25"/>
              <w:rPr>
                <w:highlight w:val="none"/>
              </w:rPr>
            </w:pPr>
            <w:r>
              <w:rPr>
                <w:rFonts w:hint="eastAsia"/>
                <w:highlight w:val="none"/>
              </w:rPr>
              <w:t>投诉受理单位：成都市</w:t>
            </w:r>
            <w:r>
              <w:rPr>
                <w:rFonts w:hint="eastAsia"/>
                <w:highlight w:val="none"/>
                <w:lang w:eastAsia="zh-CN"/>
              </w:rPr>
              <w:t>简阳市</w:t>
            </w:r>
            <w:r>
              <w:rPr>
                <w:rFonts w:hint="eastAsia"/>
                <w:highlight w:val="none"/>
              </w:rPr>
              <w:t xml:space="preserve">财政局 </w:t>
            </w:r>
          </w:p>
          <w:p>
            <w:pPr>
              <w:pStyle w:val="47"/>
              <w:ind w:left="60" w:leftChars="25" w:right="60" w:rightChars="25"/>
              <w:rPr>
                <w:rFonts w:hint="default" w:eastAsia="宋体"/>
                <w:highlight w:val="none"/>
                <w:lang w:val="en-US" w:eastAsia="zh-CN"/>
              </w:rPr>
            </w:pPr>
            <w:r>
              <w:rPr>
                <w:rFonts w:hint="eastAsia"/>
                <w:highlight w:val="none"/>
                <w:lang w:val="zh-CN"/>
              </w:rPr>
              <w:t>联系电话：</w:t>
            </w:r>
            <w:r>
              <w:rPr>
                <w:rFonts w:hint="eastAsia"/>
                <w:highlight w:val="none"/>
                <w:lang w:val="en-US" w:eastAsia="zh-CN"/>
              </w:rPr>
              <w:t>028-27224330</w:t>
            </w:r>
          </w:p>
          <w:p>
            <w:pPr>
              <w:pStyle w:val="47"/>
              <w:ind w:left="60" w:leftChars="25" w:right="60" w:rightChars="25"/>
              <w:rPr>
                <w:rFonts w:hint="default" w:eastAsia="宋体"/>
                <w:highlight w:val="none"/>
                <w:lang w:val="en-US" w:eastAsia="zh-CN"/>
              </w:rPr>
            </w:pPr>
            <w:r>
              <w:rPr>
                <w:rFonts w:hint="eastAsia"/>
                <w:highlight w:val="none"/>
                <w:lang w:val="zh-CN"/>
              </w:rPr>
              <w:t>地址：</w:t>
            </w:r>
            <w:r>
              <w:rPr>
                <w:rFonts w:hint="eastAsia"/>
                <w:highlight w:val="none"/>
                <w:lang w:val="en-US" w:eastAsia="zh-CN"/>
              </w:rPr>
              <w:t>简阳市射洪坝街道人民路12号</w:t>
            </w:r>
          </w:p>
          <w:p>
            <w:pPr>
              <w:pStyle w:val="47"/>
              <w:ind w:left="60" w:leftChars="25" w:right="60" w:rightChars="25"/>
              <w:rPr>
                <w:rFonts w:hint="default" w:eastAsia="宋体"/>
                <w:highlight w:val="none"/>
                <w:lang w:val="en-US" w:eastAsia="zh-CN"/>
              </w:rPr>
            </w:pPr>
            <w:r>
              <w:rPr>
                <w:rFonts w:hint="eastAsia"/>
                <w:highlight w:val="none"/>
              </w:rPr>
              <w:t>邮编：</w:t>
            </w:r>
            <w:r>
              <w:rPr>
                <w:rFonts w:hint="eastAsia"/>
                <w:highlight w:val="none"/>
                <w:lang w:val="en-US" w:eastAsia="zh-CN"/>
              </w:rPr>
              <w:t>641400</w:t>
            </w:r>
          </w:p>
          <w:p>
            <w:pPr>
              <w:pStyle w:val="47"/>
              <w:ind w:left="60" w:leftChars="25" w:right="60" w:rightChars="25"/>
              <w:rPr>
                <w:highlight w:val="none"/>
              </w:rPr>
            </w:pPr>
            <w:r>
              <w:rPr>
                <w:rFonts w:hint="eastAsia"/>
                <w:highlight w:val="none"/>
              </w:rPr>
              <w:t>注：供应商投诉应当有明确的请求和必要的证明材料。供应商投诉的事项不得超出已质疑事项的范围，须符合《政府采购质疑和投诉办法》(财政部第94号令)规定，并使用财政部下发《投诉书》范本。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6" w:hRule="atLeast"/>
          <w:jc w:val="center"/>
        </w:trPr>
        <w:tc>
          <w:tcPr>
            <w:tcW w:w="570" w:type="dxa"/>
            <w:vAlign w:val="center"/>
          </w:tcPr>
          <w:p>
            <w:pPr>
              <w:pStyle w:val="51"/>
              <w:numPr>
                <w:ilvl w:val="0"/>
                <w:numId w:val="9"/>
              </w:numPr>
            </w:pPr>
          </w:p>
        </w:tc>
        <w:tc>
          <w:tcPr>
            <w:tcW w:w="1839" w:type="dxa"/>
            <w:vAlign w:val="center"/>
          </w:tcPr>
          <w:p>
            <w:pPr>
              <w:pStyle w:val="51"/>
            </w:pPr>
            <w:r>
              <w:rPr>
                <w:rFonts w:hint="eastAsia"/>
              </w:rPr>
              <w:t>招标文件咨询</w:t>
            </w:r>
          </w:p>
        </w:tc>
        <w:tc>
          <w:tcPr>
            <w:tcW w:w="7435" w:type="dxa"/>
            <w:vAlign w:val="center"/>
          </w:tcPr>
          <w:p>
            <w:pPr>
              <w:pStyle w:val="51"/>
              <w:ind w:left="60" w:leftChars="25" w:right="60" w:rightChars="25"/>
              <w:jc w:val="left"/>
            </w:pPr>
            <w:r>
              <w:rPr>
                <w:rFonts w:hint="eastAsia"/>
                <w:lang w:val="zh-CN"/>
              </w:rPr>
              <w:t>联系人：</w:t>
            </w:r>
            <w:r>
              <w:rPr>
                <w:rFonts w:hint="eastAsia"/>
                <w:lang w:val="en-US" w:eastAsia="zh-CN"/>
              </w:rPr>
              <w:t>甘爽</w:t>
            </w:r>
          </w:p>
          <w:p>
            <w:pPr>
              <w:pStyle w:val="51"/>
              <w:ind w:left="60" w:leftChars="25" w:right="60" w:rightChars="25"/>
              <w:jc w:val="left"/>
            </w:pPr>
            <w:r>
              <w:rPr>
                <w:rFonts w:hint="eastAsia"/>
                <w:lang w:val="zh-CN"/>
              </w:rPr>
              <w:t>联系电话：028-85316813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pPr>
          </w:p>
        </w:tc>
        <w:tc>
          <w:tcPr>
            <w:tcW w:w="1839" w:type="dxa"/>
            <w:vAlign w:val="center"/>
          </w:tcPr>
          <w:p>
            <w:pPr>
              <w:pStyle w:val="51"/>
            </w:pPr>
            <w:r>
              <w:rPr>
                <w:rFonts w:hint="eastAsia"/>
              </w:rPr>
              <w:t>开评标工作咨询</w:t>
            </w:r>
          </w:p>
        </w:tc>
        <w:tc>
          <w:tcPr>
            <w:tcW w:w="7435" w:type="dxa"/>
            <w:vAlign w:val="center"/>
          </w:tcPr>
          <w:p>
            <w:pPr>
              <w:pStyle w:val="51"/>
              <w:ind w:left="60" w:leftChars="25" w:right="60" w:rightChars="25"/>
              <w:jc w:val="left"/>
              <w:rPr>
                <w:lang w:val="zh-CN"/>
              </w:rPr>
            </w:pPr>
            <w:r>
              <w:rPr>
                <w:rFonts w:hint="eastAsia"/>
                <w:lang w:val="zh-CN"/>
              </w:rPr>
              <w:t>联系人：</w:t>
            </w:r>
            <w:r>
              <w:rPr>
                <w:rFonts w:hint="eastAsia"/>
                <w:lang w:val="en-US" w:eastAsia="zh-CN"/>
              </w:rPr>
              <w:t>甘爽</w:t>
            </w:r>
          </w:p>
          <w:p>
            <w:pPr>
              <w:pStyle w:val="51"/>
              <w:ind w:left="60" w:leftChars="25" w:right="60" w:rightChars="25"/>
              <w:jc w:val="left"/>
            </w:pPr>
            <w:r>
              <w:rPr>
                <w:rFonts w:hint="eastAsia"/>
                <w:lang w:val="zh-CN"/>
              </w:rPr>
              <w:t>联系电话：028-85316813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pPr>
          </w:p>
        </w:tc>
        <w:tc>
          <w:tcPr>
            <w:tcW w:w="1839" w:type="dxa"/>
            <w:vAlign w:val="center"/>
          </w:tcPr>
          <w:p>
            <w:pPr>
              <w:pStyle w:val="51"/>
            </w:pPr>
            <w:r>
              <w:rPr>
                <w:rFonts w:hint="eastAsia"/>
              </w:rPr>
              <w:t>服务质量投诉电话</w:t>
            </w:r>
          </w:p>
        </w:tc>
        <w:tc>
          <w:tcPr>
            <w:tcW w:w="7435" w:type="dxa"/>
            <w:vAlign w:val="center"/>
          </w:tcPr>
          <w:p>
            <w:pPr>
              <w:pStyle w:val="47"/>
              <w:ind w:left="60" w:leftChars="25" w:right="60" w:rightChars="25"/>
            </w:pPr>
            <w:r>
              <w:rPr>
                <w:rFonts w:hint="eastAsia"/>
              </w:rPr>
              <w:t>联系人：</w:t>
            </w:r>
            <w:r>
              <w:rPr>
                <w:rFonts w:hint="eastAsia"/>
                <w:lang w:val="en-US" w:eastAsia="zh-CN"/>
              </w:rPr>
              <w:t>甘爽</w:t>
            </w:r>
          </w:p>
          <w:p>
            <w:pPr>
              <w:pStyle w:val="47"/>
              <w:ind w:left="60" w:leftChars="25" w:right="60" w:rightChars="25"/>
            </w:pPr>
            <w:r>
              <w:rPr>
                <w:rFonts w:hint="eastAsia"/>
              </w:rPr>
              <w:t>联系电话：</w:t>
            </w:r>
            <w:r>
              <w:rPr>
                <w:rFonts w:hint="eastAsia"/>
                <w:lang w:val="zh-CN"/>
              </w:rPr>
              <w:t>028-85316813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pPr>
          </w:p>
        </w:tc>
        <w:tc>
          <w:tcPr>
            <w:tcW w:w="1839" w:type="dxa"/>
            <w:vAlign w:val="center"/>
          </w:tcPr>
          <w:p>
            <w:pPr>
              <w:pStyle w:val="51"/>
            </w:pPr>
            <w:r>
              <w:rPr>
                <w:rFonts w:hint="eastAsia"/>
                <w:lang w:val="zh-CN"/>
              </w:rPr>
              <w:t>声明承诺提醒</w:t>
            </w:r>
          </w:p>
        </w:tc>
        <w:tc>
          <w:tcPr>
            <w:tcW w:w="7435" w:type="dxa"/>
            <w:vAlign w:val="center"/>
          </w:tcPr>
          <w:p>
            <w:pPr>
              <w:pStyle w:val="51"/>
              <w:ind w:left="60" w:leftChars="25" w:right="60" w:rightChars="25"/>
              <w:jc w:val="left"/>
            </w:pPr>
            <w:r>
              <w:rPr>
                <w:rFonts w:hint="eastAsia"/>
              </w:rPr>
              <w:t>投标人的投标</w:t>
            </w:r>
            <w:r>
              <w:rPr>
                <w:rFonts w:hint="eastAsia"/>
                <w:lang w:val="zh-CN"/>
              </w:rPr>
              <w:t>文件中提供的各种声明和承诺应当真实有效，无效声明和承诺、虚假声明和承诺将由</w:t>
            </w:r>
            <w:r>
              <w:rPr>
                <w:rFonts w:hint="eastAsia"/>
              </w:rPr>
              <w:t>投标人自行</w:t>
            </w:r>
            <w:r>
              <w:rPr>
                <w:rFonts w:hint="eastAsia"/>
                <w:lang w:val="zh-CN"/>
              </w:rPr>
              <w:t>承担由此带来的</w:t>
            </w:r>
            <w:r>
              <w:rPr>
                <w:rFonts w:hint="eastAsia"/>
              </w:rPr>
              <w:t>一切</w:t>
            </w:r>
            <w:r>
              <w:rPr>
                <w:rFonts w:hint="eastAsia"/>
                <w:lang w:val="zh-CN"/>
              </w:rPr>
              <w:t>不利后果，</w:t>
            </w:r>
            <w:r>
              <w:rPr>
                <w:rFonts w:hint="eastAsia"/>
              </w:rPr>
              <w:t>采购代理机构</w:t>
            </w:r>
            <w:r>
              <w:rPr>
                <w:rFonts w:hint="eastAsia"/>
                <w:lang w:val="zh-CN"/>
              </w:rPr>
              <w:t>还将报告监管部门追究</w:t>
            </w:r>
            <w:r>
              <w:rPr>
                <w:rFonts w:hint="eastAsia"/>
              </w:rPr>
              <w:t>其</w:t>
            </w:r>
            <w:r>
              <w:rPr>
                <w:rFonts w:hint="eastAsia"/>
                <w:lang w:val="zh-CN"/>
              </w:rPr>
              <w:t>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pPr>
          </w:p>
        </w:tc>
        <w:tc>
          <w:tcPr>
            <w:tcW w:w="1839" w:type="dxa"/>
            <w:vAlign w:val="center"/>
          </w:tcPr>
          <w:p>
            <w:pPr>
              <w:pStyle w:val="51"/>
            </w:pPr>
            <w:r>
              <w:rPr>
                <w:rFonts w:hint="eastAsia"/>
              </w:rPr>
              <w:t>备注</w:t>
            </w:r>
          </w:p>
        </w:tc>
        <w:tc>
          <w:tcPr>
            <w:tcW w:w="7435" w:type="dxa"/>
            <w:vAlign w:val="center"/>
          </w:tcPr>
          <w:p>
            <w:pPr>
              <w:pStyle w:val="47"/>
              <w:ind w:left="60" w:leftChars="25" w:right="60" w:rightChars="25"/>
            </w:pPr>
            <w:r>
              <w:rPr>
                <w:rFonts w:hint="eastAsia"/>
              </w:rPr>
              <w:t>若招标文件中其他内容与投标人须知前附表内容不一致的，以投标人须知前附表为准。</w:t>
            </w:r>
          </w:p>
        </w:tc>
      </w:tr>
    </w:tbl>
    <w:p>
      <w:pPr>
        <w:pStyle w:val="49"/>
        <w:spacing w:before="120" w:after="120"/>
      </w:pPr>
      <w:r>
        <w:rPr>
          <w:rFonts w:hint="eastAsia"/>
        </w:rPr>
        <w:br w:type="page"/>
      </w:r>
      <w:bookmarkStart w:id="32" w:name="_Toc2042"/>
      <w:bookmarkStart w:id="33" w:name="_Toc23295"/>
      <w:bookmarkStart w:id="34" w:name="_Toc4011"/>
      <w:bookmarkStart w:id="35" w:name="_Toc26593"/>
      <w:bookmarkStart w:id="36" w:name="_Toc24426"/>
      <w:r>
        <w:rPr>
          <w:rFonts w:hint="eastAsia"/>
        </w:rPr>
        <w:t>总 则</w:t>
      </w:r>
      <w:bookmarkEnd w:id="31"/>
      <w:bookmarkEnd w:id="32"/>
      <w:bookmarkEnd w:id="33"/>
      <w:bookmarkEnd w:id="34"/>
      <w:bookmarkEnd w:id="35"/>
      <w:bookmarkEnd w:id="36"/>
    </w:p>
    <w:p>
      <w:pPr>
        <w:pStyle w:val="55"/>
        <w:ind w:firstLine="482"/>
      </w:pPr>
      <w:bookmarkStart w:id="37" w:name="_Toc308188129"/>
      <w:bookmarkStart w:id="38" w:name="_Toc20769"/>
      <w:bookmarkStart w:id="39" w:name="_Toc10311"/>
      <w:bookmarkStart w:id="40" w:name="_Toc7112"/>
      <w:bookmarkStart w:id="41" w:name="_Toc28450"/>
      <w:bookmarkStart w:id="42" w:name="_Toc309897492"/>
      <w:bookmarkStart w:id="43" w:name="_Toc31870"/>
      <w:bookmarkStart w:id="44" w:name="_Toc23796"/>
      <w:bookmarkStart w:id="45" w:name="_Toc307564829"/>
      <w:bookmarkStart w:id="46" w:name="_Toc327196263"/>
      <w:bookmarkStart w:id="47" w:name="_Toc217446034"/>
      <w:bookmarkStart w:id="48" w:name="_Toc308084574"/>
      <w:bookmarkStart w:id="49" w:name="_Toc3601"/>
      <w:bookmarkStart w:id="50" w:name="_Toc5790"/>
      <w:bookmarkStart w:id="51" w:name="_Toc319439877"/>
      <w:bookmarkStart w:id="52" w:name="_Toc319440119"/>
      <w:bookmarkStart w:id="53" w:name="_Toc32483"/>
      <w:bookmarkStart w:id="54" w:name="_Toc29532"/>
      <w:bookmarkStart w:id="55" w:name="_Toc32648"/>
      <w:bookmarkStart w:id="56" w:name="_Toc12046"/>
      <w:bookmarkStart w:id="57" w:name="_Toc307501086"/>
      <w:r>
        <w:rPr>
          <w:rFonts w:hint="eastAsia"/>
        </w:rPr>
        <w:t>适用范围</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pPr>
        <w:pStyle w:val="42"/>
        <w:numPr>
          <w:ilvl w:val="2"/>
          <w:numId w:val="0"/>
        </w:numPr>
        <w:ind w:left="480" w:leftChars="200"/>
      </w:pPr>
      <w:r>
        <w:rPr>
          <w:rFonts w:hint="eastAsia"/>
        </w:rPr>
        <w:t>本招标文件仅适用于本次公开招标采购项目。</w:t>
      </w:r>
    </w:p>
    <w:p>
      <w:pPr>
        <w:pStyle w:val="55"/>
        <w:ind w:firstLine="482"/>
      </w:pPr>
      <w:bookmarkStart w:id="58" w:name="_Toc19069"/>
      <w:bookmarkStart w:id="59" w:name="_Toc309897493"/>
      <w:bookmarkStart w:id="60" w:name="_Toc24985"/>
      <w:bookmarkStart w:id="61" w:name="_Toc319440120"/>
      <w:bookmarkStart w:id="62" w:name="_Toc319439878"/>
      <w:bookmarkStart w:id="63" w:name="_Toc7942"/>
      <w:bookmarkStart w:id="64" w:name="_Toc307501087"/>
      <w:bookmarkStart w:id="65" w:name="_Toc19670"/>
      <w:bookmarkStart w:id="66" w:name="_Toc13022"/>
      <w:bookmarkStart w:id="67" w:name="_Toc26348"/>
      <w:bookmarkStart w:id="68" w:name="_Toc16858"/>
      <w:bookmarkStart w:id="69" w:name="_Toc217446035"/>
      <w:bookmarkStart w:id="70" w:name="_Toc524"/>
      <w:bookmarkStart w:id="71" w:name="_Toc12194"/>
      <w:bookmarkStart w:id="72" w:name="_Toc156"/>
      <w:bookmarkStart w:id="73" w:name="_Toc24751"/>
      <w:bookmarkStart w:id="74" w:name="_Toc308188130"/>
      <w:bookmarkStart w:id="75" w:name="_Toc308084575"/>
      <w:bookmarkStart w:id="76" w:name="_Toc307564830"/>
      <w:bookmarkStart w:id="77" w:name="_Toc327196264"/>
      <w:bookmarkStart w:id="78" w:name="_Toc2775"/>
      <w:r>
        <w:rPr>
          <w:rFonts w:hint="eastAsia"/>
        </w:rPr>
        <w:t>有关定义</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pPr>
        <w:pStyle w:val="69"/>
        <w:ind w:firstLine="480"/>
      </w:pPr>
      <w:r>
        <w:rPr>
          <w:rFonts w:hint="eastAsia"/>
        </w:rPr>
        <w:t>“采购人”系指依法进行政府采购的国家机关、事业单位、团体组织。本次招标的采购人是</w:t>
      </w:r>
      <w:r>
        <w:rPr>
          <w:rFonts w:hint="eastAsia"/>
          <w:lang w:eastAsia="zh-CN"/>
        </w:rPr>
        <w:t>简阳市规划和自然资源局</w:t>
      </w:r>
      <w:r>
        <w:rPr>
          <w:rFonts w:hint="eastAsia"/>
        </w:rPr>
        <w:t>。</w:t>
      </w:r>
    </w:p>
    <w:p>
      <w:pPr>
        <w:pStyle w:val="69"/>
        <w:ind w:firstLine="480"/>
      </w:pPr>
      <w:r>
        <w:rPr>
          <w:rFonts w:hint="eastAsia"/>
        </w:rPr>
        <w:t>“采购代理机构”系指根据采购人的委托依法办理招标事宜的采购机构。本次招标的采购代理机构是</w:t>
      </w:r>
      <w:r>
        <w:rPr>
          <w:rFonts w:hint="eastAsia"/>
          <w:lang w:eastAsia="zh-CN"/>
        </w:rPr>
        <w:t>四川意惠采购招标代理有限公司</w:t>
      </w:r>
      <w:r>
        <w:rPr>
          <w:rFonts w:hint="eastAsia"/>
        </w:rPr>
        <w:t>。</w:t>
      </w:r>
    </w:p>
    <w:p>
      <w:pPr>
        <w:pStyle w:val="69"/>
        <w:ind w:firstLine="480"/>
      </w:pPr>
      <w:r>
        <w:rPr>
          <w:rFonts w:hint="eastAsia"/>
        </w:rPr>
        <w:t>“招标采购单位”系指“采购人”和“采购代理机构”的统称。</w:t>
      </w:r>
    </w:p>
    <w:p>
      <w:pPr>
        <w:pStyle w:val="69"/>
        <w:ind w:firstLine="480"/>
      </w:pPr>
      <w:r>
        <w:rPr>
          <w:rFonts w:hint="eastAsia"/>
        </w:rPr>
        <w:t>“投标人”系指购买了招标文件拟参加投标和向采购人提供服务的供应商。</w:t>
      </w:r>
    </w:p>
    <w:p>
      <w:pPr>
        <w:pStyle w:val="69"/>
        <w:ind w:firstLine="480"/>
      </w:pPr>
      <w:r>
        <w:rPr>
          <w:rFonts w:hint="eastAsia"/>
        </w:rPr>
        <w:t>本招标文件各部分规定的期间以时、日、月、年计算。期间开始的时和日，不计算在期间内，而从次日开始计算。期间届满的最后一天是节假日的，以节假日后的第一日为期间届满的日期。</w:t>
      </w:r>
    </w:p>
    <w:p>
      <w:pPr>
        <w:pStyle w:val="69"/>
        <w:ind w:firstLine="480"/>
      </w:pPr>
      <w:r>
        <w:rPr>
          <w:rFonts w:hint="eastAsia"/>
        </w:rPr>
        <w:t>本招标文件各部分规定的时间均以北京时间为准。</w:t>
      </w:r>
    </w:p>
    <w:p>
      <w:pPr>
        <w:pStyle w:val="55"/>
        <w:ind w:firstLine="482"/>
      </w:pPr>
      <w:bookmarkStart w:id="79" w:name="_Toc3060"/>
      <w:bookmarkStart w:id="80" w:name="_Toc7511"/>
      <w:bookmarkStart w:id="81" w:name="_Toc23383"/>
      <w:bookmarkStart w:id="82" w:name="_Toc309897494"/>
      <w:bookmarkStart w:id="83" w:name="_Toc183682344"/>
      <w:bookmarkStart w:id="84" w:name="_Toc307564831"/>
      <w:bookmarkStart w:id="85" w:name="_Toc327196265"/>
      <w:bookmarkStart w:id="86" w:name="_Toc183582207"/>
      <w:bookmarkStart w:id="87" w:name="_Toc319440121"/>
      <w:bookmarkStart w:id="88" w:name="_Toc217390843"/>
      <w:bookmarkStart w:id="89" w:name="_Toc26508"/>
      <w:bookmarkStart w:id="90" w:name="_Toc30244"/>
      <w:bookmarkStart w:id="91" w:name="_Toc217446036"/>
      <w:bookmarkStart w:id="92" w:name="_Toc308188131"/>
      <w:bookmarkStart w:id="93" w:name="_Toc22174"/>
      <w:bookmarkStart w:id="94" w:name="_Toc24547"/>
      <w:bookmarkStart w:id="95" w:name="_Toc308084576"/>
      <w:bookmarkStart w:id="96" w:name="_Toc319439879"/>
      <w:bookmarkStart w:id="97" w:name="_Toc307501088"/>
      <w:bookmarkStart w:id="98" w:name="_Toc29784"/>
      <w:bookmarkStart w:id="99" w:name="_Toc30689"/>
      <w:bookmarkStart w:id="100" w:name="_Toc31295"/>
      <w:bookmarkStart w:id="101" w:name="_Toc2491"/>
      <w:bookmarkStart w:id="102" w:name="_Toc4501"/>
      <w:r>
        <w:rPr>
          <w:rFonts w:hint="eastAsia"/>
        </w:rPr>
        <w:t>合格的投标人</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Pr>
          <w:rFonts w:hint="eastAsia"/>
        </w:rPr>
        <w:t>(实质性要求)</w:t>
      </w:r>
      <w:bookmarkEnd w:id="99"/>
      <w:bookmarkEnd w:id="100"/>
      <w:bookmarkEnd w:id="101"/>
      <w:bookmarkEnd w:id="102"/>
    </w:p>
    <w:p>
      <w:pPr>
        <w:pStyle w:val="52"/>
      </w:pPr>
      <w:r>
        <w:rPr>
          <w:rFonts w:hint="eastAsia"/>
        </w:rPr>
        <w:t>合格的投标人应具备以下条件：</w:t>
      </w:r>
    </w:p>
    <w:p>
      <w:pPr>
        <w:pStyle w:val="69"/>
        <w:ind w:firstLine="480"/>
      </w:pPr>
      <w:r>
        <w:rPr>
          <w:rFonts w:hint="eastAsia"/>
        </w:rPr>
        <w:t>本招标文件“投标邀请”第五条规定的条件；</w:t>
      </w:r>
    </w:p>
    <w:p>
      <w:pPr>
        <w:pStyle w:val="69"/>
        <w:ind w:firstLine="480"/>
      </w:pPr>
      <w:r>
        <w:rPr>
          <w:rFonts w:hint="eastAsia"/>
        </w:rPr>
        <w:t>遵守国家有关的法律、法规、规章和其他政策制度；</w:t>
      </w:r>
    </w:p>
    <w:p>
      <w:pPr>
        <w:pStyle w:val="69"/>
        <w:ind w:firstLine="480"/>
      </w:pPr>
      <w:r>
        <w:rPr>
          <w:rFonts w:hint="eastAsia"/>
        </w:rPr>
        <w:t>向采购代理机构依法获取了招标文件并完成登记。</w:t>
      </w:r>
    </w:p>
    <w:p>
      <w:pPr>
        <w:pStyle w:val="55"/>
        <w:ind w:firstLine="482"/>
      </w:pPr>
      <w:bookmarkStart w:id="103" w:name="_Toc4414"/>
      <w:bookmarkStart w:id="104" w:name="_Toc21649"/>
      <w:bookmarkStart w:id="105" w:name="_Toc183682345"/>
      <w:bookmarkStart w:id="106" w:name="_Toc307564832"/>
      <w:bookmarkStart w:id="107" w:name="_Toc308188132"/>
      <w:bookmarkStart w:id="108" w:name="_Toc28895"/>
      <w:bookmarkStart w:id="109" w:name="_Toc308084577"/>
      <w:bookmarkStart w:id="110" w:name="_Toc12293"/>
      <w:bookmarkStart w:id="111" w:name="_Toc327196266"/>
      <w:bookmarkStart w:id="112" w:name="_Toc5067"/>
      <w:bookmarkStart w:id="113" w:name="_Toc183582208"/>
      <w:bookmarkStart w:id="114" w:name="_Toc307501089"/>
      <w:bookmarkStart w:id="115" w:name="_Toc319440122"/>
      <w:bookmarkStart w:id="116" w:name="_Toc217446037"/>
      <w:bookmarkStart w:id="117" w:name="_Toc309897495"/>
      <w:bookmarkStart w:id="118" w:name="_Toc9761"/>
      <w:bookmarkStart w:id="119" w:name="_Toc14323"/>
      <w:bookmarkStart w:id="120" w:name="_Toc26952"/>
      <w:bookmarkStart w:id="121" w:name="_Toc319439880"/>
      <w:bookmarkStart w:id="122" w:name="_Toc31729"/>
      <w:bookmarkStart w:id="123" w:name="_Toc7047"/>
      <w:bookmarkStart w:id="124" w:name="_Toc17870"/>
      <w:bookmarkStart w:id="125" w:name="_Toc20132"/>
      <w:r>
        <w:rPr>
          <w:rFonts w:hint="eastAsia"/>
        </w:rPr>
        <w:t>投标费用</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Pr>
          <w:rFonts w:hint="eastAsia"/>
        </w:rPr>
        <w:t>(实质性要求)</w:t>
      </w:r>
      <w:bookmarkEnd w:id="122"/>
      <w:bookmarkEnd w:id="123"/>
      <w:bookmarkEnd w:id="124"/>
      <w:bookmarkEnd w:id="125"/>
    </w:p>
    <w:p>
      <w:pPr>
        <w:pStyle w:val="52"/>
      </w:pPr>
      <w:r>
        <w:rPr>
          <w:rFonts w:hint="eastAsia"/>
        </w:rPr>
        <w:t>无论投标的结果如何，投标人参加投标的有关费用由投标人自行承担。</w:t>
      </w:r>
    </w:p>
    <w:p>
      <w:pPr>
        <w:pStyle w:val="55"/>
        <w:ind w:firstLine="482"/>
      </w:pPr>
      <w:bookmarkStart w:id="126" w:name="_Toc11996"/>
      <w:bookmarkStart w:id="127" w:name="_Toc7710"/>
      <w:bookmarkStart w:id="128" w:name="_Toc28490"/>
      <w:bookmarkStart w:id="129" w:name="_Toc307501090"/>
      <w:bookmarkStart w:id="130" w:name="_Toc27604"/>
      <w:bookmarkStart w:id="131" w:name="_Toc308084578"/>
      <w:bookmarkStart w:id="132" w:name="_Toc18984"/>
      <w:bookmarkStart w:id="133" w:name="_Toc327196267"/>
      <w:bookmarkStart w:id="134" w:name="_Toc309897496"/>
      <w:bookmarkStart w:id="135" w:name="_Toc27927"/>
      <w:bookmarkStart w:id="136" w:name="_Toc319439881"/>
      <w:bookmarkStart w:id="137" w:name="_Toc319440123"/>
      <w:bookmarkStart w:id="138" w:name="_Toc11131"/>
      <w:bookmarkStart w:id="139" w:name="_Toc18993"/>
      <w:bookmarkStart w:id="140" w:name="_Toc307564833"/>
      <w:bookmarkStart w:id="141" w:name="_Toc308188133"/>
      <w:bookmarkStart w:id="142" w:name="_Toc11923"/>
      <w:bookmarkStart w:id="143" w:name="_Toc433"/>
      <w:bookmarkStart w:id="144" w:name="_Toc5564"/>
      <w:bookmarkStart w:id="145" w:name="_Toc20611"/>
      <w:r>
        <w:rPr>
          <w:rFonts w:hint="eastAsia"/>
        </w:rPr>
        <w:t>充分、公平竞争保障措施</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Pr>
          <w:rFonts w:hint="eastAsia"/>
        </w:rPr>
        <w:t>(实质性要求)</w:t>
      </w:r>
      <w:bookmarkEnd w:id="142"/>
      <w:bookmarkEnd w:id="143"/>
      <w:bookmarkEnd w:id="144"/>
      <w:bookmarkEnd w:id="145"/>
    </w:p>
    <w:p>
      <w:pPr>
        <w:pStyle w:val="69"/>
        <w:ind w:firstLine="480"/>
      </w:pPr>
      <w:bookmarkStart w:id="146" w:name="_Toc13891"/>
      <w:bookmarkStart w:id="147" w:name="_Toc183582209"/>
      <w:bookmarkStart w:id="148" w:name="_Toc77400779"/>
      <w:bookmarkStart w:id="149" w:name="_Toc217446038"/>
      <w:bookmarkStart w:id="150" w:name="_Toc327196268"/>
      <w:bookmarkStart w:id="151" w:name="_Toc89075875"/>
      <w:bookmarkStart w:id="152" w:name="_Toc183682346"/>
      <w:r>
        <w:rPr>
          <w:rFonts w:hint="eastAsia"/>
        </w:rPr>
        <w:t>利害关系供应商处理。</w:t>
      </w:r>
    </w:p>
    <w:p>
      <w:pPr>
        <w:pStyle w:val="52"/>
      </w:pPr>
      <w:r>
        <w:rPr>
          <w:rFonts w:hint="eastAsia"/>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选择其中一家符合条件的供应商参加后续的政府采购活动。</w:t>
      </w:r>
    </w:p>
    <w:p>
      <w:pPr>
        <w:pStyle w:val="69"/>
        <w:ind w:firstLine="480"/>
      </w:pPr>
      <w:r>
        <w:rPr>
          <w:rFonts w:hint="eastAsia"/>
        </w:rPr>
        <w:t>前期参与供应商处理。</w:t>
      </w:r>
    </w:p>
    <w:p>
      <w:pPr>
        <w:pStyle w:val="52"/>
      </w:pPr>
      <w:r>
        <w:rPr>
          <w:rFonts w:hint="eastAsia"/>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52"/>
        <w:ind w:firstLine="482"/>
        <w:rPr>
          <w:b/>
          <w:bCs/>
        </w:rPr>
      </w:pPr>
      <w:r>
        <w:rPr>
          <w:rFonts w:hint="eastAsia"/>
          <w:b/>
          <w:bCs/>
        </w:rPr>
        <w:t>注：本项目无符合本条规定的供应商。</w:t>
      </w:r>
    </w:p>
    <w:p>
      <w:pPr>
        <w:pStyle w:val="69"/>
        <w:ind w:firstLine="480"/>
      </w:pPr>
      <w:r>
        <w:rPr>
          <w:rFonts w:hint="eastAsia"/>
        </w:rPr>
        <w:t>利害关系代理人处理。</w:t>
      </w:r>
    </w:p>
    <w:p>
      <w:pPr>
        <w:pStyle w:val="70"/>
        <w:ind w:firstLine="480"/>
      </w:pPr>
      <w:r>
        <w:rPr>
          <w:rFonts w:hint="eastAsia"/>
        </w:rPr>
        <w:t>在同一合同项下的采购项目中，若有2家及以上的供应商同时委托同一个自然人、同一家庭的人员、同一单位的人员作为其代理人，其投标文件作为无效处理。</w:t>
      </w:r>
    </w:p>
    <w:p>
      <w:pPr>
        <w:pStyle w:val="70"/>
        <w:ind w:firstLine="480"/>
      </w:pPr>
      <w:r>
        <w:rPr>
          <w:rFonts w:hint="eastAsia"/>
        </w:rPr>
        <w:t>供应商实际控制人或者中高级管理人员，同时是采购代理机构工作人员，不得参与本项目政府采购活动。</w:t>
      </w:r>
    </w:p>
    <w:p>
      <w:pPr>
        <w:pStyle w:val="70"/>
        <w:ind w:firstLine="480"/>
      </w:pPr>
      <w:r>
        <w:rPr>
          <w:rFonts w:hint="eastAsia"/>
        </w:rPr>
        <w:t>同一母公司的两家以上的子公司只能组成联合体参加本项目同一合同项下的采购活动，不得以不同供应商身份同时参加本项目同一合同项下的采购活动。</w:t>
      </w:r>
    </w:p>
    <w:p>
      <w:pPr>
        <w:pStyle w:val="70"/>
        <w:ind w:firstLine="480"/>
      </w:pPr>
      <w:r>
        <w:rPr>
          <w:rFonts w:hint="eastAsia"/>
        </w:rPr>
        <w:t>供应商与采购代理机构存在关联关系，或者是采购代理机构的母公司或子公司，不得参加本项目政府采购活动。</w:t>
      </w:r>
    </w:p>
    <w:p>
      <w:pPr>
        <w:pStyle w:val="49"/>
        <w:spacing w:before="120" w:after="120"/>
      </w:pPr>
      <w:bookmarkStart w:id="153" w:name="_Toc11847"/>
      <w:bookmarkStart w:id="154" w:name="_Toc12561"/>
      <w:bookmarkStart w:id="155" w:name="_Toc14125"/>
      <w:bookmarkStart w:id="156" w:name="_Toc27564"/>
      <w:r>
        <w:rPr>
          <w:rFonts w:hint="eastAsia"/>
        </w:rPr>
        <w:t>招标文件</w:t>
      </w:r>
      <w:bookmarkEnd w:id="146"/>
      <w:bookmarkEnd w:id="147"/>
      <w:bookmarkEnd w:id="148"/>
      <w:bookmarkEnd w:id="149"/>
      <w:bookmarkEnd w:id="150"/>
      <w:bookmarkEnd w:id="151"/>
      <w:bookmarkEnd w:id="152"/>
      <w:bookmarkEnd w:id="153"/>
      <w:bookmarkEnd w:id="154"/>
      <w:bookmarkEnd w:id="155"/>
      <w:bookmarkEnd w:id="156"/>
    </w:p>
    <w:p>
      <w:pPr>
        <w:pStyle w:val="55"/>
        <w:numPr>
          <w:ilvl w:val="2"/>
          <w:numId w:val="14"/>
        </w:numPr>
        <w:ind w:firstLine="482"/>
      </w:pPr>
      <w:bookmarkStart w:id="157" w:name="_Toc309897498"/>
      <w:bookmarkStart w:id="158" w:name="_Toc307564835"/>
      <w:bookmarkStart w:id="159" w:name="_Toc16404"/>
      <w:bookmarkStart w:id="160" w:name="_Toc319439883"/>
      <w:bookmarkStart w:id="161" w:name="_Toc25874"/>
      <w:bookmarkStart w:id="162" w:name="_Toc217446039"/>
      <w:bookmarkStart w:id="163" w:name="_Toc183682347"/>
      <w:bookmarkStart w:id="164" w:name="_Toc11075"/>
      <w:bookmarkStart w:id="165" w:name="_Toc307501092"/>
      <w:bookmarkStart w:id="166" w:name="_Toc25650"/>
      <w:bookmarkStart w:id="167" w:name="_Toc327196269"/>
      <w:bookmarkStart w:id="168" w:name="_Toc21985"/>
      <w:bookmarkStart w:id="169" w:name="_Toc8808"/>
      <w:bookmarkStart w:id="170" w:name="_Toc22520"/>
      <w:bookmarkStart w:id="171" w:name="_Toc19030"/>
      <w:bookmarkStart w:id="172" w:name="_Toc29703"/>
      <w:bookmarkStart w:id="173" w:name="_Toc5983"/>
      <w:bookmarkStart w:id="174" w:name="_Toc183582210"/>
      <w:bookmarkStart w:id="175" w:name="_Toc29642"/>
      <w:bookmarkStart w:id="176" w:name="_Toc24565"/>
      <w:bookmarkStart w:id="177" w:name="_Toc308188135"/>
      <w:bookmarkStart w:id="178" w:name="_Toc319440125"/>
      <w:bookmarkStart w:id="179" w:name="_Toc308084580"/>
      <w:r>
        <w:rPr>
          <w:rFonts w:hint="eastAsia"/>
        </w:rPr>
        <w:t>招标文件的构成</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pPr>
        <w:pStyle w:val="69"/>
        <w:ind w:firstLine="480"/>
      </w:pPr>
      <w:r>
        <w:rPr>
          <w:rFonts w:hint="eastAsia"/>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pStyle w:val="70"/>
        <w:ind w:firstLine="480"/>
      </w:pPr>
      <w:r>
        <w:rPr>
          <w:rFonts w:hint="eastAsia"/>
        </w:rPr>
        <w:t>投标邀请；</w:t>
      </w:r>
    </w:p>
    <w:p>
      <w:pPr>
        <w:pStyle w:val="70"/>
        <w:ind w:firstLine="480"/>
      </w:pPr>
      <w:r>
        <w:rPr>
          <w:rFonts w:hint="eastAsia"/>
        </w:rPr>
        <w:t>投标人须知(包括投标文件的密封、签署、盖章要求等)；</w:t>
      </w:r>
    </w:p>
    <w:p>
      <w:pPr>
        <w:pStyle w:val="70"/>
        <w:ind w:firstLine="480"/>
      </w:pPr>
      <w:r>
        <w:rPr>
          <w:rFonts w:hint="eastAsia"/>
        </w:rPr>
        <w:t>投标人应当提交的资格、资信证明文件；</w:t>
      </w:r>
    </w:p>
    <w:p>
      <w:pPr>
        <w:pStyle w:val="70"/>
        <w:ind w:firstLine="480"/>
      </w:pPr>
      <w:r>
        <w:rPr>
          <w:rFonts w:hint="eastAsia"/>
        </w:rPr>
        <w:t>为落实政府采购政策，采购标的需满足的要求，以及投标人须提供的证明材料；</w:t>
      </w:r>
    </w:p>
    <w:p>
      <w:pPr>
        <w:pStyle w:val="70"/>
        <w:ind w:firstLine="480"/>
      </w:pPr>
      <w:r>
        <w:rPr>
          <w:rFonts w:hint="eastAsia"/>
        </w:rPr>
        <w:t>投标文件编制要求、投标报价要求；</w:t>
      </w:r>
    </w:p>
    <w:p>
      <w:pPr>
        <w:pStyle w:val="70"/>
        <w:ind w:firstLine="480"/>
      </w:pPr>
      <w:r>
        <w:rPr>
          <w:rFonts w:hint="eastAsia"/>
        </w:rPr>
        <w:t>采购项目预算金额，设定最高限价的，还应当公开最高限价；</w:t>
      </w:r>
    </w:p>
    <w:p>
      <w:pPr>
        <w:pStyle w:val="70"/>
        <w:ind w:firstLine="480"/>
      </w:pPr>
      <w:r>
        <w:rPr>
          <w:rFonts w:hint="eastAsia"/>
        </w:rPr>
        <w:t>采购项目的技术规格、数量、服务标准、验收等要求，包括附件、图纸(如涉及)等；</w:t>
      </w:r>
    </w:p>
    <w:p>
      <w:pPr>
        <w:pStyle w:val="70"/>
        <w:ind w:firstLine="480"/>
      </w:pPr>
      <w:r>
        <w:rPr>
          <w:rFonts w:hint="eastAsia"/>
        </w:rPr>
        <w:t>拟签订的合同文本；</w:t>
      </w:r>
    </w:p>
    <w:p>
      <w:pPr>
        <w:pStyle w:val="70"/>
        <w:ind w:firstLine="480"/>
      </w:pPr>
      <w:r>
        <w:rPr>
          <w:rFonts w:hint="eastAsia"/>
        </w:rPr>
        <w:t>货物、服务提供的时间、地点、方式；</w:t>
      </w:r>
    </w:p>
    <w:p>
      <w:pPr>
        <w:pStyle w:val="70"/>
        <w:ind w:firstLine="480"/>
      </w:pPr>
      <w:r>
        <w:rPr>
          <w:rFonts w:hint="eastAsia"/>
        </w:rPr>
        <w:t>采购资金的支付方式、时间、条件；</w:t>
      </w:r>
    </w:p>
    <w:p>
      <w:pPr>
        <w:pStyle w:val="70"/>
        <w:ind w:firstLine="480"/>
      </w:pPr>
      <w:r>
        <w:rPr>
          <w:rFonts w:hint="eastAsia"/>
        </w:rPr>
        <w:t>评标方法、评标标准和投标无效情形；</w:t>
      </w:r>
    </w:p>
    <w:p>
      <w:pPr>
        <w:pStyle w:val="70"/>
        <w:ind w:firstLine="480"/>
      </w:pPr>
      <w:r>
        <w:rPr>
          <w:rFonts w:hint="eastAsia"/>
        </w:rPr>
        <w:t>投标有效期；</w:t>
      </w:r>
    </w:p>
    <w:p>
      <w:pPr>
        <w:pStyle w:val="70"/>
        <w:ind w:firstLine="480"/>
      </w:pPr>
      <w:r>
        <w:rPr>
          <w:rFonts w:hint="eastAsia"/>
        </w:rPr>
        <w:t>投标截止时间、开标时间及地点；</w:t>
      </w:r>
    </w:p>
    <w:p>
      <w:pPr>
        <w:pStyle w:val="70"/>
        <w:ind w:firstLine="480"/>
      </w:pPr>
      <w:r>
        <w:rPr>
          <w:rFonts w:hint="eastAsia"/>
        </w:rPr>
        <w:t>采购代理机构代理费用的收取标准和方式；</w:t>
      </w:r>
    </w:p>
    <w:p>
      <w:pPr>
        <w:pStyle w:val="70"/>
        <w:ind w:firstLine="480"/>
      </w:pPr>
      <w:r>
        <w:rPr>
          <w:rFonts w:hint="eastAsia"/>
        </w:rPr>
        <w:t>投标人信用信息查询渠道及截止时点、信用信息查询记录和证据留存的具体方式、信用信息的使用规则等；</w:t>
      </w:r>
    </w:p>
    <w:p>
      <w:pPr>
        <w:pStyle w:val="70"/>
        <w:ind w:firstLine="480"/>
      </w:pPr>
      <w:r>
        <w:rPr>
          <w:rFonts w:hint="eastAsia"/>
        </w:rPr>
        <w:t>省级以上财政部门规定的其他事项。</w:t>
      </w:r>
    </w:p>
    <w:p>
      <w:pPr>
        <w:pStyle w:val="69"/>
        <w:numPr>
          <w:ilvl w:val="3"/>
          <w:numId w:val="14"/>
        </w:numPr>
        <w:ind w:firstLine="480"/>
      </w:pPr>
      <w:r>
        <w:rPr>
          <w:rFonts w:hint="eastAsia"/>
        </w:rPr>
        <w:t>投标人应认真阅读和充分理解招标文件中所有的事项、格式条款和规范要求。投标人没有对招标文件全面做出实质性响应是投标人的风险。没有按照招标文件要求作出实质性响应的投标文件将被拒绝。</w:t>
      </w:r>
    </w:p>
    <w:p>
      <w:pPr>
        <w:pStyle w:val="55"/>
        <w:ind w:firstLine="482"/>
      </w:pPr>
      <w:bookmarkStart w:id="180" w:name="_Toc183582211"/>
      <w:bookmarkStart w:id="181" w:name="_Toc183682348"/>
      <w:bookmarkStart w:id="182" w:name="_Toc26020"/>
      <w:bookmarkStart w:id="183" w:name="_Toc217446040"/>
      <w:bookmarkStart w:id="184" w:name="_Toc22085"/>
      <w:bookmarkStart w:id="185" w:name="_Toc7541"/>
      <w:bookmarkStart w:id="186" w:name="_Toc27690"/>
      <w:bookmarkStart w:id="187" w:name="_Toc319439884"/>
      <w:bookmarkStart w:id="188" w:name="_Toc427"/>
      <w:bookmarkStart w:id="189" w:name="_Toc19612"/>
      <w:bookmarkStart w:id="190" w:name="_Toc319440126"/>
      <w:bookmarkStart w:id="191" w:name="_Toc308188136"/>
      <w:bookmarkStart w:id="192" w:name="_Toc327196270"/>
      <w:bookmarkStart w:id="193" w:name="_Toc307564836"/>
      <w:bookmarkStart w:id="194" w:name="_Toc25894"/>
      <w:bookmarkStart w:id="195" w:name="_Toc16291"/>
      <w:bookmarkStart w:id="196" w:name="_Toc11995"/>
      <w:bookmarkStart w:id="197" w:name="_Toc13600"/>
      <w:bookmarkStart w:id="198" w:name="_Toc17632"/>
      <w:bookmarkStart w:id="199" w:name="_Toc31172"/>
      <w:bookmarkStart w:id="200" w:name="_Toc308084581"/>
      <w:bookmarkStart w:id="201" w:name="_Toc309897499"/>
      <w:bookmarkStart w:id="202" w:name="_Toc307501093"/>
      <w:r>
        <w:rPr>
          <w:rFonts w:hint="eastAsia"/>
        </w:rPr>
        <w:t>招标文件的澄清</w:t>
      </w:r>
      <w:bookmarkEnd w:id="180"/>
      <w:bookmarkEnd w:id="181"/>
      <w:r>
        <w:rPr>
          <w:rFonts w:hint="eastAsia"/>
        </w:rPr>
        <w:t>和修改</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pPr>
        <w:pStyle w:val="69"/>
        <w:ind w:firstLine="480"/>
      </w:pPr>
      <w:bookmarkStart w:id="203" w:name="_Toc2637"/>
      <w:bookmarkStart w:id="204" w:name="_Toc307501094"/>
      <w:bookmarkStart w:id="205" w:name="_Toc3159"/>
      <w:bookmarkStart w:id="206" w:name="_Toc9735"/>
      <w:bookmarkStart w:id="207" w:name="_Toc8838"/>
      <w:bookmarkStart w:id="208" w:name="_Toc24226"/>
      <w:bookmarkStart w:id="209" w:name="_Toc208848971"/>
      <w:bookmarkStart w:id="210" w:name="_Toc327196271"/>
      <w:bookmarkStart w:id="211" w:name="_Toc319439885"/>
      <w:bookmarkStart w:id="212" w:name="_Toc309897500"/>
      <w:bookmarkStart w:id="213" w:name="_Toc22061"/>
      <w:bookmarkStart w:id="214" w:name="_Toc17111"/>
      <w:bookmarkStart w:id="215" w:name="_Toc308188137"/>
      <w:bookmarkStart w:id="216" w:name="_Toc307564837"/>
      <w:bookmarkStart w:id="217" w:name="_Toc319440127"/>
      <w:bookmarkStart w:id="218" w:name="_Toc7026"/>
      <w:bookmarkStart w:id="219" w:name="_Toc217446041"/>
      <w:bookmarkStart w:id="220" w:name="_Toc6811"/>
      <w:bookmarkStart w:id="221" w:name="_Toc3361"/>
      <w:bookmarkStart w:id="222" w:name="_Toc308084582"/>
      <w:r>
        <w:rPr>
          <w:rFonts w:hint="eastAsia"/>
        </w:rPr>
        <w:t>在投标截止时间前，招标采购单位无论出于何种原因，可以对招标文件进行澄清或者修改；投标人认为需要对招标文件进行澄清或者修改的，可以以书面形式向招标采购单位提出申请，但招标采购单位可以决定是否采纳投标人的申请事项。</w:t>
      </w:r>
    </w:p>
    <w:p>
      <w:pPr>
        <w:pStyle w:val="69"/>
        <w:ind w:firstLine="480"/>
      </w:pPr>
      <w:r>
        <w:rPr>
          <w:rFonts w:hint="eastAsia"/>
        </w:rPr>
        <w:t>招标采购单位对已发出的招标文件进行澄清或者修改，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pPr>
        <w:pStyle w:val="69"/>
        <w:ind w:firstLine="482"/>
        <w:rPr>
          <w:b/>
          <w:bCs/>
        </w:rPr>
      </w:pPr>
      <w:r>
        <w:rPr>
          <w:rFonts w:hint="eastAsia"/>
          <w:b/>
          <w:bCs/>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pStyle w:val="52"/>
        <w:ind w:firstLine="482"/>
        <w:rPr>
          <w:b/>
          <w:bCs/>
        </w:rPr>
      </w:pPr>
      <w:r>
        <w:rPr>
          <w:rFonts w:hint="eastAsia"/>
          <w:b/>
          <w:bCs/>
        </w:rPr>
        <w:t>采购代理机构将通过报名系统将更正通知发送至所有购买招标文件的供应商，供应商在收到相应更正通知后，将更正公告打印后加盖单位公章扫描并通过报名系统提交至采购代理机构。如供应商未给予书面回复，则视为收到并认可该更正通知的内容。</w:t>
      </w:r>
    </w:p>
    <w:p>
      <w:pPr>
        <w:pStyle w:val="55"/>
        <w:ind w:firstLine="482"/>
      </w:pPr>
      <w:bookmarkStart w:id="223" w:name="_Toc9674"/>
      <w:bookmarkStart w:id="224" w:name="_Toc31570"/>
      <w:r>
        <w:rPr>
          <w:rFonts w:hint="eastAsia"/>
        </w:rPr>
        <w:t>答疑会和现场考察</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pPr>
        <w:pStyle w:val="69"/>
        <w:ind w:firstLine="480"/>
      </w:pPr>
      <w:bookmarkStart w:id="225" w:name="_Toc89075876"/>
      <w:bookmarkStart w:id="226" w:name="_Toc20199"/>
      <w:bookmarkStart w:id="227" w:name="_Toc327196272"/>
      <w:bookmarkStart w:id="228" w:name="_Toc183682351"/>
      <w:bookmarkStart w:id="229" w:name="_Toc183582214"/>
      <w:bookmarkStart w:id="230" w:name="_Toc77400780"/>
      <w:bookmarkStart w:id="231" w:name="_Toc217446042"/>
      <w:r>
        <w:rPr>
          <w:rFonts w:hint="eastAsia"/>
        </w:rPr>
        <w:t>采购人、采购代理机构可以视采购项目的具体情况，组织投标人进行现场考察或开标前答疑会，但不得单独或分别组织只有一个投标人参加的现场考察和答疑会。若组织答疑会和现场考察以采购代理机构通知为准。</w:t>
      </w:r>
    </w:p>
    <w:p>
      <w:pPr>
        <w:pStyle w:val="69"/>
        <w:ind w:firstLine="480"/>
      </w:pPr>
      <w:r>
        <w:rPr>
          <w:rFonts w:hint="eastAsia"/>
        </w:rPr>
        <w:t>投标人考察现场所发生的一切费用由投标人自行承担。</w:t>
      </w:r>
    </w:p>
    <w:p>
      <w:pPr>
        <w:pStyle w:val="49"/>
        <w:spacing w:before="120" w:after="120"/>
      </w:pPr>
      <w:bookmarkStart w:id="232" w:name="_Toc615"/>
      <w:bookmarkStart w:id="233" w:name="_Toc16131"/>
      <w:bookmarkStart w:id="234" w:name="_Toc21781"/>
      <w:bookmarkStart w:id="235" w:name="_Toc27479"/>
      <w:r>
        <w:rPr>
          <w:rFonts w:hint="eastAsia"/>
        </w:rPr>
        <w:t>投标文件</w:t>
      </w:r>
      <w:bookmarkEnd w:id="225"/>
      <w:bookmarkEnd w:id="226"/>
      <w:bookmarkEnd w:id="227"/>
      <w:bookmarkEnd w:id="228"/>
      <w:bookmarkEnd w:id="229"/>
      <w:bookmarkEnd w:id="230"/>
      <w:bookmarkEnd w:id="231"/>
      <w:bookmarkEnd w:id="232"/>
      <w:bookmarkEnd w:id="233"/>
      <w:bookmarkEnd w:id="234"/>
      <w:bookmarkEnd w:id="235"/>
    </w:p>
    <w:p>
      <w:pPr>
        <w:pStyle w:val="55"/>
        <w:numPr>
          <w:ilvl w:val="2"/>
          <w:numId w:val="15"/>
        </w:numPr>
        <w:ind w:firstLine="482"/>
      </w:pPr>
      <w:bookmarkStart w:id="236" w:name="_Toc319440129"/>
      <w:bookmarkStart w:id="237" w:name="_Toc2601"/>
      <w:bookmarkStart w:id="238" w:name="_Toc308188139"/>
      <w:bookmarkStart w:id="239" w:name="_Toc26076"/>
      <w:bookmarkStart w:id="240" w:name="_Toc319439887"/>
      <w:bookmarkStart w:id="241" w:name="_Toc183682352"/>
      <w:bookmarkStart w:id="242" w:name="_Toc1641"/>
      <w:bookmarkStart w:id="243" w:name="_Toc29330"/>
      <w:bookmarkStart w:id="244" w:name="_Toc308084584"/>
      <w:bookmarkStart w:id="245" w:name="_Toc27053"/>
      <w:bookmarkStart w:id="246" w:name="_Toc217446043"/>
      <w:bookmarkStart w:id="247" w:name="_Toc327196273"/>
      <w:bookmarkStart w:id="248" w:name="_Toc307564839"/>
      <w:bookmarkStart w:id="249" w:name="_Toc3041"/>
      <w:bookmarkStart w:id="250" w:name="_Toc183582215"/>
      <w:bookmarkStart w:id="251" w:name="_Toc309897502"/>
      <w:bookmarkStart w:id="252" w:name="_Toc307501096"/>
      <w:bookmarkStart w:id="253" w:name="_Toc23564"/>
      <w:bookmarkStart w:id="254" w:name="_Toc21169"/>
      <w:bookmarkStart w:id="255" w:name="_Toc14178"/>
      <w:bookmarkStart w:id="256" w:name="_Toc32562"/>
      <w:bookmarkStart w:id="257" w:name="_Toc8388"/>
      <w:bookmarkStart w:id="258" w:name="_Toc11217"/>
      <w:r>
        <w:rPr>
          <w:rFonts w:hint="eastAsia"/>
        </w:rPr>
        <w:t>投标文件的语言</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Pr>
          <w:rFonts w:hint="eastAsia"/>
        </w:rPr>
        <w:t>(实质性要求)</w:t>
      </w:r>
      <w:bookmarkEnd w:id="255"/>
      <w:bookmarkEnd w:id="256"/>
      <w:bookmarkEnd w:id="257"/>
      <w:bookmarkEnd w:id="258"/>
    </w:p>
    <w:p>
      <w:pPr>
        <w:pStyle w:val="69"/>
        <w:ind w:firstLine="480"/>
      </w:pPr>
      <w:r>
        <w:rPr>
          <w:rFonts w:hint="eastAsia"/>
        </w:rPr>
        <w:t>投标人提交的投标文件以及投标人与招标采购单位就有关投标的所有来往书面文件均须使用中文。投标文件中如附有外文资料，必须逐一对应翻译成中文并加盖投标人公章后附在相关外文资料后面，否则，视为未提供该资料。对于供应商的法定代表人为外籍人士的，法定代表人的签字和护照、行业标准、国家标准、国际标准或行业认证等需要以非中文表述且不宜翻译为中文的除外。</w:t>
      </w:r>
    </w:p>
    <w:p>
      <w:pPr>
        <w:pStyle w:val="69"/>
        <w:ind w:firstLine="480"/>
      </w:pPr>
      <w:r>
        <w:rPr>
          <w:rFonts w:hint="eastAsia"/>
        </w:rPr>
        <w:t>翻译的中文资料与外文资料如果出现差异和矛盾时，以中文为准。但不能故意错误翻译，否则，投标人的投标文件将作为无效投标处理。</w:t>
      </w:r>
    </w:p>
    <w:p>
      <w:pPr>
        <w:pStyle w:val="55"/>
        <w:ind w:firstLine="482"/>
      </w:pPr>
      <w:bookmarkStart w:id="259" w:name="_Toc20188"/>
      <w:bookmarkStart w:id="260" w:name="_Toc308084585"/>
      <w:bookmarkStart w:id="261" w:name="_Toc308188140"/>
      <w:bookmarkStart w:id="262" w:name="_Toc17444"/>
      <w:bookmarkStart w:id="263" w:name="_Toc183582216"/>
      <w:bookmarkStart w:id="264" w:name="_Toc327196274"/>
      <w:bookmarkStart w:id="265" w:name="_Toc15226"/>
      <w:bookmarkStart w:id="266" w:name="_Toc20091"/>
      <w:bookmarkStart w:id="267" w:name="_Toc2379"/>
      <w:bookmarkStart w:id="268" w:name="_Toc319440130"/>
      <w:bookmarkStart w:id="269" w:name="_Toc319439888"/>
      <w:bookmarkStart w:id="270" w:name="_Toc12195"/>
      <w:bookmarkStart w:id="271" w:name="_Toc183682353"/>
      <w:bookmarkStart w:id="272" w:name="_Toc307501097"/>
      <w:bookmarkStart w:id="273" w:name="_Toc309897503"/>
      <w:bookmarkStart w:id="274" w:name="_Toc307564840"/>
      <w:bookmarkStart w:id="275" w:name="_Toc11901"/>
      <w:bookmarkStart w:id="276" w:name="_Toc217446044"/>
      <w:bookmarkStart w:id="277" w:name="_Toc15145"/>
      <w:bookmarkStart w:id="278" w:name="_Toc18700"/>
      <w:bookmarkStart w:id="279" w:name="_Toc30736"/>
      <w:bookmarkStart w:id="280" w:name="_Toc10594"/>
      <w:bookmarkStart w:id="281" w:name="_Toc12658"/>
      <w:r>
        <w:rPr>
          <w:rFonts w:hint="eastAsia"/>
        </w:rPr>
        <w:t>计量单位</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Pr>
          <w:rFonts w:hint="eastAsia"/>
        </w:rPr>
        <w:t>(实质性要求)</w:t>
      </w:r>
      <w:bookmarkEnd w:id="278"/>
      <w:bookmarkEnd w:id="279"/>
      <w:bookmarkEnd w:id="280"/>
      <w:bookmarkEnd w:id="281"/>
    </w:p>
    <w:p>
      <w:pPr>
        <w:pStyle w:val="52"/>
      </w:pPr>
      <w:r>
        <w:rPr>
          <w:rFonts w:hint="eastAsia"/>
        </w:rPr>
        <w:t>除技术规格及要求中另有规定外，本采购项下的投标均采用国家法定的计量单位。</w:t>
      </w:r>
    </w:p>
    <w:p>
      <w:pPr>
        <w:pStyle w:val="55"/>
        <w:ind w:firstLine="482"/>
      </w:pPr>
      <w:bookmarkStart w:id="282" w:name="_Toc217446045"/>
      <w:bookmarkStart w:id="283" w:name="_Toc307564841"/>
      <w:bookmarkStart w:id="284" w:name="_Toc24761"/>
      <w:bookmarkStart w:id="285" w:name="_Toc25216"/>
      <w:bookmarkStart w:id="286" w:name="_Toc16798"/>
      <w:bookmarkStart w:id="287" w:name="_Toc8881"/>
      <w:bookmarkStart w:id="288" w:name="_Toc319440131"/>
      <w:bookmarkStart w:id="289" w:name="_Toc327196275"/>
      <w:bookmarkStart w:id="290" w:name="_Toc308084586"/>
      <w:bookmarkStart w:id="291" w:name="_Toc319439889"/>
      <w:bookmarkStart w:id="292" w:name="_Toc307501098"/>
      <w:bookmarkStart w:id="293" w:name="_Toc8803"/>
      <w:bookmarkStart w:id="294" w:name="_Toc698"/>
      <w:bookmarkStart w:id="295" w:name="_Toc309897504"/>
      <w:bookmarkStart w:id="296" w:name="_Toc308188141"/>
      <w:bookmarkStart w:id="297" w:name="_Toc22739"/>
      <w:bookmarkStart w:id="298" w:name="_Toc15435"/>
      <w:bookmarkStart w:id="299" w:name="_Toc2628"/>
      <w:bookmarkStart w:id="300" w:name="_Toc19960"/>
      <w:bookmarkStart w:id="301" w:name="_Toc11633"/>
      <w:bookmarkStart w:id="302" w:name="_Toc20780"/>
      <w:r>
        <w:rPr>
          <w:rFonts w:hint="eastAsia"/>
        </w:rPr>
        <w:t>投标货币</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Pr>
          <w:rFonts w:hint="eastAsia"/>
        </w:rPr>
        <w:t>(实质性要求)</w:t>
      </w:r>
      <w:bookmarkEnd w:id="299"/>
      <w:bookmarkEnd w:id="300"/>
      <w:bookmarkEnd w:id="301"/>
      <w:bookmarkEnd w:id="302"/>
    </w:p>
    <w:p>
      <w:pPr>
        <w:pStyle w:val="52"/>
      </w:pPr>
      <w:r>
        <w:rPr>
          <w:rFonts w:hint="eastAsia"/>
        </w:rPr>
        <w:t>本次招标项目的投标均以人民币报价。</w:t>
      </w:r>
    </w:p>
    <w:p>
      <w:pPr>
        <w:pStyle w:val="55"/>
        <w:ind w:firstLine="482"/>
      </w:pPr>
      <w:bookmarkStart w:id="303" w:name="_Toc7935"/>
      <w:bookmarkStart w:id="304" w:name="_Toc25266"/>
      <w:bookmarkStart w:id="305" w:name="_Toc8550"/>
      <w:bookmarkStart w:id="306" w:name="_Toc32108"/>
      <w:bookmarkStart w:id="307" w:name="_Toc319439890"/>
      <w:bookmarkStart w:id="308" w:name="_Toc21797"/>
      <w:bookmarkStart w:id="309" w:name="_Toc308188142"/>
      <w:bookmarkStart w:id="310" w:name="_Toc319440132"/>
      <w:bookmarkStart w:id="311" w:name="_Toc21894"/>
      <w:bookmarkStart w:id="312" w:name="_Toc16409"/>
      <w:bookmarkStart w:id="313" w:name="_Toc32667"/>
      <w:bookmarkStart w:id="314" w:name="_Toc24432"/>
      <w:bookmarkStart w:id="315" w:name="_Toc327196276"/>
      <w:bookmarkStart w:id="316" w:name="_Toc217446046"/>
      <w:bookmarkStart w:id="317" w:name="_Toc4336"/>
      <w:bookmarkStart w:id="318" w:name="_Toc308084587"/>
      <w:bookmarkStart w:id="319" w:name="_Toc25923"/>
      <w:bookmarkStart w:id="320" w:name="_Toc307564842"/>
      <w:bookmarkStart w:id="321" w:name="_Toc307501099"/>
      <w:bookmarkStart w:id="322" w:name="_Toc15074"/>
      <w:bookmarkStart w:id="323" w:name="_Toc309897505"/>
      <w:bookmarkStart w:id="324" w:name="_Toc30189"/>
      <w:bookmarkStart w:id="325" w:name="_Toc309897506"/>
      <w:bookmarkStart w:id="326" w:name="_Toc7819"/>
      <w:bookmarkStart w:id="327" w:name="_Toc307564843"/>
      <w:bookmarkStart w:id="328" w:name="_Toc319439891"/>
      <w:bookmarkStart w:id="329" w:name="_Toc327196277"/>
      <w:bookmarkStart w:id="330" w:name="_Toc18912"/>
      <w:bookmarkStart w:id="331" w:name="_Toc307501100"/>
      <w:bookmarkStart w:id="332" w:name="_Toc10974"/>
      <w:bookmarkStart w:id="333" w:name="_Toc217446047"/>
      <w:bookmarkStart w:id="334" w:name="_Toc30958"/>
      <w:bookmarkStart w:id="335" w:name="_Toc319440133"/>
      <w:bookmarkStart w:id="336" w:name="_Toc3781"/>
      <w:bookmarkStart w:id="337" w:name="_Toc2050"/>
      <w:bookmarkStart w:id="338" w:name="_Toc308084588"/>
      <w:bookmarkStart w:id="339" w:name="_Toc13754"/>
      <w:bookmarkStart w:id="340" w:name="_Toc27877"/>
      <w:bookmarkStart w:id="341" w:name="_Toc308188143"/>
      <w:bookmarkStart w:id="342" w:name="_Toc9626"/>
      <w:bookmarkStart w:id="343" w:name="_Toc15468"/>
      <w:r>
        <w:rPr>
          <w:rFonts w:hint="eastAsia"/>
        </w:rPr>
        <w:t>联合体投标</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rPr>
          <w:rFonts w:hint="eastAsia"/>
        </w:rPr>
        <w:t>(实质性要求)</w:t>
      </w:r>
      <w:bookmarkEnd w:id="324"/>
    </w:p>
    <w:p>
      <w:pPr>
        <w:pStyle w:val="48"/>
        <w:ind w:firstLine="480" w:firstLineChars="200"/>
      </w:pPr>
      <w:r>
        <w:rPr>
          <w:rFonts w:hint="eastAsia"/>
        </w:rPr>
        <w:t>本项目不接受联合体投标。</w:t>
      </w:r>
    </w:p>
    <w:p>
      <w:pPr>
        <w:pStyle w:val="55"/>
        <w:ind w:firstLine="482"/>
      </w:pPr>
      <w:bookmarkStart w:id="344" w:name="_Toc30421"/>
      <w:bookmarkStart w:id="345" w:name="_Toc16916"/>
      <w:r>
        <w:rPr>
          <w:rFonts w:hint="eastAsia"/>
        </w:rPr>
        <w:t>知识产权</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Pr>
          <w:rFonts w:hint="eastAsia"/>
        </w:rPr>
        <w:t>(实质性要求)</w:t>
      </w:r>
      <w:bookmarkEnd w:id="342"/>
      <w:bookmarkEnd w:id="343"/>
      <w:bookmarkEnd w:id="344"/>
      <w:bookmarkEnd w:id="345"/>
    </w:p>
    <w:p>
      <w:pPr>
        <w:pStyle w:val="69"/>
        <w:ind w:firstLine="480"/>
      </w:pPr>
      <w:bookmarkStart w:id="346" w:name="_Toc307501101"/>
      <w:bookmarkStart w:id="347" w:name="_Toc319440134"/>
      <w:bookmarkStart w:id="348" w:name="_Toc183582217"/>
      <w:bookmarkStart w:id="349" w:name="_Toc2706"/>
      <w:bookmarkStart w:id="350" w:name="_Toc1140"/>
      <w:bookmarkStart w:id="351" w:name="_Toc16281"/>
      <w:bookmarkStart w:id="352" w:name="_Toc11856"/>
      <w:bookmarkStart w:id="353" w:name="_Toc8432"/>
      <w:bookmarkStart w:id="354" w:name="_Toc183682354"/>
      <w:bookmarkStart w:id="355" w:name="_Toc7660"/>
      <w:bookmarkStart w:id="356" w:name="_Toc30708"/>
      <w:bookmarkStart w:id="357" w:name="_Toc217446048"/>
      <w:bookmarkStart w:id="358" w:name="_Toc307564844"/>
      <w:bookmarkStart w:id="359" w:name="_Toc327196278"/>
      <w:bookmarkStart w:id="360" w:name="_Toc6143"/>
      <w:bookmarkStart w:id="361" w:name="_Toc308188144"/>
      <w:bookmarkStart w:id="362" w:name="_Toc308084589"/>
      <w:bookmarkStart w:id="363" w:name="_Toc10817"/>
      <w:bookmarkStart w:id="364" w:name="_Toc309897507"/>
      <w:bookmarkStart w:id="365" w:name="_Toc319439892"/>
      <w:bookmarkStart w:id="366" w:name="_Toc5369"/>
      <w:r>
        <w:rPr>
          <w:rFonts w:hint="eastAsia"/>
        </w:rPr>
        <w:t>投标人在本项目使用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69"/>
        <w:ind w:firstLine="480"/>
      </w:pPr>
      <w:r>
        <w:rPr>
          <w:rFonts w:hint="eastAsia"/>
        </w:rPr>
        <w:t>采购人享有本项目实施过程中产生的知识成果及知识产权。</w:t>
      </w:r>
    </w:p>
    <w:p>
      <w:pPr>
        <w:pStyle w:val="69"/>
        <w:ind w:firstLine="480"/>
      </w:pPr>
      <w:r>
        <w:rPr>
          <w:rFonts w:hint="eastAsia"/>
        </w:rPr>
        <w:t>投标人如欲在项目实施过程中采用自有知识成果，需在投标文件中声明，并提供相关知识产权证明文件。使用该知识成果后，投标人需提供相关技术文档，并承诺提供无限期技术支持，采购人享有永久使用权，</w:t>
      </w:r>
      <w:r>
        <w:t>同时需在投标文件中提供声明，并提供相关知识产权证明文件，否则视为投标人未在本项目实施过程中采用自有知识成果，不影响有效性</w:t>
      </w:r>
      <w:r>
        <w:rPr>
          <w:rFonts w:hint="eastAsia"/>
        </w:rPr>
        <w:t>。</w:t>
      </w:r>
    </w:p>
    <w:p>
      <w:pPr>
        <w:pStyle w:val="69"/>
        <w:ind w:firstLine="480"/>
      </w:pPr>
      <w:r>
        <w:rPr>
          <w:rFonts w:hint="eastAsia"/>
        </w:rPr>
        <w:t xml:space="preserve">如采用投标人所不拥有的知识产权，则在投标报价中必须包括合法获取该知识产权的相关费用。 </w:t>
      </w:r>
    </w:p>
    <w:p>
      <w:pPr>
        <w:pStyle w:val="69"/>
        <w:ind w:firstLine="480"/>
      </w:pPr>
      <w:r>
        <w:rPr>
          <w:rFonts w:hint="eastAsia"/>
        </w:rPr>
        <w:t>如采购项目涉及知识产权时按照此条要求执行，并在评审时作实质性审查。</w:t>
      </w:r>
    </w:p>
    <w:p>
      <w:pPr>
        <w:pStyle w:val="55"/>
        <w:ind w:firstLine="482"/>
      </w:pPr>
      <w:bookmarkStart w:id="367" w:name="_Toc28370"/>
      <w:bookmarkStart w:id="368" w:name="_Toc3689"/>
      <w:r>
        <w:rPr>
          <w:rFonts w:hint="eastAsia"/>
        </w:rPr>
        <w:t>投标文件的组成</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pPr>
        <w:pStyle w:val="52"/>
      </w:pPr>
      <w:bookmarkStart w:id="369" w:name="_Toc307501102"/>
      <w:bookmarkStart w:id="370" w:name="_Toc183582218"/>
      <w:bookmarkStart w:id="371" w:name="_Toc217446049"/>
      <w:bookmarkStart w:id="372" w:name="_Toc183682355"/>
      <w:r>
        <w:rPr>
          <w:rFonts w:hint="eastAsia"/>
        </w:rPr>
        <w:t>投标人应按照招标文件的规定和要求编制投标文件，否则视为无效投标。投标人拟在中标后将中标项目的非主体、非关键性工作交由他人完成的，应当在投标文件中载明。投标人编写的投标文件应包括以下两部分：</w:t>
      </w:r>
    </w:p>
    <w:p>
      <w:pPr>
        <w:pStyle w:val="69"/>
        <w:ind w:firstLine="480"/>
      </w:pPr>
      <w:r>
        <w:rPr>
          <w:rFonts w:hint="eastAsia"/>
        </w:rPr>
        <w:t>第一部分：资格、资质性及其他类似效力投标文件(用于资格审查)</w:t>
      </w:r>
    </w:p>
    <w:p>
      <w:pPr>
        <w:pStyle w:val="52"/>
      </w:pPr>
      <w:r>
        <w:rPr>
          <w:rFonts w:hint="eastAsia"/>
        </w:rPr>
        <w:t>按照招标文件第四、五章要求提供相关资格、资质性及其他类似效力要求的相关证明材料。</w:t>
      </w:r>
    </w:p>
    <w:p>
      <w:pPr>
        <w:pStyle w:val="69"/>
        <w:ind w:firstLine="480"/>
      </w:pPr>
      <w:r>
        <w:rPr>
          <w:rFonts w:hint="eastAsia"/>
        </w:rPr>
        <w:t>第二部分：其它投标文件(用于资格审查以外的评标)</w:t>
      </w:r>
    </w:p>
    <w:p>
      <w:pPr>
        <w:pStyle w:val="52"/>
      </w:pPr>
      <w:r>
        <w:rPr>
          <w:rFonts w:hint="eastAsia"/>
        </w:rPr>
        <w:t>按照招标文件要求提供以下相关材料：</w:t>
      </w:r>
    </w:p>
    <w:p>
      <w:pPr>
        <w:pStyle w:val="70"/>
        <w:ind w:firstLine="482"/>
        <w:rPr>
          <w:b/>
          <w:bCs/>
        </w:rPr>
      </w:pPr>
      <w:r>
        <w:rPr>
          <w:rFonts w:hint="eastAsia"/>
          <w:b/>
          <w:bCs/>
        </w:rPr>
        <w:t>报价部分(实质性要求)。</w:t>
      </w:r>
    </w:p>
    <w:p>
      <w:pPr>
        <w:pStyle w:val="43"/>
        <w:numPr>
          <w:ilvl w:val="3"/>
          <w:numId w:val="0"/>
        </w:numPr>
        <w:ind w:left="480" w:leftChars="200"/>
      </w:pPr>
      <w:r>
        <w:rPr>
          <w:rFonts w:hint="eastAsia"/>
        </w:rPr>
        <w:t>投标人按照以下要求填写的“开标一览表”。本次招标报价要求：</w:t>
      </w:r>
    </w:p>
    <w:p>
      <w:pPr>
        <w:pStyle w:val="71"/>
        <w:ind w:firstLine="480"/>
      </w:pPr>
      <w:r>
        <w:rPr>
          <w:rFonts w:hint="eastAsia"/>
        </w:rPr>
        <w:t>投标人</w:t>
      </w:r>
      <w:r>
        <w:rPr>
          <w:rFonts w:hint="eastAsia"/>
          <w:lang w:val="zh-CN"/>
        </w:rPr>
        <w:t>报价</w:t>
      </w:r>
      <w:r>
        <w:rPr>
          <w:rFonts w:hint="eastAsia" w:cs="宋体"/>
        </w:rPr>
        <w:t>是</w:t>
      </w:r>
      <w:r>
        <w:rPr>
          <w:rFonts w:hint="eastAsia"/>
        </w:rPr>
        <w:t>投标人</w:t>
      </w:r>
      <w:r>
        <w:rPr>
          <w:rFonts w:hint="eastAsia" w:cs="宋体"/>
        </w:rPr>
        <w:t>响应本项目要求的全部工作内容的价格体现，包括投标人完成本项目所需支出的一切费用、</w:t>
      </w:r>
      <w:r>
        <w:rPr>
          <w:rFonts w:hint="eastAsia"/>
        </w:rPr>
        <w:t>获得的合法合理利润</w:t>
      </w:r>
      <w:r>
        <w:rPr>
          <w:rFonts w:hint="eastAsia" w:cs="宋体"/>
        </w:rPr>
        <w:t>及其投标文件中所给与的一切附加服务，</w:t>
      </w:r>
      <w:r>
        <w:rPr>
          <w:rFonts w:hint="eastAsia"/>
        </w:rPr>
        <w:t>投标人</w:t>
      </w:r>
      <w:r>
        <w:rPr>
          <w:rFonts w:hint="eastAsia" w:cs="宋体"/>
        </w:rPr>
        <w:t>须认真阅读招标文件，根据本项目所需提供的</w:t>
      </w:r>
      <w:r>
        <w:rPr>
          <w:rFonts w:hint="eastAsia"/>
        </w:rPr>
        <w:t>服务内容、服务要求、技术要求及其他要求等的内容，结合投标人</w:t>
      </w:r>
      <w:r>
        <w:rPr>
          <w:rFonts w:hint="eastAsia" w:cs="宋体"/>
        </w:rPr>
        <w:t>自身实际情况和</w:t>
      </w:r>
      <w:r>
        <w:rPr>
          <w:rFonts w:hint="eastAsia"/>
        </w:rPr>
        <w:t>项目执行过程中</w:t>
      </w:r>
      <w:r>
        <w:rPr>
          <w:rFonts w:hint="eastAsia" w:cs="宋体"/>
        </w:rPr>
        <w:t>可能遇到的各类因素，科学测算成本，理性报价，中标后因</w:t>
      </w:r>
      <w:r>
        <w:rPr>
          <w:rFonts w:hint="eastAsia"/>
        </w:rPr>
        <w:t>投标人</w:t>
      </w:r>
      <w:r>
        <w:rPr>
          <w:rFonts w:hint="eastAsia" w:cs="宋体"/>
        </w:rPr>
        <w:t>遗漏的各种费用均包含在其中标报价中，</w:t>
      </w:r>
      <w:r>
        <w:rPr>
          <w:rFonts w:hint="eastAsia"/>
        </w:rPr>
        <w:t>投标人</w:t>
      </w:r>
      <w:r>
        <w:rPr>
          <w:rFonts w:hint="eastAsia" w:cs="宋体"/>
        </w:rPr>
        <w:t>不得以此为理由要求另行增加费用，同时由于</w:t>
      </w:r>
      <w:r>
        <w:rPr>
          <w:rFonts w:hint="eastAsia"/>
        </w:rPr>
        <w:t>投标人</w:t>
      </w:r>
      <w:r>
        <w:rPr>
          <w:rFonts w:hint="eastAsia" w:cs="宋体"/>
        </w:rPr>
        <w:t>的原因造成报价低于成本价的，其责任由</w:t>
      </w:r>
      <w:r>
        <w:rPr>
          <w:rFonts w:hint="eastAsia"/>
        </w:rPr>
        <w:t>投标人</w:t>
      </w:r>
      <w:r>
        <w:rPr>
          <w:rFonts w:hint="eastAsia" w:cs="宋体"/>
        </w:rPr>
        <w:t>自行承担</w:t>
      </w:r>
      <w:r>
        <w:rPr>
          <w:rFonts w:hint="eastAsia"/>
          <w:lang w:val="zh-CN"/>
        </w:rPr>
        <w:t>。</w:t>
      </w:r>
    </w:p>
    <w:p>
      <w:pPr>
        <w:pStyle w:val="71"/>
        <w:ind w:firstLine="480"/>
        <w:rPr>
          <w:lang w:val="zh-CN"/>
        </w:rPr>
      </w:pPr>
      <w:r>
        <w:rPr>
          <w:rFonts w:hint="eastAsia"/>
          <w:lang w:val="zh-CN"/>
        </w:rPr>
        <w:t>“开标一览表”为多页的，每页均需由法定代表人/单位负责人或授权代表签字并盖投标人印章，否则将视为无效投标。</w:t>
      </w:r>
    </w:p>
    <w:p>
      <w:pPr>
        <w:pStyle w:val="71"/>
        <w:ind w:firstLine="480"/>
      </w:pPr>
      <w:r>
        <w:rPr>
          <w:rFonts w:hint="eastAsia"/>
          <w:lang w:val="zh-CN"/>
        </w:rPr>
        <w:t>本项目</w:t>
      </w:r>
      <w:r>
        <w:rPr>
          <w:rFonts w:hint="eastAsia"/>
        </w:rPr>
        <w:t>第一包</w:t>
      </w:r>
      <w:r>
        <w:rPr>
          <w:rFonts w:hint="eastAsia"/>
          <w:lang w:eastAsia="zh-CN"/>
        </w:rPr>
        <w:t>、</w:t>
      </w:r>
      <w:r>
        <w:rPr>
          <w:rFonts w:hint="eastAsia"/>
        </w:rPr>
        <w:t>第二包</w:t>
      </w:r>
      <w:r>
        <w:rPr>
          <w:rFonts w:hint="eastAsia"/>
          <w:lang w:eastAsia="zh-CN"/>
        </w:rPr>
        <w:t>、</w:t>
      </w:r>
      <w:r>
        <w:rPr>
          <w:rFonts w:hint="eastAsia"/>
        </w:rPr>
        <w:t>第</w:t>
      </w:r>
      <w:r>
        <w:rPr>
          <w:rFonts w:hint="eastAsia"/>
          <w:lang w:eastAsia="zh-CN"/>
        </w:rPr>
        <w:t>三</w:t>
      </w:r>
      <w:r>
        <w:rPr>
          <w:rFonts w:hint="eastAsia"/>
        </w:rPr>
        <w:t>包投标报价不得超过招标文件规定的单价最高限价，第</w:t>
      </w:r>
      <w:r>
        <w:rPr>
          <w:rFonts w:hint="eastAsia"/>
          <w:lang w:val="en-US" w:eastAsia="zh-CN"/>
        </w:rPr>
        <w:t>四</w:t>
      </w:r>
      <w:r>
        <w:rPr>
          <w:rFonts w:hint="eastAsia"/>
        </w:rPr>
        <w:t>包、第</w:t>
      </w:r>
      <w:r>
        <w:rPr>
          <w:rFonts w:hint="eastAsia"/>
          <w:lang w:val="en-US" w:eastAsia="zh-CN"/>
        </w:rPr>
        <w:t>五</w:t>
      </w:r>
      <w:r>
        <w:rPr>
          <w:rFonts w:hint="eastAsia"/>
        </w:rPr>
        <w:t>包投标报价</w:t>
      </w:r>
      <w:r>
        <w:rPr>
          <w:rFonts w:hint="eastAsia"/>
          <w:lang w:val="zh-CN"/>
        </w:rPr>
        <w:t>不</w:t>
      </w:r>
      <w:r>
        <w:rPr>
          <w:rFonts w:hint="eastAsia"/>
        </w:rPr>
        <w:t>得</w:t>
      </w:r>
      <w:r>
        <w:rPr>
          <w:rFonts w:hint="eastAsia"/>
          <w:lang w:val="zh-CN"/>
        </w:rPr>
        <w:t>超过</w:t>
      </w:r>
      <w:r>
        <w:rPr>
          <w:rFonts w:hint="eastAsia"/>
        </w:rPr>
        <w:t>各包所对应的采购</w:t>
      </w:r>
      <w:r>
        <w:rPr>
          <w:rFonts w:hint="eastAsia"/>
          <w:lang w:val="zh-CN"/>
        </w:rPr>
        <w:t>预算，</w:t>
      </w:r>
      <w:r>
        <w:rPr>
          <w:rFonts w:hint="eastAsia"/>
        </w:rPr>
        <w:t>否则将被视为无效投标。</w:t>
      </w:r>
    </w:p>
    <w:p>
      <w:pPr>
        <w:pStyle w:val="71"/>
        <w:ind w:firstLine="480"/>
      </w:pPr>
      <w:r>
        <w:rPr>
          <w:rFonts w:hint="eastAsia"/>
        </w:rPr>
        <w:t>投标人只允许有一个报价，并且在合同履行过程中是固定不变的，任何有选择或可调整的报价将不予接受，并按无效投标处理。</w:t>
      </w:r>
    </w:p>
    <w:p>
      <w:pPr>
        <w:pStyle w:val="71"/>
        <w:ind w:firstLine="480"/>
        <w:rPr>
          <w:lang w:val="zh-CN"/>
        </w:rPr>
      </w:pPr>
      <w:r>
        <w:rPr>
          <w:rFonts w:hint="eastAsia"/>
        </w:rPr>
        <w:t>投标人</w:t>
      </w:r>
      <w:r>
        <w:rPr>
          <w:rFonts w:hint="eastAsia"/>
          <w:lang w:val="zh-CN"/>
        </w:rPr>
        <w:t>的失信行为受到行政处罚或司法惩处的，按投标人须知附表中规定的价格加成方式进行惩戒。</w:t>
      </w:r>
    </w:p>
    <w:p>
      <w:pPr>
        <w:pStyle w:val="70"/>
        <w:ind w:firstLine="482"/>
        <w:rPr>
          <w:b/>
          <w:bCs/>
          <w:lang w:val="zh-CN"/>
        </w:rPr>
      </w:pPr>
      <w:r>
        <w:rPr>
          <w:rFonts w:hint="eastAsia"/>
          <w:b/>
          <w:bCs/>
        </w:rPr>
        <w:t>服务</w:t>
      </w:r>
      <w:r>
        <w:rPr>
          <w:rFonts w:hint="eastAsia"/>
          <w:b/>
          <w:bCs/>
          <w:lang w:val="zh-CN"/>
        </w:rPr>
        <w:t>部分</w:t>
      </w:r>
    </w:p>
    <w:p>
      <w:pPr>
        <w:pStyle w:val="52"/>
        <w:rPr>
          <w:lang w:val="zh-CN"/>
        </w:rPr>
      </w:pPr>
      <w:r>
        <w:rPr>
          <w:rFonts w:hint="eastAsia"/>
          <w:lang w:val="zh-CN"/>
        </w:rPr>
        <w:t>投标人按照招标文件要求做出的服务应答，主要是针对招标项目的服务要求做出的实质性响应和满足。投标人的服务应答应尽可能包括下列内容：</w:t>
      </w:r>
    </w:p>
    <w:p>
      <w:pPr>
        <w:pStyle w:val="71"/>
        <w:ind w:firstLine="480"/>
        <w:rPr>
          <w:lang w:val="zh-CN"/>
        </w:rPr>
      </w:pPr>
      <w:r>
        <w:rPr>
          <w:rFonts w:hint="eastAsia"/>
          <w:lang w:val="zh-CN" w:eastAsia="zh-CN"/>
        </w:rPr>
        <w:t>服务方案、技术方案(</w:t>
      </w:r>
      <w:r>
        <w:rPr>
          <w:rFonts w:hint="eastAsia"/>
          <w:lang w:val="en-US" w:eastAsia="zh-CN"/>
        </w:rPr>
        <w:t>根据各包评分表要求为准</w:t>
      </w:r>
      <w:r>
        <w:rPr>
          <w:rFonts w:hint="eastAsia"/>
          <w:lang w:val="zh-CN" w:eastAsia="zh-CN"/>
        </w:rPr>
        <w:t>)</w:t>
      </w:r>
      <w:r>
        <w:rPr>
          <w:rFonts w:hint="eastAsia"/>
          <w:lang w:val="zh-CN"/>
        </w:rPr>
        <w:t>；</w:t>
      </w:r>
    </w:p>
    <w:p>
      <w:pPr>
        <w:pStyle w:val="71"/>
        <w:ind w:firstLine="480"/>
        <w:rPr>
          <w:lang w:val="zh-CN"/>
        </w:rPr>
      </w:pPr>
      <w:r>
        <w:rPr>
          <w:rFonts w:hint="eastAsia"/>
          <w:lang w:val="zh-CN"/>
        </w:rPr>
        <w:t>拟投本项目的管理、技术及服务人员(如涉及需投入设备的项目可列明设备清单)；</w:t>
      </w:r>
    </w:p>
    <w:p>
      <w:pPr>
        <w:pStyle w:val="71"/>
        <w:ind w:firstLine="480"/>
        <w:rPr>
          <w:lang w:val="zh-CN"/>
        </w:rPr>
      </w:pPr>
      <w:r>
        <w:rPr>
          <w:rFonts w:hint="eastAsia"/>
          <w:lang w:val="zh-CN"/>
        </w:rPr>
        <w:t>服务应答表；</w:t>
      </w:r>
    </w:p>
    <w:p>
      <w:pPr>
        <w:pStyle w:val="71"/>
        <w:ind w:firstLine="480"/>
      </w:pPr>
      <w:r>
        <w:rPr>
          <w:rFonts w:hint="eastAsia"/>
          <w:lang w:val="zh-CN"/>
        </w:rPr>
        <w:t>投标人认为需要提供的文件和资料</w:t>
      </w:r>
      <w:r>
        <w:rPr>
          <w:rFonts w:hint="eastAsia"/>
        </w:rPr>
        <w:t>。</w:t>
      </w:r>
    </w:p>
    <w:p>
      <w:pPr>
        <w:pStyle w:val="70"/>
        <w:ind w:firstLine="482"/>
        <w:rPr>
          <w:b/>
          <w:bCs/>
        </w:rPr>
      </w:pPr>
      <w:r>
        <w:rPr>
          <w:rFonts w:hint="eastAsia"/>
          <w:b/>
          <w:bCs/>
        </w:rPr>
        <w:t>商务部分</w:t>
      </w:r>
    </w:p>
    <w:p>
      <w:pPr>
        <w:pStyle w:val="52"/>
      </w:pPr>
      <w:r>
        <w:rPr>
          <w:rFonts w:hint="eastAsia"/>
        </w:rPr>
        <w:t>投标人按照招标文件要求提供的有关证明材料；至少应包括但不限于以下内容：</w:t>
      </w:r>
    </w:p>
    <w:p>
      <w:pPr>
        <w:pStyle w:val="71"/>
        <w:ind w:firstLine="480"/>
      </w:pPr>
      <w:bookmarkStart w:id="373" w:name="_Toc148505258"/>
      <w:bookmarkStart w:id="374" w:name="_Toc310411990"/>
      <w:bookmarkStart w:id="375" w:name="_Toc338418069"/>
      <w:bookmarkStart w:id="376" w:name="_Toc177972975"/>
      <w:bookmarkStart w:id="377" w:name="_Toc177972289"/>
      <w:bookmarkStart w:id="378" w:name="_Toc310410799"/>
      <w:bookmarkStart w:id="379" w:name="_Toc310412059"/>
      <w:r>
        <w:rPr>
          <w:rFonts w:hint="eastAsia"/>
        </w:rPr>
        <w:t>投标函；</w:t>
      </w:r>
    </w:p>
    <w:p>
      <w:pPr>
        <w:pStyle w:val="71"/>
        <w:ind w:firstLine="480"/>
      </w:pPr>
      <w:r>
        <w:rPr>
          <w:rFonts w:hint="eastAsia"/>
        </w:rPr>
        <w:t>投标人基本情况表；</w:t>
      </w:r>
    </w:p>
    <w:p>
      <w:pPr>
        <w:pStyle w:val="71"/>
        <w:ind w:firstLine="480"/>
      </w:pPr>
      <w:r>
        <w:rPr>
          <w:rFonts w:hint="eastAsia"/>
        </w:rPr>
        <w:t>商务应答表；</w:t>
      </w:r>
    </w:p>
    <w:p>
      <w:pPr>
        <w:pStyle w:val="71"/>
        <w:ind w:firstLine="480"/>
      </w:pPr>
      <w:r>
        <w:rPr>
          <w:rFonts w:hint="eastAsia"/>
        </w:rPr>
        <w:t>招标代理服务费承诺函；</w:t>
      </w:r>
    </w:p>
    <w:p>
      <w:pPr>
        <w:pStyle w:val="71"/>
        <w:ind w:firstLine="480"/>
      </w:pPr>
      <w:r>
        <w:rPr>
          <w:rFonts w:hint="eastAsia"/>
        </w:rPr>
        <w:t>投标人认为应当提供的其他证明材料；</w:t>
      </w:r>
    </w:p>
    <w:p>
      <w:pPr>
        <w:pStyle w:val="71"/>
        <w:ind w:firstLine="480"/>
      </w:pPr>
      <w:r>
        <w:rPr>
          <w:rFonts w:hint="eastAsia"/>
        </w:rPr>
        <w:t>招标文件规定的其他商务要求。</w:t>
      </w:r>
    </w:p>
    <w:bookmarkEnd w:id="373"/>
    <w:bookmarkEnd w:id="374"/>
    <w:bookmarkEnd w:id="375"/>
    <w:bookmarkEnd w:id="376"/>
    <w:bookmarkEnd w:id="377"/>
    <w:bookmarkEnd w:id="378"/>
    <w:bookmarkEnd w:id="379"/>
    <w:p>
      <w:pPr>
        <w:pStyle w:val="70"/>
        <w:ind w:firstLine="480"/>
      </w:pPr>
      <w:r>
        <w:rPr>
          <w:rFonts w:hint="eastAsia"/>
        </w:rPr>
        <w:t>其他部分。</w:t>
      </w:r>
    </w:p>
    <w:p>
      <w:pPr>
        <w:pStyle w:val="52"/>
      </w:pPr>
      <w:r>
        <w:rPr>
          <w:rFonts w:hint="eastAsia"/>
        </w:rPr>
        <w:t>投标人按照招标文件要求作出的其他应答和承诺。</w:t>
      </w:r>
    </w:p>
    <w:p>
      <w:pPr>
        <w:pStyle w:val="53"/>
        <w:ind w:firstLine="482"/>
      </w:pPr>
      <w:r>
        <w:rPr>
          <w:rFonts w:hint="eastAsia"/>
        </w:rPr>
        <w:t>注：以上1、2要求提供的证明材料均需加盖投标人公章，若未加盖投标人公章的，则该证明材料涉及的评分项不予评分，涉及资格条件或实质性要求的评审项按未通过处理。</w:t>
      </w:r>
    </w:p>
    <w:p>
      <w:pPr>
        <w:pStyle w:val="52"/>
        <w:ind w:firstLine="482"/>
        <w:rPr>
          <w:b/>
          <w:bCs/>
        </w:rPr>
      </w:pPr>
      <w:r>
        <w:rPr>
          <w:rFonts w:hint="eastAsia"/>
          <w:b/>
          <w:bCs/>
        </w:rPr>
        <w:t>若综合评分明细表和技术参数中需要提供的证明材料上述未提及，投标人根据综合评分明细表和技术参数提供相关的证明材料。</w:t>
      </w:r>
    </w:p>
    <w:p>
      <w:pPr>
        <w:pStyle w:val="55"/>
        <w:ind w:firstLine="482"/>
      </w:pPr>
      <w:bookmarkStart w:id="380" w:name="_Toc31136"/>
      <w:bookmarkStart w:id="381" w:name="_Toc4288"/>
      <w:bookmarkStart w:id="382" w:name="_Toc26967"/>
      <w:bookmarkStart w:id="383" w:name="_Toc23655"/>
      <w:bookmarkStart w:id="384" w:name="_Toc31194"/>
      <w:bookmarkStart w:id="385" w:name="_Toc32288"/>
      <w:bookmarkStart w:id="386" w:name="_Toc308188145"/>
      <w:bookmarkStart w:id="387" w:name="_Toc327196279"/>
      <w:bookmarkStart w:id="388" w:name="_Toc15763"/>
      <w:bookmarkStart w:id="389" w:name="_Toc3096"/>
      <w:bookmarkStart w:id="390" w:name="_Toc6789"/>
      <w:bookmarkStart w:id="391" w:name="_Toc308084590"/>
      <w:bookmarkStart w:id="392" w:name="_Toc307564845"/>
      <w:bookmarkStart w:id="393" w:name="_Toc1874"/>
      <w:bookmarkStart w:id="394" w:name="_Toc32103"/>
      <w:bookmarkStart w:id="395" w:name="_Toc309897508"/>
      <w:bookmarkStart w:id="396" w:name="_Toc319440135"/>
      <w:bookmarkStart w:id="397" w:name="_Toc15482"/>
      <w:bookmarkStart w:id="398" w:name="_Toc319439893"/>
      <w:r>
        <w:rPr>
          <w:rFonts w:hint="eastAsia"/>
        </w:rPr>
        <w:t>投标文件格式</w:t>
      </w:r>
      <w:bookmarkEnd w:id="369"/>
      <w:bookmarkEnd w:id="370"/>
      <w:bookmarkEnd w:id="371"/>
      <w:bookmarkEnd w:id="372"/>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r>
        <w:rPr>
          <w:rFonts w:hint="eastAsia"/>
        </w:rPr>
        <w:tab/>
      </w:r>
    </w:p>
    <w:p>
      <w:pPr>
        <w:pStyle w:val="69"/>
        <w:ind w:firstLine="480"/>
      </w:pPr>
      <w:r>
        <w:rPr>
          <w:rFonts w:hint="eastAsia"/>
        </w:rPr>
        <w:t>投标人应按照招标文件第三章中提供的“投标文件格式”填写相关内容。</w:t>
      </w:r>
    </w:p>
    <w:p>
      <w:pPr>
        <w:pStyle w:val="69"/>
        <w:ind w:firstLine="480"/>
      </w:pPr>
      <w:r>
        <w:rPr>
          <w:rFonts w:hint="eastAsia"/>
        </w:rPr>
        <w:t>对于没有格式要求的由投标人自行编写。</w:t>
      </w:r>
    </w:p>
    <w:p>
      <w:pPr>
        <w:pStyle w:val="55"/>
        <w:ind w:firstLine="482"/>
      </w:pPr>
      <w:bookmarkStart w:id="399" w:name="_Toc14382"/>
      <w:bookmarkStart w:id="400" w:name="_Toc27418"/>
      <w:bookmarkStart w:id="401" w:name="_Toc18632"/>
      <w:bookmarkStart w:id="402" w:name="_Toc307501103"/>
      <w:bookmarkStart w:id="403" w:name="_Toc21967"/>
      <w:bookmarkStart w:id="404" w:name="_Toc183682360"/>
      <w:bookmarkStart w:id="405" w:name="_Toc183582223"/>
      <w:bookmarkStart w:id="406" w:name="_Toc307564846"/>
      <w:bookmarkStart w:id="407" w:name="_Toc308084591"/>
      <w:bookmarkStart w:id="408" w:name="_Toc217446050"/>
      <w:bookmarkStart w:id="409" w:name="_Toc14436"/>
      <w:bookmarkStart w:id="410" w:name="_Toc319440136"/>
      <w:bookmarkStart w:id="411" w:name="_Toc2456"/>
      <w:bookmarkStart w:id="412" w:name="_Toc21884"/>
      <w:bookmarkStart w:id="413" w:name="_Toc308188146"/>
      <w:bookmarkStart w:id="414" w:name="_Toc20642"/>
      <w:bookmarkStart w:id="415" w:name="_Toc309897509"/>
      <w:bookmarkStart w:id="416" w:name="_Toc29891"/>
      <w:bookmarkStart w:id="417" w:name="_Toc16016"/>
      <w:bookmarkStart w:id="418" w:name="_Toc319439894"/>
      <w:bookmarkStart w:id="419" w:name="_Toc4102"/>
      <w:bookmarkStart w:id="420" w:name="_Toc327196280"/>
      <w:bookmarkStart w:id="421" w:name="_Toc31944"/>
      <w:r>
        <w:rPr>
          <w:rFonts w:hint="eastAsia"/>
        </w:rPr>
        <w:t>投标保证金</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pPr>
        <w:pStyle w:val="69"/>
        <w:numPr>
          <w:ilvl w:val="3"/>
          <w:numId w:val="0"/>
        </w:numPr>
        <w:ind w:left="480" w:leftChars="200"/>
      </w:pPr>
      <w:bookmarkStart w:id="422" w:name="_Toc9356"/>
      <w:bookmarkStart w:id="423" w:name="_Toc31284"/>
      <w:bookmarkStart w:id="424" w:name="_Toc17857"/>
      <w:bookmarkStart w:id="425" w:name="_Toc319439895"/>
      <w:bookmarkStart w:id="426" w:name="_Toc183582224"/>
      <w:bookmarkStart w:id="427" w:name="_Toc308084592"/>
      <w:bookmarkStart w:id="428" w:name="_Toc26011"/>
      <w:bookmarkStart w:id="429" w:name="_Toc217446051"/>
      <w:bookmarkStart w:id="430" w:name="_Toc183682361"/>
      <w:bookmarkStart w:id="431" w:name="_Toc13956"/>
      <w:bookmarkStart w:id="432" w:name="_Toc307564847"/>
      <w:bookmarkStart w:id="433" w:name="_Toc21338"/>
      <w:bookmarkStart w:id="434" w:name="_Toc319440137"/>
      <w:bookmarkStart w:id="435" w:name="_Toc307501104"/>
      <w:bookmarkStart w:id="436" w:name="_Toc27589"/>
      <w:bookmarkStart w:id="437" w:name="_Toc29434"/>
      <w:bookmarkStart w:id="438" w:name="_Toc309897510"/>
      <w:bookmarkStart w:id="439" w:name="_Toc308188147"/>
      <w:bookmarkStart w:id="440" w:name="_Toc327196281"/>
      <w:r>
        <w:rPr>
          <w:rFonts w:hint="eastAsia"/>
        </w:rPr>
        <w:t>本项目不收取投标保证金。</w:t>
      </w:r>
    </w:p>
    <w:p>
      <w:pPr>
        <w:pStyle w:val="55"/>
        <w:ind w:firstLine="482"/>
      </w:pPr>
      <w:bookmarkStart w:id="441" w:name="_Toc20243"/>
      <w:bookmarkStart w:id="442" w:name="_Toc12622"/>
      <w:bookmarkStart w:id="443" w:name="_Toc30115"/>
      <w:bookmarkStart w:id="444" w:name="_Toc19115"/>
      <w:r>
        <w:rPr>
          <w:rFonts w:hint="eastAsia"/>
        </w:rPr>
        <w:t>投标有效期</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Pr>
          <w:rFonts w:hint="eastAsia"/>
        </w:rPr>
        <w:t>(实质性要求</w:t>
      </w:r>
      <w:bookmarkEnd w:id="441"/>
      <w:r>
        <w:rPr>
          <w:rFonts w:hint="eastAsia"/>
        </w:rPr>
        <w:t>)</w:t>
      </w:r>
      <w:bookmarkEnd w:id="442"/>
      <w:bookmarkEnd w:id="443"/>
      <w:bookmarkEnd w:id="444"/>
    </w:p>
    <w:p>
      <w:pPr>
        <w:pStyle w:val="69"/>
        <w:ind w:firstLine="480"/>
      </w:pPr>
      <w:r>
        <w:rPr>
          <w:rFonts w:hint="eastAsia"/>
        </w:rPr>
        <w:t>投标有效期为提交投标文件的截止之日起90日。投标人投标文件中必须载明投标有效期，投标文件中载明的投标有效期可以长于招标文件规定的期限，但不得短于招标文件规定的期限。否则，其投标文件将作为无效投标处理。</w:t>
      </w:r>
    </w:p>
    <w:p>
      <w:pPr>
        <w:pStyle w:val="69"/>
        <w:ind w:firstLine="480"/>
      </w:pPr>
      <w:r>
        <w:rPr>
          <w:rFonts w:hint="eastAsia"/>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p>
    <w:p>
      <w:pPr>
        <w:pStyle w:val="69"/>
        <w:ind w:firstLine="480"/>
      </w:pPr>
      <w:r>
        <w:rPr>
          <w:rFonts w:hint="eastAsia"/>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55"/>
        <w:ind w:firstLine="482"/>
      </w:pPr>
      <w:bookmarkStart w:id="445" w:name="_Toc308084593"/>
      <w:bookmarkStart w:id="446" w:name="_Toc26817"/>
      <w:bookmarkStart w:id="447" w:name="_Toc7321"/>
      <w:bookmarkStart w:id="448" w:name="_Toc7213"/>
      <w:bookmarkStart w:id="449" w:name="_Toc3077"/>
      <w:bookmarkStart w:id="450" w:name="_Toc25471"/>
      <w:bookmarkStart w:id="451" w:name="_Toc12545"/>
      <w:bookmarkStart w:id="452" w:name="_Toc307564848"/>
      <w:bookmarkStart w:id="453" w:name="_Toc319439896"/>
      <w:bookmarkStart w:id="454" w:name="_Toc327196282"/>
      <w:bookmarkStart w:id="455" w:name="_Toc319440138"/>
      <w:bookmarkStart w:id="456" w:name="_Toc307501105"/>
      <w:bookmarkStart w:id="457" w:name="_Toc3717"/>
      <w:bookmarkStart w:id="458" w:name="_Toc309897511"/>
      <w:bookmarkStart w:id="459" w:name="_Toc6239"/>
      <w:bookmarkStart w:id="460" w:name="_Toc22593"/>
      <w:bookmarkStart w:id="461" w:name="_Toc24656"/>
      <w:bookmarkStart w:id="462" w:name="_Toc217446052"/>
      <w:bookmarkStart w:id="463" w:name="_Toc27612"/>
      <w:bookmarkStart w:id="464" w:name="_Toc183682362"/>
      <w:bookmarkStart w:id="465" w:name="_Toc183582225"/>
      <w:bookmarkStart w:id="466" w:name="_Toc308188148"/>
      <w:bookmarkStart w:id="467" w:name="_Toc27461"/>
      <w:r>
        <w:rPr>
          <w:rFonts w:hint="eastAsia"/>
        </w:rPr>
        <w:t>投标文件的印制和签署</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pPr>
        <w:pStyle w:val="69"/>
        <w:ind w:firstLine="480"/>
      </w:pPr>
      <w:bookmarkStart w:id="468" w:name="_Toc89075877"/>
      <w:bookmarkStart w:id="469" w:name="_Toc183582226"/>
      <w:bookmarkStart w:id="470" w:name="_Toc183682363"/>
      <w:bookmarkStart w:id="471" w:name="_Toc77400781"/>
      <w:bookmarkStart w:id="472" w:name="_Toc307564849"/>
      <w:bookmarkStart w:id="473" w:name="_Toc10555"/>
      <w:bookmarkStart w:id="474" w:name="_Toc327196283"/>
      <w:bookmarkStart w:id="475" w:name="_Toc6805"/>
      <w:bookmarkStart w:id="476" w:name="_Toc17010"/>
      <w:bookmarkStart w:id="477" w:name="_Toc5019"/>
      <w:bookmarkStart w:id="478" w:name="_Toc307501106"/>
      <w:bookmarkStart w:id="479" w:name="_Toc308084594"/>
      <w:bookmarkStart w:id="480" w:name="_Toc27443"/>
      <w:bookmarkStart w:id="481" w:name="_Toc16752"/>
      <w:bookmarkStart w:id="482" w:name="_Toc319440139"/>
      <w:bookmarkStart w:id="483" w:name="_Toc217446053"/>
      <w:bookmarkStart w:id="484" w:name="_Toc13153"/>
      <w:bookmarkStart w:id="485" w:name="_Toc319439897"/>
      <w:bookmarkStart w:id="486" w:name="_Toc23619"/>
      <w:bookmarkStart w:id="487" w:name="_Toc308188149"/>
      <w:bookmarkStart w:id="488" w:name="_Toc23675"/>
      <w:bookmarkStart w:id="489" w:name="_Toc19635"/>
      <w:bookmarkStart w:id="490" w:name="_Toc309897512"/>
      <w:r>
        <w:rPr>
          <w:rFonts w:hint="eastAsia"/>
        </w:rPr>
        <w:t>投标文件分《资格、资质性及其他类似效力投标文件》、《其他投标文件》两部分，分册装订，内容不得相互混装。</w:t>
      </w:r>
    </w:p>
    <w:p>
      <w:pPr>
        <w:pStyle w:val="69"/>
        <w:ind w:firstLine="480"/>
      </w:pPr>
      <w:r>
        <w:rPr>
          <w:rFonts w:hint="eastAsia"/>
        </w:rPr>
        <w:t>投标文件按招标文件要求的格式进行密封。资格、资质性及其他类似效力投标文件用于采购人或采购代理机构对投标人进行资格审查，其他投标文件用于评标委员会评审。</w:t>
      </w:r>
    </w:p>
    <w:p>
      <w:pPr>
        <w:pStyle w:val="69"/>
        <w:ind w:firstLine="480"/>
      </w:pPr>
      <w:r>
        <w:rPr>
          <w:rFonts w:hint="eastAsia"/>
        </w:rPr>
        <w:t>投标人递交的投标文件为一式叁份，其中正本壹份、副本贰份，单独提交用于开标唱标的“开标一览表”壹份原件(加盖公章，复印件无效)</w:t>
      </w:r>
      <w:r>
        <w:rPr>
          <w:rFonts w:hint="eastAsia"/>
          <w:b/>
          <w:bCs/>
        </w:rPr>
        <w:t>(实质性要求)</w:t>
      </w:r>
      <w:r>
        <w:rPr>
          <w:rFonts w:hint="eastAsia"/>
        </w:rPr>
        <w:t>。</w:t>
      </w:r>
    </w:p>
    <w:p>
      <w:pPr>
        <w:pStyle w:val="69"/>
        <w:ind w:firstLine="480"/>
      </w:pPr>
      <w:r>
        <w:rPr>
          <w:rFonts w:hint="eastAsia"/>
        </w:rPr>
        <w:t>投标文件正本应用不褪色、不变质的墨水书写或打印，并装订成册，由投标人的法定代表人或其授权代表在规定签章处签字或盖章。投标文件副本可采用正本的复印件，若正本和副本有不一致的内容，以正本书面投标文件为准。</w:t>
      </w:r>
    </w:p>
    <w:p>
      <w:pPr>
        <w:pStyle w:val="69"/>
        <w:ind w:firstLine="480"/>
      </w:pPr>
      <w:r>
        <w:rPr>
          <w:rFonts w:hint="eastAsia"/>
        </w:rPr>
        <w:t>“开标一览表”除单独密封提交外，还应编制于其他投标文件正副本内，如有遗漏，将视为无效投标</w:t>
      </w:r>
      <w:r>
        <w:rPr>
          <w:rFonts w:hint="eastAsia"/>
          <w:b/>
          <w:bCs/>
        </w:rPr>
        <w:t>(实质性要求)</w:t>
      </w:r>
      <w:r>
        <w:rPr>
          <w:rFonts w:hint="eastAsia"/>
        </w:rPr>
        <w:t>。</w:t>
      </w:r>
    </w:p>
    <w:p>
      <w:pPr>
        <w:pStyle w:val="69"/>
        <w:ind w:firstLine="480"/>
      </w:pPr>
      <w:r>
        <w:rPr>
          <w:rFonts w:hint="eastAsia"/>
        </w:rPr>
        <w:t>投标文件正本和副本统一用A4幅面纸印制(图、表及证件可以除外)，逐页编码，可双面打印。</w:t>
      </w:r>
    </w:p>
    <w:p>
      <w:pPr>
        <w:pStyle w:val="69"/>
        <w:ind w:firstLine="480"/>
      </w:pPr>
      <w:r>
        <w:rPr>
          <w:rFonts w:hint="eastAsia"/>
        </w:rPr>
        <w:t>投标文件的正本和副本应采用左侧胶装，不得散装或者活页装订。</w:t>
      </w:r>
    </w:p>
    <w:p>
      <w:pPr>
        <w:pStyle w:val="69"/>
        <w:ind w:firstLine="480"/>
      </w:pPr>
      <w:r>
        <w:rPr>
          <w:rFonts w:hint="eastAsia"/>
        </w:rPr>
        <w:t>若投标文件内容较多，可分册装订，并在封面标明次序及册数。</w:t>
      </w:r>
    </w:p>
    <w:p>
      <w:pPr>
        <w:pStyle w:val="69"/>
        <w:ind w:firstLine="480"/>
      </w:pPr>
      <w:r>
        <w:rPr>
          <w:rFonts w:hint="eastAsia"/>
        </w:rPr>
        <w:t>投标文件中的证明、证件及附件等复印件应集中紧附在相应正文内容后面，并尽量与前面正文部分的顺序相对应。</w:t>
      </w:r>
    </w:p>
    <w:p>
      <w:pPr>
        <w:pStyle w:val="69"/>
        <w:ind w:firstLine="480"/>
      </w:pPr>
      <w:r>
        <w:rPr>
          <w:rFonts w:hint="eastAsia"/>
        </w:rPr>
        <w:t>投标文件的打印和书写应清楚工整，任何签字、行间插字、涂改或增删，必须由投标人的法定代表人或其授权代表签字或盖个人印鉴(签字可用具有法定效力的个人印章代替)不得使用专用章(如经济合同章、投标专用章等)或下属单位印章代替</w:t>
      </w:r>
      <w:r>
        <w:rPr>
          <w:rFonts w:hint="eastAsia"/>
          <w:b/>
          <w:bCs/>
        </w:rPr>
        <w:t>(实质性要求)</w:t>
      </w:r>
      <w:r>
        <w:rPr>
          <w:rFonts w:hint="eastAsia"/>
        </w:rPr>
        <w:t>。</w:t>
      </w:r>
    </w:p>
    <w:p>
      <w:pPr>
        <w:pStyle w:val="69"/>
        <w:ind w:firstLine="480"/>
      </w:pPr>
      <w:r>
        <w:rPr>
          <w:rFonts w:hint="eastAsia"/>
        </w:rPr>
        <w:t>投标文件应根据上述要求制作，签署、盖章，内容应完整。</w:t>
      </w:r>
    </w:p>
    <w:p>
      <w:pPr>
        <w:pStyle w:val="69"/>
        <w:ind w:firstLine="480"/>
      </w:pPr>
      <w:r>
        <w:rPr>
          <w:rFonts w:hint="eastAsia"/>
        </w:rPr>
        <w:t>本招标文件要求的复印件是指对图文进行复制后的文件，包括扫描、复印、影印等方式复制的材料。</w:t>
      </w:r>
    </w:p>
    <w:p>
      <w:pPr>
        <w:pStyle w:val="55"/>
        <w:ind w:firstLine="482"/>
      </w:pPr>
      <w:bookmarkStart w:id="491" w:name="_Toc17557"/>
      <w:bookmarkStart w:id="492" w:name="_Toc19839"/>
      <w:r>
        <w:rPr>
          <w:rFonts w:hint="eastAsia"/>
        </w:rPr>
        <w:t>投标文件的密封和标</w:t>
      </w:r>
      <w:bookmarkEnd w:id="468"/>
      <w:bookmarkEnd w:id="469"/>
      <w:bookmarkEnd w:id="470"/>
      <w:bookmarkEnd w:id="471"/>
      <w:r>
        <w:rPr>
          <w:rFonts w:hint="eastAsia"/>
        </w:rPr>
        <w:t>注</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pPr>
        <w:pStyle w:val="69"/>
        <w:ind w:firstLine="480"/>
      </w:pPr>
      <w:bookmarkStart w:id="493" w:name="_Toc183582227"/>
      <w:bookmarkStart w:id="494" w:name="_Toc183682364"/>
      <w:bookmarkStart w:id="495" w:name="_Toc309897513"/>
      <w:bookmarkStart w:id="496" w:name="_Toc7231"/>
      <w:bookmarkStart w:id="497" w:name="_Toc319440140"/>
      <w:bookmarkStart w:id="498" w:name="_Toc307501107"/>
      <w:bookmarkStart w:id="499" w:name="_Toc54"/>
      <w:bookmarkStart w:id="500" w:name="_Toc2092"/>
      <w:bookmarkStart w:id="501" w:name="_Toc5768"/>
      <w:bookmarkStart w:id="502" w:name="_Toc308084595"/>
      <w:bookmarkStart w:id="503" w:name="_Toc327196284"/>
      <w:bookmarkStart w:id="504" w:name="_Toc20273"/>
      <w:bookmarkStart w:id="505" w:name="_Toc319439898"/>
      <w:bookmarkStart w:id="506" w:name="_Toc308188150"/>
      <w:bookmarkStart w:id="507" w:name="_Toc25113"/>
      <w:bookmarkStart w:id="508" w:name="_Toc307564850"/>
      <w:bookmarkStart w:id="509" w:name="_Toc217446054"/>
      <w:r>
        <w:rPr>
          <w:rFonts w:hint="eastAsia"/>
        </w:rPr>
        <w:t>投标人应在投标文件正本和所有副本的封面上注明投标人名称、项目编号、项目名称、投标日期、分包号(如有分包)。</w:t>
      </w:r>
    </w:p>
    <w:p>
      <w:pPr>
        <w:pStyle w:val="69"/>
        <w:ind w:firstLine="480"/>
      </w:pPr>
      <w:r>
        <w:rPr>
          <w:rFonts w:hint="eastAsia"/>
        </w:rPr>
        <w:t>资格、资质性及其他类似效力投标文件、其他投标文件、用于开标唱标单独提交的开标一览表，应分别封装于不同的密封袋内，密封袋的封口处应粘贴牢固，密封袋上应分别标上“资格、资质性及其他类似效力投标文件”、“其他投标文件”、“开标一览表”字样，并注明投标人名称、项目名称、项目编号、分包号(如有分包)、投标日期，并在封口处加盖投标人公章。</w:t>
      </w:r>
    </w:p>
    <w:p>
      <w:pPr>
        <w:pStyle w:val="69"/>
        <w:ind w:firstLine="480"/>
      </w:pPr>
      <w:r>
        <w:rPr>
          <w:rFonts w:hint="eastAsia"/>
        </w:rPr>
        <w:t>未按照招标文件要求密封的投标文件，将被采购代理机构拒收。</w:t>
      </w:r>
    </w:p>
    <w:p>
      <w:pPr>
        <w:pStyle w:val="55"/>
        <w:ind w:firstLine="482"/>
      </w:pPr>
      <w:bookmarkStart w:id="510" w:name="_Toc25947"/>
      <w:bookmarkStart w:id="511" w:name="_Toc9965"/>
      <w:bookmarkStart w:id="512" w:name="_Toc30361"/>
      <w:bookmarkStart w:id="513" w:name="_Toc17846"/>
      <w:bookmarkStart w:id="514" w:name="_Toc27234"/>
      <w:bookmarkStart w:id="515" w:name="_Toc19406"/>
      <w:r>
        <w:rPr>
          <w:rFonts w:hint="eastAsia"/>
        </w:rPr>
        <w:t>投标文件的</w:t>
      </w:r>
      <w:bookmarkEnd w:id="493"/>
      <w:bookmarkEnd w:id="494"/>
      <w:r>
        <w:rPr>
          <w:rFonts w:hint="eastAsia"/>
        </w:rPr>
        <w:t>递交</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pPr>
        <w:pStyle w:val="69"/>
        <w:ind w:firstLine="480"/>
      </w:pPr>
      <w:r>
        <w:rPr>
          <w:rFonts w:hint="eastAsia"/>
        </w:rPr>
        <w:t>投标人应在招标文件规定的投标截止时间前，将投标文件按招标文件规定密封后送达开标地点。</w:t>
      </w:r>
    </w:p>
    <w:p>
      <w:pPr>
        <w:pStyle w:val="69"/>
        <w:ind w:firstLine="480"/>
      </w:pPr>
      <w:r>
        <w:rPr>
          <w:rFonts w:hint="eastAsia"/>
        </w:rPr>
        <w:t>逾期送达或者未按照招标文件要求密封的投标文件，将被采购代理机构拒收，并告知投标人不予接收的原因。</w:t>
      </w:r>
    </w:p>
    <w:p>
      <w:pPr>
        <w:pStyle w:val="69"/>
        <w:ind w:firstLine="480"/>
      </w:pPr>
      <w:r>
        <w:rPr>
          <w:rFonts w:hint="eastAsia"/>
        </w:rPr>
        <w:t>投标人应当在招标文件要求提交投标文件的截止时间前，将投标文件密封送达投标地点。采购人或者采购代理机构收到投标文件后，应当如实记载投标文件的送达时间和密封情况，签收保存，并向投标人出具签收回执。任何单位和个人不得在开标前开启投标文件。</w:t>
      </w:r>
    </w:p>
    <w:p>
      <w:pPr>
        <w:pStyle w:val="69"/>
        <w:ind w:firstLine="480"/>
      </w:pPr>
      <w:r>
        <w:rPr>
          <w:rFonts w:hint="eastAsia"/>
        </w:rPr>
        <w:t>递交投标文件时，投标供应商名称和投标文件的项目编号、分包号(如有分包)应当与报名供应商名称和招标文件的项目编号、分包号(如有分包)一致。但是，投标文件实质内容与报名供应商名称和招标文件的项目编号、分包号(如有分包)一致，只是封面文字错误的，可以在评标过程中当面予以澄清，以有效的澄清材料作为认定投标文件是否有效的依据。</w:t>
      </w:r>
    </w:p>
    <w:p>
      <w:pPr>
        <w:pStyle w:val="69"/>
        <w:ind w:firstLine="480"/>
      </w:pPr>
      <w:r>
        <w:rPr>
          <w:rFonts w:hint="eastAsia"/>
        </w:rPr>
        <w:t>本次招标不接收邮寄的投标文件。</w:t>
      </w:r>
    </w:p>
    <w:p>
      <w:pPr>
        <w:pStyle w:val="55"/>
        <w:ind w:firstLine="482"/>
      </w:pPr>
      <w:bookmarkStart w:id="516" w:name="_Toc183582228"/>
      <w:bookmarkStart w:id="517" w:name="_Toc183682365"/>
      <w:bookmarkStart w:id="518" w:name="_Toc22634"/>
      <w:bookmarkStart w:id="519" w:name="_Toc1451"/>
      <w:bookmarkStart w:id="520" w:name="_Toc12138"/>
      <w:bookmarkStart w:id="521" w:name="_Toc307564851"/>
      <w:bookmarkStart w:id="522" w:name="_Toc6140"/>
      <w:bookmarkStart w:id="523" w:name="_Toc327196285"/>
      <w:bookmarkStart w:id="524" w:name="_Toc308188151"/>
      <w:bookmarkStart w:id="525" w:name="_Toc17045"/>
      <w:bookmarkStart w:id="526" w:name="_Toc7313"/>
      <w:bookmarkStart w:id="527" w:name="_Toc309897514"/>
      <w:bookmarkStart w:id="528" w:name="_Toc308084596"/>
      <w:bookmarkStart w:id="529" w:name="_Toc307501108"/>
      <w:bookmarkStart w:id="530" w:name="_Toc319439899"/>
      <w:bookmarkStart w:id="531" w:name="_Toc3865"/>
      <w:bookmarkStart w:id="532" w:name="_Toc29441"/>
      <w:bookmarkStart w:id="533" w:name="_Toc23816"/>
      <w:bookmarkStart w:id="534" w:name="_Toc217446055"/>
      <w:bookmarkStart w:id="535" w:name="_Toc15674"/>
      <w:bookmarkStart w:id="536" w:name="_Toc26118"/>
      <w:bookmarkStart w:id="537" w:name="_Toc319440141"/>
      <w:bookmarkStart w:id="538" w:name="_Toc4178"/>
      <w:r>
        <w:rPr>
          <w:rFonts w:hint="eastAsia"/>
        </w:rPr>
        <w:t>投标文件的修改和撤</w:t>
      </w:r>
      <w:bookmarkEnd w:id="516"/>
      <w:bookmarkEnd w:id="517"/>
      <w:r>
        <w:rPr>
          <w:rFonts w:hint="eastAsia"/>
        </w:rPr>
        <w:t>回</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pPr>
        <w:pStyle w:val="69"/>
        <w:ind w:firstLine="480"/>
      </w:pPr>
      <w:r>
        <w:rPr>
          <w:rFonts w:hint="eastAsia"/>
        </w:rPr>
        <w:t>投标人在投标截止时间前，可以对所递交的投标文件进行补充、修改或者撤回，并书面通知采购人或者采购代理机构。补充、修改的内容应当按照招标文件要求签署、盖章、密封后，作为投标文件的组成部分。</w:t>
      </w:r>
    </w:p>
    <w:p>
      <w:pPr>
        <w:pStyle w:val="69"/>
        <w:ind w:firstLine="480"/>
      </w:pPr>
      <w:r>
        <w:rPr>
          <w:rFonts w:hint="eastAsia"/>
        </w:rPr>
        <w:t>投标人的修改书或撤回通知书，应由其法定代表人/单位负责人或授权代表签署并盖单位印章。修改书应按第二章第四节第十一条规定进行密封和标注，并在密封袋上标注“修改”字样。</w:t>
      </w:r>
    </w:p>
    <w:p>
      <w:pPr>
        <w:pStyle w:val="69"/>
        <w:ind w:firstLine="480"/>
      </w:pPr>
      <w:r>
        <w:rPr>
          <w:rFonts w:hint="eastAsia"/>
        </w:rPr>
        <w:t>在投标截止时间之后，投标人不得对其递交的投标文件做任何修改，撤回投标的，将按照有关规定进行相应处理。</w:t>
      </w:r>
    </w:p>
    <w:p>
      <w:pPr>
        <w:pStyle w:val="49"/>
        <w:spacing w:before="120" w:after="120"/>
      </w:pPr>
      <w:bookmarkStart w:id="539" w:name="_Toc24962"/>
      <w:bookmarkStart w:id="540" w:name="_Toc327196286"/>
      <w:bookmarkStart w:id="541" w:name="_Toc77400782"/>
      <w:bookmarkStart w:id="542" w:name="_Toc21531"/>
      <w:bookmarkStart w:id="543" w:name="_Toc183582231"/>
      <w:bookmarkStart w:id="544" w:name="_Toc89075878"/>
      <w:bookmarkStart w:id="545" w:name="_Toc16817"/>
      <w:bookmarkStart w:id="546" w:name="_Toc183682368"/>
      <w:bookmarkStart w:id="547" w:name="_Toc17737"/>
      <w:bookmarkStart w:id="548" w:name="_Toc217446056"/>
      <w:bookmarkStart w:id="549" w:name="_Toc15691"/>
      <w:r>
        <w:rPr>
          <w:rFonts w:hint="eastAsia"/>
        </w:rPr>
        <w:t>开标和中标</w:t>
      </w:r>
      <w:bookmarkEnd w:id="539"/>
      <w:bookmarkEnd w:id="540"/>
      <w:bookmarkEnd w:id="541"/>
      <w:bookmarkEnd w:id="542"/>
      <w:bookmarkEnd w:id="543"/>
      <w:bookmarkEnd w:id="544"/>
      <w:bookmarkEnd w:id="545"/>
      <w:bookmarkEnd w:id="546"/>
      <w:bookmarkEnd w:id="547"/>
      <w:bookmarkEnd w:id="548"/>
      <w:bookmarkEnd w:id="549"/>
    </w:p>
    <w:p>
      <w:pPr>
        <w:pStyle w:val="55"/>
        <w:numPr>
          <w:ilvl w:val="2"/>
          <w:numId w:val="16"/>
        </w:numPr>
        <w:ind w:firstLine="482"/>
      </w:pPr>
      <w:bookmarkStart w:id="550" w:name="_Toc13303"/>
      <w:bookmarkStart w:id="551" w:name="_Toc309897516"/>
      <w:bookmarkStart w:id="552" w:name="_Toc15209"/>
      <w:bookmarkStart w:id="553" w:name="_Toc307501110"/>
      <w:bookmarkStart w:id="554" w:name="_Toc8915"/>
      <w:bookmarkStart w:id="555" w:name="_Toc217446057"/>
      <w:bookmarkStart w:id="556" w:name="_Toc29031"/>
      <w:bookmarkStart w:id="557" w:name="_Toc307564853"/>
      <w:bookmarkStart w:id="558" w:name="_Toc11957"/>
      <w:bookmarkStart w:id="559" w:name="_Toc308084598"/>
      <w:bookmarkStart w:id="560" w:name="_Toc319439901"/>
      <w:bookmarkStart w:id="561" w:name="_Toc19952"/>
      <w:bookmarkStart w:id="562" w:name="_Toc23998"/>
      <w:bookmarkStart w:id="563" w:name="_Toc6289"/>
      <w:bookmarkStart w:id="564" w:name="_Toc319440143"/>
      <w:bookmarkStart w:id="565" w:name="_Toc18049"/>
      <w:bookmarkStart w:id="566" w:name="_Toc327196287"/>
      <w:bookmarkStart w:id="567" w:name="_Toc15426"/>
      <w:bookmarkStart w:id="568" w:name="_Toc183582232"/>
      <w:bookmarkStart w:id="569" w:name="_Toc183682369"/>
      <w:bookmarkStart w:id="570" w:name="_Toc13237"/>
      <w:bookmarkStart w:id="571" w:name="_Toc29493"/>
      <w:bookmarkStart w:id="572" w:name="_Toc308188153"/>
      <w:r>
        <w:rPr>
          <w:rFonts w:hint="eastAsia"/>
        </w:rPr>
        <w:t>开标</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pPr>
        <w:pStyle w:val="69"/>
        <w:numPr>
          <w:ilvl w:val="3"/>
          <w:numId w:val="17"/>
        </w:numPr>
        <w:ind w:firstLine="480"/>
      </w:pPr>
      <w:bookmarkStart w:id="573" w:name="_Toc307564854"/>
      <w:bookmarkStart w:id="574" w:name="_Toc319440144"/>
      <w:bookmarkStart w:id="575" w:name="_Toc308084599"/>
      <w:bookmarkStart w:id="576" w:name="_Toc319439902"/>
      <w:bookmarkStart w:id="577" w:name="_Toc308188154"/>
      <w:bookmarkStart w:id="578" w:name="_Toc307501111"/>
      <w:bookmarkStart w:id="579" w:name="_Toc327196288"/>
      <w:bookmarkStart w:id="580" w:name="_Toc217446058"/>
      <w:bookmarkStart w:id="581" w:name="_Toc309897517"/>
      <w:r>
        <w:rPr>
          <w:rFonts w:hint="eastAsia"/>
        </w:rPr>
        <w:t>开标在招标文件规定的时间和地点公开进行，采购人、投标人须派代表参加并签到以证明其出席。开标由采购代理机构主持，采购人、投标人代表参加。评标专家不参加开标活动。投标人未参加开标的，视同认可开标结果。</w:t>
      </w:r>
    </w:p>
    <w:p>
      <w:pPr>
        <w:pStyle w:val="69"/>
        <w:numPr>
          <w:ilvl w:val="3"/>
          <w:numId w:val="17"/>
        </w:numPr>
        <w:ind w:firstLine="480"/>
      </w:pPr>
      <w:r>
        <w:rPr>
          <w:rFonts w:hint="eastAsia"/>
        </w:rPr>
        <w:t>开标活动对外公开，在保证正常开标秩序的前提下，允许除投标人及其代表之外的其他人员观摩开标活动。其他人员需要参加开标活动的，须事先向采购代理机构书面申请并取得同意后方能参加，且在开标现场须服从采购代理机构的安排。</w:t>
      </w:r>
    </w:p>
    <w:p>
      <w:pPr>
        <w:pStyle w:val="69"/>
        <w:numPr>
          <w:ilvl w:val="3"/>
          <w:numId w:val="17"/>
        </w:numPr>
        <w:ind w:firstLine="480"/>
      </w:pPr>
      <w:r>
        <w:rPr>
          <w:rFonts w:hint="eastAsia"/>
        </w:rPr>
        <w:t>开标时，可根据具体情况邀请有关监督管理部门对开标活动进行现场监督。</w:t>
      </w:r>
    </w:p>
    <w:p>
      <w:pPr>
        <w:pStyle w:val="69"/>
        <w:numPr>
          <w:ilvl w:val="3"/>
          <w:numId w:val="17"/>
        </w:numPr>
        <w:ind w:firstLine="480"/>
      </w:pPr>
      <w:r>
        <w:rPr>
          <w:rFonts w:hint="eastAsia"/>
        </w:rPr>
        <w:t>开标时，由投标人或者其推选的代表先检查其自己递交的投标文件的密封情况，经确认无误后，由招标工作人员将投标人单独提交用于开标唱标的“开标一览表”当众拆封，并由唱标人员按照招标文件规定的内容进行宣读。</w:t>
      </w:r>
    </w:p>
    <w:p>
      <w:pPr>
        <w:pStyle w:val="69"/>
        <w:numPr>
          <w:ilvl w:val="3"/>
          <w:numId w:val="17"/>
        </w:numPr>
        <w:ind w:firstLine="480"/>
      </w:pPr>
      <w:r>
        <w:rPr>
          <w:rFonts w:hint="eastAsia"/>
        </w:rPr>
        <w:t>投标人或者其推选的代表确认投标文件情况，仅限于确认其自己递交的投标文件的密封情况，不代表对其他投标人的投标文件的密封情况确认。投标人或者其推选的代表对其他投标人的投标文件密封情况有异议的，可以当场反映至开标主持人或者现场监督人员，要求开标现场记录人员予以记录，但不得干扰、阻挠开标工作的正常进行。</w:t>
      </w:r>
    </w:p>
    <w:p>
      <w:pPr>
        <w:pStyle w:val="69"/>
        <w:numPr>
          <w:ilvl w:val="3"/>
          <w:numId w:val="17"/>
        </w:numPr>
        <w:ind w:firstLine="480"/>
      </w:pPr>
      <w:r>
        <w:rPr>
          <w:rFonts w:hint="eastAsia"/>
        </w:rPr>
        <w:t>开标时，“开标一览表”中的大写金额与小写金额不一致的，以大写金额为准；总价金额与按单价计算的汇总金额不一致的，以单价计算的汇总金额为准；单价金额有明显小数点错误的，以总价为准，并修改单价。</w:t>
      </w:r>
    </w:p>
    <w:p>
      <w:pPr>
        <w:pStyle w:val="69"/>
        <w:numPr>
          <w:ilvl w:val="3"/>
          <w:numId w:val="17"/>
        </w:numPr>
        <w:ind w:firstLine="480"/>
      </w:pPr>
      <w:r>
        <w:rPr>
          <w:rFonts w:hint="eastAsia"/>
        </w:rPr>
        <w:t>投标文件中相关内容与“开标一览表”不一致的，以“开标一览表”为准。对不同文字文本投标文件的解释发生异议的，以中文文本为准。</w:t>
      </w:r>
    </w:p>
    <w:p>
      <w:pPr>
        <w:pStyle w:val="69"/>
        <w:numPr>
          <w:ilvl w:val="3"/>
          <w:numId w:val="17"/>
        </w:numPr>
        <w:ind w:firstLine="480"/>
      </w:pPr>
      <w:r>
        <w:rPr>
          <w:rFonts w:hint="eastAsia"/>
        </w:rPr>
        <w:t>所有投标唱标完毕，如投标人代表对宣读的“开标一览表”上的内容有异议的，应在获得开标会主持人同意后当场提出。如确实属于唱标人员宣读错了的，经现场监督人员核实后，当场予以更正。</w:t>
      </w:r>
    </w:p>
    <w:p>
      <w:pPr>
        <w:pStyle w:val="55"/>
        <w:numPr>
          <w:ilvl w:val="2"/>
          <w:numId w:val="16"/>
        </w:numPr>
        <w:ind w:firstLine="482"/>
      </w:pPr>
      <w:bookmarkStart w:id="582" w:name="_Toc26350"/>
      <w:bookmarkStart w:id="583" w:name="_Toc24528"/>
      <w:bookmarkStart w:id="584" w:name="_Toc17927"/>
      <w:bookmarkStart w:id="585" w:name="_Toc12755"/>
      <w:bookmarkStart w:id="586" w:name="_Toc10782"/>
      <w:bookmarkStart w:id="587" w:name="_Toc20885"/>
      <w:bookmarkStart w:id="588" w:name="_Toc15266"/>
      <w:bookmarkStart w:id="589" w:name="_Toc24509"/>
      <w:bookmarkStart w:id="590" w:name="_Toc18256"/>
      <w:bookmarkStart w:id="591" w:name="_Toc827"/>
      <w:bookmarkStart w:id="592" w:name="_Toc5097"/>
      <w:bookmarkStart w:id="593" w:name="_Toc7168"/>
      <w:r>
        <w:rPr>
          <w:rFonts w:hint="eastAsia"/>
        </w:rPr>
        <w:t>开标程序</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pPr>
        <w:pStyle w:val="52"/>
      </w:pPr>
      <w:r>
        <w:rPr>
          <w:rFonts w:hint="eastAsia"/>
        </w:rPr>
        <w:t>开标会主持人按照招标文件规定的开标时间宣布开标，按照规定要求主持开标会。开标将按以下程序进行：</w:t>
      </w:r>
    </w:p>
    <w:p>
      <w:pPr>
        <w:pStyle w:val="69"/>
        <w:numPr>
          <w:ilvl w:val="3"/>
          <w:numId w:val="16"/>
        </w:numPr>
        <w:ind w:firstLine="480"/>
      </w:pPr>
      <w:bookmarkStart w:id="594" w:name="_Toc13983"/>
      <w:bookmarkStart w:id="595" w:name="_Toc13447"/>
      <w:bookmarkStart w:id="596" w:name="_Toc183682375"/>
      <w:bookmarkStart w:id="597" w:name="_Toc183582238"/>
      <w:bookmarkStart w:id="598" w:name="_Toc319440145"/>
      <w:bookmarkStart w:id="599" w:name="_Toc9806"/>
      <w:bookmarkStart w:id="600" w:name="_Toc8800"/>
      <w:bookmarkStart w:id="601" w:name="_Toc319439903"/>
      <w:bookmarkStart w:id="602" w:name="_Toc217446063"/>
      <w:bookmarkStart w:id="603" w:name="_Toc308084600"/>
      <w:bookmarkStart w:id="604" w:name="_Toc308188155"/>
      <w:bookmarkStart w:id="605" w:name="_Toc309897518"/>
      <w:bookmarkStart w:id="606" w:name="_Toc13751"/>
      <w:bookmarkStart w:id="607" w:name="_Toc307564855"/>
      <w:bookmarkStart w:id="608" w:name="_Toc307501112"/>
      <w:bookmarkStart w:id="609" w:name="_Toc28123"/>
      <w:bookmarkStart w:id="610" w:name="_Toc489"/>
      <w:bookmarkStart w:id="611" w:name="_Toc15967"/>
      <w:bookmarkStart w:id="612" w:name="_Toc16512"/>
      <w:bookmarkStart w:id="613" w:name="_Toc327196289"/>
      <w:bookmarkStart w:id="614" w:name="_Toc28481"/>
      <w:r>
        <w:rPr>
          <w:rFonts w:hint="eastAsia"/>
        </w:rPr>
        <w:t>宣布开标会开始。当众宣布参加开标会主持人(唱标人)、会议记录人以及根据情况邀请的现场监督人等工作人员，根据“投标文件递交登记表”宣布参加投标的供应商名单。</w:t>
      </w:r>
    </w:p>
    <w:p>
      <w:pPr>
        <w:pStyle w:val="69"/>
        <w:numPr>
          <w:ilvl w:val="3"/>
          <w:numId w:val="16"/>
        </w:numPr>
        <w:ind w:firstLine="480"/>
      </w:pPr>
      <w:r>
        <w:rPr>
          <w:rFonts w:hint="eastAsia"/>
        </w:rPr>
        <w:t>宣布会场纪律和有关注意事项，根据投标人或者其推选的代表对投标文件密封的检查结果，当众宣布投标文件的密封情况。</w:t>
      </w:r>
    </w:p>
    <w:p>
      <w:pPr>
        <w:pStyle w:val="69"/>
        <w:numPr>
          <w:ilvl w:val="3"/>
          <w:numId w:val="16"/>
        </w:numPr>
        <w:ind w:firstLine="480"/>
      </w:pPr>
      <w:r>
        <w:rPr>
          <w:rFonts w:hint="eastAsia"/>
        </w:rPr>
        <w:t>投标人不足3家的，不得开标。</w:t>
      </w:r>
    </w:p>
    <w:p>
      <w:pPr>
        <w:pStyle w:val="69"/>
        <w:numPr>
          <w:ilvl w:val="3"/>
          <w:numId w:val="16"/>
        </w:numPr>
        <w:ind w:firstLine="480"/>
      </w:pPr>
      <w:r>
        <w:rPr>
          <w:rFonts w:hint="eastAsia"/>
        </w:rPr>
        <w:t>开标唱标。主持人宣布开标后，由现场工作人员按任意顺序对单独用于开标唱标的“开标一览表”当众进行拆封，由唱标人员宣读投标人名称、投标价格(价格折扣)、或招标文件允许提供的备选投标方案和投标文件的其他主要内容。未宣读的投标价格(价格折扣)或招标文件允许提供的备选投标方案，评标时不予承认。同时，做好开标记录。唱标人员在唱标过程中，如遇有字迹不清楚的，应即刻报告主持人，经工作人员和现场监督人员核实后，主持人立即请投标人代表现场进行澄清或确认。</w:t>
      </w:r>
    </w:p>
    <w:p>
      <w:pPr>
        <w:pStyle w:val="69"/>
        <w:numPr>
          <w:ilvl w:val="3"/>
          <w:numId w:val="16"/>
        </w:numPr>
        <w:ind w:firstLine="480"/>
      </w:pPr>
      <w:r>
        <w:rPr>
          <w:rFonts w:hint="eastAsia"/>
        </w:rPr>
        <w:t>唱标完毕后投标人或者其推选的代表需现场对开标记录进行签字确认，投标人或者其推选的代表对唱标内容有异议的，可以当场提出，并要求会议记录人在开标记录中予以记录，或者另行提供书面异议资料，不签字又不提出异议的，视同认可唱标内容和结果，且不得干扰、阻挠开(唱)标、评标工作。</w:t>
      </w:r>
    </w:p>
    <w:p>
      <w:pPr>
        <w:pStyle w:val="69"/>
        <w:numPr>
          <w:ilvl w:val="3"/>
          <w:numId w:val="16"/>
        </w:numPr>
        <w:ind w:firstLine="480"/>
      </w:pPr>
      <w:r>
        <w:rPr>
          <w:rFonts w:hint="eastAsia"/>
        </w:rPr>
        <w:t>宣布开标会结束。主持人宣布开标会结束。所有投标人代表应立即退场(招标文件要求有演示、介绍等的除外)。同时所有投标人应保持通讯设备的畅通，以方便在评标过程中评标委员会要求投标人对投标文件的必要澄清。投标人自行在“四川政府采购网”查询评标结果。</w:t>
      </w:r>
    </w:p>
    <w:bookmarkEnd w:id="594"/>
    <w:bookmarkEnd w:id="595"/>
    <w:p>
      <w:pPr>
        <w:pStyle w:val="55"/>
        <w:ind w:firstLine="482"/>
      </w:pPr>
      <w:bookmarkStart w:id="615" w:name="_Toc13617"/>
      <w:bookmarkStart w:id="616" w:name="_Toc128"/>
      <w:bookmarkStart w:id="617" w:name="_Toc6332"/>
      <w:r>
        <w:rPr>
          <w:rFonts w:hint="eastAsia"/>
        </w:rPr>
        <w:t>开评标过程存档</w:t>
      </w:r>
      <w:bookmarkEnd w:id="615"/>
    </w:p>
    <w:p>
      <w:pPr>
        <w:pStyle w:val="48"/>
        <w:ind w:firstLine="480" w:firstLineChars="200"/>
      </w:pPr>
      <w:r>
        <w:rPr>
          <w:rFonts w:hint="eastAsia"/>
        </w:rPr>
        <w:t>开标和评标过程进行全过程电子监控，并将电子监控资料存储介质留存归档。</w:t>
      </w:r>
    </w:p>
    <w:p>
      <w:pPr>
        <w:pStyle w:val="55"/>
        <w:ind w:firstLine="482"/>
      </w:pPr>
      <w:bookmarkStart w:id="618" w:name="_Toc10367"/>
      <w:bookmarkStart w:id="619" w:name="_Toc32453"/>
      <w:r>
        <w:rPr>
          <w:rFonts w:hint="eastAsia"/>
        </w:rPr>
        <w:t>中标结果</w:t>
      </w:r>
      <w:bookmarkEnd w:id="618"/>
    </w:p>
    <w:p>
      <w:pPr>
        <w:pStyle w:val="69"/>
        <w:ind w:firstLine="480"/>
      </w:pPr>
      <w:bookmarkStart w:id="620" w:name="_Toc26659"/>
      <w:bookmarkStart w:id="621" w:name="_Toc21750"/>
      <w:r>
        <w:rPr>
          <w:rFonts w:hint="eastAsia"/>
        </w:rPr>
        <w:t>采购人确定中标供应商后，将及时书面通知采购代理机构，采购代理机构在中标供应商确定后2个工作日内，在“四川政府采购网”公告中标结果，同时向中标供应商发出中标通知书。</w:t>
      </w:r>
      <w:bookmarkEnd w:id="620"/>
      <w:bookmarkEnd w:id="621"/>
    </w:p>
    <w:p>
      <w:pPr>
        <w:pStyle w:val="69"/>
        <w:ind w:firstLine="480"/>
      </w:pPr>
      <w:bookmarkStart w:id="622" w:name="_Toc24215"/>
      <w:bookmarkStart w:id="623" w:name="_Toc11136"/>
      <w:r>
        <w:rPr>
          <w:rFonts w:hint="eastAsia"/>
        </w:rPr>
        <w:t>供应商中标后应当及时领取中标通知书，不能及时领取或拒绝领取中标通知书的，采购代理机构将于中标供应商确定之日起两个工作日内采取邮寄、快递方式按照供应商投标文件中的地址送达中标通知书。</w:t>
      </w:r>
      <w:bookmarkEnd w:id="622"/>
      <w:bookmarkEnd w:id="623"/>
    </w:p>
    <w:p>
      <w:pPr>
        <w:pStyle w:val="55"/>
        <w:ind w:firstLine="482"/>
      </w:pPr>
      <w:bookmarkStart w:id="624" w:name="_Toc691"/>
      <w:r>
        <w:rPr>
          <w:rFonts w:hint="eastAsia"/>
        </w:rPr>
        <w:t>中标通知</w:t>
      </w:r>
      <w:bookmarkEnd w:id="596"/>
      <w:bookmarkEnd w:id="597"/>
      <w:r>
        <w:rPr>
          <w:rFonts w:hint="eastAsia"/>
        </w:rPr>
        <w:t>书</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6"/>
      <w:bookmarkEnd w:id="617"/>
      <w:bookmarkEnd w:id="619"/>
      <w:bookmarkEnd w:id="624"/>
    </w:p>
    <w:p>
      <w:pPr>
        <w:pStyle w:val="69"/>
        <w:ind w:firstLine="480"/>
      </w:pPr>
      <w:r>
        <w:rPr>
          <w:rFonts w:hint="eastAsia"/>
        </w:rPr>
        <w:t>中标通知书为签订政府采购合同的依据，是合同的有效组成部分。</w:t>
      </w:r>
    </w:p>
    <w:p>
      <w:pPr>
        <w:pStyle w:val="69"/>
        <w:ind w:firstLine="480"/>
      </w:pPr>
      <w:r>
        <w:rPr>
          <w:rFonts w:hint="eastAsia"/>
        </w:rPr>
        <w:t>中标通知书对采购人和中标人均具有法律效力。中标通知书发出后，采购人改变中标结果，或者中标人无正当理由放弃中标的，应当承担相应的法律责任。</w:t>
      </w:r>
    </w:p>
    <w:p>
      <w:pPr>
        <w:pStyle w:val="69"/>
        <w:ind w:firstLine="480"/>
      </w:pPr>
      <w:r>
        <w:rPr>
          <w:rFonts w:hint="eastAsia"/>
        </w:rPr>
        <w:t>中标人的投标文件本应作为无效投标处理或者有政府采购法律法规规章制度规定的中标无效情形的，采购代理机构在取得有权主体的认定以后，应当宣布发出的中标通知书无效，并收回发出的中标通知书(中标人也应当缴回)，依法重新确定中标人或者重新开展采购活动。</w:t>
      </w:r>
    </w:p>
    <w:p>
      <w:pPr>
        <w:pStyle w:val="69"/>
        <w:ind w:firstLine="480"/>
      </w:pPr>
      <w:r>
        <w:rPr>
          <w:rFonts w:hint="eastAsia"/>
        </w:rPr>
        <w:t>中标公告发出后，中标人自行领取中标通知书的，可凭有效身份证明证件和介绍信到采购代理机构领取中标通知书。</w:t>
      </w:r>
    </w:p>
    <w:p>
      <w:pPr>
        <w:pStyle w:val="49"/>
        <w:spacing w:before="120" w:after="120"/>
      </w:pPr>
      <w:bookmarkStart w:id="625" w:name="_Toc10354"/>
      <w:bookmarkStart w:id="626" w:name="_Toc217446064"/>
      <w:bookmarkStart w:id="627" w:name="_Toc327196290"/>
      <w:bookmarkStart w:id="628" w:name="_Toc30422"/>
      <w:bookmarkStart w:id="629" w:name="_Toc27758"/>
      <w:bookmarkStart w:id="630" w:name="_Toc2685"/>
      <w:bookmarkStart w:id="631" w:name="_Toc13383"/>
      <w:bookmarkStart w:id="632" w:name="_Toc183682377"/>
      <w:bookmarkStart w:id="633" w:name="_Toc183582240"/>
      <w:r>
        <w:rPr>
          <w:rFonts w:hint="eastAsia"/>
        </w:rPr>
        <w:t>签订及履行合同和验收</w:t>
      </w:r>
      <w:bookmarkEnd w:id="625"/>
      <w:bookmarkEnd w:id="626"/>
      <w:bookmarkEnd w:id="627"/>
      <w:bookmarkEnd w:id="628"/>
      <w:bookmarkEnd w:id="629"/>
      <w:bookmarkEnd w:id="630"/>
      <w:bookmarkEnd w:id="631"/>
    </w:p>
    <w:p>
      <w:pPr>
        <w:pStyle w:val="55"/>
        <w:numPr>
          <w:ilvl w:val="2"/>
          <w:numId w:val="18"/>
        </w:numPr>
        <w:ind w:firstLine="482"/>
      </w:pPr>
      <w:bookmarkStart w:id="634" w:name="_Toc20427"/>
      <w:bookmarkStart w:id="635" w:name="_Toc515"/>
      <w:bookmarkStart w:id="636" w:name="_Toc9464"/>
      <w:bookmarkStart w:id="637" w:name="_Toc18471"/>
      <w:bookmarkStart w:id="638" w:name="_Toc319440147"/>
      <w:bookmarkStart w:id="639" w:name="_Toc307564857"/>
      <w:bookmarkStart w:id="640" w:name="_Toc308084602"/>
      <w:bookmarkStart w:id="641" w:name="_Toc24949"/>
      <w:bookmarkStart w:id="642" w:name="_Toc16835"/>
      <w:bookmarkStart w:id="643" w:name="_Toc27214"/>
      <w:bookmarkStart w:id="644" w:name="_Toc327196291"/>
      <w:bookmarkStart w:id="645" w:name="_Toc309897520"/>
      <w:bookmarkStart w:id="646" w:name="_Toc25992"/>
      <w:bookmarkStart w:id="647" w:name="_Toc308188157"/>
      <w:bookmarkStart w:id="648" w:name="_Toc3130"/>
      <w:bookmarkStart w:id="649" w:name="_Toc4460"/>
      <w:bookmarkStart w:id="650" w:name="_Toc27989"/>
      <w:bookmarkStart w:id="651" w:name="_Toc319439905"/>
      <w:bookmarkStart w:id="652" w:name="_Toc5659"/>
      <w:bookmarkStart w:id="653" w:name="_Toc217446065"/>
      <w:bookmarkStart w:id="654" w:name="_Toc307501114"/>
      <w:r>
        <w:rPr>
          <w:rFonts w:hint="eastAsia"/>
        </w:rPr>
        <w:t>签订合同</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pPr>
        <w:pStyle w:val="69"/>
        <w:ind w:firstLine="480"/>
      </w:pPr>
      <w:bookmarkStart w:id="655" w:name="_Toc308188158"/>
      <w:bookmarkStart w:id="656" w:name="_Toc319440148"/>
      <w:bookmarkStart w:id="657" w:name="_Toc31670"/>
      <w:bookmarkStart w:id="658" w:name="_Toc319439906"/>
      <w:bookmarkStart w:id="659" w:name="_Toc309897521"/>
      <w:bookmarkStart w:id="660" w:name="_Toc31397"/>
      <w:bookmarkStart w:id="661" w:name="_Toc20139"/>
      <w:bookmarkStart w:id="662" w:name="_Toc307564858"/>
      <w:bookmarkStart w:id="663" w:name="_Toc3758"/>
      <w:bookmarkStart w:id="664" w:name="_Toc217446066"/>
      <w:bookmarkStart w:id="665" w:name="_Toc307501115"/>
      <w:bookmarkStart w:id="666" w:name="_Toc12852"/>
      <w:bookmarkStart w:id="667" w:name="_Toc308084603"/>
      <w:bookmarkStart w:id="668" w:name="_Toc12489"/>
      <w:bookmarkStart w:id="669" w:name="_Toc327196292"/>
      <w:bookmarkStart w:id="670" w:name="_Toc24196"/>
      <w:bookmarkStart w:id="671" w:name="_Toc25756"/>
      <w:bookmarkStart w:id="672" w:name="_Toc26000"/>
      <w:bookmarkStart w:id="673" w:name="_Toc29795"/>
      <w:r>
        <w:rPr>
          <w:rFonts w:hint="eastAsia"/>
        </w:rPr>
        <w:t>中标人在收到采购代理机构发出的《中标通知书》后，应在中标通知书发出之日起30日内与采购人签订采购合同。由于中标人的原因逾期未与采购人签订采购合同的，将视为放弃中标，取消其中标资格并将按相关规定进行处理。</w:t>
      </w:r>
    </w:p>
    <w:p>
      <w:pPr>
        <w:pStyle w:val="69"/>
        <w:ind w:firstLine="480"/>
      </w:pPr>
      <w:r>
        <w:rPr>
          <w:rFonts w:hint="eastAsia"/>
        </w:rPr>
        <w:t>政府采购合同应当包括采购人与中标人的名称和住所、标的、数量、质量、价款或者报酬、履行期限及地点和方式、验收要求、违约责任、解决争议的方法等内容。</w:t>
      </w:r>
    </w:p>
    <w:p>
      <w:pPr>
        <w:pStyle w:val="69"/>
        <w:ind w:firstLine="480"/>
      </w:pPr>
      <w:r>
        <w:rPr>
          <w:rFonts w:hint="eastAsia"/>
        </w:rPr>
        <w:t>采购人不得向中标人提出任何不合理的要求，作为签订合同的条件，不得与中标人私下订立背离合同实质性内容的任何协议，所签订的合同不得对招标文件和中标人投标文件确定的事项进行修改。</w:t>
      </w:r>
    </w:p>
    <w:p>
      <w:pPr>
        <w:pStyle w:val="69"/>
        <w:ind w:firstLine="480"/>
      </w:pPr>
      <w:r>
        <w:rPr>
          <w:rFonts w:hint="eastAsia"/>
        </w:rPr>
        <w:t>本项目的招标文件、中标供应商提交的投标文件、评审中的澄清、中标通知书等文件均具有法律约束力，属于合同组成部分。</w:t>
      </w:r>
    </w:p>
    <w:p>
      <w:pPr>
        <w:pStyle w:val="69"/>
        <w:ind w:firstLine="480"/>
      </w:pPr>
      <w:r>
        <w:rPr>
          <w:rFonts w:hint="eastAsia"/>
        </w:rPr>
        <w:t>中标人因不可抗力原因不能履行采购合同或放弃中标的，采购人可以与排在中标人之后第一位的中标候选人签订采购合同，以此类推。</w:t>
      </w:r>
    </w:p>
    <w:p>
      <w:pPr>
        <w:pStyle w:val="69"/>
        <w:ind w:firstLine="480"/>
      </w:pPr>
      <w:r>
        <w:rPr>
          <w:rFonts w:hint="eastAsia"/>
        </w:rPr>
        <w:t>中标人在合同签订之后2个工作日内，将签订的合同(一式六份)送采购代理机构进行合同编号。</w:t>
      </w:r>
    </w:p>
    <w:p>
      <w:pPr>
        <w:pStyle w:val="55"/>
        <w:numPr>
          <w:ilvl w:val="2"/>
          <w:numId w:val="18"/>
        </w:numPr>
        <w:ind w:firstLine="482"/>
      </w:pPr>
      <w:bookmarkStart w:id="674" w:name="_Toc12864"/>
      <w:bookmarkStart w:id="675" w:name="_Toc9330"/>
      <w:r>
        <w:rPr>
          <w:rFonts w:hint="eastAsia"/>
        </w:rPr>
        <w:t>合同</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r>
        <w:rPr>
          <w:rFonts w:hint="eastAsia"/>
        </w:rPr>
        <w:t>分包</w:t>
      </w:r>
      <w:bookmarkEnd w:id="670"/>
      <w:bookmarkEnd w:id="671"/>
      <w:r>
        <w:rPr>
          <w:rFonts w:hint="eastAsia"/>
        </w:rPr>
        <w:t>(实质性要求)</w:t>
      </w:r>
      <w:bookmarkEnd w:id="672"/>
      <w:bookmarkEnd w:id="673"/>
      <w:bookmarkEnd w:id="674"/>
      <w:bookmarkEnd w:id="675"/>
    </w:p>
    <w:p>
      <w:pPr>
        <w:pStyle w:val="52"/>
      </w:pPr>
      <w:bookmarkStart w:id="676" w:name="_Toc29842"/>
      <w:bookmarkStart w:id="677" w:name="_Toc29552"/>
      <w:bookmarkStart w:id="678" w:name="_Toc16143"/>
      <w:bookmarkStart w:id="679" w:name="_Toc15644"/>
      <w:bookmarkStart w:id="680" w:name="_Toc309897522"/>
      <w:bookmarkStart w:id="681" w:name="_Toc307564859"/>
      <w:bookmarkStart w:id="682" w:name="_Toc217446067"/>
      <w:bookmarkStart w:id="683" w:name="_Toc307501116"/>
      <w:bookmarkStart w:id="684" w:name="_Toc308084604"/>
      <w:bookmarkStart w:id="685" w:name="_Toc19999"/>
      <w:bookmarkStart w:id="686" w:name="_Toc30827"/>
      <w:bookmarkStart w:id="687" w:name="_Toc308188159"/>
      <w:bookmarkStart w:id="688" w:name="_Toc319440149"/>
      <w:bookmarkStart w:id="689" w:name="_Toc327196293"/>
      <w:bookmarkStart w:id="690" w:name="_Toc30954"/>
      <w:bookmarkStart w:id="691" w:name="_Toc29332"/>
      <w:bookmarkStart w:id="692" w:name="_Toc319439907"/>
      <w:r>
        <w:rPr>
          <w:rFonts w:hint="eastAsia"/>
        </w:rPr>
        <w:t>本项目不允许合同分包。</w:t>
      </w:r>
    </w:p>
    <w:p>
      <w:pPr>
        <w:pStyle w:val="55"/>
        <w:numPr>
          <w:ilvl w:val="2"/>
          <w:numId w:val="18"/>
        </w:numPr>
        <w:ind w:firstLine="482"/>
      </w:pPr>
      <w:bookmarkStart w:id="693" w:name="_Toc5242"/>
      <w:bookmarkStart w:id="694" w:name="_Toc28937"/>
      <w:bookmarkStart w:id="695" w:name="_Toc21151"/>
      <w:bookmarkStart w:id="696" w:name="_Toc29526"/>
      <w:r>
        <w:rPr>
          <w:rFonts w:hint="eastAsia"/>
        </w:rPr>
        <w:t>合同转包(实质性要求)</w:t>
      </w:r>
      <w:bookmarkEnd w:id="693"/>
      <w:bookmarkEnd w:id="694"/>
      <w:bookmarkEnd w:id="695"/>
      <w:bookmarkEnd w:id="696"/>
    </w:p>
    <w:p>
      <w:pPr>
        <w:pStyle w:val="52"/>
      </w:pPr>
      <w:r>
        <w:rPr>
          <w:rFonts w:hint="eastAsia"/>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pStyle w:val="52"/>
      </w:pPr>
      <w:r>
        <w:rPr>
          <w:rFonts w:hint="eastAsia"/>
        </w:rPr>
        <w:t>中标人转包的，视同拒绝履行政府采购合同义务，将依法追究法律责任。</w:t>
      </w:r>
    </w:p>
    <w:p>
      <w:pPr>
        <w:pStyle w:val="55"/>
        <w:numPr>
          <w:ilvl w:val="2"/>
          <w:numId w:val="18"/>
        </w:numPr>
        <w:ind w:firstLine="482"/>
      </w:pPr>
      <w:bookmarkStart w:id="697" w:name="_Toc11992"/>
      <w:bookmarkStart w:id="698" w:name="_Toc2714"/>
      <w:bookmarkStart w:id="699" w:name="_Toc9592"/>
      <w:bookmarkStart w:id="700" w:name="_Toc12603"/>
      <w:r>
        <w:rPr>
          <w:rFonts w:hint="eastAsia"/>
        </w:rPr>
        <w:t>补充合同</w:t>
      </w:r>
      <w:bookmarkEnd w:id="697"/>
      <w:bookmarkEnd w:id="698"/>
      <w:bookmarkEnd w:id="699"/>
      <w:bookmarkEnd w:id="700"/>
    </w:p>
    <w:p>
      <w:pPr>
        <w:pStyle w:val="52"/>
      </w:pPr>
      <w:r>
        <w:rPr>
          <w:rFonts w:hint="eastAsia"/>
        </w:rPr>
        <w:t>采购合同履行过程中，采购人需要追加与合同标的相同的货物或者服务的，在不改变合同其他条款的前提下，可以与中标人协商签订补充合同，但所有补充合同的采购金额不得超过原合同采购金额的百分之十，该补充合同应当在原政府采购合同履行过程中，不得在原政府采购合同履行结束后，且采购货物、服务的名称、价格、履约方式、验收标准等必须与原政府采购合同一致。</w:t>
      </w:r>
    </w:p>
    <w:p>
      <w:pPr>
        <w:pStyle w:val="55"/>
        <w:numPr>
          <w:ilvl w:val="2"/>
          <w:numId w:val="18"/>
        </w:numPr>
        <w:ind w:firstLine="482"/>
      </w:pPr>
      <w:bookmarkStart w:id="701" w:name="_Toc12689"/>
      <w:bookmarkStart w:id="702" w:name="_Toc13715"/>
      <w:bookmarkStart w:id="703" w:name="_Toc30638"/>
      <w:bookmarkStart w:id="704" w:name="_Toc14355"/>
      <w:r>
        <w:rPr>
          <w:rFonts w:hint="eastAsia"/>
        </w:rPr>
        <w:t>合同公告</w:t>
      </w:r>
      <w:bookmarkEnd w:id="701"/>
      <w:bookmarkEnd w:id="702"/>
      <w:bookmarkEnd w:id="703"/>
      <w:r>
        <w:rPr>
          <w:rFonts w:hint="eastAsia"/>
        </w:rPr>
        <w:t>备案</w:t>
      </w:r>
      <w:bookmarkEnd w:id="704"/>
    </w:p>
    <w:p>
      <w:pPr>
        <w:pStyle w:val="52"/>
      </w:pPr>
      <w:r>
        <w:rPr>
          <w:rFonts w:hint="eastAsia"/>
        </w:rPr>
        <w:t>采购人应当自政府采购合同签订(双方当事人均已签字盖章)之日起2个工作日内，将政府采购合同在省级以上人民政府财政部门指定的媒体“四川政府采购网”公告，但政府采购合同中涉及国家秘密、商业秘密的内容除外。</w:t>
      </w:r>
    </w:p>
    <w:p>
      <w:pPr>
        <w:pStyle w:val="52"/>
      </w:pPr>
      <w:r>
        <w:rPr>
          <w:rFonts w:hint="eastAsia"/>
        </w:rPr>
        <w:t>采购人应当将政府采购合同副本自签订(双方当事人均已签字盖章)之日起七个工作日内通过“四川政府采购网”报同级财政部门备案。</w:t>
      </w:r>
    </w:p>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Pr>
        <w:pStyle w:val="55"/>
        <w:numPr>
          <w:ilvl w:val="2"/>
          <w:numId w:val="18"/>
        </w:numPr>
        <w:ind w:firstLine="482"/>
      </w:pPr>
      <w:bookmarkStart w:id="705" w:name="_Toc24147"/>
      <w:bookmarkStart w:id="706" w:name="_Toc308164812"/>
      <w:bookmarkStart w:id="707" w:name="_Toc6301"/>
      <w:bookmarkStart w:id="708" w:name="_Toc31704"/>
      <w:bookmarkStart w:id="709" w:name="_Toc24237"/>
      <w:bookmarkStart w:id="710" w:name="_Toc319440150"/>
      <w:bookmarkStart w:id="711" w:name="_Toc319439908"/>
      <w:bookmarkStart w:id="712" w:name="_Toc308084605"/>
      <w:bookmarkStart w:id="713" w:name="_Toc28404"/>
      <w:bookmarkStart w:id="714" w:name="_Toc307564860"/>
      <w:bookmarkStart w:id="715" w:name="_Toc16034"/>
      <w:bookmarkStart w:id="716" w:name="_Toc309897523"/>
      <w:bookmarkStart w:id="717" w:name="_Toc27331"/>
      <w:bookmarkStart w:id="718" w:name="_Toc11533"/>
      <w:bookmarkStart w:id="719" w:name="_Toc22746"/>
      <w:bookmarkStart w:id="720" w:name="_Toc307501117"/>
      <w:bookmarkStart w:id="721" w:name="_Toc308188160"/>
      <w:bookmarkStart w:id="722" w:name="_Toc327196294"/>
      <w:bookmarkStart w:id="723" w:name="_Toc19537"/>
      <w:bookmarkStart w:id="724" w:name="_Toc217446068"/>
      <w:bookmarkStart w:id="725" w:name="_Toc30856"/>
      <w:bookmarkStart w:id="726" w:name="_Toc27686"/>
      <w:r>
        <w:rPr>
          <w:rFonts w:hint="eastAsia"/>
        </w:rPr>
        <w:t>履约保证金</w:t>
      </w:r>
      <w:bookmarkEnd w:id="705"/>
      <w:bookmarkEnd w:id="706"/>
      <w:bookmarkEnd w:id="707"/>
      <w:bookmarkEnd w:id="708"/>
      <w:bookmarkEnd w:id="709"/>
    </w:p>
    <w:p>
      <w:pPr>
        <w:pStyle w:val="52"/>
      </w:pPr>
      <w:r>
        <w:rPr>
          <w:rFonts w:hint="eastAsia"/>
        </w:rPr>
        <w:t>本项目不收取履约保证金。</w:t>
      </w:r>
    </w:p>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Pr>
        <w:pStyle w:val="55"/>
        <w:numPr>
          <w:ilvl w:val="2"/>
          <w:numId w:val="18"/>
        </w:numPr>
        <w:ind w:firstLine="482"/>
      </w:pPr>
      <w:bookmarkStart w:id="727" w:name="_Toc29503"/>
      <w:bookmarkStart w:id="728" w:name="_Toc15310"/>
      <w:bookmarkStart w:id="729" w:name="_Toc16526"/>
      <w:bookmarkStart w:id="730" w:name="_Toc13194"/>
      <w:bookmarkStart w:id="731" w:name="_Toc308188162"/>
      <w:bookmarkStart w:id="732" w:name="_Toc327196296"/>
      <w:bookmarkStart w:id="733" w:name="_Toc17018"/>
      <w:bookmarkStart w:id="734" w:name="_Toc18547"/>
      <w:bookmarkStart w:id="735" w:name="_Toc27872"/>
      <w:bookmarkStart w:id="736" w:name="_Toc319439910"/>
      <w:bookmarkStart w:id="737" w:name="_Toc9916"/>
      <w:bookmarkStart w:id="738" w:name="_Toc217446070"/>
      <w:bookmarkStart w:id="739" w:name="_Toc307564862"/>
      <w:bookmarkStart w:id="740" w:name="_Toc308084607"/>
      <w:bookmarkStart w:id="741" w:name="_Toc319440152"/>
      <w:bookmarkStart w:id="742" w:name="_Toc15219"/>
      <w:bookmarkStart w:id="743" w:name="_Toc307501119"/>
      <w:bookmarkStart w:id="744" w:name="_Toc309897525"/>
      <w:bookmarkStart w:id="745" w:name="_Toc5754"/>
      <w:bookmarkStart w:id="746" w:name="_Toc9815"/>
      <w:bookmarkStart w:id="747" w:name="_Toc27114"/>
      <w:r>
        <w:rPr>
          <w:rFonts w:hint="eastAsia"/>
        </w:rPr>
        <w:t>履行合同</w:t>
      </w:r>
      <w:bookmarkEnd w:id="727"/>
      <w:bookmarkEnd w:id="728"/>
      <w:bookmarkEnd w:id="729"/>
      <w:bookmarkEnd w:id="730"/>
    </w:p>
    <w:p>
      <w:pPr>
        <w:pStyle w:val="69"/>
        <w:ind w:firstLine="480"/>
      </w:pPr>
      <w:bookmarkStart w:id="748" w:name="_Toc31"/>
      <w:bookmarkStart w:id="749" w:name="_Toc12435"/>
      <w:r>
        <w:rPr>
          <w:rFonts w:hint="eastAsia"/>
        </w:rPr>
        <w:t>采购人与中标人应当根据合同的约定依法履行合同义务。</w:t>
      </w:r>
    </w:p>
    <w:p>
      <w:pPr>
        <w:pStyle w:val="69"/>
        <w:ind w:firstLine="480"/>
      </w:pPr>
      <w:r>
        <w:rPr>
          <w:rFonts w:hint="eastAsia"/>
        </w:rPr>
        <w:t>政府采购合同的履行、违约责任和解决争议的方法等适用《中华人民共和国民法典》。</w:t>
      </w:r>
    </w:p>
    <w:p>
      <w:pPr>
        <w:pStyle w:val="55"/>
        <w:numPr>
          <w:ilvl w:val="2"/>
          <w:numId w:val="18"/>
        </w:numPr>
        <w:ind w:firstLine="482"/>
      </w:pPr>
      <w:bookmarkStart w:id="750" w:name="_Toc22276"/>
      <w:bookmarkStart w:id="751" w:name="_Toc7876"/>
      <w:r>
        <w:rPr>
          <w:rFonts w:hint="eastAsia"/>
        </w:rPr>
        <w:t>验收</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bookmarkEnd w:id="632"/>
    <w:bookmarkEnd w:id="633"/>
    <w:p>
      <w:pPr>
        <w:pStyle w:val="69"/>
        <w:ind w:firstLine="480"/>
      </w:pPr>
      <w:bookmarkStart w:id="752" w:name="_Toc217446071"/>
      <w:bookmarkStart w:id="753" w:name="_Toc308164818"/>
      <w:bookmarkStart w:id="754" w:name="_Toc17896"/>
      <w:bookmarkStart w:id="755" w:name="_Toc16716"/>
      <w:bookmarkStart w:id="756" w:name="_Toc3266"/>
      <w:bookmarkStart w:id="757" w:name="_Toc327196297"/>
      <w:bookmarkStart w:id="758" w:name="_Toc217446074"/>
      <w:bookmarkStart w:id="759" w:name="_Toc16219"/>
      <w:bookmarkStart w:id="760" w:name="_Toc183582243"/>
      <w:bookmarkStart w:id="761" w:name="_Toc183682380"/>
      <w:r>
        <w:rPr>
          <w:rFonts w:hint="eastAsia"/>
        </w:rPr>
        <w:t>本项目采购人将严格按照《财政部关于进一步加强政府采购需求和履约验收管理的指导意见》(财库〔2016〕205号)、</w:t>
      </w:r>
      <w:r>
        <w:rPr>
          <w:rFonts w:hint="eastAsia"/>
          <w:lang w:val="en-US" w:eastAsia="zh-CN"/>
        </w:rPr>
        <w:t>参照</w:t>
      </w:r>
      <w:r>
        <w:rPr>
          <w:rFonts w:hint="eastAsia"/>
        </w:rPr>
        <w:t>《四川省政府采购项目需求论证和履约验收管理办法》(川财采〔2015〕32号)的要求进行验收。</w:t>
      </w:r>
    </w:p>
    <w:p>
      <w:pPr>
        <w:pStyle w:val="69"/>
        <w:ind w:firstLine="480"/>
      </w:pPr>
      <w:r>
        <w:rPr>
          <w:rFonts w:hint="eastAsia"/>
        </w:rPr>
        <w:t>验收结果合格的，中标人凭验收合格证明书办理履约保证金退付、项目结算等相关手续；验收结果不合格且拒不整改或经整改后仍然验收不合格的，将不予支付后续采购资金，采购人将按照相关法律法规条款及采购合同约定追究供应商违约责任，同时还可能会报本项目同级财政部门按照政府采购法律法规及</w:t>
      </w:r>
      <w:r>
        <w:rPr>
          <w:rFonts w:hint="eastAsia"/>
          <w:lang w:val="en-US" w:eastAsia="zh-CN"/>
        </w:rPr>
        <w:t>参照</w:t>
      </w:r>
      <w:r>
        <w:rPr>
          <w:rFonts w:hint="eastAsia"/>
        </w:rPr>
        <w:t>《四川省政府采购当事人诚信管理办法》(川财采〔2015〕33号)等有关规定给予行政处罚或者以失信行为记入诚信档案。</w:t>
      </w:r>
    </w:p>
    <w:bookmarkEnd w:id="752"/>
    <w:p>
      <w:pPr>
        <w:pStyle w:val="55"/>
        <w:numPr>
          <w:ilvl w:val="2"/>
          <w:numId w:val="18"/>
        </w:numPr>
        <w:ind w:firstLine="482"/>
      </w:pPr>
      <w:bookmarkStart w:id="762" w:name="_Toc10742"/>
      <w:r>
        <w:rPr>
          <w:rFonts w:hint="eastAsia"/>
        </w:rPr>
        <w:t>资金支付</w:t>
      </w:r>
      <w:bookmarkEnd w:id="753"/>
      <w:r>
        <w:rPr>
          <w:rFonts w:hint="eastAsia"/>
        </w:rPr>
        <w:t>方式、时间、条件</w:t>
      </w:r>
      <w:bookmarkEnd w:id="754"/>
      <w:bookmarkEnd w:id="755"/>
      <w:bookmarkEnd w:id="756"/>
      <w:bookmarkEnd w:id="762"/>
    </w:p>
    <w:p>
      <w:pPr>
        <w:pStyle w:val="69"/>
        <w:ind w:firstLine="480"/>
      </w:pPr>
      <w:r>
        <w:rPr>
          <w:rFonts w:hint="eastAsia"/>
        </w:rPr>
        <w:t>采购资金的支付方式：采购人将按照政府采购合同规定，及时向中标人以银行转账方式支付采购资金。对于满足合同约定支付条件的，采购人应当自收到发票后按照合同约定将资金支付到合同约定的供应商账户，不得以机构变动、人员更替、政策调整等为由延迟付款，不得将采购文件和合同中未规定的义务作为向供应商付款的条件。</w:t>
      </w:r>
    </w:p>
    <w:p>
      <w:pPr>
        <w:pStyle w:val="69"/>
        <w:ind w:firstLine="480"/>
      </w:pPr>
      <w:r>
        <w:rPr>
          <w:rFonts w:hint="eastAsia"/>
        </w:rPr>
        <w:t>采购资金的支付时间和支付条件：详见招标文件第六章。</w:t>
      </w:r>
    </w:p>
    <w:p>
      <w:pPr>
        <w:pStyle w:val="49"/>
        <w:spacing w:before="120" w:after="120"/>
      </w:pPr>
      <w:bookmarkStart w:id="763" w:name="_Toc24338"/>
      <w:bookmarkStart w:id="764" w:name="_Toc3955"/>
      <w:bookmarkStart w:id="765" w:name="_Toc27770"/>
      <w:bookmarkStart w:id="766" w:name="_Toc15972"/>
      <w:r>
        <w:rPr>
          <w:rFonts w:hint="eastAsia"/>
        </w:rPr>
        <w:t>投标纪律要求</w:t>
      </w:r>
      <w:bookmarkEnd w:id="757"/>
      <w:bookmarkEnd w:id="758"/>
      <w:bookmarkEnd w:id="759"/>
      <w:bookmarkEnd w:id="763"/>
      <w:bookmarkEnd w:id="764"/>
      <w:bookmarkEnd w:id="765"/>
      <w:bookmarkEnd w:id="766"/>
    </w:p>
    <w:p>
      <w:pPr>
        <w:pStyle w:val="52"/>
      </w:pPr>
      <w:bookmarkStart w:id="767" w:name="_Toc27399"/>
      <w:bookmarkStart w:id="768" w:name="_Toc308188164"/>
      <w:bookmarkStart w:id="769" w:name="_Toc21018"/>
      <w:bookmarkStart w:id="770" w:name="_Toc307501121"/>
      <w:bookmarkStart w:id="771" w:name="_Toc10754"/>
      <w:bookmarkStart w:id="772" w:name="_Toc11074"/>
      <w:bookmarkStart w:id="773" w:name="_Toc17887"/>
      <w:bookmarkStart w:id="774" w:name="_Toc1828"/>
      <w:bookmarkStart w:id="775" w:name="_Toc319439912"/>
      <w:bookmarkStart w:id="776" w:name="_Toc307564864"/>
      <w:bookmarkStart w:id="777" w:name="_Toc5014"/>
      <w:bookmarkStart w:id="778" w:name="_Toc30964"/>
      <w:bookmarkStart w:id="779" w:name="_Toc217446075"/>
      <w:bookmarkStart w:id="780" w:name="_Toc20490"/>
      <w:bookmarkStart w:id="781" w:name="_Toc31498"/>
      <w:bookmarkStart w:id="782" w:name="_Toc6284"/>
      <w:bookmarkStart w:id="783" w:name="_Toc308084609"/>
      <w:bookmarkStart w:id="784" w:name="_Toc319440154"/>
      <w:bookmarkStart w:id="785" w:name="_Toc309897527"/>
      <w:bookmarkStart w:id="786" w:name="_Toc327196298"/>
      <w:r>
        <w:rPr>
          <w:rFonts w:hint="eastAsia"/>
        </w:rPr>
        <w:t>投标人不得具有的情形</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r>
        <w:rPr>
          <w:rFonts w:hint="eastAsia"/>
        </w:rPr>
        <w:t>：</w:t>
      </w:r>
    </w:p>
    <w:p>
      <w:pPr>
        <w:pStyle w:val="39"/>
        <w:numPr>
          <w:ilvl w:val="1"/>
          <w:numId w:val="19"/>
        </w:numPr>
        <w:ind w:firstLine="480"/>
      </w:pPr>
      <w:r>
        <w:rPr>
          <w:rFonts w:hint="eastAsia"/>
        </w:rPr>
        <w:t>提供虚假材料谋取中标；</w:t>
      </w:r>
    </w:p>
    <w:p>
      <w:pPr>
        <w:pStyle w:val="39"/>
        <w:numPr>
          <w:ilvl w:val="1"/>
          <w:numId w:val="19"/>
        </w:numPr>
        <w:ind w:firstLine="480"/>
      </w:pPr>
      <w:r>
        <w:rPr>
          <w:rFonts w:hint="eastAsia"/>
        </w:rPr>
        <w:t>采取不正当手段诋毁、排挤其他投标人；</w:t>
      </w:r>
    </w:p>
    <w:p>
      <w:pPr>
        <w:pStyle w:val="39"/>
        <w:numPr>
          <w:ilvl w:val="1"/>
          <w:numId w:val="19"/>
        </w:numPr>
        <w:ind w:firstLine="480"/>
      </w:pPr>
      <w:r>
        <w:rPr>
          <w:rFonts w:hint="eastAsia"/>
        </w:rPr>
        <w:t>与招标采购单位、其他投标人恶意串通；</w:t>
      </w:r>
    </w:p>
    <w:p>
      <w:pPr>
        <w:pStyle w:val="39"/>
        <w:numPr>
          <w:ilvl w:val="1"/>
          <w:numId w:val="19"/>
        </w:numPr>
        <w:ind w:firstLine="480"/>
      </w:pPr>
      <w:r>
        <w:rPr>
          <w:rFonts w:hint="eastAsia"/>
        </w:rPr>
        <w:t>向招标采购单位、评标委员会成员行贿或者提供其他不正当利益；</w:t>
      </w:r>
    </w:p>
    <w:p>
      <w:pPr>
        <w:pStyle w:val="39"/>
        <w:numPr>
          <w:ilvl w:val="1"/>
          <w:numId w:val="19"/>
        </w:numPr>
        <w:ind w:firstLine="480"/>
      </w:pPr>
      <w:r>
        <w:rPr>
          <w:rFonts w:hint="eastAsia"/>
        </w:rPr>
        <w:t>在招标过程中与招标采购单位进行协商谈判；</w:t>
      </w:r>
    </w:p>
    <w:p>
      <w:pPr>
        <w:pStyle w:val="39"/>
        <w:numPr>
          <w:ilvl w:val="1"/>
          <w:numId w:val="19"/>
        </w:numPr>
        <w:ind w:firstLine="480"/>
      </w:pPr>
      <w:r>
        <w:rPr>
          <w:rFonts w:hint="eastAsia"/>
        </w:rPr>
        <w:t>中标或者成交后无正当理由拒不与采购人签订政府采购合同；</w:t>
      </w:r>
    </w:p>
    <w:p>
      <w:pPr>
        <w:pStyle w:val="39"/>
        <w:numPr>
          <w:ilvl w:val="1"/>
          <w:numId w:val="19"/>
        </w:numPr>
        <w:ind w:firstLine="480"/>
      </w:pPr>
      <w:r>
        <w:rPr>
          <w:rFonts w:hint="eastAsia"/>
        </w:rPr>
        <w:t>未按照采购文件确定的事项签订政府采购合同；</w:t>
      </w:r>
    </w:p>
    <w:p>
      <w:pPr>
        <w:pStyle w:val="39"/>
        <w:numPr>
          <w:ilvl w:val="1"/>
          <w:numId w:val="19"/>
        </w:numPr>
        <w:ind w:firstLine="480"/>
      </w:pPr>
      <w:r>
        <w:rPr>
          <w:rFonts w:hint="eastAsia"/>
        </w:rPr>
        <w:t>将政府采购合同转包或者违规分包；</w:t>
      </w:r>
    </w:p>
    <w:p>
      <w:pPr>
        <w:pStyle w:val="39"/>
        <w:numPr>
          <w:ilvl w:val="1"/>
          <w:numId w:val="19"/>
        </w:numPr>
        <w:ind w:firstLine="480"/>
      </w:pPr>
      <w:r>
        <w:rPr>
          <w:rFonts w:hint="eastAsia"/>
        </w:rPr>
        <w:t>提供假冒伪劣产品；</w:t>
      </w:r>
    </w:p>
    <w:p>
      <w:pPr>
        <w:pStyle w:val="39"/>
        <w:numPr>
          <w:ilvl w:val="1"/>
          <w:numId w:val="19"/>
        </w:numPr>
        <w:ind w:firstLine="480"/>
      </w:pPr>
      <w:r>
        <w:rPr>
          <w:rFonts w:hint="eastAsia"/>
        </w:rPr>
        <w:t>擅自变更、中止或者终止政府采购合同；</w:t>
      </w:r>
    </w:p>
    <w:p>
      <w:pPr>
        <w:pStyle w:val="39"/>
        <w:numPr>
          <w:ilvl w:val="1"/>
          <w:numId w:val="19"/>
        </w:numPr>
        <w:ind w:firstLine="480"/>
      </w:pPr>
      <w:r>
        <w:rPr>
          <w:rFonts w:hint="eastAsia"/>
        </w:rPr>
        <w:t>拒绝有关部门的监督检查或者向监督检查部门提供虚假情况；</w:t>
      </w:r>
    </w:p>
    <w:p>
      <w:pPr>
        <w:pStyle w:val="39"/>
        <w:numPr>
          <w:ilvl w:val="1"/>
          <w:numId w:val="19"/>
        </w:numPr>
        <w:ind w:firstLine="480"/>
      </w:pPr>
      <w:r>
        <w:rPr>
          <w:rFonts w:hint="eastAsia"/>
        </w:rPr>
        <w:t>法律法规规定的其他情形。</w:t>
      </w:r>
    </w:p>
    <w:p>
      <w:pPr>
        <w:pStyle w:val="48"/>
        <w:ind w:firstLine="480" w:firstLineChars="200"/>
      </w:pPr>
      <w:bookmarkStart w:id="787" w:name="_Toc525"/>
      <w:bookmarkStart w:id="788" w:name="_Toc20327"/>
      <w:bookmarkStart w:id="789" w:name="_Toc8765"/>
      <w:bookmarkStart w:id="790" w:name="_Toc217446078"/>
      <w:r>
        <w:rPr>
          <w:rFonts w:hint="eastAsia"/>
        </w:rPr>
        <w:t>投标人有上述情形的，按照规定追究法律责任，具备(一)～(十)条情形之一的，同时将取消中标资格或者认定中标无效。</w:t>
      </w:r>
    </w:p>
    <w:bookmarkEnd w:id="787"/>
    <w:bookmarkEnd w:id="788"/>
    <w:bookmarkEnd w:id="789"/>
    <w:p>
      <w:pPr>
        <w:pStyle w:val="49"/>
        <w:spacing w:before="120" w:after="120"/>
      </w:pPr>
      <w:bookmarkStart w:id="791" w:name="_Toc8981"/>
      <w:r>
        <w:rPr>
          <w:rFonts w:hint="eastAsia"/>
        </w:rPr>
        <w:t>其他</w:t>
      </w:r>
      <w:bookmarkEnd w:id="791"/>
    </w:p>
    <w:p>
      <w:pPr>
        <w:pStyle w:val="55"/>
        <w:numPr>
          <w:ilvl w:val="2"/>
          <w:numId w:val="20"/>
        </w:numPr>
        <w:ind w:firstLine="482"/>
      </w:pPr>
      <w:bookmarkStart w:id="792" w:name="_Toc12421"/>
      <w:bookmarkStart w:id="793" w:name="_Toc24434"/>
      <w:bookmarkStart w:id="794" w:name="_Toc24165"/>
      <w:bookmarkStart w:id="795" w:name="_Toc1652"/>
      <w:bookmarkStart w:id="796" w:name="_Toc414"/>
      <w:bookmarkStart w:id="797" w:name="_Toc14007"/>
      <w:bookmarkStart w:id="798" w:name="_Toc327196301"/>
      <w:bookmarkStart w:id="799" w:name="_Toc21424"/>
      <w:r>
        <w:rPr>
          <w:rFonts w:hint="eastAsia"/>
        </w:rPr>
        <w:t>询问</w:t>
      </w:r>
      <w:bookmarkEnd w:id="792"/>
      <w:bookmarkEnd w:id="793"/>
      <w:bookmarkEnd w:id="794"/>
      <w:bookmarkEnd w:id="795"/>
      <w:bookmarkEnd w:id="796"/>
      <w:r>
        <w:rPr>
          <w:rFonts w:hint="eastAsia"/>
        </w:rPr>
        <w:t>、质疑和投诉</w:t>
      </w:r>
      <w:bookmarkEnd w:id="797"/>
    </w:p>
    <w:bookmarkEnd w:id="760"/>
    <w:bookmarkEnd w:id="761"/>
    <w:bookmarkEnd w:id="790"/>
    <w:bookmarkEnd w:id="798"/>
    <w:bookmarkEnd w:id="799"/>
    <w:p>
      <w:pPr>
        <w:pStyle w:val="52"/>
      </w:pPr>
      <w:r>
        <w:rPr>
          <w:rFonts w:hint="eastAsia"/>
        </w:rPr>
        <w:t>具体详见投标人须知前附表。</w:t>
      </w:r>
    </w:p>
    <w:p>
      <w:pPr>
        <w:pStyle w:val="55"/>
        <w:numPr>
          <w:ilvl w:val="2"/>
          <w:numId w:val="20"/>
        </w:numPr>
        <w:ind w:firstLine="482"/>
      </w:pPr>
      <w:bookmarkStart w:id="800" w:name="_Toc27417"/>
      <w:bookmarkStart w:id="801" w:name="_Toc32703"/>
      <w:bookmarkStart w:id="802" w:name="_Toc22454"/>
      <w:bookmarkStart w:id="803" w:name="_Toc8852"/>
      <w:r>
        <w:rPr>
          <w:rFonts w:hint="eastAsia"/>
        </w:rPr>
        <w:t>关于行贿犯罪档案查询工作的规定</w:t>
      </w:r>
      <w:bookmarkEnd w:id="800"/>
      <w:bookmarkEnd w:id="801"/>
      <w:bookmarkEnd w:id="802"/>
      <w:bookmarkEnd w:id="803"/>
    </w:p>
    <w:p>
      <w:pPr>
        <w:pStyle w:val="52"/>
      </w:pPr>
      <w:bookmarkStart w:id="804" w:name="_Toc24870"/>
      <w:bookmarkStart w:id="805" w:name="_Toc25217"/>
      <w:bookmarkStart w:id="806" w:name="_Toc5589"/>
      <w:r>
        <w:rPr>
          <w:rFonts w:hint="eastAsia"/>
        </w:rPr>
        <w:t>因国家检察机关职务犯罪侦查部门转隶工作已经完成，供应商参与采购活动时须按照采购文件要求提供承诺函或由采购代理机构通过“中国裁判文书网”查询，并将查询记录存档。</w:t>
      </w:r>
    </w:p>
    <w:p>
      <w:pPr>
        <w:pStyle w:val="55"/>
        <w:numPr>
          <w:ilvl w:val="2"/>
          <w:numId w:val="20"/>
        </w:numPr>
        <w:ind w:firstLine="482"/>
      </w:pPr>
      <w:bookmarkStart w:id="807" w:name="_Toc28689"/>
      <w:r>
        <w:rPr>
          <w:rFonts w:hint="eastAsia"/>
        </w:rPr>
        <w:t>串通投标的情形</w:t>
      </w:r>
      <w:bookmarkEnd w:id="804"/>
      <w:bookmarkEnd w:id="805"/>
      <w:bookmarkEnd w:id="807"/>
    </w:p>
    <w:p>
      <w:pPr>
        <w:pStyle w:val="52"/>
      </w:pPr>
      <w:r>
        <w:rPr>
          <w:rFonts w:hint="eastAsia"/>
        </w:rPr>
        <w:t>有下列情形之一的，视为投标人串通投标，其投标无效。</w:t>
      </w:r>
    </w:p>
    <w:p>
      <w:pPr>
        <w:pStyle w:val="52"/>
      </w:pPr>
      <w:r>
        <w:rPr>
          <w:rFonts w:hint="eastAsia"/>
        </w:rPr>
        <w:t>1.不同投标人的投标文件由同一单位或者个人编制；</w:t>
      </w:r>
    </w:p>
    <w:p>
      <w:pPr>
        <w:pStyle w:val="52"/>
      </w:pPr>
      <w:r>
        <w:rPr>
          <w:rFonts w:hint="eastAsia"/>
        </w:rPr>
        <w:t>2.不同投标人委托同一单位或者个人办理投标事宜；</w:t>
      </w:r>
    </w:p>
    <w:p>
      <w:pPr>
        <w:pStyle w:val="52"/>
      </w:pPr>
      <w:r>
        <w:rPr>
          <w:rFonts w:hint="eastAsia"/>
        </w:rPr>
        <w:t>3.不同投标人的投标文件载明的项目管理成员或者联系人员为同一人；</w:t>
      </w:r>
    </w:p>
    <w:p>
      <w:pPr>
        <w:pStyle w:val="52"/>
      </w:pPr>
      <w:r>
        <w:rPr>
          <w:rFonts w:hint="eastAsia"/>
        </w:rPr>
        <w:t>4.不同投标人的投标文件异常一致或者投标报价呈规律性差异；</w:t>
      </w:r>
    </w:p>
    <w:p>
      <w:pPr>
        <w:pStyle w:val="52"/>
      </w:pPr>
      <w:r>
        <w:rPr>
          <w:rFonts w:hint="eastAsia"/>
        </w:rPr>
        <w:t>5.不同投标人的投标文件相互混装；</w:t>
      </w:r>
    </w:p>
    <w:p>
      <w:pPr>
        <w:pStyle w:val="52"/>
      </w:pPr>
      <w:r>
        <w:rPr>
          <w:rFonts w:hint="eastAsia"/>
        </w:rPr>
        <w:t>6.不同投标人的投标保证金从同一单位或者个人的账户转出。</w:t>
      </w:r>
    </w:p>
    <w:p>
      <w:pPr>
        <w:pStyle w:val="55"/>
        <w:numPr>
          <w:ilvl w:val="2"/>
          <w:numId w:val="20"/>
        </w:numPr>
        <w:ind w:firstLine="482"/>
      </w:pPr>
      <w:bookmarkStart w:id="808" w:name="_Toc32334"/>
      <w:bookmarkStart w:id="809" w:name="_Toc17038"/>
      <w:bookmarkStart w:id="810" w:name="_Toc10983"/>
      <w:bookmarkStart w:id="811" w:name="_Toc22192"/>
      <w:bookmarkStart w:id="812" w:name="_Toc30537"/>
      <w:r>
        <w:rPr>
          <w:rFonts w:hint="eastAsia"/>
        </w:rPr>
        <w:t>投标人信用信息查询</w:t>
      </w:r>
      <w:bookmarkEnd w:id="808"/>
      <w:bookmarkEnd w:id="809"/>
      <w:bookmarkEnd w:id="810"/>
      <w:bookmarkEnd w:id="811"/>
      <w:bookmarkEnd w:id="812"/>
    </w:p>
    <w:p>
      <w:pPr>
        <w:pStyle w:val="39"/>
        <w:numPr>
          <w:ilvl w:val="1"/>
          <w:numId w:val="0"/>
        </w:numPr>
        <w:ind w:firstLine="480" w:firstLineChars="200"/>
      </w:pPr>
      <w:r>
        <w:rPr>
          <w:rFonts w:hint="eastAsia"/>
        </w:rPr>
        <w:t>1.投标人信用信息查询渠道</w:t>
      </w:r>
    </w:p>
    <w:p>
      <w:pPr>
        <w:pStyle w:val="52"/>
      </w:pPr>
      <w:r>
        <w:rPr>
          <w:rFonts w:hint="eastAsia"/>
        </w:rPr>
        <w:t>“信用中国”网站(www.creditchina.gov.cn)、“中国政府采购网”(www.ccgp.gov.cn)等。</w:t>
      </w:r>
    </w:p>
    <w:p>
      <w:pPr>
        <w:pStyle w:val="39"/>
        <w:numPr>
          <w:ilvl w:val="1"/>
          <w:numId w:val="0"/>
        </w:numPr>
        <w:ind w:firstLine="480" w:firstLineChars="200"/>
      </w:pPr>
      <w:r>
        <w:rPr>
          <w:rFonts w:hint="eastAsia"/>
        </w:rPr>
        <w:t>2.投标人信用信息查询截止时点</w:t>
      </w:r>
    </w:p>
    <w:p>
      <w:pPr>
        <w:pStyle w:val="52"/>
      </w:pPr>
      <w:r>
        <w:rPr>
          <w:rFonts w:hint="eastAsia"/>
        </w:rPr>
        <w:t>信用信息查询在资格审查阶段完成。</w:t>
      </w:r>
    </w:p>
    <w:p>
      <w:pPr>
        <w:pStyle w:val="39"/>
        <w:numPr>
          <w:ilvl w:val="1"/>
          <w:numId w:val="0"/>
        </w:numPr>
        <w:ind w:firstLine="480" w:firstLineChars="200"/>
      </w:pPr>
      <w:r>
        <w:rPr>
          <w:rFonts w:hint="eastAsia"/>
        </w:rPr>
        <w:t>3.投标人信用信息查询记录和证据留存的具体方式</w:t>
      </w:r>
    </w:p>
    <w:p>
      <w:pPr>
        <w:pStyle w:val="52"/>
      </w:pPr>
      <w:r>
        <w:rPr>
          <w:rFonts w:hint="eastAsia"/>
        </w:rPr>
        <w:t>采购代理机构通过“信用中国”网站、“中国政府采购网”等渠道对供应商进行信用记录查询，并将查询记录存档。</w:t>
      </w:r>
    </w:p>
    <w:p>
      <w:pPr>
        <w:pStyle w:val="39"/>
        <w:numPr>
          <w:ilvl w:val="1"/>
          <w:numId w:val="0"/>
        </w:numPr>
        <w:ind w:firstLine="480" w:firstLineChars="200"/>
      </w:pPr>
      <w:r>
        <w:rPr>
          <w:rFonts w:hint="eastAsia"/>
        </w:rPr>
        <w:t>4.投标人信用信息的使用：凡被列入失信被执行人、重大税收违法案件当事人名单、政府采购严重违法失信行为记录名单的，视为存在不良信用记录，参与本项目的将被拒绝。</w:t>
      </w:r>
    </w:p>
    <w:p>
      <w:pPr>
        <w:pStyle w:val="55"/>
        <w:numPr>
          <w:ilvl w:val="2"/>
          <w:numId w:val="20"/>
        </w:numPr>
        <w:ind w:firstLine="482"/>
      </w:pPr>
      <w:bookmarkStart w:id="813" w:name="_Toc27083"/>
      <w:r>
        <w:rPr>
          <w:rFonts w:hint="eastAsia"/>
        </w:rPr>
        <w:t>解释说明</w:t>
      </w:r>
      <w:bookmarkEnd w:id="813"/>
    </w:p>
    <w:p>
      <w:pPr>
        <w:pStyle w:val="39"/>
        <w:numPr>
          <w:ilvl w:val="1"/>
          <w:numId w:val="0"/>
        </w:numPr>
        <w:ind w:firstLine="480" w:firstLineChars="200"/>
      </w:pPr>
      <w:r>
        <w:rPr>
          <w:rFonts w:hint="eastAsia"/>
        </w:rPr>
        <w:t>1.本招标文件中作为实质性要求的内容，除明确要求需在投标时提供承诺函等证明材料的外，采购人或采购代理机构或评标委员会在评审时，仅对投标文件是否违背实质性要求进行审查，如该项未违背实质性要求，视为满足实质性要求。</w:t>
      </w:r>
    </w:p>
    <w:p>
      <w:pPr>
        <w:pStyle w:val="39"/>
        <w:numPr>
          <w:ilvl w:val="1"/>
          <w:numId w:val="0"/>
        </w:numPr>
        <w:ind w:firstLine="480" w:firstLineChars="200"/>
      </w:pPr>
      <w:r>
        <w:rPr>
          <w:rFonts w:hint="eastAsia"/>
        </w:rPr>
        <w:t>2.本招标文件中所引用的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按照变化后的相关法律制度规定执行，本招标文件不再做调整。</w:t>
      </w:r>
    </w:p>
    <w:p>
      <w:pPr>
        <w:pStyle w:val="39"/>
        <w:numPr>
          <w:ilvl w:val="1"/>
          <w:numId w:val="0"/>
        </w:numPr>
        <w:ind w:firstLine="480" w:firstLineChars="200"/>
      </w:pPr>
      <w:r>
        <w:rPr>
          <w:rFonts w:hint="eastAsia"/>
        </w:rPr>
        <w:t>3.国家或行业主管部门对供应商和采购产品的技术标准、质量标准和资格资质条件等有强制性规定的，必须符合其要求</w:t>
      </w:r>
      <w:r>
        <w:rPr>
          <w:rFonts w:hint="eastAsia"/>
          <w:b/>
          <w:bCs/>
        </w:rPr>
        <w:t>(实质性要求)</w:t>
      </w:r>
      <w:r>
        <w:rPr>
          <w:rFonts w:hint="eastAsia"/>
        </w:rPr>
        <w:t>。</w:t>
      </w:r>
    </w:p>
    <w:p>
      <w:pPr>
        <w:pStyle w:val="39"/>
        <w:numPr>
          <w:ilvl w:val="1"/>
          <w:numId w:val="0"/>
        </w:numPr>
        <w:ind w:firstLine="480" w:firstLineChars="200"/>
      </w:pPr>
      <w:r>
        <w:rPr>
          <w:rFonts w:hint="eastAsia"/>
        </w:rPr>
        <w:t>4.</w:t>
      </w:r>
      <w:r>
        <w:rPr>
          <w:rFonts w:hint="eastAsia" w:cs="宋体"/>
        </w:rPr>
        <w:t>本项目涉及企业资质、产品认证、人员执业资格等描述与国家最新要求不一致时以最新要求为准。</w:t>
      </w:r>
    </w:p>
    <w:p>
      <w:pPr>
        <w:pStyle w:val="39"/>
        <w:numPr>
          <w:ilvl w:val="1"/>
          <w:numId w:val="0"/>
        </w:numPr>
        <w:ind w:left="480" w:leftChars="200"/>
      </w:pPr>
    </w:p>
    <w:p>
      <w:pPr>
        <w:pStyle w:val="54"/>
        <w:numPr>
          <w:ilvl w:val="0"/>
          <w:numId w:val="14"/>
        </w:numPr>
        <w:spacing w:before="120" w:after="120"/>
      </w:pPr>
      <w:r>
        <w:rPr>
          <w:rFonts w:hint="eastAsia"/>
        </w:rPr>
        <w:br w:type="page"/>
      </w:r>
      <w:bookmarkEnd w:id="806"/>
      <w:bookmarkStart w:id="814" w:name="_Toc4206"/>
      <w:bookmarkStart w:id="815" w:name="_Toc29575"/>
      <w:bookmarkStart w:id="816" w:name="_Toc25961"/>
      <w:bookmarkStart w:id="817" w:name="_Toc31402"/>
      <w:bookmarkStart w:id="818" w:name="_Toc1972"/>
      <w:r>
        <w:rPr>
          <w:rFonts w:hint="eastAsia"/>
        </w:rPr>
        <w:t>投标文件格式</w:t>
      </w:r>
      <w:bookmarkEnd w:id="814"/>
      <w:bookmarkEnd w:id="815"/>
      <w:bookmarkEnd w:id="816"/>
      <w:bookmarkEnd w:id="817"/>
      <w:bookmarkEnd w:id="818"/>
    </w:p>
    <w:p>
      <w:pPr>
        <w:pStyle w:val="56"/>
        <w:ind w:firstLine="480"/>
      </w:pPr>
      <w:bookmarkStart w:id="819" w:name="_Toc287367101"/>
      <w:bookmarkStart w:id="820" w:name="_Toc16460"/>
      <w:bookmarkStart w:id="821" w:name="_Toc295978802"/>
      <w:bookmarkStart w:id="822" w:name="_Toc294701519"/>
      <w:bookmarkStart w:id="823" w:name="_Toc182629023"/>
      <w:bookmarkStart w:id="824" w:name="_Toc316462354"/>
      <w:bookmarkStart w:id="825" w:name="_Toc439161746"/>
      <w:bookmarkStart w:id="826" w:name="_Toc294688711"/>
      <w:bookmarkStart w:id="827" w:name="_Toc182759327"/>
      <w:bookmarkStart w:id="828" w:name="_Toc211218954"/>
      <w:r>
        <w:rPr>
          <w:rFonts w:hint="eastAsia"/>
        </w:rPr>
        <w:t>一、本章所制投标文件格式，除格式中明确将该格式作为实质性要求的，一律不具有强制性。</w:t>
      </w:r>
    </w:p>
    <w:p>
      <w:pPr>
        <w:pStyle w:val="56"/>
        <w:ind w:firstLine="480"/>
      </w:pPr>
      <w:r>
        <w:rPr>
          <w:rFonts w:hint="eastAsia"/>
        </w:rPr>
        <w:t>二、本章所制投标文件格式有关表格中的备注栏，由投标人根据自身投标情况作解释性说明，不作为必填项。</w:t>
      </w:r>
    </w:p>
    <w:p>
      <w:pPr>
        <w:pStyle w:val="56"/>
        <w:ind w:firstLine="480"/>
      </w:pPr>
      <w:r>
        <w:rPr>
          <w:rFonts w:hint="eastAsia"/>
        </w:rPr>
        <w:t>三、本章格式中“注”的内容，供应商可自行决定是否保留在投标文件中，未保留的视为供应商默认接受“注”的内容。</w:t>
      </w:r>
    </w:p>
    <w:p>
      <w:pPr>
        <w:pStyle w:val="56"/>
        <w:ind w:firstLine="480"/>
      </w:pPr>
      <w:r>
        <w:rPr>
          <w:rFonts w:hint="eastAsia"/>
        </w:rPr>
        <w:t>四、本章所制投标文件格式中需要填写的相关内容事项，可能会与本采购项目无关，在不改变投标文件原义、不影响本项目采购需求的情况下，投标人可以不予填写，但应当注明。</w:t>
      </w:r>
    </w:p>
    <w:p>
      <w:pPr>
        <w:pStyle w:val="48"/>
      </w:pPr>
      <w:r>
        <w:rPr>
          <w:rFonts w:hint="eastAsia"/>
        </w:rPr>
        <w:br w:type="page"/>
      </w:r>
    </w:p>
    <w:p>
      <w:pPr>
        <w:pStyle w:val="40"/>
      </w:pPr>
      <w:r>
        <w:rPr>
          <w:rFonts w:hint="eastAsia"/>
        </w:rPr>
        <w:t>附件：密封袋的格式</w:t>
      </w:r>
    </w:p>
    <w:p>
      <w:pPr>
        <w:pStyle w:val="40"/>
      </w:pPr>
    </w:p>
    <w:p>
      <w:pPr>
        <w:pStyle w:val="40"/>
      </w:pPr>
    </w:p>
    <w:p>
      <w:pPr>
        <w:pStyle w:val="40"/>
      </w:pPr>
    </w:p>
    <w:tbl>
      <w:tblPr>
        <w:tblStyle w:val="26"/>
        <w:tblW w:w="97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0" w:hRule="atLeast"/>
          <w:jc w:val="center"/>
        </w:trPr>
        <w:tc>
          <w:tcPr>
            <w:tcW w:w="9720" w:type="dxa"/>
            <w:tcBorders>
              <w:top w:val="single" w:color="000000" w:sz="4" w:space="0"/>
              <w:left w:val="single" w:color="000000" w:sz="4" w:space="0"/>
              <w:bottom w:val="single" w:color="000000" w:sz="4" w:space="0"/>
              <w:right w:val="single" w:color="000000" w:sz="4" w:space="0"/>
            </w:tcBorders>
          </w:tcPr>
          <w:p>
            <w:pPr>
              <w:pStyle w:val="40"/>
            </w:pPr>
          </w:p>
          <w:p>
            <w:pPr>
              <w:pStyle w:val="40"/>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rPr>
            </w:pPr>
            <w:r>
              <w:rPr>
                <w:rFonts w:hint="eastAsia"/>
              </w:rPr>
              <w:t>项目编号：</w:t>
            </w:r>
            <w:r>
              <w:rPr>
                <w:rFonts w:hint="eastAsia" w:asciiTheme="minorEastAsia" w:hAnsiTheme="minorEastAsia" w:eastAsiaTheme="minorEastAsia" w:cstheme="minorEastAsia"/>
                <w:color w:val="auto"/>
                <w:sz w:val="24"/>
                <w:highlight w:val="none"/>
                <w:u w:val="single"/>
              </w:rPr>
              <w:t xml:space="preserve">                   </w:t>
            </w:r>
            <w:r>
              <w:rPr>
                <w:rFonts w:hint="eastAsia"/>
              </w:rPr>
              <w:t xml:space="preserve">                   </w:t>
            </w:r>
          </w:p>
          <w:p>
            <w:pPr>
              <w:pStyle w:val="40"/>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rPr>
            </w:pPr>
            <w:r>
              <w:rPr>
                <w:rFonts w:hint="eastAsia"/>
              </w:rPr>
              <w:t>项目名称</w:t>
            </w:r>
            <w:r>
              <w:rPr>
                <w:rFonts w:hint="eastAsia"/>
                <w:lang w:eastAsia="zh-CN"/>
              </w:rPr>
              <w:t>：</w:t>
            </w:r>
            <w:r>
              <w:rPr>
                <w:rFonts w:hint="eastAsia" w:asciiTheme="minorEastAsia" w:hAnsiTheme="minorEastAsia" w:eastAsiaTheme="minorEastAsia" w:cstheme="minorEastAsia"/>
                <w:color w:val="auto"/>
                <w:sz w:val="24"/>
                <w:highlight w:val="none"/>
                <w:u w:val="single"/>
              </w:rPr>
              <w:t xml:space="preserve">                   </w:t>
            </w:r>
            <w:r>
              <w:rPr>
                <w:rFonts w:hint="eastAsia"/>
              </w:rPr>
              <w:t xml:space="preserve">                   </w:t>
            </w:r>
          </w:p>
          <w:p>
            <w:pPr>
              <w:pStyle w:val="40"/>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lang w:val="en-US" w:eastAsia="zh-CN"/>
              </w:rPr>
            </w:pPr>
            <w:r>
              <w:rPr>
                <w:rFonts w:hint="eastAsia"/>
                <w:lang w:val="en-US" w:eastAsia="zh-CN"/>
              </w:rPr>
              <w:t>包号：</w:t>
            </w:r>
            <w:r>
              <w:rPr>
                <w:rFonts w:hint="eastAsia" w:asciiTheme="minorEastAsia" w:hAnsiTheme="minorEastAsia" w:eastAsiaTheme="minorEastAsia" w:cstheme="minorEastAsia"/>
                <w:color w:val="auto"/>
                <w:sz w:val="24"/>
                <w:highlight w:val="none"/>
                <w:u w:val="single"/>
              </w:rPr>
              <w:t xml:space="preserve">                   </w:t>
            </w:r>
          </w:p>
          <w:p>
            <w:pPr>
              <w:pStyle w:val="40"/>
              <w:bidi w:val="0"/>
              <w:rPr>
                <w:rFonts w:hint="eastAsia"/>
              </w:rPr>
            </w:pPr>
          </w:p>
          <w:p>
            <w:pPr>
              <w:pStyle w:val="40"/>
              <w:bidi w:val="0"/>
              <w:jc w:val="center"/>
              <w:rPr>
                <w:rFonts w:hint="eastAsia"/>
                <w:b/>
                <w:bCs/>
                <w:sz w:val="32"/>
                <w:szCs w:val="32"/>
              </w:rPr>
            </w:pPr>
            <w:r>
              <w:rPr>
                <w:rFonts w:hint="eastAsia"/>
                <w:b/>
                <w:bCs/>
                <w:sz w:val="32"/>
                <w:szCs w:val="32"/>
                <w:lang w:eastAsia="zh-CN"/>
              </w:rPr>
              <w:t>资格、资质性及其他类似效力投标文件</w:t>
            </w:r>
            <w:r>
              <w:rPr>
                <w:rFonts w:hint="eastAsia"/>
                <w:b/>
                <w:bCs/>
                <w:sz w:val="32"/>
                <w:szCs w:val="32"/>
                <w:lang w:val="en-US" w:eastAsia="zh-CN"/>
              </w:rPr>
              <w:t>/</w:t>
            </w:r>
            <w:r>
              <w:rPr>
                <w:rFonts w:hint="eastAsia"/>
                <w:b/>
                <w:bCs/>
                <w:sz w:val="32"/>
                <w:szCs w:val="32"/>
              </w:rPr>
              <w:t>其他</w:t>
            </w:r>
            <w:r>
              <w:rPr>
                <w:rFonts w:hint="eastAsia"/>
                <w:b/>
                <w:bCs/>
                <w:sz w:val="32"/>
                <w:szCs w:val="32"/>
                <w:lang w:val="en-US" w:eastAsia="zh-CN"/>
              </w:rPr>
              <w:t>投标</w:t>
            </w:r>
            <w:r>
              <w:rPr>
                <w:rFonts w:hint="eastAsia"/>
                <w:b/>
                <w:bCs/>
                <w:sz w:val="32"/>
                <w:szCs w:val="32"/>
              </w:rPr>
              <w:t>文件</w:t>
            </w:r>
          </w:p>
          <w:p>
            <w:pPr>
              <w:pStyle w:val="40"/>
              <w:bidi w:val="0"/>
              <w:jc w:val="center"/>
              <w:rPr>
                <w:rFonts w:hint="eastAsia"/>
                <w:b/>
                <w:bCs/>
                <w:sz w:val="32"/>
                <w:szCs w:val="32"/>
              </w:rPr>
            </w:pPr>
            <w:r>
              <w:rPr>
                <w:rFonts w:hint="eastAsia"/>
                <w:b/>
                <w:bCs/>
                <w:sz w:val="32"/>
                <w:szCs w:val="32"/>
                <w:lang w:val="en-US" w:eastAsia="zh-CN"/>
              </w:rPr>
              <w:t>/开标一览表</w:t>
            </w:r>
          </w:p>
          <w:p>
            <w:pPr>
              <w:pStyle w:val="40"/>
              <w:bidi w:val="0"/>
              <w:rPr>
                <w:rFonts w:hint="eastAsia"/>
              </w:rPr>
            </w:pPr>
          </w:p>
          <w:p>
            <w:pPr>
              <w:pStyle w:val="40"/>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rPr>
            </w:pPr>
            <w:r>
              <w:rPr>
                <w:rFonts w:hint="eastAsia"/>
                <w:lang w:val="en-US" w:eastAsia="zh-CN"/>
              </w:rPr>
              <w:t>投标人</w:t>
            </w:r>
            <w:r>
              <w:rPr>
                <w:rFonts w:hint="eastAsia"/>
              </w:rPr>
              <w:t>名称</w:t>
            </w:r>
            <w:r>
              <w:rPr>
                <w:rFonts w:hint="eastAsia"/>
                <w:lang w:eastAsia="zh-CN"/>
              </w:rPr>
              <w:t>：</w:t>
            </w:r>
            <w:r>
              <w:rPr>
                <w:rFonts w:hint="eastAsia" w:asciiTheme="minorEastAsia" w:hAnsiTheme="minorEastAsia" w:eastAsiaTheme="minorEastAsia" w:cstheme="minorEastAsia"/>
                <w:color w:val="auto"/>
                <w:sz w:val="24"/>
                <w:highlight w:val="none"/>
                <w:u w:val="single"/>
              </w:rPr>
              <w:t xml:space="preserve">                 </w:t>
            </w:r>
            <w:r>
              <w:rPr>
                <w:rFonts w:hint="eastAsia"/>
              </w:rPr>
              <w:t xml:space="preserve">                 </w:t>
            </w:r>
          </w:p>
          <w:p>
            <w:pPr>
              <w:pStyle w:val="40"/>
              <w:ind w:firstLine="2400" w:firstLineChars="1000"/>
            </w:pPr>
            <w:r>
              <w:rPr>
                <w:rFonts w:hint="eastAsia"/>
                <w:lang w:val="en-US" w:eastAsia="zh-CN"/>
              </w:rPr>
              <w:t>投标日期</w:t>
            </w:r>
            <w:r>
              <w:rPr>
                <w:rFonts w:hint="eastAsia"/>
              </w:rPr>
              <w:t>：</w:t>
            </w:r>
            <w:r>
              <w:rPr>
                <w:rFonts w:hint="eastAsia" w:asciiTheme="minorEastAsia" w:hAnsiTheme="minorEastAsia" w:eastAsiaTheme="minorEastAsia" w:cstheme="minorEastAsia"/>
                <w:color w:val="auto"/>
                <w:sz w:val="24"/>
                <w:highlight w:val="none"/>
                <w:u w:val="single"/>
              </w:rPr>
              <w:t xml:space="preserve">                   </w:t>
            </w:r>
          </w:p>
        </w:tc>
      </w:tr>
    </w:tbl>
    <w:p>
      <w:pPr>
        <w:pStyle w:val="40"/>
      </w:pPr>
      <w:bookmarkStart w:id="829" w:name="_Toc6994"/>
      <w:bookmarkStart w:id="830" w:name="_Toc11581"/>
      <w:r>
        <w:rPr>
          <w:rFonts w:hint="eastAsia"/>
        </w:rPr>
        <w:br w:type="page"/>
      </w:r>
    </w:p>
    <w:p>
      <w:pPr>
        <w:pStyle w:val="40"/>
      </w:pPr>
      <w:r>
        <w:rPr>
          <w:rFonts w:hint="eastAsia"/>
        </w:rPr>
        <w:t>投标文件封面格式</w:t>
      </w:r>
      <w:bookmarkEnd w:id="819"/>
      <w:bookmarkEnd w:id="820"/>
      <w:bookmarkEnd w:id="821"/>
      <w:bookmarkEnd w:id="822"/>
      <w:bookmarkEnd w:id="823"/>
      <w:bookmarkEnd w:id="824"/>
      <w:bookmarkEnd w:id="825"/>
      <w:bookmarkEnd w:id="826"/>
      <w:bookmarkEnd w:id="827"/>
      <w:bookmarkEnd w:id="828"/>
      <w:bookmarkEnd w:id="829"/>
      <w:bookmarkEnd w:id="830"/>
    </w:p>
    <w:p>
      <w:pPr>
        <w:pStyle w:val="40"/>
      </w:pPr>
      <w:r>
        <w:rPr>
          <w:lang w:val="zh-CN"/>
        </w:rPr>
        <mc:AlternateContent>
          <mc:Choice Requires="wps">
            <w:drawing>
              <wp:anchor distT="0" distB="0" distL="114300" distR="114300" simplePos="0" relativeHeight="251661312" behindDoc="0" locked="0" layoutInCell="1" allowOverlap="1">
                <wp:simplePos x="0" y="0"/>
                <wp:positionH relativeFrom="column">
                  <wp:posOffset>4055745</wp:posOffset>
                </wp:positionH>
                <wp:positionV relativeFrom="paragraph">
                  <wp:posOffset>169545</wp:posOffset>
                </wp:positionV>
                <wp:extent cx="1137285" cy="331470"/>
                <wp:effectExtent l="4445" t="4445" r="20320" b="6985"/>
                <wp:wrapNone/>
                <wp:docPr id="5" name="矩形 5"/>
                <wp:cNvGraphicFramePr/>
                <a:graphic xmlns:a="http://schemas.openxmlformats.org/drawingml/2006/main">
                  <a:graphicData uri="http://schemas.microsoft.com/office/word/2010/wordprocessingShape">
                    <wps:wsp>
                      <wps:cNvSpPr/>
                      <wps:spPr>
                        <a:xfrm>
                          <a:off x="0" y="0"/>
                          <a:ext cx="1137285" cy="331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cs="宋体"/>
                                <w:b/>
                                <w:sz w:val="28"/>
                                <w:szCs w:val="28"/>
                              </w:rPr>
                            </w:pPr>
                            <w:r>
                              <w:rPr>
                                <w:rFonts w:hint="eastAsia" w:cs="宋体"/>
                                <w:b/>
                                <w:sz w:val="28"/>
                                <w:szCs w:val="28"/>
                              </w:rPr>
                              <w:t>正本或副本</w:t>
                            </w:r>
                          </w:p>
                        </w:txbxContent>
                      </wps:txbx>
                      <wps:bodyPr upright="1">
                        <a:spAutoFit/>
                      </wps:bodyPr>
                    </wps:wsp>
                  </a:graphicData>
                </a:graphic>
              </wp:anchor>
            </w:drawing>
          </mc:Choice>
          <mc:Fallback>
            <w:pict>
              <v:rect id="_x0000_s1026" o:spid="_x0000_s1026" o:spt="1" style="position:absolute;left:0pt;margin-left:319.35pt;margin-top:13.35pt;height:26.1pt;width:89.55pt;z-index:251661312;mso-width-relative:page;mso-height-relative:page;" fillcolor="#FFFFFF" filled="t" stroked="t" coordsize="21600,21600" o:gfxdata="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Wj5WdcAAAAJAQAADwAAAAAA&#10;AAABACAAAAAiAAAAZHJzL2Rvd25yZXYueG1sUEsBAhQAFAAAAAgAh07iQEMXbsQUAgAAUQQAAA4A&#10;AAAAAAAAAQAgAAAAJgEAAGRycy9lMm9Eb2MueG1sUEsFBgAAAAAGAAYAWQEAAKwFAAAAAA==&#10;">
                <v:fill on="t" focussize="0,0"/>
                <v:stroke color="#000000" joinstyle="miter"/>
                <v:imagedata o:title=""/>
                <o:lock v:ext="edit" aspectratio="f"/>
                <v:textbox style="mso-fit-shape-to-text:t;">
                  <w:txbxContent>
                    <w:p>
                      <w:pPr>
                        <w:rPr>
                          <w:rFonts w:cs="宋体"/>
                          <w:b/>
                          <w:sz w:val="28"/>
                          <w:szCs w:val="28"/>
                        </w:rPr>
                      </w:pPr>
                      <w:r>
                        <w:rPr>
                          <w:rFonts w:hint="eastAsia" w:cs="宋体"/>
                          <w:b/>
                          <w:sz w:val="28"/>
                          <w:szCs w:val="28"/>
                        </w:rPr>
                        <w:t>正本或副本</w:t>
                      </w:r>
                    </w:p>
                  </w:txbxContent>
                </v:textbox>
              </v:rect>
            </w:pict>
          </mc:Fallback>
        </mc:AlternateContent>
      </w:r>
    </w:p>
    <w:p>
      <w:pPr>
        <w:pStyle w:val="40"/>
      </w:pPr>
    </w:p>
    <w:p>
      <w:pPr>
        <w:pStyle w:val="40"/>
      </w:pPr>
    </w:p>
    <w:p>
      <w:pPr>
        <w:pStyle w:val="40"/>
      </w:pPr>
    </w:p>
    <w:p>
      <w:pPr>
        <w:pStyle w:val="40"/>
        <w:spacing w:line="360" w:lineRule="auto"/>
        <w:jc w:val="center"/>
        <w:rPr>
          <w:b/>
          <w:bCs/>
          <w:sz w:val="48"/>
          <w:szCs w:val="48"/>
        </w:rPr>
      </w:pPr>
    </w:p>
    <w:p>
      <w:pPr>
        <w:pStyle w:val="40"/>
        <w:spacing w:line="360" w:lineRule="auto"/>
        <w:jc w:val="center"/>
        <w:rPr>
          <w:b/>
          <w:bCs/>
          <w:sz w:val="48"/>
          <w:szCs w:val="48"/>
        </w:rPr>
      </w:pPr>
      <w:r>
        <w:rPr>
          <w:rFonts w:hint="eastAsia"/>
          <w:b/>
          <w:bCs/>
          <w:sz w:val="48"/>
          <w:szCs w:val="48"/>
        </w:rPr>
        <w:t>资格、资质性及其他类似效力投标文件</w:t>
      </w:r>
    </w:p>
    <w:p>
      <w:pPr>
        <w:pStyle w:val="40"/>
        <w:spacing w:line="360" w:lineRule="auto"/>
        <w:jc w:val="center"/>
        <w:rPr>
          <w:b/>
          <w:bCs/>
          <w:sz w:val="48"/>
          <w:szCs w:val="48"/>
        </w:rPr>
      </w:pPr>
      <w:r>
        <w:rPr>
          <w:rFonts w:hint="eastAsia"/>
          <w:b/>
          <w:bCs/>
          <w:sz w:val="48"/>
          <w:szCs w:val="48"/>
        </w:rPr>
        <w:t>/其他投标文件</w:t>
      </w:r>
    </w:p>
    <w:p>
      <w:pPr>
        <w:pStyle w:val="40"/>
      </w:pPr>
    </w:p>
    <w:p>
      <w:pPr>
        <w:pStyle w:val="40"/>
        <w:spacing w:line="480" w:lineRule="auto"/>
        <w:ind w:left="2400" w:leftChars="1000"/>
        <w:rPr>
          <w:b/>
          <w:bCs/>
          <w:sz w:val="32"/>
          <w:szCs w:val="32"/>
        </w:rPr>
      </w:pPr>
    </w:p>
    <w:p>
      <w:pPr>
        <w:pStyle w:val="40"/>
        <w:spacing w:line="480" w:lineRule="auto"/>
        <w:ind w:left="2400" w:leftChars="1000"/>
        <w:rPr>
          <w:b/>
          <w:bCs/>
          <w:sz w:val="32"/>
          <w:szCs w:val="32"/>
        </w:rPr>
      </w:pPr>
    </w:p>
    <w:p>
      <w:pPr>
        <w:pStyle w:val="40"/>
        <w:spacing w:line="480" w:lineRule="auto"/>
        <w:ind w:left="2400" w:leftChars="1000"/>
        <w:rPr>
          <w:b/>
          <w:bCs/>
          <w:sz w:val="32"/>
          <w:szCs w:val="32"/>
        </w:rPr>
      </w:pPr>
    </w:p>
    <w:p>
      <w:pPr>
        <w:pStyle w:val="40"/>
        <w:spacing w:line="480" w:lineRule="auto"/>
        <w:ind w:left="2400" w:leftChars="1000"/>
        <w:rPr>
          <w:b/>
          <w:bCs/>
          <w:sz w:val="32"/>
          <w:szCs w:val="32"/>
        </w:rPr>
      </w:pPr>
    </w:p>
    <w:p>
      <w:pPr>
        <w:pStyle w:val="40"/>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sz w:val="32"/>
          <w:szCs w:val="32"/>
        </w:rPr>
      </w:pPr>
      <w:r>
        <w:rPr>
          <w:rFonts w:hint="eastAsia"/>
          <w:b/>
          <w:bCs/>
          <w:sz w:val="32"/>
          <w:szCs w:val="32"/>
        </w:rPr>
        <w:t>项目名称：</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sz w:val="32"/>
          <w:szCs w:val="32"/>
        </w:rPr>
        <w:t xml:space="preserve">                      </w:t>
      </w:r>
    </w:p>
    <w:p>
      <w:pPr>
        <w:pStyle w:val="40"/>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sz w:val="32"/>
          <w:szCs w:val="32"/>
        </w:rPr>
      </w:pPr>
      <w:r>
        <w:rPr>
          <w:rFonts w:hint="eastAsia"/>
          <w:b/>
          <w:bCs/>
          <w:sz w:val="32"/>
          <w:szCs w:val="32"/>
        </w:rPr>
        <w:t>项目编号：</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sz w:val="32"/>
          <w:szCs w:val="32"/>
        </w:rPr>
        <w:t xml:space="preserve">                      </w:t>
      </w:r>
    </w:p>
    <w:p>
      <w:pPr>
        <w:pStyle w:val="40"/>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sz w:val="32"/>
          <w:szCs w:val="32"/>
          <w:lang w:eastAsia="zh-CN"/>
        </w:rPr>
      </w:pPr>
      <w:r>
        <w:rPr>
          <w:rFonts w:hint="eastAsia"/>
          <w:b/>
          <w:bCs/>
          <w:sz w:val="32"/>
          <w:szCs w:val="32"/>
          <w:lang w:eastAsia="zh-CN"/>
        </w:rPr>
        <w:t>包</w:t>
      </w:r>
      <w:r>
        <w:rPr>
          <w:rFonts w:hint="eastAsia"/>
          <w:b/>
          <w:bCs/>
          <w:sz w:val="32"/>
          <w:szCs w:val="32"/>
          <w:lang w:val="en-US" w:eastAsia="zh-CN"/>
        </w:rPr>
        <w:t xml:space="preserve">    </w:t>
      </w:r>
      <w:r>
        <w:rPr>
          <w:rFonts w:hint="eastAsia"/>
          <w:b/>
          <w:bCs/>
          <w:sz w:val="32"/>
          <w:szCs w:val="32"/>
          <w:lang w:eastAsia="zh-CN"/>
        </w:rPr>
        <w:t>号：</w:t>
      </w:r>
      <w:r>
        <w:rPr>
          <w:rFonts w:hint="eastAsia" w:asciiTheme="minorEastAsia" w:hAnsiTheme="minorEastAsia" w:eastAsiaTheme="minorEastAsia" w:cstheme="minorEastAsia"/>
          <w:b/>
          <w:bCs/>
          <w:color w:val="auto"/>
          <w:sz w:val="32"/>
          <w:szCs w:val="32"/>
          <w:highlight w:val="none"/>
          <w:u w:val="single"/>
        </w:rPr>
        <w:t xml:space="preserve">                    </w:t>
      </w:r>
    </w:p>
    <w:p>
      <w:pPr>
        <w:pStyle w:val="40"/>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sz w:val="32"/>
          <w:szCs w:val="32"/>
        </w:rPr>
      </w:pPr>
      <w:r>
        <w:rPr>
          <w:rFonts w:hint="eastAsia"/>
          <w:b/>
          <w:bCs/>
          <w:sz w:val="32"/>
          <w:szCs w:val="32"/>
        </w:rPr>
        <w:t>投标人名称：</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sz w:val="32"/>
          <w:szCs w:val="32"/>
        </w:rPr>
        <w:t xml:space="preserve">          </w:t>
      </w:r>
      <w:r>
        <w:rPr>
          <w:rFonts w:hint="eastAsia"/>
          <w:b/>
          <w:bCs/>
          <w:sz w:val="32"/>
          <w:szCs w:val="32"/>
          <w:lang w:val="en-US" w:eastAsia="zh-CN"/>
        </w:rPr>
        <w:t xml:space="preserve"> </w:t>
      </w:r>
      <w:r>
        <w:rPr>
          <w:rFonts w:hint="eastAsia"/>
          <w:b/>
          <w:bCs/>
          <w:sz w:val="32"/>
          <w:szCs w:val="32"/>
        </w:rPr>
        <w:t xml:space="preserve">     </w:t>
      </w:r>
    </w:p>
    <w:p>
      <w:pPr>
        <w:pStyle w:val="40"/>
        <w:spacing w:line="480" w:lineRule="auto"/>
        <w:ind w:left="2400" w:leftChars="1000"/>
        <w:rPr>
          <w:b/>
          <w:bCs/>
          <w:sz w:val="32"/>
          <w:szCs w:val="32"/>
        </w:rPr>
      </w:pPr>
      <w:r>
        <w:rPr>
          <w:rFonts w:hint="eastAsia"/>
          <w:b/>
          <w:bCs/>
          <w:sz w:val="32"/>
          <w:szCs w:val="32"/>
        </w:rPr>
        <w:t>投标日期：</w:t>
      </w:r>
      <w:r>
        <w:rPr>
          <w:rFonts w:hint="eastAsia"/>
          <w:b/>
          <w:bCs/>
          <w:sz w:val="32"/>
          <w:szCs w:val="32"/>
          <w:u w:val="single"/>
        </w:rPr>
        <w:t xml:space="preserve">   </w:t>
      </w:r>
      <w:r>
        <w:rPr>
          <w:rFonts w:hint="eastAsia"/>
          <w:b/>
          <w:bCs/>
          <w:sz w:val="32"/>
          <w:szCs w:val="32"/>
          <w:u w:val="single"/>
          <w:lang w:val="en-US" w:eastAsia="zh-CN"/>
        </w:rPr>
        <w:t xml:space="preserve">  </w:t>
      </w:r>
      <w:r>
        <w:rPr>
          <w:rFonts w:hint="eastAsia"/>
          <w:b/>
          <w:bCs/>
          <w:sz w:val="32"/>
          <w:szCs w:val="32"/>
          <w:u w:val="single"/>
        </w:rPr>
        <w:t xml:space="preserve"> </w:t>
      </w:r>
      <w:r>
        <w:rPr>
          <w:rFonts w:hint="eastAsia"/>
          <w:b/>
          <w:bCs/>
          <w:sz w:val="32"/>
          <w:szCs w:val="32"/>
        </w:rPr>
        <w:t>年</w:t>
      </w:r>
      <w:r>
        <w:rPr>
          <w:rFonts w:hint="eastAsia"/>
          <w:b/>
          <w:bCs/>
          <w:sz w:val="32"/>
          <w:szCs w:val="32"/>
          <w:u w:val="single"/>
        </w:rPr>
        <w:t xml:space="preserve">    </w:t>
      </w:r>
      <w:r>
        <w:rPr>
          <w:rFonts w:hint="eastAsia"/>
          <w:b/>
          <w:bCs/>
          <w:sz w:val="32"/>
          <w:szCs w:val="32"/>
        </w:rPr>
        <w:t>月</w:t>
      </w:r>
      <w:r>
        <w:rPr>
          <w:rFonts w:hint="eastAsia"/>
          <w:b/>
          <w:bCs/>
          <w:sz w:val="32"/>
          <w:szCs w:val="32"/>
          <w:u w:val="single"/>
        </w:rPr>
        <w:t xml:space="preserve">    </w:t>
      </w:r>
      <w:r>
        <w:rPr>
          <w:rFonts w:hint="eastAsia"/>
          <w:b/>
          <w:bCs/>
          <w:sz w:val="32"/>
          <w:szCs w:val="32"/>
        </w:rPr>
        <w:t>日</w:t>
      </w:r>
    </w:p>
    <w:p>
      <w:pPr>
        <w:pStyle w:val="48"/>
      </w:pPr>
      <w:bookmarkStart w:id="831" w:name="_Toc11556"/>
      <w:bookmarkStart w:id="832" w:name="_Toc5565"/>
      <w:bookmarkStart w:id="833" w:name="_Toc5306"/>
      <w:bookmarkStart w:id="834" w:name="_Toc31011"/>
      <w:r>
        <w:rPr>
          <w:rFonts w:hint="eastAsia"/>
        </w:rPr>
        <w:br w:type="page"/>
      </w:r>
    </w:p>
    <w:bookmarkEnd w:id="831"/>
    <w:bookmarkEnd w:id="832"/>
    <w:bookmarkEnd w:id="833"/>
    <w:bookmarkEnd w:id="834"/>
    <w:p>
      <w:pPr>
        <w:pStyle w:val="48"/>
      </w:pPr>
      <w:bookmarkStart w:id="835" w:name="_Toc15611"/>
    </w:p>
    <w:p>
      <w:pPr>
        <w:pStyle w:val="48"/>
      </w:pPr>
    </w:p>
    <w:p>
      <w:pPr>
        <w:pStyle w:val="48"/>
      </w:pPr>
    </w:p>
    <w:p>
      <w:pPr>
        <w:pStyle w:val="48"/>
      </w:pPr>
    </w:p>
    <w:p>
      <w:pPr>
        <w:pStyle w:val="48"/>
      </w:pPr>
    </w:p>
    <w:p>
      <w:pPr>
        <w:pStyle w:val="48"/>
      </w:pPr>
    </w:p>
    <w:p>
      <w:pPr>
        <w:pStyle w:val="48"/>
      </w:pPr>
    </w:p>
    <w:p>
      <w:pPr>
        <w:pStyle w:val="48"/>
      </w:pPr>
      <w:bookmarkStart w:id="836" w:name="_Toc24630"/>
    </w:p>
    <w:p>
      <w:pPr>
        <w:pStyle w:val="48"/>
      </w:pPr>
    </w:p>
    <w:p>
      <w:pPr>
        <w:pStyle w:val="48"/>
      </w:pPr>
    </w:p>
    <w:p>
      <w:pPr>
        <w:pStyle w:val="48"/>
      </w:pPr>
    </w:p>
    <w:p>
      <w:pPr>
        <w:pStyle w:val="48"/>
      </w:pPr>
    </w:p>
    <w:p>
      <w:pPr>
        <w:pStyle w:val="41"/>
        <w:numPr>
          <w:ilvl w:val="1"/>
          <w:numId w:val="0"/>
        </w:numPr>
        <w:spacing w:beforeLines="200"/>
        <w:jc w:val="center"/>
        <w:rPr>
          <w:sz w:val="32"/>
          <w:szCs w:val="32"/>
        </w:rPr>
      </w:pPr>
      <w:bookmarkStart w:id="837" w:name="_Toc25561"/>
      <w:r>
        <w:rPr>
          <w:rFonts w:hint="eastAsia"/>
          <w:sz w:val="32"/>
          <w:szCs w:val="32"/>
        </w:rPr>
        <w:t>第一部分 资格、资质性及其他类似效力投标文件(格式)</w:t>
      </w:r>
      <w:bookmarkEnd w:id="835"/>
      <w:bookmarkEnd w:id="836"/>
      <w:bookmarkEnd w:id="837"/>
      <w:bookmarkStart w:id="838" w:name="_Toc23537"/>
      <w:bookmarkStart w:id="839" w:name="_Toc16168"/>
    </w:p>
    <w:p>
      <w:pPr>
        <w:pStyle w:val="48"/>
      </w:pPr>
      <w:r>
        <w:rPr>
          <w:rFonts w:hint="eastAsia"/>
        </w:rPr>
        <w:br w:type="page"/>
      </w:r>
      <w:bookmarkEnd w:id="838"/>
      <w:bookmarkEnd w:id="839"/>
      <w:bookmarkStart w:id="840" w:name="_Toc26837"/>
      <w:bookmarkStart w:id="841" w:name="_Toc4996"/>
    </w:p>
    <w:bookmarkEnd w:id="840"/>
    <w:bookmarkEnd w:id="841"/>
    <w:p>
      <w:pPr>
        <w:pStyle w:val="50"/>
        <w:numPr>
          <w:ilvl w:val="0"/>
          <w:numId w:val="21"/>
        </w:numPr>
        <w:spacing w:before="120" w:after="120"/>
        <w:ind w:firstLine="0"/>
      </w:pPr>
      <w:bookmarkStart w:id="842" w:name="_Toc11066"/>
      <w:bookmarkStart w:id="843" w:name="_Toc17004"/>
      <w:bookmarkStart w:id="844" w:name="_Toc15054"/>
      <w:bookmarkStart w:id="845" w:name="_Toc19166"/>
      <w:bookmarkStart w:id="846" w:name="_Toc4865"/>
      <w:r>
        <w:rPr>
          <w:rFonts w:hint="eastAsia"/>
        </w:rPr>
        <w:t>法定代表人/单位负责人授权书</w:t>
      </w:r>
      <w:bookmarkEnd w:id="842"/>
      <w:bookmarkEnd w:id="843"/>
    </w:p>
    <w:p>
      <w:pPr>
        <w:pStyle w:val="48"/>
        <w:bidi w:val="0"/>
        <w:rPr>
          <w:rFonts w:hint="eastAsia"/>
        </w:rPr>
      </w:pPr>
      <w:r>
        <w:rPr>
          <w:rFonts w:hint="eastAsia" w:asciiTheme="minorEastAsia" w:hAnsiTheme="minorEastAsia" w:eastAsiaTheme="minorEastAsia" w:cstheme="minorEastAsia"/>
          <w:color w:val="auto"/>
          <w:sz w:val="24"/>
          <w:szCs w:val="24"/>
          <w:highlight w:val="none"/>
          <w:u w:val="single"/>
        </w:rPr>
        <w:t xml:space="preserve">                     </w:t>
      </w:r>
      <w:r>
        <w:rPr>
          <w:rFonts w:hint="eastAsia"/>
        </w:rPr>
        <w:t>(采购代理机构名称)：</w:t>
      </w:r>
    </w:p>
    <w:p>
      <w:pPr>
        <w:pStyle w:val="52"/>
        <w:bidi w:val="0"/>
        <w:rPr>
          <w:rFonts w:hint="eastAsia"/>
        </w:rPr>
      </w:pPr>
      <w:r>
        <w:rPr>
          <w:rFonts w:hint="eastAsia"/>
        </w:rPr>
        <w:t>本授权声明：</w:t>
      </w:r>
      <w:r>
        <w:rPr>
          <w:rFonts w:hint="eastAsia" w:asciiTheme="minorEastAsia" w:hAnsiTheme="minorEastAsia" w:eastAsiaTheme="minorEastAsia" w:cstheme="minorEastAsia"/>
          <w:color w:val="auto"/>
          <w:sz w:val="24"/>
          <w:szCs w:val="24"/>
          <w:highlight w:val="none"/>
          <w:u w:val="single"/>
        </w:rPr>
        <w:t xml:space="preserve">                     </w:t>
      </w:r>
      <w:r>
        <w:rPr>
          <w:rFonts w:hint="eastAsia"/>
        </w:rPr>
        <w:t>(</w:t>
      </w:r>
      <w:r>
        <w:rPr>
          <w:rFonts w:hint="eastAsia"/>
          <w:lang w:val="en-US" w:eastAsia="zh-CN"/>
        </w:rPr>
        <w:t>投标人</w:t>
      </w:r>
      <w:r>
        <w:rPr>
          <w:rFonts w:hint="eastAsia"/>
        </w:rPr>
        <w:t>名称)</w:t>
      </w:r>
      <w:r>
        <w:rPr>
          <w:rFonts w:hint="eastAsia" w:asciiTheme="minorEastAsia" w:hAnsiTheme="minorEastAsia" w:eastAsiaTheme="minorEastAsia" w:cstheme="minorEastAsia"/>
          <w:color w:val="auto"/>
          <w:sz w:val="24"/>
          <w:szCs w:val="24"/>
          <w:highlight w:val="none"/>
          <w:u w:val="single"/>
        </w:rPr>
        <w:t xml:space="preserve">          </w:t>
      </w:r>
      <w:r>
        <w:rPr>
          <w:rFonts w:hint="eastAsia"/>
        </w:rPr>
        <w:t>(法定代表人</w:t>
      </w:r>
      <w:r>
        <w:rPr>
          <w:rFonts w:hint="eastAsia"/>
          <w:lang w:val="en-US" w:eastAsia="zh-CN"/>
        </w:rPr>
        <w:t>/单位负责人</w:t>
      </w:r>
      <w:r>
        <w:rPr>
          <w:rFonts w:hint="eastAsia"/>
        </w:rPr>
        <w:t>姓名、职务)授权</w:t>
      </w:r>
      <w:r>
        <w:rPr>
          <w:rFonts w:hint="eastAsia" w:asciiTheme="minorEastAsia" w:hAnsiTheme="minorEastAsia" w:eastAsiaTheme="minorEastAsia" w:cstheme="minorEastAsia"/>
          <w:color w:val="auto"/>
          <w:sz w:val="24"/>
          <w:szCs w:val="24"/>
          <w:highlight w:val="none"/>
          <w:u w:val="single"/>
        </w:rPr>
        <w:t xml:space="preserve">                        </w:t>
      </w:r>
      <w:r>
        <w:rPr>
          <w:rFonts w:hint="eastAsia"/>
        </w:rPr>
        <w:t>(被授权人姓名、职务、身份证号码)为我方参加“</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lang w:eastAsia="zh-CN"/>
        </w:rPr>
        <w:t>(</w:t>
      </w:r>
      <w:r>
        <w:rPr>
          <w:rFonts w:hint="eastAsia"/>
        </w:rPr>
        <w:t>项目名称</w:t>
      </w:r>
      <w:r>
        <w:rPr>
          <w:rFonts w:hint="eastAsia"/>
          <w:lang w:eastAsia="zh-CN"/>
        </w:rPr>
        <w:t>)</w:t>
      </w:r>
      <w:r>
        <w:rPr>
          <w:rFonts w:hint="eastAsia"/>
        </w:rPr>
        <w:t>(项目编号</w:t>
      </w:r>
      <w:r>
        <w:rPr>
          <w:rFonts w:hint="eastAsia"/>
          <w:lang w:eastAsia="zh-CN"/>
        </w:rPr>
        <w:t>：</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highlight w:val="none"/>
          <w:lang w:eastAsia="zh-CN"/>
        </w:rPr>
        <w:t>)</w:t>
      </w:r>
      <w:r>
        <w:rPr>
          <w:rFonts w:hint="eastAsia"/>
          <w:highlight w:val="none"/>
        </w:rPr>
        <w:t>”</w:t>
      </w:r>
      <w:r>
        <w:rPr>
          <w:rFonts w:hint="eastAsia"/>
          <w:highlight w:val="none"/>
          <w:lang w:val="en-US" w:eastAsia="zh-CN"/>
        </w:rPr>
        <w:t>第</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highlight w:val="none"/>
          <w:lang w:val="en-US" w:eastAsia="zh-CN"/>
        </w:rPr>
        <w:t>包投</w:t>
      </w:r>
      <w:r>
        <w:rPr>
          <w:rFonts w:hint="eastAsia"/>
          <w:lang w:val="en-US" w:eastAsia="zh-CN"/>
        </w:rPr>
        <w:t>标</w:t>
      </w:r>
      <w:r>
        <w:rPr>
          <w:rFonts w:hint="eastAsia"/>
        </w:rPr>
        <w:t>活动的合法代表，以我方名义全权处理该项目有关</w:t>
      </w:r>
      <w:r>
        <w:rPr>
          <w:rFonts w:hint="eastAsia"/>
          <w:lang w:val="en-US" w:eastAsia="zh-CN"/>
        </w:rPr>
        <w:t>投标</w:t>
      </w:r>
      <w:r>
        <w:rPr>
          <w:rFonts w:hint="eastAsia"/>
        </w:rPr>
        <w:t>、签订合同以及执行合同等一切事宜，我</w:t>
      </w:r>
      <w:r>
        <w:rPr>
          <w:rFonts w:hint="eastAsia"/>
          <w:lang w:val="en-US" w:eastAsia="zh-CN"/>
        </w:rPr>
        <w:t>单位</w:t>
      </w:r>
      <w:r>
        <w:rPr>
          <w:rFonts w:hint="eastAsia"/>
        </w:rPr>
        <w:t>均予承认，所产生的法律后果均由我单位承担。</w:t>
      </w:r>
    </w:p>
    <w:p>
      <w:pPr>
        <w:pStyle w:val="52"/>
        <w:bidi w:val="0"/>
        <w:rPr>
          <w:rFonts w:hint="eastAsia"/>
        </w:rPr>
      </w:pPr>
      <w:r>
        <w:rPr>
          <w:rFonts w:hint="eastAsia"/>
        </w:rPr>
        <w:t>特此声明。</w:t>
      </w:r>
    </w:p>
    <w:p>
      <w:pPr>
        <w:pStyle w:val="48"/>
        <w:bidi w:val="0"/>
        <w:rPr>
          <w:rFonts w:hint="eastAsia"/>
        </w:rPr>
      </w:pPr>
    </w:p>
    <w:p>
      <w:pPr>
        <w:pStyle w:val="48"/>
        <w:bidi w:val="0"/>
        <w:rPr>
          <w:rFonts w:hint="eastAsia"/>
        </w:rPr>
      </w:pPr>
    </w:p>
    <w:p>
      <w:pPr>
        <w:pStyle w:val="48"/>
        <w:bidi w:val="0"/>
        <w:rPr>
          <w:rFonts w:hint="eastAsia"/>
        </w:rPr>
      </w:pPr>
    </w:p>
    <w:p>
      <w:pPr>
        <w:pStyle w:val="48"/>
        <w:bidi w:val="0"/>
        <w:rPr>
          <w:rFonts w:hint="eastAsia"/>
        </w:rPr>
      </w:pPr>
    </w:p>
    <w:p>
      <w:pPr>
        <w:pStyle w:val="48"/>
        <w:bidi w:val="0"/>
        <w:rPr>
          <w:rFonts w:hint="eastAsia"/>
        </w:rPr>
      </w:pPr>
    </w:p>
    <w:p>
      <w:pPr>
        <w:pStyle w:val="48"/>
        <w:bidi w:val="0"/>
        <w:rPr>
          <w:rFonts w:hint="eastAsia"/>
        </w:rPr>
      </w:pPr>
    </w:p>
    <w:p>
      <w:pPr>
        <w:pStyle w:val="48"/>
        <w:bidi w:val="0"/>
        <w:rPr>
          <w:rFonts w:hint="eastAsia"/>
        </w:rPr>
      </w:pPr>
    </w:p>
    <w:p>
      <w:pPr>
        <w:pStyle w:val="52"/>
        <w:bidi w:val="0"/>
        <w:rPr>
          <w:rFonts w:hint="eastAsia"/>
        </w:rPr>
      </w:pPr>
      <w:r>
        <w:rPr>
          <w:rFonts w:hint="eastAsia"/>
        </w:rPr>
        <w:t>法定代表人</w:t>
      </w:r>
      <w:r>
        <w:rPr>
          <w:rFonts w:hint="eastAsia"/>
          <w:lang w:val="en-US" w:eastAsia="zh-CN"/>
        </w:rPr>
        <w:t>/单位负责人</w:t>
      </w:r>
      <w:r>
        <w:rPr>
          <w:rFonts w:hint="eastAsia"/>
        </w:rPr>
        <w:t>：</w:t>
      </w:r>
      <w:r>
        <w:rPr>
          <w:rFonts w:hint="eastAsia" w:asciiTheme="minorEastAsia" w:hAnsiTheme="minorEastAsia" w:eastAsiaTheme="minorEastAsia" w:cstheme="minorEastAsia"/>
          <w:color w:val="auto"/>
          <w:sz w:val="24"/>
          <w:szCs w:val="24"/>
          <w:highlight w:val="none"/>
          <w:u w:val="single" w:color="auto"/>
          <w:lang w:val="en-US" w:eastAsia="zh-CN"/>
        </w:rPr>
        <w:t xml:space="preserve">             </w:t>
      </w:r>
      <w:r>
        <w:rPr>
          <w:rFonts w:hint="eastAsia"/>
          <w:lang w:val="en-US" w:eastAsia="zh-CN"/>
        </w:rPr>
        <w:t>(</w:t>
      </w:r>
      <w:r>
        <w:rPr>
          <w:rFonts w:hint="eastAsia"/>
        </w:rPr>
        <w:t>签字</w:t>
      </w:r>
      <w:r>
        <w:rPr>
          <w:rFonts w:hint="eastAsia"/>
          <w:lang w:eastAsia="zh-CN"/>
        </w:rPr>
        <w:t>或盖章</w:t>
      </w:r>
      <w:r>
        <w:rPr>
          <w:rFonts w:hint="eastAsia"/>
          <w:lang w:val="en-US" w:eastAsia="zh-CN"/>
        </w:rPr>
        <w:t>)</w:t>
      </w:r>
    </w:p>
    <w:p>
      <w:pPr>
        <w:pStyle w:val="52"/>
        <w:bidi w:val="0"/>
        <w:rPr>
          <w:rFonts w:hint="eastAsia"/>
        </w:rPr>
      </w:pPr>
      <w:r>
        <w:rPr>
          <w:rFonts w:hint="eastAsia"/>
        </w:rPr>
        <w:t>授权代表：</w:t>
      </w:r>
      <w:r>
        <w:rPr>
          <w:rFonts w:hint="eastAsia" w:asciiTheme="minorEastAsia" w:hAnsiTheme="minorEastAsia" w:eastAsiaTheme="minorEastAsia" w:cstheme="minorEastAsia"/>
          <w:color w:val="auto"/>
          <w:sz w:val="24"/>
          <w:szCs w:val="24"/>
          <w:highlight w:val="none"/>
          <w:u w:val="single" w:color="auto"/>
          <w:lang w:val="en-US" w:eastAsia="zh-CN"/>
        </w:rPr>
        <w:t xml:space="preserve">             </w:t>
      </w:r>
      <w:r>
        <w:rPr>
          <w:rFonts w:hint="eastAsia"/>
          <w:lang w:val="en-US" w:eastAsia="zh-CN"/>
        </w:rPr>
        <w:t>(</w:t>
      </w:r>
      <w:r>
        <w:rPr>
          <w:rFonts w:hint="eastAsia"/>
        </w:rPr>
        <w:t>签字</w:t>
      </w:r>
      <w:r>
        <w:rPr>
          <w:rFonts w:hint="eastAsia"/>
          <w:lang w:eastAsia="zh-CN"/>
        </w:rPr>
        <w:t>或盖章</w:t>
      </w:r>
      <w:r>
        <w:rPr>
          <w:rFonts w:hint="eastAsia"/>
          <w:lang w:val="en-US" w:eastAsia="zh-CN"/>
        </w:rPr>
        <w:t>)</w:t>
      </w:r>
    </w:p>
    <w:p>
      <w:pPr>
        <w:pStyle w:val="52"/>
        <w:bidi w:val="0"/>
        <w:rPr>
          <w:rFonts w:hint="eastAsia"/>
        </w:rPr>
      </w:pPr>
      <w:r>
        <w:rPr>
          <w:rFonts w:hint="eastAsia"/>
          <w:lang w:val="en-US" w:eastAsia="zh-CN"/>
        </w:rPr>
        <w:t>投标人</w:t>
      </w:r>
      <w:r>
        <w:rPr>
          <w:rFonts w:hint="eastAsia"/>
        </w:rPr>
        <w:t>名称：</w:t>
      </w:r>
      <w:r>
        <w:rPr>
          <w:rFonts w:hint="eastAsia" w:asciiTheme="minorEastAsia" w:hAnsiTheme="minorEastAsia" w:eastAsiaTheme="minorEastAsia" w:cstheme="minorEastAsia"/>
          <w:color w:val="auto"/>
          <w:sz w:val="24"/>
          <w:szCs w:val="24"/>
          <w:highlight w:val="none"/>
          <w:u w:val="single" w:color="auto"/>
          <w:lang w:val="en-US" w:eastAsia="zh-CN"/>
        </w:rPr>
        <w:t xml:space="preserve">             </w:t>
      </w:r>
      <w:r>
        <w:rPr>
          <w:rFonts w:hint="eastAsia"/>
        </w:rPr>
        <w:t>(盖章)</w:t>
      </w:r>
    </w:p>
    <w:p>
      <w:pPr>
        <w:pStyle w:val="52"/>
      </w:pPr>
      <w:r>
        <w:rPr>
          <w:rFonts w:hint="eastAsia"/>
          <w:lang w:val="en-US" w:eastAsia="zh-CN"/>
        </w:rPr>
        <w:t>投标</w:t>
      </w:r>
      <w:r>
        <w:rPr>
          <w:rFonts w:hint="eastAsia"/>
        </w:rPr>
        <w:t>日期：</w:t>
      </w:r>
      <w:r>
        <w:rPr>
          <w:rFonts w:hint="eastAsia" w:asciiTheme="minorEastAsia" w:hAnsiTheme="minorEastAsia" w:eastAsiaTheme="minorEastAsia" w:cstheme="minorEastAsia"/>
          <w:color w:val="auto"/>
          <w:sz w:val="24"/>
          <w:szCs w:val="24"/>
          <w:highlight w:val="none"/>
          <w:u w:val="single" w:color="auto"/>
          <w:lang w:val="en-US" w:eastAsia="zh-CN"/>
        </w:rPr>
        <w:t xml:space="preserve">             </w:t>
      </w:r>
    </w:p>
    <w:p>
      <w:pPr>
        <w:pStyle w:val="48"/>
      </w:pPr>
    </w:p>
    <w:p>
      <w:pPr>
        <w:pStyle w:val="53"/>
        <w:ind w:firstLine="482"/>
      </w:pPr>
      <w:r>
        <w:rPr>
          <w:rFonts w:hint="eastAsia"/>
        </w:rPr>
        <w:t>注：1.法定代表人/单位负责人不亲自参加投标，而授权代表参加投标的适用。</w:t>
      </w:r>
    </w:p>
    <w:p>
      <w:pPr>
        <w:pStyle w:val="53"/>
        <w:ind w:firstLine="482"/>
      </w:pPr>
      <w:r>
        <w:rPr>
          <w:rFonts w:hint="eastAsia"/>
        </w:rPr>
        <w:t>2.</w:t>
      </w:r>
      <w:r>
        <w:t>供应商为法人单位时提供“法定代表人授权书”，供应商为其他组织时提供“负责人授权书”，供应商为自然人时提供“自然人身份证明材料”。</w:t>
      </w:r>
    </w:p>
    <w:p>
      <w:pPr>
        <w:pStyle w:val="53"/>
        <w:ind w:firstLine="482"/>
      </w:pPr>
      <w:r>
        <w:rPr>
          <w:rFonts w:hint="eastAsia"/>
        </w:rPr>
        <w:t>3.</w:t>
      </w:r>
      <w:r>
        <w:t>应附法定代表人/单位负责人身份证明材料复印件和授权代表身份证明材料复印件。</w:t>
      </w:r>
    </w:p>
    <w:p>
      <w:pPr>
        <w:pStyle w:val="53"/>
        <w:ind w:firstLine="482"/>
      </w:pPr>
      <w:r>
        <w:rPr>
          <w:rFonts w:hint="eastAsia"/>
        </w:rPr>
        <w:t>4.</w:t>
      </w:r>
      <w:r>
        <w:t>身份证明材料包括居民身份证或户口本或军官证或护照等。</w:t>
      </w:r>
    </w:p>
    <w:p>
      <w:pPr>
        <w:pStyle w:val="53"/>
        <w:ind w:firstLine="482"/>
      </w:pPr>
      <w:r>
        <w:rPr>
          <w:rFonts w:hint="eastAsia"/>
        </w:rPr>
        <w:t>5.</w:t>
      </w:r>
      <w:r>
        <w:t>身份证明材料应同时提供其在有效期的材料，如居民身份证正、反面复印件</w:t>
      </w:r>
      <w:r>
        <w:rPr>
          <w:rFonts w:hint="eastAsia"/>
        </w:rPr>
        <w:t>。</w:t>
      </w:r>
    </w:p>
    <w:p>
      <w:pPr>
        <w:pStyle w:val="48"/>
      </w:pPr>
      <w:r>
        <w:rPr>
          <w:rFonts w:hint="eastAsia"/>
        </w:rPr>
        <w:br w:type="page"/>
      </w:r>
    </w:p>
    <w:p>
      <w:pPr>
        <w:pStyle w:val="50"/>
        <w:numPr>
          <w:ilvl w:val="0"/>
          <w:numId w:val="22"/>
        </w:numPr>
        <w:spacing w:before="120" w:after="120"/>
        <w:ind w:firstLine="0"/>
      </w:pPr>
      <w:bookmarkStart w:id="847" w:name="_Toc9243"/>
      <w:bookmarkStart w:id="848" w:name="_Toc22140"/>
      <w:bookmarkStart w:id="849" w:name="_Toc5501"/>
      <w:bookmarkStart w:id="850" w:name="_Toc21430"/>
      <w:bookmarkStart w:id="851" w:name="_Toc9688"/>
      <w:bookmarkStart w:id="852" w:name="_Toc2396"/>
      <w:r>
        <w:rPr>
          <w:rFonts w:hint="eastAsia"/>
        </w:rPr>
        <w:t>法定代表人/单位负责人证明书</w:t>
      </w:r>
      <w:bookmarkEnd w:id="847"/>
      <w:bookmarkEnd w:id="848"/>
      <w:bookmarkEnd w:id="849"/>
      <w:bookmarkEnd w:id="850"/>
      <w:bookmarkEnd w:id="851"/>
      <w:bookmarkEnd w:id="852"/>
    </w:p>
    <w:p>
      <w:pPr>
        <w:pStyle w:val="52"/>
        <w:bidi w:val="0"/>
        <w:rPr>
          <w:rFonts w:hint="eastAsia"/>
        </w:rPr>
      </w:pPr>
      <w:r>
        <w:rPr>
          <w:rFonts w:hint="eastAsia"/>
        </w:rPr>
        <w:t>单位名称：</w:t>
      </w:r>
      <w:r>
        <w:rPr>
          <w:rFonts w:hint="eastAsia" w:asciiTheme="minorEastAsia" w:hAnsiTheme="minorEastAsia" w:eastAsiaTheme="minorEastAsia" w:cstheme="minorEastAsia"/>
          <w:color w:val="auto"/>
          <w:sz w:val="24"/>
          <w:szCs w:val="24"/>
          <w:highlight w:val="none"/>
          <w:u w:val="single"/>
        </w:rPr>
        <w:t xml:space="preserve">                            </w:t>
      </w:r>
      <w:r>
        <w:rPr>
          <w:rFonts w:hint="eastAsia"/>
        </w:rPr>
        <w:t xml:space="preserve">                            </w:t>
      </w:r>
    </w:p>
    <w:p>
      <w:pPr>
        <w:pStyle w:val="52"/>
        <w:bidi w:val="0"/>
        <w:rPr>
          <w:rFonts w:hint="eastAsia"/>
        </w:rPr>
      </w:pPr>
      <w:r>
        <w:rPr>
          <w:rFonts w:hint="eastAsia"/>
        </w:rPr>
        <w:t>地    址：</w:t>
      </w:r>
      <w:r>
        <w:rPr>
          <w:rFonts w:hint="eastAsia" w:asciiTheme="minorEastAsia" w:hAnsiTheme="minorEastAsia" w:eastAsiaTheme="minorEastAsia" w:cstheme="minorEastAsia"/>
          <w:color w:val="auto"/>
          <w:sz w:val="24"/>
          <w:szCs w:val="24"/>
          <w:highlight w:val="none"/>
          <w:u w:val="single"/>
        </w:rPr>
        <w:t xml:space="preserve">                            </w:t>
      </w:r>
      <w:r>
        <w:rPr>
          <w:rFonts w:hint="eastAsia"/>
        </w:rPr>
        <w:t xml:space="preserve">                            </w:t>
      </w:r>
    </w:p>
    <w:p>
      <w:pPr>
        <w:pStyle w:val="52"/>
        <w:bidi w:val="0"/>
        <w:rPr>
          <w:rFonts w:hint="eastAsia"/>
        </w:rPr>
      </w:pPr>
      <w:r>
        <w:rPr>
          <w:rFonts w:hint="eastAsia"/>
        </w:rPr>
        <w:t>姓    名：</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性别：</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职务：</w:t>
      </w:r>
      <w:r>
        <w:rPr>
          <w:rFonts w:hint="eastAsia" w:asciiTheme="minorEastAsia" w:hAnsiTheme="minorEastAsia" w:eastAsiaTheme="minorEastAsia" w:cstheme="minorEastAsia"/>
          <w:color w:val="auto"/>
          <w:sz w:val="24"/>
          <w:szCs w:val="24"/>
          <w:highlight w:val="none"/>
          <w:u w:val="single"/>
        </w:rPr>
        <w:t xml:space="preserve">            </w:t>
      </w:r>
      <w:r>
        <w:rPr>
          <w:rFonts w:hint="eastAsia"/>
        </w:rPr>
        <w:t xml:space="preserve">            </w:t>
      </w:r>
    </w:p>
    <w:p>
      <w:pPr>
        <w:pStyle w:val="52"/>
        <w:bidi w:val="0"/>
        <w:rPr>
          <w:rFonts w:hint="eastAsia"/>
        </w:rPr>
      </w:pPr>
      <w:r>
        <w:rPr>
          <w:rFonts w:hint="eastAsia"/>
        </w:rPr>
        <w:t>本人系</w:t>
      </w:r>
      <w:r>
        <w:rPr>
          <w:rFonts w:hint="eastAsia"/>
          <w:u w:val="single"/>
        </w:rPr>
        <w:t xml:space="preserve">                           </w:t>
      </w:r>
      <w:r>
        <w:rPr>
          <w:rFonts w:hint="eastAsia"/>
        </w:rPr>
        <w:t>(</w:t>
      </w:r>
      <w:r>
        <w:rPr>
          <w:rFonts w:hint="eastAsia"/>
          <w:lang w:val="en-US" w:eastAsia="zh-CN"/>
        </w:rPr>
        <w:t>投标人</w:t>
      </w:r>
      <w:r>
        <w:rPr>
          <w:rFonts w:hint="eastAsia"/>
        </w:rPr>
        <w:t>名称)的法定代表人</w:t>
      </w:r>
      <w:r>
        <w:rPr>
          <w:rFonts w:hint="eastAsia"/>
          <w:lang w:val="en-US" w:eastAsia="zh-CN"/>
        </w:rPr>
        <w:t>/单位负责人</w:t>
      </w:r>
      <w:r>
        <w:rPr>
          <w:rFonts w:hint="eastAsia"/>
        </w:rPr>
        <w:t>。就参加你单位组织的“</w:t>
      </w:r>
      <w:r>
        <w:rPr>
          <w:rFonts w:hint="eastAsia"/>
          <w:u w:val="single"/>
        </w:rPr>
        <w:t xml:space="preserve">             </w:t>
      </w:r>
      <w:r>
        <w:rPr>
          <w:rFonts w:hint="eastAsia"/>
          <w:lang w:eastAsia="zh-CN"/>
        </w:rPr>
        <w:t>(</w:t>
      </w:r>
      <w:r>
        <w:rPr>
          <w:rFonts w:hint="eastAsia"/>
          <w:lang w:val="en-US" w:eastAsia="zh-CN"/>
        </w:rPr>
        <w:t>项目名称</w:t>
      </w:r>
      <w:r>
        <w:rPr>
          <w:rFonts w:hint="eastAsia"/>
          <w:lang w:eastAsia="zh-CN"/>
        </w:rPr>
        <w:t>)</w:t>
      </w:r>
      <w:r>
        <w:rPr>
          <w:rFonts w:hint="eastAsia"/>
        </w:rPr>
        <w:t>(项目编号</w:t>
      </w:r>
      <w:r>
        <w:rPr>
          <w:rFonts w:hint="eastAsia"/>
          <w:lang w:eastAsia="zh-CN"/>
        </w:rPr>
        <w:t>：</w:t>
      </w:r>
      <w:r>
        <w:rPr>
          <w:rFonts w:hint="eastAsia"/>
          <w:u w:val="single"/>
        </w:rPr>
        <w:t xml:space="preserve">         </w:t>
      </w:r>
      <w:r>
        <w:rPr>
          <w:rFonts w:hint="eastAsia"/>
          <w:highlight w:val="none"/>
        </w:rPr>
        <w:t>)”</w:t>
      </w:r>
      <w:r>
        <w:rPr>
          <w:rFonts w:hint="eastAsia"/>
          <w:highlight w:val="none"/>
          <w:lang w:val="en-US" w:eastAsia="zh-CN"/>
        </w:rPr>
        <w:t>第</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highlight w:val="none"/>
          <w:lang w:val="en-US" w:eastAsia="zh-CN"/>
        </w:rPr>
        <w:t>包</w:t>
      </w:r>
      <w:r>
        <w:rPr>
          <w:rFonts w:hint="eastAsia"/>
          <w:highlight w:val="none"/>
        </w:rPr>
        <w:t>的</w:t>
      </w:r>
      <w:r>
        <w:rPr>
          <w:rFonts w:hint="eastAsia"/>
          <w:highlight w:val="none"/>
          <w:lang w:val="en-US" w:eastAsia="zh-CN"/>
        </w:rPr>
        <w:t>投</w:t>
      </w:r>
      <w:r>
        <w:rPr>
          <w:rFonts w:hint="eastAsia"/>
          <w:lang w:val="en-US" w:eastAsia="zh-CN"/>
        </w:rPr>
        <w:t>标</w:t>
      </w:r>
      <w:r>
        <w:rPr>
          <w:rFonts w:hint="eastAsia"/>
        </w:rPr>
        <w:t>活动、并参与项目的</w:t>
      </w:r>
      <w:r>
        <w:rPr>
          <w:rFonts w:hint="eastAsia"/>
          <w:lang w:val="en-US" w:eastAsia="zh-CN"/>
        </w:rPr>
        <w:t>投标</w:t>
      </w:r>
      <w:r>
        <w:rPr>
          <w:rFonts w:hint="eastAsia"/>
        </w:rPr>
        <w:t>、签订合同以及执行合同等一切事宜，我</w:t>
      </w:r>
      <w:r>
        <w:rPr>
          <w:rFonts w:hint="eastAsia"/>
          <w:lang w:val="en-US" w:eastAsia="zh-CN"/>
        </w:rPr>
        <w:t>单位</w:t>
      </w:r>
      <w:r>
        <w:rPr>
          <w:rFonts w:hint="eastAsia"/>
        </w:rPr>
        <w:t>均予承认，所产生的法律后果均由我单位承担。</w:t>
      </w:r>
    </w:p>
    <w:p>
      <w:pPr>
        <w:pStyle w:val="52"/>
        <w:bidi w:val="0"/>
        <w:rPr>
          <w:rFonts w:hint="eastAsia"/>
        </w:rPr>
      </w:pPr>
      <w:r>
        <w:rPr>
          <w:rFonts w:hint="eastAsia"/>
        </w:rPr>
        <w:t>特此证明。</w:t>
      </w:r>
    </w:p>
    <w:p>
      <w:pPr>
        <w:pStyle w:val="48"/>
        <w:bidi w:val="0"/>
        <w:rPr>
          <w:rFonts w:hint="eastAsia"/>
        </w:rPr>
      </w:pPr>
    </w:p>
    <w:p>
      <w:pPr>
        <w:pStyle w:val="48"/>
        <w:bidi w:val="0"/>
        <w:rPr>
          <w:rFonts w:hint="eastAsia"/>
        </w:rPr>
      </w:pPr>
    </w:p>
    <w:p>
      <w:pPr>
        <w:pStyle w:val="48"/>
        <w:bidi w:val="0"/>
        <w:rPr>
          <w:rFonts w:hint="eastAsia"/>
        </w:rPr>
      </w:pPr>
    </w:p>
    <w:p>
      <w:pPr>
        <w:pStyle w:val="48"/>
        <w:bidi w:val="0"/>
        <w:rPr>
          <w:rFonts w:hint="eastAsia"/>
        </w:rPr>
      </w:pPr>
    </w:p>
    <w:p>
      <w:pPr>
        <w:pStyle w:val="48"/>
        <w:bidi w:val="0"/>
        <w:rPr>
          <w:rFonts w:hint="eastAsia"/>
        </w:rPr>
      </w:pPr>
    </w:p>
    <w:p>
      <w:pPr>
        <w:pStyle w:val="52"/>
        <w:bidi w:val="0"/>
        <w:rPr>
          <w:rFonts w:hint="eastAsia"/>
        </w:rPr>
      </w:pPr>
      <w:r>
        <w:rPr>
          <w:rFonts w:hint="eastAsia"/>
          <w:lang w:val="en-US" w:eastAsia="zh-CN"/>
        </w:rPr>
        <w:t>投标人</w:t>
      </w:r>
      <w:r>
        <w:rPr>
          <w:rFonts w:hint="eastAsia"/>
        </w:rPr>
        <w:t>名称：</w:t>
      </w:r>
      <w:r>
        <w:rPr>
          <w:rFonts w:hint="eastAsia"/>
          <w:u w:val="single"/>
          <w:lang w:val="en-US" w:eastAsia="zh-CN"/>
        </w:rPr>
        <w:t xml:space="preserve">            </w:t>
      </w:r>
      <w:r>
        <w:rPr>
          <w:rFonts w:hint="eastAsia"/>
          <w:u w:val="single"/>
        </w:rPr>
        <w:t xml:space="preserve"> </w:t>
      </w:r>
      <w:r>
        <w:rPr>
          <w:rFonts w:hint="eastAsia"/>
        </w:rPr>
        <w:t xml:space="preserve">(盖章) </w:t>
      </w:r>
    </w:p>
    <w:p>
      <w:pPr>
        <w:pStyle w:val="52"/>
        <w:bidi w:val="0"/>
        <w:rPr>
          <w:rFonts w:hint="eastAsia"/>
        </w:rPr>
      </w:pPr>
      <w:r>
        <w:rPr>
          <w:rFonts w:hint="eastAsia"/>
        </w:rPr>
        <w:t>法定代表人</w:t>
      </w:r>
      <w:r>
        <w:rPr>
          <w:rFonts w:hint="eastAsia"/>
          <w:lang w:val="en-US" w:eastAsia="zh-CN"/>
        </w:rPr>
        <w:t>/单位负责人</w:t>
      </w:r>
      <w:r>
        <w:rPr>
          <w:rFonts w:hint="eastAsia"/>
        </w:rPr>
        <w:t>：</w:t>
      </w:r>
      <w:r>
        <w:rPr>
          <w:rFonts w:hint="eastAsia"/>
          <w:u w:val="single"/>
          <w:lang w:val="en-US" w:eastAsia="zh-CN"/>
        </w:rPr>
        <w:t xml:space="preserve">               </w:t>
      </w:r>
      <w:r>
        <w:rPr>
          <w:rFonts w:hint="eastAsia"/>
        </w:rPr>
        <w:t>(签字或盖章)</w:t>
      </w:r>
    </w:p>
    <w:p>
      <w:pPr>
        <w:pStyle w:val="52"/>
        <w:rPr>
          <w:u w:val="single"/>
        </w:rPr>
      </w:pPr>
      <w:r>
        <w:rPr>
          <w:rFonts w:hint="eastAsia"/>
          <w:lang w:val="en-US" w:eastAsia="zh-CN"/>
        </w:rPr>
        <w:t>投标</w:t>
      </w:r>
      <w:r>
        <w:rPr>
          <w:rFonts w:hint="eastAsia"/>
        </w:rPr>
        <w:t>日期：</w:t>
      </w:r>
      <w:r>
        <w:rPr>
          <w:rFonts w:hint="eastAsia"/>
          <w:u w:val="single"/>
          <w:lang w:val="en-US" w:eastAsia="zh-CN"/>
        </w:rPr>
        <w:t xml:space="preserve">            </w:t>
      </w:r>
      <w:r>
        <w:rPr>
          <w:rFonts w:hint="eastAsia"/>
          <w:u w:val="single"/>
        </w:rPr>
        <w:t xml:space="preserve"> </w:t>
      </w:r>
    </w:p>
    <w:p>
      <w:pPr>
        <w:pStyle w:val="52"/>
      </w:pPr>
    </w:p>
    <w:p>
      <w:pPr>
        <w:pStyle w:val="53"/>
        <w:ind w:firstLine="482"/>
      </w:pPr>
      <w:r>
        <w:rPr>
          <w:rFonts w:hint="eastAsia"/>
        </w:rPr>
        <w:t>注：1.法定代表人</w:t>
      </w:r>
      <w:r>
        <w:t>/单位负责人</w:t>
      </w:r>
      <w:r>
        <w:rPr>
          <w:rFonts w:hint="eastAsia"/>
        </w:rPr>
        <w:t>亲自参加投标时适用本证明书。</w:t>
      </w:r>
    </w:p>
    <w:p>
      <w:pPr>
        <w:pStyle w:val="53"/>
        <w:ind w:firstLine="482"/>
      </w:pPr>
      <w:r>
        <w:rPr>
          <w:rFonts w:hint="eastAsia"/>
        </w:rPr>
        <w:t>2.</w:t>
      </w:r>
      <w:r>
        <w:t>应附法定代表人/单位负责人身份证明材料复印件。</w:t>
      </w:r>
    </w:p>
    <w:p>
      <w:pPr>
        <w:pStyle w:val="53"/>
        <w:ind w:firstLine="482"/>
      </w:pPr>
      <w:r>
        <w:rPr>
          <w:rFonts w:hint="eastAsia"/>
        </w:rPr>
        <w:t>3.</w:t>
      </w:r>
      <w:r>
        <w:t>身份证明材料包括居民身份证或户口本或军官证或护照等。</w:t>
      </w:r>
    </w:p>
    <w:p>
      <w:pPr>
        <w:pStyle w:val="53"/>
        <w:ind w:firstLine="482"/>
      </w:pPr>
      <w:r>
        <w:rPr>
          <w:rFonts w:hint="eastAsia"/>
        </w:rPr>
        <w:t>4.</w:t>
      </w:r>
      <w:r>
        <w:t>身份证明材料应同时提供其在有效期的材料，如居民身份证正、反面复印件</w:t>
      </w:r>
      <w:r>
        <w:rPr>
          <w:rFonts w:hint="eastAsia"/>
        </w:rPr>
        <w:t>。</w:t>
      </w:r>
    </w:p>
    <w:p>
      <w:pPr>
        <w:pStyle w:val="50"/>
        <w:numPr>
          <w:ilvl w:val="0"/>
          <w:numId w:val="22"/>
        </w:numPr>
        <w:spacing w:before="120" w:after="120"/>
        <w:ind w:firstLine="0"/>
      </w:pPr>
      <w:bookmarkStart w:id="853" w:name="_Toc22152"/>
      <w:bookmarkStart w:id="854" w:name="_Toc10998"/>
      <w:bookmarkStart w:id="855" w:name="_Toc28837"/>
      <w:bookmarkStart w:id="856" w:name="_Toc15124"/>
      <w:bookmarkStart w:id="857" w:name="_Toc28397"/>
      <w:bookmarkStart w:id="858" w:name="_Toc3822"/>
      <w:r>
        <w:rPr>
          <w:rFonts w:hint="eastAsia"/>
        </w:rPr>
        <w:t>具有独立承担民事责任的能力的证明材料</w:t>
      </w:r>
      <w:bookmarkEnd w:id="853"/>
      <w:bookmarkEnd w:id="854"/>
      <w:bookmarkEnd w:id="855"/>
      <w:bookmarkEnd w:id="856"/>
    </w:p>
    <w:p>
      <w:pPr>
        <w:pStyle w:val="52"/>
      </w:pPr>
      <w:r>
        <w:rPr>
          <w:rFonts w:hint="eastAsia"/>
        </w:rPr>
        <w:t>①投标人若为企业法人：提供“营业执照”副本复印件；未换证的提供“营业执照副本、税务登记证副本、组织机构代码证副本”复印件；②若为事业法人：提供“统一社会信用代码法人登记证书”复印件；未换证的提交“事业法人登记证书、组织机构代码证”复印件；③若为其他组织：提供“对应主管部门颁发的准许执业证明文件或营业执照副本”复印件；④若为自然人：提供“身份证明材料”。</w:t>
      </w:r>
    </w:p>
    <w:bookmarkEnd w:id="857"/>
    <w:p>
      <w:pPr>
        <w:pStyle w:val="53"/>
        <w:ind w:firstLine="482"/>
      </w:pPr>
      <w:r>
        <w:rPr>
          <w:rFonts w:hint="eastAsia"/>
        </w:rPr>
        <w:t>注：1.以上证明材料应满足此条要求①发证机关有年检要求的，应按规定通过年检；②在有效期内；③复印件加盖投标人公章；</w:t>
      </w:r>
    </w:p>
    <w:p>
      <w:pPr>
        <w:pStyle w:val="53"/>
        <w:ind w:firstLine="482"/>
      </w:pPr>
      <w:r>
        <w:rPr>
          <w:rFonts w:hint="eastAsia"/>
        </w:rPr>
        <w:t>2.</w:t>
      </w:r>
      <w:bookmarkEnd w:id="858"/>
      <w:r>
        <w:rPr>
          <w:rFonts w:hint="eastAsia"/>
        </w:rPr>
        <w:t>企业若已更换为三证合一的则提供营业执照副本复印件，事业单位提供事业单位法人证书复印件，其他组织提供执业许可证或营业执照等证明文件复印件，自然人提供身份证明均具备此条同等效力；</w:t>
      </w:r>
    </w:p>
    <w:p>
      <w:pPr>
        <w:pStyle w:val="53"/>
        <w:ind w:firstLine="482"/>
      </w:pPr>
      <w:r>
        <w:rPr>
          <w:rFonts w:hint="eastAsia"/>
        </w:rPr>
        <w:t>3.</w:t>
      </w:r>
      <w:r>
        <w:t>根据国务院办公厅关于加快推进“多证合一”改革的指导意见</w:t>
      </w:r>
      <w:r>
        <w:rPr>
          <w:rFonts w:hint="eastAsia"/>
        </w:rPr>
        <w:t>(</w:t>
      </w:r>
      <w:r>
        <w:t>国办发</w:t>
      </w:r>
      <w:r>
        <w:rPr>
          <w:rFonts w:hint="eastAsia"/>
        </w:rPr>
        <w:t>〔</w:t>
      </w:r>
      <w:r>
        <w:t>2017</w:t>
      </w:r>
      <w:r>
        <w:rPr>
          <w:rFonts w:hint="eastAsia"/>
        </w:rPr>
        <w:t>〕</w:t>
      </w:r>
      <w:r>
        <w:t>41号</w:t>
      </w:r>
      <w:r>
        <w:rPr>
          <w:rFonts w:hint="eastAsia"/>
        </w:rPr>
        <w:t>)</w:t>
      </w:r>
      <w:r>
        <w:t>等政策要求，若资格要求涉及的登记、备案等有关事项和各类证照已实行多证合一</w:t>
      </w:r>
      <w:r>
        <w:rPr>
          <w:rFonts w:hint="eastAsia"/>
        </w:rPr>
        <w:t>的，提供多证合一证照副本复印件</w:t>
      </w:r>
      <w:r>
        <w:t>。</w:t>
      </w:r>
    </w:p>
    <w:p>
      <w:pPr>
        <w:pStyle w:val="48"/>
      </w:pPr>
    </w:p>
    <w:p>
      <w:pPr>
        <w:pStyle w:val="50"/>
        <w:numPr>
          <w:ilvl w:val="0"/>
          <w:numId w:val="22"/>
        </w:numPr>
        <w:spacing w:before="120" w:after="120"/>
        <w:ind w:firstLine="0"/>
      </w:pPr>
      <w:bookmarkStart w:id="859" w:name="_Toc28024"/>
      <w:bookmarkStart w:id="860" w:name="_Toc18110"/>
      <w:bookmarkStart w:id="861" w:name="_Toc29937"/>
      <w:bookmarkStart w:id="862" w:name="_Toc3600"/>
      <w:bookmarkStart w:id="863" w:name="_Toc14566"/>
      <w:r>
        <w:rPr>
          <w:rFonts w:hint="eastAsia"/>
        </w:rPr>
        <w:t>投标人具有良好的商业信誉和健全的财务会计制度的证明材料</w:t>
      </w:r>
      <w:bookmarkEnd w:id="859"/>
      <w:bookmarkEnd w:id="860"/>
      <w:bookmarkEnd w:id="861"/>
      <w:bookmarkEnd w:id="862"/>
    </w:p>
    <w:bookmarkEnd w:id="863"/>
    <w:p>
      <w:pPr>
        <w:pStyle w:val="52"/>
      </w:pPr>
      <w:bookmarkStart w:id="864" w:name="_Toc17744"/>
      <w:bookmarkStart w:id="865" w:name="_Toc19866"/>
      <w:bookmarkStart w:id="866" w:name="_Toc5443"/>
      <w:r>
        <w:rPr>
          <w:rFonts w:hint="eastAsia"/>
        </w:rPr>
        <w:t>1.投标人具有良好商业信誉的证明材料；</w:t>
      </w:r>
    </w:p>
    <w:p>
      <w:pPr>
        <w:pStyle w:val="52"/>
      </w:pPr>
      <w:r>
        <w:rPr>
          <w:rFonts w:hint="eastAsia"/>
        </w:rPr>
        <w:t>提供具有良好的商业信誉的承诺函。</w:t>
      </w:r>
    </w:p>
    <w:p>
      <w:pPr>
        <w:pStyle w:val="52"/>
        <w:ind w:firstLine="482"/>
        <w:rPr>
          <w:b/>
          <w:bCs/>
        </w:rPr>
      </w:pPr>
      <w:r>
        <w:rPr>
          <w:rFonts w:hint="eastAsia"/>
          <w:b/>
          <w:bCs/>
        </w:rPr>
        <w:t>注：投标人在参加政府采购活动前，被纳入法院、工商(市场监管)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52"/>
      </w:pPr>
      <w:r>
        <w:rPr>
          <w:rFonts w:hint="eastAsia"/>
        </w:rPr>
        <w:t>2.投标人具有健全的财务会计制度的证明材料；</w:t>
      </w:r>
    </w:p>
    <w:p>
      <w:pPr>
        <w:pStyle w:val="52"/>
      </w:pPr>
      <w:r>
        <w:rPr>
          <w:rFonts w:hint="eastAsia"/>
        </w:rPr>
        <w:t>(1)投标人提供2019年度经过会计师事务所审计的财务报告复印件(经审计的有效财务报告应包括报告及报告中所附的完整内容，并由注册会计师签名、盖章以及会计师事务所盖章)；</w:t>
      </w:r>
    </w:p>
    <w:p>
      <w:pPr>
        <w:pStyle w:val="52"/>
      </w:pPr>
      <w:r>
        <w:rPr>
          <w:rFonts w:hint="eastAsia"/>
        </w:rPr>
        <w:t>(2)投标人提供2019年度投标人内部的财务报表复印件(至少包含资产负债表)；</w:t>
      </w:r>
    </w:p>
    <w:p>
      <w:pPr>
        <w:pStyle w:val="52"/>
      </w:pPr>
      <w:r>
        <w:rPr>
          <w:rFonts w:hint="eastAsia"/>
        </w:rPr>
        <w:t>(3)投标人提供投标文件递交截止日前一年内银行为其出具的资信证明复印件；</w:t>
      </w:r>
    </w:p>
    <w:p>
      <w:pPr>
        <w:pStyle w:val="52"/>
      </w:pPr>
      <w:r>
        <w:rPr>
          <w:rFonts w:hint="eastAsia"/>
        </w:rPr>
        <w:t>(4)投标人注册时间截至投标文件递交截止日不足一年的，可提供公司章程复印件；</w:t>
      </w:r>
    </w:p>
    <w:p>
      <w:pPr>
        <w:pStyle w:val="52"/>
      </w:pPr>
      <w:r>
        <w:rPr>
          <w:rFonts w:hint="eastAsia"/>
        </w:rPr>
        <w:t>(5)投标人为事业单位或其他组织(不具备法人条件的组织，如合伙组织、个体工商户、农村承包经营户等)或自然人时，可提供承诺函。</w:t>
      </w:r>
    </w:p>
    <w:p>
      <w:pPr>
        <w:pStyle w:val="53"/>
        <w:ind w:firstLine="482"/>
      </w:pPr>
      <w:r>
        <w:rPr>
          <w:rFonts w:hint="eastAsia"/>
          <w:bCs/>
        </w:rPr>
        <w:t>注：具有健全的财务会计制度的证明材料中第(1)-(5)项具有同等的投标效力，投标人可根据自身实际情况选择提供其中任意一项。</w:t>
      </w:r>
    </w:p>
    <w:p>
      <w:pPr>
        <w:pStyle w:val="50"/>
        <w:numPr>
          <w:ilvl w:val="0"/>
          <w:numId w:val="22"/>
        </w:numPr>
        <w:spacing w:before="120" w:after="120"/>
        <w:ind w:firstLine="0"/>
      </w:pPr>
      <w:bookmarkStart w:id="867" w:name="_Toc19365"/>
      <w:bookmarkStart w:id="868" w:name="_Toc29117"/>
      <w:r>
        <w:rPr>
          <w:rFonts w:hint="eastAsia"/>
        </w:rPr>
        <w:t>投标人具有依法缴纳税收和社会保障资金的良好记录的证明材料</w:t>
      </w:r>
      <w:bookmarkEnd w:id="864"/>
      <w:bookmarkEnd w:id="865"/>
      <w:bookmarkEnd w:id="867"/>
      <w:bookmarkEnd w:id="868"/>
    </w:p>
    <w:bookmarkEnd w:id="866"/>
    <w:p>
      <w:pPr>
        <w:pStyle w:val="52"/>
      </w:pPr>
      <w:r>
        <w:rPr>
          <w:rFonts w:hint="eastAsia"/>
        </w:rPr>
        <w:t>提供</w:t>
      </w:r>
      <w:r>
        <w:rPr>
          <w:rFonts w:hint="eastAsia"/>
          <w:lang w:val="zh-CN"/>
        </w:rPr>
        <w:t>依法缴纳税收和社会保障资金的良好记录</w:t>
      </w:r>
      <w:r>
        <w:rPr>
          <w:rFonts w:hint="eastAsia"/>
        </w:rPr>
        <w:t>的承诺函。</w:t>
      </w:r>
    </w:p>
    <w:p>
      <w:pPr>
        <w:pStyle w:val="53"/>
        <w:ind w:firstLine="482"/>
      </w:pPr>
      <w:r>
        <w:rPr>
          <w:rFonts w:hint="eastAsia"/>
        </w:rPr>
        <w:t>注：格式自拟，或参照《符合&lt;中华人民共和国政府采购法&gt;第二十二条规定的条件的承诺及声明函》的格式提供承诺函。</w:t>
      </w:r>
    </w:p>
    <w:p>
      <w:pPr>
        <w:pStyle w:val="48"/>
      </w:pPr>
      <w:r>
        <w:rPr>
          <w:rFonts w:hint="eastAsia"/>
        </w:rPr>
        <w:br w:type="page"/>
      </w:r>
    </w:p>
    <w:p>
      <w:pPr>
        <w:pStyle w:val="50"/>
        <w:numPr>
          <w:ilvl w:val="0"/>
          <w:numId w:val="22"/>
        </w:numPr>
        <w:spacing w:before="120" w:after="120"/>
        <w:ind w:firstLine="0"/>
      </w:pPr>
      <w:bookmarkStart w:id="869" w:name="_Toc16336"/>
      <w:bookmarkStart w:id="870" w:name="_Toc13692"/>
      <w:bookmarkStart w:id="871" w:name="_Toc14829"/>
      <w:bookmarkStart w:id="872" w:name="_Toc15870"/>
      <w:r>
        <w:rPr>
          <w:rFonts w:hint="eastAsia"/>
        </w:rPr>
        <w:t>投标人具有履行合同所必需的设备和专业技术能力证明材料</w:t>
      </w:r>
      <w:bookmarkEnd w:id="869"/>
      <w:bookmarkEnd w:id="870"/>
      <w:bookmarkEnd w:id="871"/>
      <w:bookmarkEnd w:id="872"/>
    </w:p>
    <w:p>
      <w:pPr>
        <w:pStyle w:val="52"/>
      </w:pPr>
      <w:r>
        <w:rPr>
          <w:rFonts w:hint="eastAsia"/>
        </w:rPr>
        <w:t>提供具有履行合同所必需的设备和专业技术能力的承诺函。</w:t>
      </w:r>
    </w:p>
    <w:p>
      <w:pPr>
        <w:pStyle w:val="53"/>
        <w:ind w:firstLine="482"/>
      </w:pPr>
      <w:r>
        <w:rPr>
          <w:rFonts w:hint="eastAsia"/>
        </w:rPr>
        <w:t>注：格式自拟，或参照《符合&lt;中华人民共和国政府采购法&gt;第二十二条规定的条件的承诺及声明函》的格式提供承诺函。</w:t>
      </w:r>
    </w:p>
    <w:p>
      <w:pPr>
        <w:pStyle w:val="48"/>
      </w:pPr>
      <w:r>
        <w:rPr>
          <w:rFonts w:hint="eastAsia"/>
        </w:rPr>
        <w:br w:type="page"/>
      </w:r>
    </w:p>
    <w:p>
      <w:pPr>
        <w:pStyle w:val="50"/>
        <w:numPr>
          <w:ilvl w:val="0"/>
          <w:numId w:val="22"/>
        </w:numPr>
        <w:spacing w:before="120" w:after="120"/>
        <w:ind w:firstLine="0"/>
      </w:pPr>
      <w:bookmarkStart w:id="873" w:name="_Toc9968"/>
      <w:bookmarkStart w:id="874" w:name="_Toc21379"/>
      <w:bookmarkStart w:id="875" w:name="_Toc20475"/>
      <w:r>
        <w:rPr>
          <w:rFonts w:hint="eastAsia"/>
        </w:rPr>
        <w:t>投标人参加政府采购活动前三年内，在经营活动中没有重大违法记录的证明材料</w:t>
      </w:r>
      <w:bookmarkEnd w:id="873"/>
      <w:bookmarkEnd w:id="874"/>
      <w:bookmarkEnd w:id="875"/>
    </w:p>
    <w:p>
      <w:pPr>
        <w:pStyle w:val="52"/>
      </w:pPr>
      <w:bookmarkStart w:id="876" w:name="_Toc9591"/>
      <w:bookmarkStart w:id="877" w:name="_Toc14299"/>
      <w:r>
        <w:rPr>
          <w:rFonts w:hint="eastAsia"/>
        </w:rPr>
        <w:t>投标人提供参加本次政府采购活动前三年内，在经营活动中没有重大违法记录的书面声明(成立不足三年的，从成立之日起计算)。</w:t>
      </w:r>
    </w:p>
    <w:p>
      <w:pPr>
        <w:pStyle w:val="53"/>
        <w:ind w:firstLine="482"/>
      </w:pPr>
      <w:bookmarkStart w:id="878" w:name="_Toc7540"/>
      <w:bookmarkStart w:id="879" w:name="_Toc26284"/>
      <w:r>
        <w:rPr>
          <w:rFonts w:hint="eastAsia"/>
        </w:rPr>
        <w:t>注：格式自拟，或参照《符合&lt;中华人民共和国政府采购法&gt;第二十二条规定的条件的承诺及声明函》的格式提供声明函。</w:t>
      </w:r>
    </w:p>
    <w:bookmarkEnd w:id="876"/>
    <w:bookmarkEnd w:id="877"/>
    <w:bookmarkEnd w:id="878"/>
    <w:bookmarkEnd w:id="879"/>
    <w:p>
      <w:pPr>
        <w:pStyle w:val="50"/>
        <w:numPr>
          <w:ilvl w:val="0"/>
          <w:numId w:val="22"/>
        </w:numPr>
        <w:spacing w:before="120" w:after="120"/>
        <w:ind w:firstLine="0"/>
        <w:rPr>
          <w:lang w:val="zh-CN"/>
        </w:rPr>
      </w:pPr>
      <w:bookmarkStart w:id="880" w:name="_Toc3840"/>
      <w:bookmarkStart w:id="881" w:name="_Toc27034"/>
      <w:bookmarkStart w:id="882" w:name="_Toc17558"/>
      <w:bookmarkStart w:id="883" w:name="_Toc29042"/>
      <w:bookmarkStart w:id="884" w:name="_Toc29564"/>
      <w:r>
        <w:rPr>
          <w:rFonts w:hint="eastAsia"/>
        </w:rPr>
        <w:t>投标人</w:t>
      </w:r>
      <w:r>
        <w:rPr>
          <w:rFonts w:hint="eastAsia"/>
          <w:lang w:val="zh-CN"/>
        </w:rPr>
        <w:t>及其现任法定代表人、主要负责人不得具有行贿犯罪记录</w:t>
      </w:r>
      <w:r>
        <w:rPr>
          <w:rFonts w:hint="eastAsia"/>
        </w:rPr>
        <w:t>的</w:t>
      </w:r>
      <w:bookmarkEnd w:id="880"/>
      <w:bookmarkEnd w:id="881"/>
      <w:bookmarkEnd w:id="882"/>
      <w:r>
        <w:rPr>
          <w:rFonts w:hint="eastAsia"/>
        </w:rPr>
        <w:t>承诺函</w:t>
      </w:r>
      <w:bookmarkEnd w:id="883"/>
      <w:bookmarkEnd w:id="884"/>
    </w:p>
    <w:p>
      <w:pPr>
        <w:pStyle w:val="48"/>
        <w:keepNext w:val="0"/>
        <w:keepLines w:val="0"/>
        <w:pageBreakBefore w:val="0"/>
        <w:widowControl w:val="0"/>
        <w:kinsoku/>
        <w:wordWrap w:val="0"/>
        <w:overflowPunct/>
        <w:topLinePunct/>
        <w:autoSpaceDE/>
        <w:autoSpaceDN/>
        <w:bidi w:val="0"/>
        <w:adjustRightInd/>
        <w:snapToGrid/>
        <w:ind w:left="0" w:leftChars="0" w:firstLine="0" w:firstLineChars="0"/>
        <w:textAlignment w:val="auto"/>
        <w:rPr>
          <w:rFonts w:hint="eastAsia"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采购代理机构名称</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w:t>
      </w:r>
    </w:p>
    <w:p>
      <w:pPr>
        <w:pStyle w:val="48"/>
        <w:keepNext w:val="0"/>
        <w:keepLines w:val="0"/>
        <w:pageBreakBefore w:val="0"/>
        <w:widowControl w:val="0"/>
        <w:kinsoku/>
        <w:wordWrap w:val="0"/>
        <w:overflowPunct/>
        <w:topLinePunct/>
        <w:autoSpaceDE/>
        <w:autoSpaceDN/>
        <w:bidi w:val="0"/>
        <w:adjustRightInd/>
        <w:snapToGrid/>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我</w:t>
      </w:r>
      <w:r>
        <w:rPr>
          <w:rFonts w:hint="eastAsia" w:cs="宋体"/>
          <w:color w:val="auto"/>
          <w:highlight w:val="none"/>
          <w:lang w:val="en-US" w:eastAsia="zh-CN"/>
        </w:rPr>
        <w:t>单位</w:t>
      </w:r>
      <w:r>
        <w:rPr>
          <w:rFonts w:hint="eastAsia" w:ascii="宋体" w:hAnsi="宋体" w:eastAsia="宋体" w:cs="宋体"/>
          <w:color w:val="auto"/>
          <w:highlight w:val="none"/>
        </w:rPr>
        <w:t>作为本次采购项目的</w:t>
      </w:r>
      <w:r>
        <w:rPr>
          <w:rFonts w:hint="eastAsia" w:cs="宋体"/>
          <w:color w:val="auto"/>
          <w:highlight w:val="none"/>
          <w:lang w:eastAsia="zh-CN"/>
        </w:rPr>
        <w:t>投标人</w:t>
      </w:r>
      <w:r>
        <w:rPr>
          <w:rFonts w:hint="eastAsia" w:ascii="宋体" w:hAnsi="宋体" w:eastAsia="宋体" w:cs="宋体"/>
          <w:color w:val="auto"/>
          <w:highlight w:val="none"/>
        </w:rPr>
        <w:t>，根据</w:t>
      </w:r>
      <w:r>
        <w:rPr>
          <w:rFonts w:hint="eastAsia" w:cs="宋体"/>
          <w:color w:val="auto"/>
          <w:highlight w:val="none"/>
          <w:lang w:val="en-US" w:eastAsia="zh-CN"/>
        </w:rPr>
        <w:t>招标</w:t>
      </w:r>
      <w:r>
        <w:rPr>
          <w:rFonts w:hint="eastAsia" w:ascii="宋体" w:hAnsi="宋体" w:eastAsia="宋体" w:cs="宋体"/>
          <w:color w:val="auto"/>
          <w:highlight w:val="none"/>
          <w:lang w:eastAsia="zh-CN"/>
        </w:rPr>
        <w:t>文件</w:t>
      </w:r>
      <w:r>
        <w:rPr>
          <w:rFonts w:hint="eastAsia" w:ascii="宋体" w:hAnsi="宋体" w:eastAsia="宋体" w:cs="宋体"/>
          <w:color w:val="auto"/>
          <w:highlight w:val="none"/>
        </w:rPr>
        <w:t>要求，现郑重承诺如下：</w:t>
      </w:r>
    </w:p>
    <w:p>
      <w:pPr>
        <w:pStyle w:val="52"/>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u w:val="single"/>
          <w:lang w:val="en-US" w:eastAsia="zh-CN"/>
        </w:rPr>
      </w:pPr>
      <w:r>
        <w:rPr>
          <w:rFonts w:hint="eastAsia" w:cs="宋体"/>
          <w:color w:val="auto"/>
          <w:highlight w:val="none"/>
          <w:u w:val="single"/>
          <w:lang w:val="en-US" w:eastAsia="zh-CN"/>
        </w:rPr>
        <w:t xml:space="preserve">           </w:t>
      </w:r>
      <w:r>
        <w:rPr>
          <w:rFonts w:hint="eastAsia" w:cs="宋体"/>
          <w:b w:val="0"/>
          <w:bCs w:val="0"/>
          <w:color w:val="auto"/>
          <w:highlight w:val="none"/>
          <w:lang w:val="en-US" w:eastAsia="zh-CN"/>
        </w:rPr>
        <w:t>(投标人名称)及其现任法定代表人</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(姓名)、</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(身份证号码)，主要负责人</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(姓名)、</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(身份证号码)，</w:t>
      </w:r>
      <w:r>
        <w:rPr>
          <w:rFonts w:hint="eastAsia" w:cs="宋体"/>
          <w:b w:val="0"/>
          <w:bCs w:val="0"/>
          <w:color w:val="auto"/>
          <w:highlight w:val="none"/>
          <w:u w:val="single"/>
          <w:lang w:val="en-US" w:eastAsia="zh-CN"/>
        </w:rPr>
        <w:t xml:space="preserve">        </w:t>
      </w:r>
      <w:r>
        <w:rPr>
          <w:rFonts w:hint="eastAsia" w:cs="宋体"/>
          <w:color w:val="auto"/>
          <w:highlight w:val="none"/>
          <w:u w:val="none"/>
          <w:lang w:val="en-US" w:eastAsia="zh-CN"/>
        </w:rPr>
        <w:t xml:space="preserve">(无行贿犯罪记录的期限)均无行贿犯罪记录。     </w:t>
      </w:r>
    </w:p>
    <w:p>
      <w:pPr>
        <w:pStyle w:val="52"/>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rPr>
      </w:pPr>
      <w:r>
        <w:rPr>
          <w:rFonts w:hint="eastAsia" w:ascii="宋体" w:hAnsi="宋体" w:eastAsia="宋体" w:cs="宋体"/>
          <w:color w:val="auto"/>
          <w:highlight w:val="none"/>
        </w:rPr>
        <w:t>我</w:t>
      </w:r>
      <w:r>
        <w:rPr>
          <w:rFonts w:hint="eastAsia" w:cs="宋体"/>
          <w:color w:val="auto"/>
          <w:highlight w:val="none"/>
          <w:lang w:val="en-US" w:eastAsia="zh-CN"/>
        </w:rPr>
        <w:t>单位</w:t>
      </w:r>
      <w:r>
        <w:rPr>
          <w:rFonts w:hint="eastAsia" w:ascii="宋体" w:hAnsi="宋体" w:eastAsia="宋体" w:cs="宋体"/>
          <w:color w:val="auto"/>
          <w:highlight w:val="none"/>
        </w:rPr>
        <w:t>对上述承诺的内容事项真实性</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合法</w:t>
      </w:r>
      <w:r>
        <w:rPr>
          <w:rFonts w:hint="eastAsia" w:ascii="宋体" w:hAnsi="宋体" w:eastAsia="宋体" w:cs="宋体"/>
          <w:color w:val="auto"/>
          <w:highlight w:val="none"/>
          <w:lang w:val="en-US" w:eastAsia="zh-CN"/>
        </w:rPr>
        <w:t>性</w:t>
      </w:r>
      <w:r>
        <w:rPr>
          <w:rFonts w:hint="eastAsia" w:ascii="宋体" w:hAnsi="宋体" w:eastAsia="宋体" w:cs="宋体"/>
          <w:color w:val="auto"/>
          <w:highlight w:val="none"/>
        </w:rPr>
        <w:t>负责。如经查实上述承诺的内容事项存在虚假，我</w:t>
      </w:r>
      <w:r>
        <w:rPr>
          <w:rFonts w:hint="eastAsia" w:cs="宋体"/>
          <w:color w:val="auto"/>
          <w:highlight w:val="none"/>
          <w:lang w:val="en-US" w:eastAsia="zh-CN"/>
        </w:rPr>
        <w:t>单位</w:t>
      </w:r>
      <w:r>
        <w:rPr>
          <w:rFonts w:hint="eastAsia" w:ascii="宋体" w:hAnsi="宋体" w:eastAsia="宋体" w:cs="宋体"/>
          <w:color w:val="auto"/>
          <w:highlight w:val="none"/>
          <w:lang w:val="en-US" w:eastAsia="zh-CN"/>
        </w:rPr>
        <w:t>自愿</w:t>
      </w:r>
      <w:r>
        <w:rPr>
          <w:rFonts w:hint="eastAsia" w:ascii="宋体" w:hAnsi="宋体" w:eastAsia="宋体" w:cs="宋体"/>
          <w:color w:val="auto"/>
          <w:highlight w:val="none"/>
        </w:rPr>
        <w:t>接受以提供虚假材料谋取</w:t>
      </w:r>
      <w:r>
        <w:rPr>
          <w:rFonts w:hint="eastAsia" w:cs="宋体"/>
          <w:color w:val="auto"/>
          <w:highlight w:val="none"/>
          <w:lang w:val="en-US" w:eastAsia="zh-CN"/>
        </w:rPr>
        <w:t>中标</w:t>
      </w:r>
      <w:r>
        <w:rPr>
          <w:rFonts w:hint="eastAsia" w:ascii="宋体" w:hAnsi="宋体" w:eastAsia="宋体" w:cs="宋体"/>
          <w:color w:val="auto"/>
          <w:highlight w:val="none"/>
          <w:lang w:val="en-US" w:eastAsia="zh-CN"/>
        </w:rPr>
        <w:t>所带来的所有</w:t>
      </w:r>
      <w:r>
        <w:rPr>
          <w:rFonts w:hint="eastAsia" w:ascii="宋体" w:hAnsi="宋体" w:eastAsia="宋体" w:cs="宋体"/>
          <w:color w:val="auto"/>
          <w:highlight w:val="none"/>
        </w:rPr>
        <w:t>法律责任。</w:t>
      </w:r>
    </w:p>
    <w:p>
      <w:pPr>
        <w:pStyle w:val="48"/>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lang w:val="en-US" w:eastAsia="zh-CN"/>
        </w:rPr>
      </w:pPr>
    </w:p>
    <w:p>
      <w:pPr>
        <w:pStyle w:val="48"/>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lang w:val="en-US" w:eastAsia="zh-CN"/>
        </w:rPr>
      </w:pPr>
    </w:p>
    <w:p>
      <w:pPr>
        <w:pStyle w:val="52"/>
        <w:bidi w:val="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(盖章)</w:t>
      </w:r>
    </w:p>
    <w:p>
      <w:pPr>
        <w:pStyle w:val="52"/>
        <w:bidi w:val="0"/>
        <w:rPr>
          <w:rFonts w:hint="eastAsia" w:ascii="宋体" w:hAnsi="宋体" w:eastAsia="宋体" w:cs="宋体"/>
          <w:color w:val="auto"/>
          <w:highlight w:val="none"/>
        </w:rPr>
      </w:pPr>
      <w:r>
        <w:rPr>
          <w:rFonts w:hint="eastAsia" w:ascii="宋体" w:hAnsi="宋体" w:eastAsia="宋体" w:cs="宋体"/>
          <w:color w:val="auto"/>
          <w:highlight w:val="none"/>
          <w:lang w:eastAsia="zh-CN"/>
        </w:rPr>
        <w:t>法定代表人/单位负责人或授权代表</w:t>
      </w:r>
      <w:r>
        <w:rPr>
          <w:rFonts w:hint="eastAsia" w:ascii="宋体" w:hAnsi="宋体" w:eastAsia="宋体" w:cs="宋体"/>
          <w:color w:val="auto"/>
          <w:highlight w:val="none"/>
        </w:rPr>
        <w:t>：</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(签字</w:t>
      </w:r>
      <w:r>
        <w:rPr>
          <w:rFonts w:hint="eastAsia" w:ascii="宋体" w:hAnsi="宋体" w:eastAsia="宋体" w:cs="宋体"/>
          <w:color w:val="auto"/>
          <w:highlight w:val="none"/>
          <w:lang w:eastAsia="zh-CN"/>
        </w:rPr>
        <w:t>或盖章</w:t>
      </w:r>
      <w:r>
        <w:rPr>
          <w:rFonts w:hint="eastAsia" w:ascii="宋体" w:hAnsi="宋体" w:eastAsia="宋体" w:cs="宋体"/>
          <w:color w:val="auto"/>
          <w:highlight w:val="none"/>
        </w:rPr>
        <w:t>)</w:t>
      </w:r>
    </w:p>
    <w:p>
      <w:pPr>
        <w:pStyle w:val="69"/>
        <w:numPr>
          <w:ilvl w:val="3"/>
          <w:numId w:val="0"/>
        </w:numPr>
        <w:adjustRightInd/>
        <w:snapToGrid/>
        <w:ind w:firstLine="480" w:firstLineChars="200"/>
        <w:rPr>
          <w:rFonts w:cs="宋体"/>
          <w:u w:val="single"/>
        </w:rPr>
      </w:pPr>
      <w:r>
        <w:rPr>
          <w:rFonts w:hint="eastAsia" w:ascii="宋体" w:hAnsi="宋体" w:eastAsia="宋体" w:cs="宋体"/>
          <w:color w:val="auto"/>
          <w:highlight w:val="none"/>
          <w:lang w:val="en-US" w:eastAsia="zh-CN"/>
        </w:rPr>
        <w:t>投标</w:t>
      </w:r>
      <w:r>
        <w:rPr>
          <w:rFonts w:hint="eastAsia" w:ascii="宋体" w:hAnsi="宋体" w:eastAsia="宋体" w:cs="宋体"/>
          <w:color w:val="auto"/>
          <w:highlight w:val="none"/>
        </w:rPr>
        <w:t>日期：</w:t>
      </w:r>
      <w:r>
        <w:rPr>
          <w:rFonts w:hint="eastAsia" w:ascii="宋体" w:hAnsi="宋体" w:eastAsia="宋体" w:cs="宋体"/>
          <w:color w:val="auto"/>
          <w:highlight w:val="none"/>
          <w:u w:val="single"/>
          <w:lang w:val="en-US" w:eastAsia="zh-CN"/>
        </w:rPr>
        <w:t xml:space="preserve">                  </w:t>
      </w:r>
    </w:p>
    <w:p>
      <w:pPr>
        <w:pStyle w:val="69"/>
        <w:numPr>
          <w:ilvl w:val="3"/>
          <w:numId w:val="0"/>
        </w:numPr>
        <w:adjustRightInd/>
        <w:snapToGrid/>
        <w:ind w:firstLine="480" w:firstLineChars="200"/>
        <w:rPr>
          <w:rFonts w:cs="宋体"/>
          <w:u w:val="single"/>
        </w:rPr>
      </w:pPr>
    </w:p>
    <w:p>
      <w:pPr>
        <w:pStyle w:val="69"/>
        <w:numPr>
          <w:ilvl w:val="3"/>
          <w:numId w:val="0"/>
        </w:numPr>
        <w:ind w:firstLine="482" w:firstLineChars="200"/>
        <w:rPr>
          <w:b/>
          <w:bCs/>
        </w:rPr>
      </w:pPr>
      <w:r>
        <w:rPr>
          <w:rFonts w:hint="eastAsia"/>
          <w:b/>
          <w:bCs/>
        </w:rPr>
        <w:t>注：投标人成立时间超过十年的，在“</w:t>
      </w:r>
      <w:r>
        <w:rPr>
          <w:rFonts w:hint="eastAsia" w:cs="宋体"/>
          <w:b/>
          <w:bCs/>
        </w:rPr>
        <w:t>无行贿犯罪记录的期限</w:t>
      </w:r>
      <w:r>
        <w:rPr>
          <w:rFonts w:hint="eastAsia"/>
          <w:b/>
          <w:bCs/>
        </w:rPr>
        <w:t>”</w:t>
      </w:r>
      <w:r>
        <w:rPr>
          <w:rFonts w:hint="eastAsia" w:cs="宋体"/>
          <w:b/>
          <w:bCs/>
        </w:rPr>
        <w:t>处填写“十年内”；</w:t>
      </w:r>
      <w:r>
        <w:rPr>
          <w:rFonts w:hint="eastAsia"/>
          <w:b/>
          <w:bCs/>
        </w:rPr>
        <w:t>投标人</w:t>
      </w:r>
      <w:r>
        <w:rPr>
          <w:rFonts w:hint="eastAsia" w:cs="宋体"/>
          <w:b/>
          <w:bCs/>
        </w:rPr>
        <w:t>成立时间不足十年的，</w:t>
      </w:r>
      <w:r>
        <w:rPr>
          <w:rFonts w:hint="eastAsia"/>
          <w:b/>
          <w:bCs/>
        </w:rPr>
        <w:t>在“</w:t>
      </w:r>
      <w:r>
        <w:rPr>
          <w:rFonts w:hint="eastAsia" w:cs="宋体"/>
          <w:b/>
          <w:bCs/>
        </w:rPr>
        <w:t>无行贿犯罪记录的期限</w:t>
      </w:r>
      <w:r>
        <w:rPr>
          <w:rFonts w:hint="eastAsia"/>
          <w:b/>
          <w:bCs/>
        </w:rPr>
        <w:t>”</w:t>
      </w:r>
      <w:r>
        <w:rPr>
          <w:rFonts w:hint="eastAsia" w:cs="宋体"/>
          <w:b/>
          <w:bCs/>
        </w:rPr>
        <w:t>处填写“自我单位成立之日起至今”</w:t>
      </w:r>
      <w:r>
        <w:rPr>
          <w:rFonts w:hint="eastAsia"/>
          <w:b/>
          <w:bCs/>
        </w:rPr>
        <w:t>。</w:t>
      </w:r>
    </w:p>
    <w:p>
      <w:pPr>
        <w:pStyle w:val="50"/>
        <w:numPr>
          <w:ilvl w:val="0"/>
          <w:numId w:val="22"/>
        </w:numPr>
        <w:spacing w:before="120" w:after="120"/>
        <w:ind w:firstLine="0"/>
      </w:pPr>
      <w:bookmarkStart w:id="885" w:name="_Toc879"/>
      <w:r>
        <w:rPr>
          <w:rFonts w:hint="eastAsia"/>
        </w:rPr>
        <w:t>根据采购项目的特殊要求，供应商提供具有特定条件</w:t>
      </w:r>
      <w:bookmarkEnd w:id="844"/>
      <w:r>
        <w:rPr>
          <w:rFonts w:hint="eastAsia"/>
        </w:rPr>
        <w:t>的证明材料</w:t>
      </w:r>
      <w:bookmarkEnd w:id="845"/>
      <w:bookmarkEnd w:id="846"/>
      <w:bookmarkEnd w:id="885"/>
    </w:p>
    <w:p>
      <w:pPr>
        <w:pStyle w:val="48"/>
        <w:spacing w:line="460" w:lineRule="exact"/>
        <w:ind w:firstLine="480" w:firstLineChars="200"/>
      </w:pPr>
      <w:r>
        <w:rPr>
          <w:rFonts w:hint="eastAsia"/>
        </w:rPr>
        <w:t>第一包</w:t>
      </w:r>
      <w:r>
        <w:rPr>
          <w:rFonts w:hint="eastAsia"/>
          <w:lang w:eastAsia="zh-CN"/>
        </w:rPr>
        <w:t>、第二包、第三包</w:t>
      </w:r>
      <w:r>
        <w:rPr>
          <w:rFonts w:hint="eastAsia"/>
        </w:rPr>
        <w:t>：供应商</w:t>
      </w:r>
      <w:r>
        <w:rPr>
          <w:rFonts w:hint="eastAsia"/>
          <w:lang w:eastAsia="zh-CN"/>
        </w:rPr>
        <w:t>须提供国家行政主管部门</w:t>
      </w:r>
      <w:r>
        <w:rPr>
          <w:rFonts w:hint="eastAsia"/>
        </w:rPr>
        <w:t>颁发</w:t>
      </w:r>
      <w:r>
        <w:rPr>
          <w:rFonts w:hint="eastAsia"/>
          <w:lang w:eastAsia="zh-CN"/>
        </w:rPr>
        <w:t>且在有效期内</w:t>
      </w:r>
      <w:r>
        <w:rPr>
          <w:rFonts w:hint="eastAsia"/>
        </w:rPr>
        <w:t>的</w:t>
      </w:r>
      <w:r>
        <w:rPr>
          <w:rFonts w:hint="eastAsia"/>
          <w:lang w:eastAsia="zh-CN"/>
        </w:rPr>
        <w:t>甲级</w:t>
      </w:r>
      <w:r>
        <w:rPr>
          <w:rFonts w:hint="eastAsia" w:asciiTheme="minorEastAsia" w:hAnsiTheme="minorEastAsia"/>
          <w:szCs w:val="21"/>
        </w:rPr>
        <w:t>工程测量</w:t>
      </w:r>
      <w:r>
        <w:rPr>
          <w:rFonts w:hint="eastAsia" w:asciiTheme="minorEastAsia" w:hAnsiTheme="minorEastAsia"/>
          <w:szCs w:val="21"/>
          <w:lang w:eastAsia="zh-CN"/>
        </w:rPr>
        <w:t>资质</w:t>
      </w:r>
      <w:r>
        <w:rPr>
          <w:rFonts w:hint="eastAsia"/>
          <w:lang w:val="en-US" w:eastAsia="zh-CN"/>
        </w:rPr>
        <w:t>(含地下管线测量子项)</w:t>
      </w:r>
      <w:r>
        <w:rPr>
          <w:rFonts w:hint="eastAsia"/>
          <w:lang w:eastAsia="zh-CN"/>
        </w:rPr>
        <w:t>和乙级及以上</w:t>
      </w:r>
      <w:r>
        <w:rPr>
          <w:rFonts w:hint="eastAsia"/>
          <w:lang w:val="en-US" w:eastAsia="zh-CN"/>
        </w:rPr>
        <w:t>地理信息系统工程资质（含地理信息系统及数据库建设子项）证书复印件</w:t>
      </w:r>
      <w:r>
        <w:rPr>
          <w:rFonts w:hint="eastAsia"/>
        </w:rPr>
        <w:t>；</w:t>
      </w:r>
    </w:p>
    <w:p>
      <w:pPr>
        <w:pStyle w:val="48"/>
        <w:spacing w:line="460" w:lineRule="exact"/>
        <w:ind w:firstLine="480" w:firstLineChars="200"/>
      </w:pPr>
      <w:r>
        <w:rPr>
          <w:rFonts w:hint="eastAsia"/>
        </w:rPr>
        <w:t>第</w:t>
      </w:r>
      <w:r>
        <w:rPr>
          <w:rFonts w:hint="eastAsia"/>
          <w:lang w:eastAsia="zh-CN"/>
        </w:rPr>
        <w:t>四</w:t>
      </w:r>
      <w:r>
        <w:rPr>
          <w:rFonts w:hint="eastAsia"/>
        </w:rPr>
        <w:t>包：供应商</w:t>
      </w:r>
      <w:r>
        <w:rPr>
          <w:rFonts w:hint="eastAsia"/>
          <w:lang w:eastAsia="zh-CN"/>
        </w:rPr>
        <w:t>须提供国家行政主管部门</w:t>
      </w:r>
      <w:r>
        <w:rPr>
          <w:rFonts w:hint="eastAsia"/>
        </w:rPr>
        <w:t>颁发</w:t>
      </w:r>
      <w:r>
        <w:rPr>
          <w:rFonts w:hint="eastAsia"/>
          <w:lang w:eastAsia="zh-CN"/>
        </w:rPr>
        <w:t>且在有效期内</w:t>
      </w:r>
      <w:r>
        <w:rPr>
          <w:rFonts w:hint="eastAsia"/>
        </w:rPr>
        <w:t>的</w:t>
      </w:r>
      <w:r>
        <w:rPr>
          <w:rFonts w:hint="eastAsia"/>
          <w:lang w:val="en-US" w:eastAsia="zh-CN"/>
        </w:rPr>
        <w:t>甲级工程测量资质（含</w:t>
      </w:r>
      <w:r>
        <w:rPr>
          <w:rFonts w:hint="eastAsia" w:asciiTheme="minorEastAsia" w:hAnsiTheme="minorEastAsia"/>
          <w:szCs w:val="21"/>
        </w:rPr>
        <w:t>地下管线测量</w:t>
      </w:r>
      <w:r>
        <w:rPr>
          <w:rFonts w:hint="eastAsia" w:asciiTheme="minorEastAsia" w:hAnsiTheme="minorEastAsia"/>
          <w:szCs w:val="21"/>
          <w:lang w:eastAsia="zh-CN"/>
        </w:rPr>
        <w:t>和</w:t>
      </w:r>
      <w:r>
        <w:rPr>
          <w:rFonts w:hint="eastAsia" w:asciiTheme="minorEastAsia" w:hAnsiTheme="minorEastAsia"/>
          <w:szCs w:val="21"/>
        </w:rPr>
        <w:t>工程测量监理</w:t>
      </w:r>
      <w:r>
        <w:rPr>
          <w:rFonts w:hint="eastAsia" w:asciiTheme="minorEastAsia" w:hAnsiTheme="minorEastAsia"/>
          <w:szCs w:val="21"/>
          <w:lang w:eastAsia="zh-CN"/>
        </w:rPr>
        <w:t>子项</w:t>
      </w:r>
      <w:r>
        <w:rPr>
          <w:rFonts w:hint="eastAsia"/>
          <w:lang w:val="en-US" w:eastAsia="zh-CN"/>
        </w:rPr>
        <w:t>）证书复印件</w:t>
      </w:r>
      <w:r>
        <w:rPr>
          <w:rFonts w:hint="eastAsia"/>
        </w:rPr>
        <w:t>；</w:t>
      </w:r>
    </w:p>
    <w:p>
      <w:pPr>
        <w:pStyle w:val="48"/>
        <w:spacing w:line="460" w:lineRule="exact"/>
        <w:ind w:firstLine="480" w:firstLineChars="200"/>
        <w:rPr>
          <w:rFonts w:hint="eastAsia" w:eastAsia="宋体"/>
          <w:lang w:eastAsia="zh-CN"/>
        </w:rPr>
      </w:pPr>
      <w:r>
        <w:rPr>
          <w:rFonts w:hint="eastAsia"/>
        </w:rPr>
        <w:t>第</w:t>
      </w:r>
      <w:r>
        <w:rPr>
          <w:rFonts w:hint="eastAsia"/>
          <w:lang w:eastAsia="zh-CN"/>
        </w:rPr>
        <w:t>五</w:t>
      </w:r>
      <w:r>
        <w:rPr>
          <w:rFonts w:hint="eastAsia"/>
        </w:rPr>
        <w:t>包：</w:t>
      </w:r>
      <w:r>
        <w:rPr>
          <w:rFonts w:hint="eastAsia" w:ascii="宋体" w:hAnsi="宋体" w:eastAsia="宋体" w:cs="宋体"/>
          <w:color w:val="auto"/>
          <w:sz w:val="24"/>
          <w:szCs w:val="24"/>
          <w:lang w:eastAsia="zh-CN"/>
        </w:rPr>
        <w:t>供应商须具有</w:t>
      </w:r>
      <w:r>
        <w:rPr>
          <w:rFonts w:hint="eastAsia" w:ascii="宋体" w:hAnsi="宋体" w:eastAsia="宋体" w:cs="宋体"/>
          <w:color w:val="auto"/>
          <w:sz w:val="24"/>
          <w:szCs w:val="24"/>
        </w:rPr>
        <w:t>CMA</w:t>
      </w:r>
      <w:r>
        <w:rPr>
          <w:rFonts w:hint="eastAsia" w:ascii="宋体" w:hAnsi="宋体" w:eastAsia="宋体" w:cs="宋体"/>
          <w:color w:val="auto"/>
          <w:sz w:val="24"/>
          <w:szCs w:val="24"/>
          <w:lang w:eastAsia="zh-CN"/>
        </w:rPr>
        <w:t>检验检测机构资质认定证书</w:t>
      </w:r>
      <w:r>
        <w:rPr>
          <w:rFonts w:hint="eastAsia" w:ascii="宋体" w:hAnsi="宋体" w:eastAsia="宋体" w:cs="宋体"/>
          <w:color w:val="auto"/>
          <w:sz w:val="24"/>
          <w:szCs w:val="24"/>
        </w:rPr>
        <w:t>(</w:t>
      </w:r>
      <w:r>
        <w:rPr>
          <w:rFonts w:hint="eastAsia" w:cs="宋体"/>
          <w:color w:val="auto"/>
          <w:sz w:val="24"/>
          <w:szCs w:val="24"/>
          <w:lang w:val="en-US" w:eastAsia="zh-CN"/>
        </w:rPr>
        <w:t>资质</w:t>
      </w:r>
      <w:r>
        <w:rPr>
          <w:rFonts w:hint="eastAsia" w:ascii="宋体" w:hAnsi="宋体" w:eastAsia="宋体" w:cs="宋体"/>
          <w:color w:val="auto"/>
          <w:sz w:val="24"/>
          <w:szCs w:val="24"/>
          <w:lang w:eastAsia="zh-CN"/>
        </w:rPr>
        <w:t>范围须包含平面控制测量、高程控制测量、</w:t>
      </w:r>
      <w:r>
        <w:rPr>
          <w:rFonts w:hint="eastAsia"/>
          <w:lang w:eastAsia="zh-CN"/>
        </w:rPr>
        <w:t>地下管线测量</w:t>
      </w:r>
      <w:r>
        <w:rPr>
          <w:rFonts w:hint="eastAsia" w:ascii="宋体" w:hAnsi="宋体" w:eastAsia="宋体" w:cs="宋体"/>
          <w:color w:val="auto"/>
          <w:sz w:val="24"/>
          <w:szCs w:val="24"/>
        </w:rPr>
        <w:t>)</w:t>
      </w:r>
      <w:r>
        <w:rPr>
          <w:rFonts w:hint="eastAsia"/>
          <w:lang w:eastAsia="zh-CN"/>
        </w:rPr>
        <w:t>复印件。</w:t>
      </w:r>
    </w:p>
    <w:p>
      <w:pPr>
        <w:pStyle w:val="52"/>
        <w:rPr>
          <w:highlight w:val="yellow"/>
        </w:rPr>
      </w:pPr>
    </w:p>
    <w:p>
      <w:pPr>
        <w:pStyle w:val="50"/>
        <w:numPr>
          <w:ilvl w:val="0"/>
          <w:numId w:val="22"/>
        </w:numPr>
        <w:spacing w:before="120" w:after="120"/>
        <w:ind w:firstLine="0"/>
      </w:pPr>
      <w:bookmarkStart w:id="886" w:name="_Toc25417"/>
      <w:bookmarkStart w:id="887" w:name="_Toc30023"/>
      <w:bookmarkStart w:id="888" w:name="_Toc10725"/>
      <w:r>
        <w:rPr>
          <w:rFonts w:hint="eastAsia"/>
        </w:rPr>
        <w:t>信用信息查询</w:t>
      </w:r>
      <w:bookmarkEnd w:id="886"/>
      <w:bookmarkEnd w:id="887"/>
      <w:bookmarkEnd w:id="888"/>
    </w:p>
    <w:p>
      <w:pPr>
        <w:pStyle w:val="52"/>
      </w:pPr>
      <w:r>
        <w:rPr>
          <w:rFonts w:hint="eastAsia"/>
        </w:rPr>
        <w:t>投标人不得为“信用中国”网站(www.creditchina.gov.cn)中列入失信被执行人和重大税收违法案件当事人名单的供应商，不得为“中国政府采购网”(www.ccgp.gov.cn)政府采购严重违法失信行为记录名单中被财政部门禁止参加政府采购活动的供应商(处罚决定规定的时间和地域范围内)。</w:t>
      </w:r>
    </w:p>
    <w:p>
      <w:pPr>
        <w:pStyle w:val="53"/>
        <w:ind w:firstLine="482"/>
        <w:rPr>
          <w:b w:val="0"/>
          <w:bCs/>
        </w:rPr>
      </w:pPr>
      <w:r>
        <w:rPr>
          <w:rFonts w:hint="eastAsia"/>
        </w:rPr>
        <w:t>注：</w:t>
      </w:r>
      <w:r>
        <w:rPr>
          <w:rFonts w:hint="eastAsia"/>
          <w:b w:val="0"/>
          <w:bCs/>
        </w:rPr>
        <w:t>①采购代理机构通过“信用中国”网站、“中国政府采购网”网站等渠道对供应商进行信用记录查询，并将查询记录存档。凡被列入失信被执行人、重大税收违法案件当事人名单、政府采购严重违法失信行为记录名单的，视为存在不良信用记录，参与本项目的将被拒绝；</w:t>
      </w:r>
    </w:p>
    <w:p>
      <w:pPr>
        <w:pStyle w:val="53"/>
        <w:ind w:firstLine="482"/>
      </w:pPr>
      <w:r>
        <w:rPr>
          <w:rFonts w:hint="eastAsia"/>
        </w:rPr>
        <w:t>②投标人参与投标时无需对此条进行响应。</w:t>
      </w:r>
    </w:p>
    <w:p>
      <w:pPr>
        <w:pStyle w:val="50"/>
        <w:numPr>
          <w:ilvl w:val="0"/>
          <w:numId w:val="22"/>
        </w:numPr>
        <w:spacing w:before="120" w:after="120"/>
        <w:ind w:firstLine="0"/>
      </w:pPr>
      <w:bookmarkStart w:id="889" w:name="_Toc8837"/>
      <w:bookmarkStart w:id="890" w:name="_Toc15708"/>
      <w:bookmarkStart w:id="891" w:name="_Toc21855"/>
      <w:r>
        <w:rPr>
          <w:rFonts w:hint="eastAsia"/>
        </w:rPr>
        <w:t>符合《中华人民共和国政府采购法》第二十二条规定的条件的承诺及声明函</w:t>
      </w:r>
      <w:bookmarkEnd w:id="889"/>
      <w:bookmarkEnd w:id="890"/>
      <w:bookmarkEnd w:id="891"/>
    </w:p>
    <w:p>
      <w:pPr>
        <w:pStyle w:val="48"/>
      </w:pPr>
      <w:r>
        <w:rPr>
          <w:rFonts w:hint="eastAsia"/>
          <w:u w:val="single"/>
        </w:rPr>
        <w:t xml:space="preserve">                   </w:t>
      </w:r>
      <w:r>
        <w:rPr>
          <w:rFonts w:hint="eastAsia"/>
        </w:rPr>
        <w:t>(采购代理机构名称)：</w:t>
      </w:r>
    </w:p>
    <w:p>
      <w:pPr>
        <w:pStyle w:val="48"/>
        <w:ind w:firstLine="480" w:firstLineChars="200"/>
      </w:pPr>
      <w:r>
        <w:rPr>
          <w:rFonts w:hint="eastAsia"/>
        </w:rPr>
        <w:t>我公司作为本次采购项目的投标供应商，根据招标文件要求，现郑重承诺如下：</w:t>
      </w:r>
    </w:p>
    <w:p>
      <w:pPr>
        <w:pStyle w:val="42"/>
        <w:numPr>
          <w:ilvl w:val="2"/>
          <w:numId w:val="23"/>
        </w:numPr>
        <w:ind w:firstLine="480"/>
      </w:pPr>
      <w:r>
        <w:rPr>
          <w:rFonts w:hint="eastAsia"/>
        </w:rPr>
        <w:t xml:space="preserve">具有良好的商业信誉和健全的财务会计制度； </w:t>
      </w:r>
    </w:p>
    <w:p>
      <w:pPr>
        <w:pStyle w:val="42"/>
        <w:numPr>
          <w:ilvl w:val="2"/>
          <w:numId w:val="23"/>
        </w:numPr>
        <w:ind w:firstLine="480"/>
      </w:pPr>
      <w:r>
        <w:rPr>
          <w:rFonts w:hint="eastAsia"/>
        </w:rPr>
        <w:t xml:space="preserve">具有履行合同所必需的设备和专业技术能力； </w:t>
      </w:r>
    </w:p>
    <w:p>
      <w:pPr>
        <w:pStyle w:val="42"/>
        <w:numPr>
          <w:ilvl w:val="2"/>
          <w:numId w:val="23"/>
        </w:numPr>
        <w:ind w:firstLine="480"/>
      </w:pPr>
      <w:r>
        <w:rPr>
          <w:rFonts w:hint="eastAsia"/>
        </w:rPr>
        <w:t xml:space="preserve">具有依法缴纳税收和社会保障资金的良好记录； </w:t>
      </w:r>
    </w:p>
    <w:p>
      <w:pPr>
        <w:pStyle w:val="42"/>
        <w:numPr>
          <w:ilvl w:val="2"/>
          <w:numId w:val="23"/>
        </w:numPr>
        <w:ind w:firstLine="480"/>
      </w:pPr>
      <w:r>
        <w:rPr>
          <w:rFonts w:hint="eastAsia"/>
        </w:rPr>
        <w:t>参加本次政府采购活动前三年内，在经营活动中没有重大违法记录(供应商成立不足三年的，从成立之日起计算)；</w:t>
      </w:r>
    </w:p>
    <w:p>
      <w:pPr>
        <w:pStyle w:val="42"/>
        <w:numPr>
          <w:ilvl w:val="2"/>
          <w:numId w:val="23"/>
        </w:numPr>
        <w:ind w:firstLine="480"/>
      </w:pPr>
      <w:r>
        <w:rPr>
          <w:rFonts w:hint="eastAsia"/>
        </w:rPr>
        <w:t>符合法律、行政法规规定的其他条件。</w:t>
      </w:r>
    </w:p>
    <w:p>
      <w:pPr>
        <w:pStyle w:val="52"/>
      </w:pPr>
      <w:r>
        <w:rPr>
          <w:rFonts w:hint="eastAsia"/>
        </w:rPr>
        <w:t>本公司对上述承诺的内容事项真实性、合法性负责。如经查实上述承诺的内容事项存在虚假，我公司自愿接受以提供虚假材料谋取中标所带来的所有法律责任。</w:t>
      </w:r>
    </w:p>
    <w:p>
      <w:pPr>
        <w:pStyle w:val="48"/>
      </w:pPr>
    </w:p>
    <w:p>
      <w:pPr>
        <w:pStyle w:val="48"/>
      </w:pPr>
    </w:p>
    <w:p>
      <w:pPr>
        <w:pStyle w:val="52"/>
      </w:pPr>
      <w:r>
        <w:rPr>
          <w:rFonts w:hint="eastAsia"/>
        </w:rPr>
        <w:t>投标人名称：</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rPr>
        <w:t>(盖章)</w:t>
      </w:r>
    </w:p>
    <w:p>
      <w:pPr>
        <w:pStyle w:val="52"/>
      </w:pPr>
      <w:r>
        <w:rPr>
          <w:rFonts w:hint="eastAsia"/>
        </w:rPr>
        <w:t>法定代表人/单位负责人或授权代表：</w:t>
      </w:r>
      <w:r>
        <w:rPr>
          <w:rFonts w:hint="eastAsia"/>
          <w:u w:val="single"/>
          <w:lang w:val="en-US" w:eastAsia="zh-CN"/>
        </w:rPr>
        <w:t xml:space="preserve">            </w:t>
      </w:r>
      <w:r>
        <w:rPr>
          <w:rFonts w:hint="eastAsia"/>
        </w:rPr>
        <w:t>(签字或盖章)</w:t>
      </w:r>
    </w:p>
    <w:p>
      <w:pPr>
        <w:pStyle w:val="52"/>
      </w:pPr>
      <w:r>
        <w:rPr>
          <w:rFonts w:hint="eastAsia"/>
        </w:rPr>
        <w:t>投标日期：</w:t>
      </w:r>
      <w:r>
        <w:rPr>
          <w:rFonts w:hint="eastAsia"/>
          <w:u w:val="single"/>
          <w:lang w:val="en-US" w:eastAsia="zh-CN"/>
        </w:rPr>
        <w:t xml:space="preserve">                </w:t>
      </w:r>
    </w:p>
    <w:p>
      <w:pPr>
        <w:pStyle w:val="53"/>
        <w:ind w:firstLine="482"/>
      </w:pPr>
      <w:r>
        <w:rPr>
          <w:rFonts w:hint="eastAsia"/>
        </w:rPr>
        <w:t>注：本部分所要求的承诺函可参照本格式或自拟格式填写均有效。</w:t>
      </w:r>
    </w:p>
    <w:p>
      <w:pPr>
        <w:pStyle w:val="48"/>
      </w:pPr>
    </w:p>
    <w:p>
      <w:pPr>
        <w:pStyle w:val="48"/>
      </w:pPr>
      <w:r>
        <w:rPr>
          <w:rFonts w:hint="eastAsia"/>
        </w:rPr>
        <w:br w:type="page"/>
      </w:r>
      <w:bookmarkStart w:id="892" w:name="_Toc18702"/>
    </w:p>
    <w:p>
      <w:pPr>
        <w:pStyle w:val="48"/>
      </w:pPr>
    </w:p>
    <w:p>
      <w:pPr>
        <w:pStyle w:val="48"/>
      </w:pPr>
    </w:p>
    <w:p>
      <w:pPr>
        <w:pStyle w:val="48"/>
      </w:pPr>
    </w:p>
    <w:p>
      <w:pPr>
        <w:pStyle w:val="48"/>
      </w:pPr>
    </w:p>
    <w:p>
      <w:pPr>
        <w:pStyle w:val="48"/>
      </w:pPr>
    </w:p>
    <w:p>
      <w:pPr>
        <w:pStyle w:val="48"/>
      </w:pPr>
    </w:p>
    <w:p>
      <w:pPr>
        <w:pStyle w:val="48"/>
      </w:pPr>
    </w:p>
    <w:p>
      <w:pPr>
        <w:pStyle w:val="48"/>
      </w:pPr>
    </w:p>
    <w:p>
      <w:pPr>
        <w:pStyle w:val="48"/>
      </w:pPr>
    </w:p>
    <w:p>
      <w:pPr>
        <w:pStyle w:val="48"/>
      </w:pPr>
      <w:bookmarkStart w:id="893" w:name="_Toc14607"/>
    </w:p>
    <w:p>
      <w:pPr>
        <w:pStyle w:val="48"/>
      </w:pPr>
    </w:p>
    <w:p>
      <w:pPr>
        <w:pStyle w:val="48"/>
      </w:pPr>
    </w:p>
    <w:p>
      <w:pPr>
        <w:pStyle w:val="48"/>
      </w:pPr>
    </w:p>
    <w:p>
      <w:pPr>
        <w:pStyle w:val="41"/>
        <w:numPr>
          <w:ilvl w:val="1"/>
          <w:numId w:val="0"/>
        </w:numPr>
        <w:jc w:val="center"/>
        <w:rPr>
          <w:sz w:val="32"/>
          <w:szCs w:val="32"/>
        </w:rPr>
      </w:pPr>
      <w:bookmarkStart w:id="894" w:name="_Toc26571"/>
      <w:r>
        <w:rPr>
          <w:rFonts w:hint="eastAsia"/>
          <w:sz w:val="32"/>
          <w:szCs w:val="32"/>
        </w:rPr>
        <w:t>第二部分 其他投标文件(格式)</w:t>
      </w:r>
      <w:bookmarkEnd w:id="893"/>
      <w:bookmarkEnd w:id="894"/>
    </w:p>
    <w:p>
      <w:pPr>
        <w:pStyle w:val="48"/>
      </w:pPr>
      <w:bookmarkStart w:id="895" w:name="_Toc26038"/>
      <w:r>
        <w:rPr>
          <w:rFonts w:hint="eastAsia"/>
        </w:rPr>
        <w:br w:type="page"/>
      </w:r>
    </w:p>
    <w:bookmarkEnd w:id="892"/>
    <w:bookmarkEnd w:id="895"/>
    <w:p>
      <w:pPr>
        <w:pStyle w:val="50"/>
        <w:numPr>
          <w:ilvl w:val="0"/>
          <w:numId w:val="24"/>
        </w:numPr>
        <w:spacing w:before="120" w:after="120"/>
        <w:ind w:firstLine="0"/>
      </w:pPr>
      <w:bookmarkStart w:id="896" w:name="_Toc28918"/>
      <w:bookmarkStart w:id="897" w:name="_Toc2311"/>
      <w:bookmarkStart w:id="898" w:name="_Toc11229"/>
      <w:bookmarkStart w:id="899" w:name="_Toc1650"/>
      <w:bookmarkStart w:id="900" w:name="_Toc19766"/>
      <w:bookmarkStart w:id="901" w:name="_Toc30133"/>
      <w:bookmarkStart w:id="902" w:name="_Toc5308"/>
      <w:r>
        <w:rPr>
          <w:rFonts w:hint="eastAsia"/>
        </w:rPr>
        <w:t>投标函</w:t>
      </w:r>
      <w:bookmarkEnd w:id="896"/>
      <w:bookmarkEnd w:id="897"/>
      <w:bookmarkEnd w:id="898"/>
    </w:p>
    <w:p>
      <w:pPr>
        <w:pStyle w:val="48"/>
        <w:rPr>
          <w:lang w:val="zh-CN"/>
        </w:rPr>
      </w:pPr>
      <w:r>
        <w:rPr>
          <w:rFonts w:hint="eastAsia"/>
          <w:lang w:val="zh-CN"/>
        </w:rPr>
        <w:t>致：四川意惠采购招标代理有限公司　</w:t>
      </w:r>
    </w:p>
    <w:p>
      <w:pPr>
        <w:pStyle w:val="52"/>
      </w:pPr>
      <w:r>
        <w:rPr>
          <w:rFonts w:hint="eastAsia"/>
        </w:rPr>
        <w:t>我方全面研究了“</w:t>
      </w:r>
      <w:r>
        <w:rPr>
          <w:rFonts w:hint="eastAsia"/>
          <w:u w:val="single"/>
        </w:rPr>
        <w:t xml:space="preserve">               </w:t>
      </w:r>
      <w:r>
        <w:rPr>
          <w:rFonts w:hint="eastAsia"/>
        </w:rPr>
        <w:t>(项目名称)(项目编号：</w:t>
      </w:r>
      <w:r>
        <w:rPr>
          <w:rFonts w:hint="eastAsia"/>
          <w:u w:val="single"/>
        </w:rPr>
        <w:t xml:space="preserve">               </w:t>
      </w:r>
      <w:r>
        <w:rPr>
          <w:rFonts w:hint="eastAsia"/>
        </w:rPr>
        <w:t>)”的招标文件，决定参加贵单位组织的本项目</w:t>
      </w:r>
      <w:r>
        <w:rPr>
          <w:rFonts w:hint="eastAsia"/>
          <w:highlight w:val="none"/>
        </w:rPr>
        <w:t>第</w:t>
      </w:r>
      <w:r>
        <w:rPr>
          <w:rFonts w:hint="eastAsia"/>
          <w:highlight w:val="none"/>
          <w:u w:val="single"/>
          <w:lang w:val="en-US" w:eastAsia="zh-CN"/>
        </w:rPr>
        <w:t xml:space="preserve">  </w:t>
      </w:r>
      <w:r>
        <w:rPr>
          <w:rFonts w:hint="eastAsia"/>
        </w:rPr>
        <w:t>包投标。我方授权(姓名、职务)代表我方(投标人名称)全权处理本项目投标的有关事宜。</w:t>
      </w:r>
    </w:p>
    <w:p>
      <w:pPr>
        <w:pStyle w:val="42"/>
        <w:numPr>
          <w:ilvl w:val="2"/>
          <w:numId w:val="25"/>
        </w:numPr>
        <w:ind w:firstLine="480"/>
      </w:pPr>
      <w:r>
        <w:rPr>
          <w:rFonts w:hint="eastAsia"/>
        </w:rPr>
        <w:t>我方自愿按照招标文件规定的各项要求向采购人提供所需服务，投标报价以我公司单独递交的开标一览表为准，我方将严格履行合同规定的责任和义务，履约时间为</w:t>
      </w:r>
      <w:r>
        <w:rPr>
          <w:rFonts w:hint="eastAsia"/>
          <w:u w:val="single"/>
        </w:rPr>
        <w:t xml:space="preserve">               </w:t>
      </w:r>
      <w:r>
        <w:rPr>
          <w:rFonts w:hint="eastAsia"/>
        </w:rPr>
        <w:t>。</w:t>
      </w:r>
    </w:p>
    <w:p>
      <w:pPr>
        <w:pStyle w:val="42"/>
        <w:numPr>
          <w:ilvl w:val="2"/>
          <w:numId w:val="25"/>
        </w:numPr>
        <w:ind w:firstLine="480"/>
      </w:pPr>
      <w:r>
        <w:rPr>
          <w:rFonts w:hint="eastAsia"/>
        </w:rPr>
        <w:t>我方承诺：投标有效期为提交投标文件的截止之日起90日。</w:t>
      </w:r>
    </w:p>
    <w:p>
      <w:pPr>
        <w:pStyle w:val="42"/>
        <w:numPr>
          <w:ilvl w:val="2"/>
          <w:numId w:val="25"/>
        </w:numPr>
        <w:ind w:firstLine="480"/>
      </w:pPr>
      <w:r>
        <w:rPr>
          <w:rFonts w:hint="eastAsia"/>
        </w:rPr>
        <w:t>我方完全理解采购人不一定将合同授予最低报价的投标人的行为。</w:t>
      </w:r>
    </w:p>
    <w:p>
      <w:pPr>
        <w:pStyle w:val="42"/>
        <w:numPr>
          <w:ilvl w:val="2"/>
          <w:numId w:val="25"/>
        </w:numPr>
        <w:ind w:firstLine="480"/>
      </w:pPr>
      <w:r>
        <w:rPr>
          <w:rFonts w:hint="eastAsia"/>
        </w:rPr>
        <w:t>一旦我方中标：</w:t>
      </w:r>
    </w:p>
    <w:p>
      <w:pPr>
        <w:pStyle w:val="43"/>
        <w:ind w:firstLine="480"/>
      </w:pPr>
      <w:r>
        <w:rPr>
          <w:rFonts w:hint="eastAsia"/>
        </w:rPr>
        <w:t>我方承诺在收到中标通知书后，在规定的期限内与采购人签订合同。</w:t>
      </w:r>
    </w:p>
    <w:p>
      <w:pPr>
        <w:pStyle w:val="43"/>
        <w:ind w:firstLine="480"/>
      </w:pPr>
      <w:r>
        <w:rPr>
          <w:rFonts w:hint="eastAsia"/>
        </w:rPr>
        <w:t>我方将严格履行政府采购合同规定的责任和义务。</w:t>
      </w:r>
    </w:p>
    <w:p>
      <w:pPr>
        <w:pStyle w:val="43"/>
        <w:ind w:firstLine="480"/>
      </w:pPr>
      <w:r>
        <w:rPr>
          <w:rFonts w:hint="eastAsia"/>
        </w:rPr>
        <w:t>我方同意本招标文件</w:t>
      </w:r>
      <w:r>
        <w:rPr>
          <w:rFonts w:hint="eastAsia"/>
          <w:lang w:val="en-US" w:eastAsia="zh-CN"/>
        </w:rPr>
        <w:t>参照</w:t>
      </w:r>
      <w:r>
        <w:rPr>
          <w:rFonts w:hint="eastAsia"/>
        </w:rPr>
        <w:t>《四川省政府采购当事人诚信管理办法》(川财采〔2015〕33号文件)对我方可能存在的失信行为进行惩戒，并予以承认。</w:t>
      </w:r>
    </w:p>
    <w:p>
      <w:pPr>
        <w:pStyle w:val="43"/>
        <w:ind w:firstLine="480"/>
      </w:pPr>
      <w:r>
        <w:rPr>
          <w:rFonts w:hint="eastAsia"/>
        </w:rPr>
        <w:t>我方愿意提供与投标报价有关的文件资料，并保证我方已提供和将要提供的文件资料是真实、准确的。</w:t>
      </w:r>
    </w:p>
    <w:p>
      <w:pPr>
        <w:pStyle w:val="43"/>
        <w:ind w:firstLine="480"/>
      </w:pPr>
      <w:r>
        <w:rPr>
          <w:rFonts w:hint="eastAsia"/>
        </w:rPr>
        <w:t>我方自愿按照招标文件规定的各项要求完成采购项目，接受采购人按照政府采购合同约定金额支付采购资金。</w:t>
      </w:r>
    </w:p>
    <w:p>
      <w:pPr>
        <w:pStyle w:val="43"/>
        <w:ind w:firstLine="480"/>
      </w:pPr>
      <w:r>
        <w:rPr>
          <w:rFonts w:hint="eastAsia"/>
        </w:rPr>
        <w:t>我方在参与本项目履约过程中涉及国家相关强制标准的，均按照该标准执行。</w:t>
      </w:r>
    </w:p>
    <w:p>
      <w:pPr>
        <w:pStyle w:val="42"/>
        <w:numPr>
          <w:ilvl w:val="2"/>
          <w:numId w:val="25"/>
        </w:numPr>
        <w:ind w:firstLine="480"/>
      </w:pPr>
      <w:r>
        <w:rPr>
          <w:rFonts w:hint="eastAsia"/>
        </w:rPr>
        <w:t>我方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pPr>
        <w:pStyle w:val="48"/>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rPr>
      </w:pPr>
      <w:r>
        <w:rPr>
          <w:rFonts w:hint="eastAsia"/>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(盖章)</w:t>
      </w:r>
    </w:p>
    <w:p>
      <w:pPr>
        <w:pStyle w:val="48"/>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rPr>
      </w:pPr>
      <w:r>
        <w:rPr>
          <w:rFonts w:hint="eastAsia"/>
          <w:lang w:eastAsia="zh-CN"/>
        </w:rPr>
        <w:t>法定代表人/单位负责人或授权代表</w:t>
      </w:r>
      <w:r>
        <w:rPr>
          <w:rFonts w:hint="eastAsia"/>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(签字</w:t>
      </w:r>
      <w:r>
        <w:rPr>
          <w:rFonts w:hint="eastAsia"/>
          <w:lang w:eastAsia="zh-CN"/>
        </w:rPr>
        <w:t>或盖章</w:t>
      </w:r>
      <w:r>
        <w:rPr>
          <w:rFonts w:hint="eastAsia"/>
        </w:rPr>
        <w:t>)</w:t>
      </w:r>
    </w:p>
    <w:p>
      <w:pPr>
        <w:pStyle w:val="48"/>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rPr>
      </w:pPr>
      <w:r>
        <w:rPr>
          <w:rFonts w:hint="eastAsia"/>
        </w:rPr>
        <w:t>通讯地址：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 xml:space="preserve">               </w:t>
      </w:r>
    </w:p>
    <w:p>
      <w:pPr>
        <w:pStyle w:val="48"/>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rPr>
      </w:pPr>
      <w:r>
        <w:rPr>
          <w:rFonts w:hint="eastAsia"/>
        </w:rPr>
        <w:t>邮政编码：</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 xml:space="preserve">               </w:t>
      </w:r>
    </w:p>
    <w:p>
      <w:pPr>
        <w:pStyle w:val="48"/>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rPr>
      </w:pPr>
      <w:r>
        <w:rPr>
          <w:rFonts w:hint="eastAsia"/>
        </w:rPr>
        <w:t>联系电话：</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 xml:space="preserve">               </w:t>
      </w:r>
    </w:p>
    <w:p>
      <w:pPr>
        <w:pStyle w:val="48"/>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rPr>
      </w:pPr>
      <w:r>
        <w:rPr>
          <w:rFonts w:hint="eastAsia"/>
        </w:rPr>
        <w:t>传    真：</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 xml:space="preserve">               </w:t>
      </w:r>
    </w:p>
    <w:p>
      <w:pPr>
        <w:pStyle w:val="48"/>
        <w:ind w:firstLine="480" w:firstLineChars="200"/>
      </w:pPr>
      <w:r>
        <w:rPr>
          <w:rFonts w:hint="eastAsia"/>
        </w:rPr>
        <w:t>投标日期：</w:t>
      </w:r>
      <w:r>
        <w:rPr>
          <w:rFonts w:hint="eastAsia" w:asciiTheme="minorEastAsia" w:hAnsiTheme="minorEastAsia" w:eastAsiaTheme="minorEastAsia" w:cstheme="minorEastAsia"/>
          <w:bCs/>
          <w:color w:val="auto"/>
          <w:sz w:val="24"/>
          <w:szCs w:val="24"/>
          <w:highlight w:val="none"/>
          <w:u w:val="single"/>
        </w:rPr>
        <w:t xml:space="preserve">               </w:t>
      </w:r>
    </w:p>
    <w:p>
      <w:r>
        <w:rPr>
          <w:rFonts w:hint="eastAsia"/>
        </w:rPr>
        <w:br w:type="page"/>
      </w:r>
    </w:p>
    <w:p>
      <w:pPr>
        <w:pStyle w:val="50"/>
        <w:numPr>
          <w:ilvl w:val="0"/>
          <w:numId w:val="24"/>
        </w:numPr>
        <w:spacing w:before="120" w:after="120"/>
        <w:ind w:firstLine="0"/>
      </w:pPr>
      <w:bookmarkStart w:id="903" w:name="_Toc22321"/>
      <w:r>
        <w:rPr>
          <w:rFonts w:hint="eastAsia"/>
        </w:rPr>
        <w:t>实质性要求承诺</w:t>
      </w:r>
      <w:bookmarkEnd w:id="903"/>
    </w:p>
    <w:p>
      <w:pPr>
        <w:pStyle w:val="48"/>
      </w:pPr>
      <w:r>
        <w:rPr>
          <w:rFonts w:hint="eastAsia"/>
          <w:u w:val="single"/>
        </w:rPr>
        <w:t xml:space="preserve">                   </w:t>
      </w:r>
      <w:r>
        <w:rPr>
          <w:rFonts w:hint="eastAsia"/>
        </w:rPr>
        <w:t>(采购代理机构名称)：</w:t>
      </w:r>
    </w:p>
    <w:p>
      <w:pPr>
        <w:pStyle w:val="52"/>
      </w:pPr>
      <w:r>
        <w:rPr>
          <w:rFonts w:hint="eastAsia"/>
        </w:rPr>
        <w:t>我方作为本次采购项目的投标人，根据招标文件要求，现郑重承诺及声明如下：</w:t>
      </w:r>
    </w:p>
    <w:p>
      <w:pPr>
        <w:pStyle w:val="42"/>
        <w:numPr>
          <w:ilvl w:val="2"/>
          <w:numId w:val="26"/>
        </w:numPr>
        <w:ind w:firstLine="480"/>
      </w:pPr>
      <w:r>
        <w:rPr>
          <w:rFonts w:hint="eastAsia"/>
        </w:rPr>
        <w:t>我方已认真阅读并接受本项目采购文件的全部实质性要求。</w:t>
      </w:r>
    </w:p>
    <w:p>
      <w:pPr>
        <w:pStyle w:val="42"/>
        <w:numPr>
          <w:ilvl w:val="2"/>
          <w:numId w:val="26"/>
        </w:numPr>
        <w:ind w:firstLine="480"/>
      </w:pPr>
      <w:r>
        <w:rPr>
          <w:rFonts w:hint="eastAsia"/>
          <w:lang w:val="en-US" w:eastAsia="zh-CN"/>
        </w:rPr>
        <w:t>我方</w:t>
      </w:r>
      <w:r>
        <w:rPr>
          <w:rFonts w:hint="eastAsia"/>
        </w:rPr>
        <w:t>参加本次采购活动，不存在与单位负责人为同一人或者存在直接控股、管理关系的其他供应商参与同一合同项下的政府采购活动的行为。</w:t>
      </w:r>
      <w:r>
        <w:rPr>
          <w:rFonts w:hint="eastAsia"/>
          <w:color w:val="auto"/>
          <w:sz w:val="24"/>
          <w:szCs w:val="24"/>
          <w:lang w:val="en-US" w:eastAsia="zh-CN"/>
        </w:rPr>
        <w:t>与我方</w:t>
      </w:r>
      <w:r>
        <w:rPr>
          <w:rFonts w:hint="eastAsia"/>
          <w:color w:val="auto"/>
          <w:sz w:val="24"/>
          <w:szCs w:val="24"/>
        </w:rPr>
        <w:t>存在直接控股关系的</w:t>
      </w:r>
      <w:r>
        <w:rPr>
          <w:rFonts w:hint="eastAsia"/>
          <w:color w:val="auto"/>
          <w:sz w:val="24"/>
          <w:szCs w:val="24"/>
          <w:lang w:val="en-US" w:eastAsia="zh-CN"/>
        </w:rPr>
        <w:t>单位为：</w:t>
      </w:r>
      <w:r>
        <w:rPr>
          <w:rFonts w:hint="eastAsia"/>
          <w:color w:val="auto"/>
          <w:sz w:val="24"/>
          <w:szCs w:val="24"/>
          <w:u w:val="single"/>
          <w:lang w:val="en-US" w:eastAsia="zh-CN"/>
        </w:rPr>
        <w:t xml:space="preserve">                  </w:t>
      </w:r>
      <w:r>
        <w:rPr>
          <w:rFonts w:hint="eastAsia"/>
          <w:color w:val="auto"/>
          <w:sz w:val="24"/>
          <w:szCs w:val="24"/>
          <w:lang w:eastAsia="zh-CN"/>
        </w:rPr>
        <w:t>；</w:t>
      </w:r>
      <w:r>
        <w:rPr>
          <w:rFonts w:hint="eastAsia"/>
          <w:color w:val="auto"/>
          <w:sz w:val="24"/>
          <w:szCs w:val="24"/>
          <w:lang w:val="en-US" w:eastAsia="zh-CN"/>
        </w:rPr>
        <w:t>存在</w:t>
      </w:r>
      <w:r>
        <w:rPr>
          <w:rFonts w:hint="eastAsia"/>
          <w:color w:val="auto"/>
          <w:sz w:val="24"/>
          <w:szCs w:val="24"/>
        </w:rPr>
        <w:t>管理关系的</w:t>
      </w:r>
      <w:r>
        <w:rPr>
          <w:rFonts w:hint="eastAsia"/>
          <w:color w:val="auto"/>
          <w:sz w:val="24"/>
          <w:szCs w:val="24"/>
          <w:lang w:val="en-US" w:eastAsia="zh-CN"/>
        </w:rPr>
        <w:t>单位为：</w:t>
      </w:r>
      <w:r>
        <w:rPr>
          <w:rFonts w:hint="eastAsia"/>
          <w:color w:val="auto"/>
          <w:sz w:val="24"/>
          <w:szCs w:val="24"/>
          <w:u w:val="single"/>
          <w:lang w:val="en-US" w:eastAsia="zh-CN"/>
        </w:rPr>
        <w:t xml:space="preserve">                      </w:t>
      </w:r>
      <w:r>
        <w:rPr>
          <w:rFonts w:hint="eastAsia"/>
          <w:color w:val="auto"/>
          <w:sz w:val="24"/>
          <w:szCs w:val="24"/>
          <w:u w:val="none"/>
          <w:lang w:val="en-US" w:eastAsia="zh-CN"/>
        </w:rPr>
        <w:t>(如不存在</w:t>
      </w:r>
      <w:r>
        <w:rPr>
          <w:rFonts w:hint="eastAsia"/>
          <w:color w:val="auto"/>
          <w:sz w:val="24"/>
          <w:szCs w:val="24"/>
        </w:rPr>
        <w:t>直接控股、管理关系的相关供应商</w:t>
      </w:r>
      <w:r>
        <w:rPr>
          <w:rFonts w:hint="eastAsia"/>
          <w:color w:val="auto"/>
          <w:sz w:val="24"/>
          <w:szCs w:val="24"/>
          <w:lang w:val="en-US" w:eastAsia="zh-CN"/>
        </w:rPr>
        <w:t>填“无”</w:t>
      </w:r>
      <w:r>
        <w:rPr>
          <w:rFonts w:hint="eastAsia"/>
        </w:rPr>
        <w:t>)。</w:t>
      </w:r>
    </w:p>
    <w:p>
      <w:pPr>
        <w:pStyle w:val="42"/>
        <w:numPr>
          <w:ilvl w:val="2"/>
          <w:numId w:val="26"/>
        </w:numPr>
        <w:ind w:firstLine="480"/>
      </w:pPr>
      <w:r>
        <w:rPr>
          <w:rFonts w:hint="eastAsia"/>
        </w:rPr>
        <w:t>我方参加本次采购活动前本单位未对本次采购项目提供过整体设计、规范编制或者项目管理、监理、检测等服务。</w:t>
      </w:r>
    </w:p>
    <w:p>
      <w:pPr>
        <w:pStyle w:val="42"/>
        <w:numPr>
          <w:ilvl w:val="2"/>
          <w:numId w:val="26"/>
        </w:numPr>
        <w:ind w:firstLine="480"/>
      </w:pPr>
      <w:r>
        <w:rPr>
          <w:rFonts w:hint="eastAsia"/>
        </w:rPr>
        <w:t>我方参加本次采购活动，不存在我单位实际控制人或者中高级管理人员是本项目采购代理机构的工作人员的情形。</w:t>
      </w:r>
    </w:p>
    <w:p>
      <w:pPr>
        <w:pStyle w:val="42"/>
        <w:numPr>
          <w:ilvl w:val="2"/>
          <w:numId w:val="26"/>
        </w:numPr>
        <w:ind w:firstLine="480"/>
      </w:pPr>
      <w:r>
        <w:rPr>
          <w:rFonts w:hint="eastAsia"/>
        </w:rPr>
        <w:t>我方参加本次采购活动，不存在同一母公司的两家以上的子公司以不同供应商身份同时参加本项目同一合同项下的采购活动的情形。</w:t>
      </w:r>
    </w:p>
    <w:p>
      <w:pPr>
        <w:pStyle w:val="42"/>
        <w:numPr>
          <w:ilvl w:val="2"/>
          <w:numId w:val="26"/>
        </w:numPr>
        <w:ind w:firstLine="480"/>
      </w:pPr>
      <w:r>
        <w:rPr>
          <w:rFonts w:hint="eastAsia"/>
        </w:rPr>
        <w:t>我方参加本次采购活动，与采购代理机构不存在关联关系，不为采购代理机构的母公司或子公司。</w:t>
      </w:r>
    </w:p>
    <w:p>
      <w:pPr>
        <w:pStyle w:val="42"/>
        <w:numPr>
          <w:ilvl w:val="2"/>
          <w:numId w:val="26"/>
        </w:numPr>
        <w:ind w:firstLine="480"/>
      </w:pPr>
      <w:r>
        <w:rPr>
          <w:rFonts w:hint="eastAsia"/>
        </w:rPr>
        <w:t>我方参加本次采购活动，不存在和其他供应商在同一合同项下的采购项目中，同时委托同一个自然人、同一家庭的人员、同一单位的人员作为代理人的行为。</w:t>
      </w:r>
    </w:p>
    <w:p>
      <w:pPr>
        <w:pStyle w:val="42"/>
        <w:numPr>
          <w:ilvl w:val="2"/>
          <w:numId w:val="26"/>
        </w:numPr>
        <w:ind w:firstLine="480"/>
      </w:pPr>
      <w:r>
        <w:rPr>
          <w:rFonts w:hint="eastAsia"/>
        </w:rPr>
        <w:t>如有《四川省政府采购当事人诚信管理办法》(川财采〔2015〕33号)规定的记入诚信档案的失信行为，将在投标文件中全面如实反映。</w:t>
      </w:r>
    </w:p>
    <w:p>
      <w:pPr>
        <w:pStyle w:val="42"/>
        <w:numPr>
          <w:ilvl w:val="2"/>
          <w:numId w:val="26"/>
        </w:numPr>
        <w:ind w:firstLine="480"/>
      </w:pPr>
      <w:r>
        <w:rPr>
          <w:rFonts w:hint="eastAsia"/>
        </w:rPr>
        <w:t>我方投标文件中提供的任何资料和技术、服务、商务等响应承诺情况都是真实的、有效的、合法的。</w:t>
      </w:r>
    </w:p>
    <w:p>
      <w:pPr>
        <w:pStyle w:val="42"/>
        <w:numPr>
          <w:ilvl w:val="2"/>
          <w:numId w:val="26"/>
        </w:numPr>
        <w:ind w:firstLine="480"/>
      </w:pPr>
      <w:r>
        <w:rPr>
          <w:rFonts w:hint="eastAsia"/>
        </w:rPr>
        <w:t>我方参加本次采购活动，我方完全同意招标文件中关于“投标费用”、“合同分包”、“合同转包”等实质性要求，并承诺严格按照招标文件要求履行。</w:t>
      </w:r>
    </w:p>
    <w:p>
      <w:pPr>
        <w:pStyle w:val="42"/>
        <w:numPr>
          <w:ilvl w:val="2"/>
          <w:numId w:val="26"/>
        </w:numPr>
        <w:ind w:firstLine="480"/>
      </w:pPr>
      <w:r>
        <w:rPr>
          <w:rFonts w:hint="eastAsia"/>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t>承诺</w:t>
      </w:r>
      <w:r>
        <w:rPr>
          <w:rFonts w:hint="eastAsia"/>
        </w:rPr>
        <w:t>提供相关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pStyle w:val="52"/>
      </w:pPr>
      <w:r>
        <w:rPr>
          <w:rFonts w:hint="eastAsia"/>
        </w:rPr>
        <w:t>本公司对上述承诺的内容事项真实性、合法性负责。如经查实上述承诺的内容事项存在虚假，我公司自愿接受以提供虚假材料谋取中标所带来的所有法律责任。</w:t>
      </w:r>
    </w:p>
    <w:p>
      <w:pPr>
        <w:pStyle w:val="48"/>
      </w:pPr>
    </w:p>
    <w:p>
      <w:pPr>
        <w:pStyle w:val="48"/>
      </w:pPr>
    </w:p>
    <w:p>
      <w:pPr>
        <w:pStyle w:val="48"/>
      </w:pPr>
    </w:p>
    <w:p>
      <w:pPr>
        <w:pStyle w:val="52"/>
        <w:bidi w:val="0"/>
        <w:rPr>
          <w:rFonts w:hint="eastAsia"/>
        </w:rPr>
      </w:pPr>
      <w:r>
        <w:rPr>
          <w:rFonts w:hint="eastAsia"/>
          <w:lang w:val="en-US" w:eastAsia="zh-CN"/>
        </w:rPr>
        <w:t>投标人</w:t>
      </w:r>
      <w:r>
        <w:rPr>
          <w:rFonts w:hint="eastAsia"/>
        </w:rPr>
        <w:t>名称：</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rPr>
        <w:t>(盖章)</w:t>
      </w:r>
    </w:p>
    <w:p>
      <w:pPr>
        <w:pStyle w:val="52"/>
        <w:bidi w:val="0"/>
        <w:rPr>
          <w:rFonts w:hint="eastAsia"/>
        </w:rPr>
      </w:pPr>
      <w:r>
        <w:rPr>
          <w:rFonts w:hint="eastAsia"/>
          <w:lang w:eastAsia="zh-CN"/>
        </w:rPr>
        <w:t>法定代表人/单位负责人或授权代表</w:t>
      </w:r>
      <w:r>
        <w:rPr>
          <w:rFonts w:hint="eastAsia"/>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rPr>
        <w:t>(签字</w:t>
      </w:r>
      <w:r>
        <w:rPr>
          <w:rFonts w:hint="eastAsia"/>
          <w:lang w:eastAsia="zh-CN"/>
        </w:rPr>
        <w:t>或盖章</w:t>
      </w:r>
      <w:r>
        <w:rPr>
          <w:rFonts w:hint="eastAsia"/>
        </w:rPr>
        <w:t>)</w:t>
      </w:r>
    </w:p>
    <w:p>
      <w:pPr>
        <w:pStyle w:val="52"/>
      </w:pPr>
      <w:r>
        <w:rPr>
          <w:rFonts w:hint="eastAsia"/>
          <w:lang w:val="en-US" w:eastAsia="zh-CN"/>
        </w:rPr>
        <w:t>投标</w:t>
      </w:r>
      <w:r>
        <w:rPr>
          <w:rFonts w:hint="eastAsia"/>
        </w:rPr>
        <w:t>日期</w:t>
      </w:r>
      <w:r>
        <w:rPr>
          <w:rFonts w:hint="eastAsia"/>
          <w:lang w:eastAsia="zh-CN"/>
        </w:rPr>
        <w:t>：</w:t>
      </w:r>
      <w:r>
        <w:rPr>
          <w:rFonts w:hint="eastAsia" w:asciiTheme="minorEastAsia" w:hAnsiTheme="minorEastAsia" w:eastAsiaTheme="minorEastAsia" w:cstheme="minorEastAsia"/>
          <w:color w:val="auto"/>
          <w:sz w:val="24"/>
          <w:highlight w:val="none"/>
          <w:u w:val="single"/>
          <w:lang w:val="en-US" w:eastAsia="zh-CN"/>
        </w:rPr>
        <w:t xml:space="preserve">            </w:t>
      </w:r>
    </w:p>
    <w:p>
      <w:r>
        <w:rPr>
          <w:rFonts w:hint="eastAsia"/>
        </w:rPr>
        <w:br w:type="page"/>
      </w:r>
    </w:p>
    <w:p>
      <w:pPr>
        <w:pStyle w:val="50"/>
        <w:numPr>
          <w:ilvl w:val="0"/>
          <w:numId w:val="24"/>
        </w:numPr>
        <w:spacing w:before="120" w:after="120"/>
        <w:ind w:firstLine="0"/>
      </w:pPr>
      <w:bookmarkStart w:id="904" w:name="_Toc14990"/>
      <w:bookmarkStart w:id="905" w:name="_Toc25849"/>
      <w:bookmarkStart w:id="906" w:name="_Toc14646"/>
      <w:r>
        <w:rPr>
          <w:rFonts w:hint="eastAsia"/>
        </w:rPr>
        <w:t>投标人诚信情况承诺函</w:t>
      </w:r>
      <w:bookmarkEnd w:id="904"/>
      <w:bookmarkEnd w:id="905"/>
      <w:bookmarkEnd w:id="906"/>
    </w:p>
    <w:p>
      <w:pPr>
        <w:keepNext w:val="0"/>
        <w:keepLines w:val="0"/>
        <w:pageBreakBefore w:val="0"/>
        <w:kinsoku/>
        <w:wordWrap/>
        <w:overflowPunct/>
        <w:topLinePunct w:val="0"/>
        <w:autoSpaceDE/>
        <w:autoSpaceDN/>
        <w:bidi w:val="0"/>
        <w:adjustRightInd w:val="0"/>
        <w:snapToGrid w:val="0"/>
        <w:spacing w:line="440" w:lineRule="exact"/>
        <w:textAlignment w:val="auto"/>
        <w:outlineLvl w:val="9"/>
        <w:rPr>
          <w:rFonts w:hint="default" w:ascii="宋体" w:hAnsi="宋体" w:eastAsia="宋体" w:cstheme="minorBidi"/>
          <w:snapToGrid w:val="0"/>
          <w:kern w:val="2"/>
          <w:sz w:val="24"/>
          <w:szCs w:val="24"/>
          <w:lang w:val="en-US" w:eastAsia="zh-CN" w:bidi="ar-SA"/>
        </w:rPr>
      </w:pPr>
      <w:r>
        <w:rPr>
          <w:rFonts w:hint="default" w:ascii="宋体" w:hAnsi="宋体" w:eastAsia="宋体" w:cstheme="minorBidi"/>
          <w:snapToGrid w:val="0"/>
          <w:kern w:val="2"/>
          <w:sz w:val="24"/>
          <w:szCs w:val="24"/>
          <w:u w:val="single"/>
          <w:lang w:val="en-US" w:eastAsia="zh-CN" w:bidi="ar-SA"/>
        </w:rPr>
        <w:t xml:space="preserve">                   </w:t>
      </w:r>
      <w:r>
        <w:rPr>
          <w:rFonts w:hint="default" w:ascii="宋体" w:hAnsi="宋体" w:eastAsia="宋体" w:cstheme="minorBidi"/>
          <w:snapToGrid w:val="0"/>
          <w:kern w:val="2"/>
          <w:sz w:val="24"/>
          <w:szCs w:val="24"/>
          <w:lang w:val="en-US" w:eastAsia="zh-CN" w:bidi="ar-SA"/>
        </w:rPr>
        <w:t>(采购代理机构名称)：</w:t>
      </w:r>
    </w:p>
    <w:p>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outlineLvl w:val="9"/>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本单位</w:t>
      </w:r>
      <w:r>
        <w:rPr>
          <w:rFonts w:hint="eastAsia" w:ascii="宋体" w:hAnsi="宋体" w:eastAsia="宋体" w:cstheme="minorBidi"/>
          <w:snapToGrid w:val="0"/>
          <w:kern w:val="2"/>
          <w:sz w:val="24"/>
          <w:szCs w:val="24"/>
          <w:u w:val="single"/>
          <w:lang w:val="en-US" w:eastAsia="zh-CN" w:bidi="ar-SA"/>
        </w:rPr>
        <w:t xml:space="preserve">       </w:t>
      </w:r>
      <w:r>
        <w:rPr>
          <w:rFonts w:hint="eastAsia" w:cstheme="minorBidi"/>
          <w:snapToGrid w:val="0"/>
          <w:kern w:val="2"/>
          <w:sz w:val="24"/>
          <w:szCs w:val="24"/>
          <w:lang w:val="en-US" w:eastAsia="zh-CN" w:bidi="ar-SA"/>
        </w:rPr>
        <w:t>(</w:t>
      </w:r>
      <w:r>
        <w:rPr>
          <w:rFonts w:hint="eastAsia" w:ascii="宋体" w:hAnsi="宋体" w:eastAsia="宋体" w:cstheme="minorBidi"/>
          <w:snapToGrid w:val="0"/>
          <w:kern w:val="2"/>
          <w:sz w:val="24"/>
          <w:szCs w:val="24"/>
          <w:lang w:val="en-US" w:eastAsia="zh-CN" w:bidi="ar-SA"/>
        </w:rPr>
        <w:t>供应商名称</w:t>
      </w:r>
      <w:r>
        <w:rPr>
          <w:rFonts w:hint="eastAsia" w:cstheme="minorBidi"/>
          <w:snapToGrid w:val="0"/>
          <w:kern w:val="2"/>
          <w:sz w:val="24"/>
          <w:szCs w:val="24"/>
          <w:lang w:val="en-US" w:eastAsia="zh-CN" w:bidi="ar-SA"/>
        </w:rPr>
        <w:t>)</w:t>
      </w:r>
      <w:r>
        <w:rPr>
          <w:rFonts w:hint="eastAsia" w:ascii="宋体" w:hAnsi="宋体" w:eastAsia="宋体" w:cstheme="minorBidi"/>
          <w:snapToGrid w:val="0"/>
          <w:kern w:val="2"/>
          <w:sz w:val="24"/>
          <w:szCs w:val="24"/>
          <w:lang w:val="en-US" w:eastAsia="zh-CN" w:bidi="ar-SA"/>
        </w:rPr>
        <w:t>参加</w:t>
      </w:r>
      <w:r>
        <w:rPr>
          <w:rFonts w:hint="eastAsia" w:ascii="宋体" w:hAnsi="宋体" w:eastAsia="宋体" w:cstheme="minorBidi"/>
          <w:snapToGrid w:val="0"/>
          <w:kern w:val="2"/>
          <w:sz w:val="24"/>
          <w:szCs w:val="24"/>
          <w:u w:val="single"/>
          <w:lang w:val="en-US" w:eastAsia="zh-CN" w:bidi="ar-SA"/>
        </w:rPr>
        <w:t xml:space="preserve">        </w:t>
      </w:r>
      <w:r>
        <w:rPr>
          <w:rFonts w:hint="eastAsia" w:cstheme="minorBidi"/>
          <w:snapToGrid w:val="0"/>
          <w:kern w:val="2"/>
          <w:sz w:val="24"/>
          <w:szCs w:val="24"/>
          <w:lang w:val="en-US" w:eastAsia="zh-CN" w:bidi="ar-SA"/>
        </w:rPr>
        <w:t>(</w:t>
      </w:r>
      <w:r>
        <w:rPr>
          <w:rFonts w:hint="eastAsia" w:ascii="宋体" w:hAnsi="宋体" w:eastAsia="宋体" w:cstheme="minorBidi"/>
          <w:snapToGrid w:val="0"/>
          <w:kern w:val="2"/>
          <w:sz w:val="24"/>
          <w:szCs w:val="24"/>
          <w:lang w:val="en-US" w:eastAsia="zh-CN" w:bidi="ar-SA"/>
        </w:rPr>
        <w:t>项目名称及项目编号</w:t>
      </w:r>
      <w:r>
        <w:rPr>
          <w:rFonts w:hint="eastAsia" w:cstheme="minorBidi"/>
          <w:snapToGrid w:val="0"/>
          <w:kern w:val="2"/>
          <w:sz w:val="24"/>
          <w:szCs w:val="24"/>
          <w:lang w:val="en-US" w:eastAsia="zh-CN" w:bidi="ar-SA"/>
        </w:rPr>
        <w:t>)</w:t>
      </w:r>
      <w:r>
        <w:rPr>
          <w:rFonts w:hint="eastAsia" w:ascii="宋体" w:hAnsi="宋体" w:eastAsia="宋体" w:cstheme="minorBidi"/>
          <w:snapToGrid w:val="0"/>
          <w:kern w:val="2"/>
          <w:sz w:val="24"/>
          <w:szCs w:val="24"/>
          <w:lang w:val="en-US" w:eastAsia="zh-CN" w:bidi="ar-SA"/>
        </w:rPr>
        <w:t>的政府采购活动，现</w:t>
      </w:r>
      <w:r>
        <w:rPr>
          <w:rFonts w:hint="eastAsia" w:cstheme="minorBidi"/>
          <w:snapToGrid w:val="0"/>
          <w:kern w:val="2"/>
          <w:sz w:val="24"/>
          <w:szCs w:val="24"/>
          <w:lang w:val="en-US" w:eastAsia="zh-CN" w:bidi="ar-SA"/>
        </w:rPr>
        <w:t>参照</w:t>
      </w:r>
      <w:r>
        <w:rPr>
          <w:rFonts w:hint="eastAsia" w:ascii="宋体" w:hAnsi="宋体" w:eastAsia="宋体" w:cstheme="minorBidi"/>
          <w:snapToGrid w:val="0"/>
          <w:kern w:val="2"/>
          <w:sz w:val="24"/>
          <w:szCs w:val="24"/>
          <w:lang w:val="en-US" w:eastAsia="zh-CN" w:bidi="ar-SA"/>
        </w:rPr>
        <w:t>《四川省政府采购当事人诚信管理办法》</w:t>
      </w:r>
      <w:r>
        <w:rPr>
          <w:rFonts w:hint="eastAsia" w:cstheme="minorBidi"/>
          <w:snapToGrid w:val="0"/>
          <w:kern w:val="2"/>
          <w:sz w:val="24"/>
          <w:szCs w:val="24"/>
          <w:lang w:val="en-US" w:eastAsia="zh-CN" w:bidi="ar-SA"/>
        </w:rPr>
        <w:t>(</w:t>
      </w:r>
      <w:r>
        <w:rPr>
          <w:rFonts w:hint="eastAsia" w:ascii="宋体" w:hAnsi="宋体" w:eastAsia="宋体" w:cstheme="minorBidi"/>
          <w:snapToGrid w:val="0"/>
          <w:kern w:val="2"/>
          <w:sz w:val="24"/>
          <w:szCs w:val="24"/>
          <w:lang w:val="en-US" w:eastAsia="zh-CN" w:bidi="ar-SA"/>
        </w:rPr>
        <w:t>川财采</w:t>
      </w:r>
      <w:r>
        <w:rPr>
          <w:rFonts w:hint="eastAsia" w:cstheme="minorBidi"/>
          <w:snapToGrid w:val="0"/>
          <w:kern w:val="2"/>
          <w:sz w:val="24"/>
          <w:szCs w:val="24"/>
          <w:lang w:val="en-US" w:eastAsia="zh-CN" w:bidi="ar-SA"/>
        </w:rPr>
        <w:t>〔</w:t>
      </w:r>
      <w:r>
        <w:rPr>
          <w:rFonts w:hint="eastAsia" w:ascii="宋体" w:hAnsi="宋体" w:eastAsia="宋体" w:cstheme="minorBidi"/>
          <w:snapToGrid w:val="0"/>
          <w:kern w:val="2"/>
          <w:sz w:val="24"/>
          <w:szCs w:val="24"/>
          <w:lang w:val="en-US" w:eastAsia="zh-CN" w:bidi="ar-SA"/>
        </w:rPr>
        <w:t>2015</w:t>
      </w:r>
      <w:r>
        <w:rPr>
          <w:rFonts w:hint="eastAsia" w:cstheme="minorBidi"/>
          <w:snapToGrid w:val="0"/>
          <w:kern w:val="2"/>
          <w:sz w:val="24"/>
          <w:szCs w:val="24"/>
          <w:lang w:val="en-US" w:eastAsia="zh-CN" w:bidi="ar-SA"/>
        </w:rPr>
        <w:t>〕</w:t>
      </w:r>
      <w:r>
        <w:rPr>
          <w:rFonts w:hint="eastAsia" w:ascii="宋体" w:hAnsi="宋体" w:eastAsia="宋体" w:cstheme="minorBidi"/>
          <w:snapToGrid w:val="0"/>
          <w:kern w:val="2"/>
          <w:sz w:val="24"/>
          <w:szCs w:val="24"/>
          <w:lang w:val="en-US" w:eastAsia="zh-CN" w:bidi="ar-SA"/>
        </w:rPr>
        <w:t>33号</w:t>
      </w:r>
      <w:r>
        <w:rPr>
          <w:rFonts w:hint="eastAsia" w:cstheme="minorBidi"/>
          <w:snapToGrid w:val="0"/>
          <w:kern w:val="2"/>
          <w:sz w:val="24"/>
          <w:szCs w:val="24"/>
          <w:lang w:val="en-US" w:eastAsia="zh-CN" w:bidi="ar-SA"/>
        </w:rPr>
        <w:t>)</w:t>
      </w:r>
      <w:r>
        <w:rPr>
          <w:rFonts w:hint="eastAsia" w:ascii="宋体" w:hAnsi="宋体" w:eastAsia="宋体" w:cstheme="minorBidi"/>
          <w:snapToGrid w:val="0"/>
          <w:kern w:val="2"/>
          <w:sz w:val="24"/>
          <w:szCs w:val="24"/>
          <w:lang w:val="en-US" w:eastAsia="zh-CN" w:bidi="ar-SA"/>
        </w:rPr>
        <w:t>的相关规定，针对本单位的诚信情况作出以下承诺：</w:t>
      </w:r>
    </w:p>
    <w:p>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outlineLvl w:val="9"/>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我单位具有《四川省政府采购当事人诚信管理办法》</w:t>
      </w:r>
      <w:r>
        <w:rPr>
          <w:rFonts w:hint="eastAsia" w:cstheme="minorBidi"/>
          <w:snapToGrid w:val="0"/>
          <w:kern w:val="2"/>
          <w:sz w:val="24"/>
          <w:szCs w:val="24"/>
          <w:lang w:val="en-US" w:eastAsia="zh-CN" w:bidi="ar-SA"/>
        </w:rPr>
        <w:t>(</w:t>
      </w:r>
      <w:r>
        <w:rPr>
          <w:rFonts w:hint="eastAsia" w:ascii="宋体" w:hAnsi="宋体" w:eastAsia="宋体" w:cstheme="minorBidi"/>
          <w:snapToGrid w:val="0"/>
          <w:kern w:val="2"/>
          <w:sz w:val="24"/>
          <w:szCs w:val="24"/>
          <w:lang w:val="en-US" w:eastAsia="zh-CN" w:bidi="ar-SA"/>
        </w:rPr>
        <w:t>川财采</w:t>
      </w:r>
      <w:r>
        <w:rPr>
          <w:rFonts w:hint="eastAsia" w:cstheme="minorBidi"/>
          <w:snapToGrid w:val="0"/>
          <w:kern w:val="2"/>
          <w:sz w:val="24"/>
          <w:szCs w:val="24"/>
          <w:lang w:val="en-US" w:eastAsia="zh-CN" w:bidi="ar-SA"/>
        </w:rPr>
        <w:t>〔</w:t>
      </w:r>
      <w:r>
        <w:rPr>
          <w:rFonts w:hint="eastAsia" w:ascii="宋体" w:hAnsi="宋体" w:eastAsia="宋体" w:cstheme="minorBidi"/>
          <w:snapToGrid w:val="0"/>
          <w:kern w:val="2"/>
          <w:sz w:val="24"/>
          <w:szCs w:val="24"/>
          <w:lang w:val="en-US" w:eastAsia="zh-CN" w:bidi="ar-SA"/>
        </w:rPr>
        <w:t>2015</w:t>
      </w:r>
      <w:r>
        <w:rPr>
          <w:rFonts w:hint="eastAsia" w:cstheme="minorBidi"/>
          <w:snapToGrid w:val="0"/>
          <w:kern w:val="2"/>
          <w:sz w:val="24"/>
          <w:szCs w:val="24"/>
          <w:lang w:val="en-US" w:eastAsia="zh-CN" w:bidi="ar-SA"/>
        </w:rPr>
        <w:t>〕</w:t>
      </w:r>
      <w:r>
        <w:rPr>
          <w:rFonts w:hint="eastAsia" w:ascii="宋体" w:hAnsi="宋体" w:eastAsia="宋体" w:cstheme="minorBidi"/>
          <w:snapToGrid w:val="0"/>
          <w:kern w:val="2"/>
          <w:sz w:val="24"/>
          <w:szCs w:val="24"/>
          <w:lang w:val="en-US" w:eastAsia="zh-CN" w:bidi="ar-SA"/>
        </w:rPr>
        <w:t>33号</w:t>
      </w:r>
      <w:r>
        <w:rPr>
          <w:rFonts w:hint="eastAsia" w:cstheme="minorBidi"/>
          <w:snapToGrid w:val="0"/>
          <w:kern w:val="2"/>
          <w:sz w:val="24"/>
          <w:szCs w:val="24"/>
          <w:lang w:val="en-US" w:eastAsia="zh-CN" w:bidi="ar-SA"/>
        </w:rPr>
        <w:t>)</w:t>
      </w:r>
      <w:r>
        <w:rPr>
          <w:rFonts w:hint="eastAsia" w:ascii="宋体" w:hAnsi="宋体" w:eastAsia="宋体" w:cstheme="minorBidi"/>
          <w:snapToGrid w:val="0"/>
          <w:kern w:val="2"/>
          <w:sz w:val="24"/>
          <w:szCs w:val="24"/>
          <w:lang w:val="en-US" w:eastAsia="zh-CN" w:bidi="ar-SA"/>
        </w:rPr>
        <w:t>所规定的失信行为</w:t>
      </w:r>
      <w:r>
        <w:rPr>
          <w:rFonts w:hint="eastAsia" w:ascii="宋体" w:hAnsi="宋体" w:eastAsia="宋体" w:cstheme="minorBidi"/>
          <w:snapToGrid w:val="0"/>
          <w:kern w:val="2"/>
          <w:sz w:val="24"/>
          <w:szCs w:val="24"/>
          <w:u w:val="single"/>
          <w:lang w:val="en-US" w:eastAsia="zh-CN" w:bidi="ar-SA"/>
        </w:rPr>
        <w:t xml:space="preserve">      </w:t>
      </w:r>
      <w:r>
        <w:rPr>
          <w:rFonts w:hint="eastAsia" w:ascii="宋体" w:hAnsi="宋体" w:eastAsia="宋体" w:cstheme="minorBidi"/>
          <w:snapToGrid w:val="0"/>
          <w:kern w:val="2"/>
          <w:sz w:val="24"/>
          <w:szCs w:val="24"/>
          <w:lang w:val="en-US" w:eastAsia="zh-CN" w:bidi="ar-SA"/>
        </w:rPr>
        <w:t>次</w:t>
      </w:r>
      <w:r>
        <w:rPr>
          <w:rFonts w:hint="eastAsia" w:cstheme="minorBidi"/>
          <w:snapToGrid w:val="0"/>
          <w:kern w:val="2"/>
          <w:sz w:val="24"/>
          <w:szCs w:val="24"/>
          <w:lang w:val="en-US" w:eastAsia="zh-CN" w:bidi="ar-SA"/>
        </w:rPr>
        <w:t>(</w:t>
      </w:r>
      <w:r>
        <w:rPr>
          <w:rFonts w:hint="eastAsia" w:ascii="宋体" w:hAnsi="宋体" w:eastAsia="宋体" w:cstheme="minorBidi"/>
          <w:snapToGrid w:val="0"/>
          <w:kern w:val="2"/>
          <w:sz w:val="24"/>
          <w:szCs w:val="24"/>
          <w:lang w:val="en-US" w:eastAsia="zh-CN" w:bidi="ar-SA"/>
        </w:rPr>
        <w:t>仅限递交</w:t>
      </w:r>
      <w:r>
        <w:rPr>
          <w:rFonts w:hint="eastAsia" w:cstheme="minorBidi"/>
          <w:snapToGrid w:val="0"/>
          <w:kern w:val="2"/>
          <w:sz w:val="24"/>
          <w:szCs w:val="24"/>
          <w:lang w:val="en-US" w:eastAsia="zh-CN" w:bidi="ar-SA"/>
        </w:rPr>
        <w:t>投标</w:t>
      </w:r>
      <w:r>
        <w:rPr>
          <w:rFonts w:hint="eastAsia" w:ascii="宋体" w:hAnsi="宋体" w:eastAsia="宋体" w:cstheme="minorBidi"/>
          <w:snapToGrid w:val="0"/>
          <w:kern w:val="2"/>
          <w:sz w:val="24"/>
          <w:szCs w:val="24"/>
          <w:lang w:val="en-US" w:eastAsia="zh-CN" w:bidi="ar-SA"/>
        </w:rPr>
        <w:t>文件截止当日仍在有效期的次数，填写失信行为的次数时，建议使用大写数字，如零、壹、贰、叁、肆等</w:t>
      </w:r>
      <w:r>
        <w:rPr>
          <w:rFonts w:hint="eastAsia" w:cstheme="minorBidi"/>
          <w:snapToGrid w:val="0"/>
          <w:kern w:val="2"/>
          <w:sz w:val="24"/>
          <w:szCs w:val="24"/>
          <w:lang w:val="en-US" w:eastAsia="zh-CN" w:bidi="ar-SA"/>
        </w:rPr>
        <w:t>)</w:t>
      </w:r>
      <w:r>
        <w:rPr>
          <w:rFonts w:hint="eastAsia" w:ascii="宋体" w:hAnsi="宋体" w:eastAsia="宋体" w:cstheme="minorBidi"/>
          <w:snapToGrid w:val="0"/>
          <w:kern w:val="2"/>
          <w:sz w:val="24"/>
          <w:szCs w:val="24"/>
          <w:lang w:val="en-US" w:eastAsia="zh-CN" w:bidi="ar-SA"/>
        </w:rPr>
        <w:t>。</w:t>
      </w:r>
    </w:p>
    <w:p>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outlineLvl w:val="9"/>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我单位对以上填写信息的真实性负责。如有不实，本单位愿承担由此产生的一切法律责任和后果。</w:t>
      </w:r>
    </w:p>
    <w:p>
      <w:pPr>
        <w:pStyle w:val="52"/>
        <w:bidi w:val="0"/>
        <w:rPr>
          <w:rFonts w:hint="eastAsia"/>
          <w:lang w:val="en-US" w:eastAsia="zh-CN"/>
        </w:rPr>
      </w:pPr>
    </w:p>
    <w:p>
      <w:pPr>
        <w:pStyle w:val="52"/>
        <w:bidi w:val="0"/>
        <w:rPr>
          <w:rFonts w:hint="eastAsia"/>
        </w:rPr>
      </w:pPr>
      <w:r>
        <w:rPr>
          <w:rFonts w:hint="eastAsia"/>
          <w:lang w:val="en-US" w:eastAsia="zh-CN"/>
        </w:rPr>
        <w:t>投标人</w:t>
      </w:r>
      <w:r>
        <w:rPr>
          <w:rFonts w:hint="eastAsia"/>
        </w:rPr>
        <w:t>名称：</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rPr>
        <w:t>(盖章)</w:t>
      </w:r>
    </w:p>
    <w:p>
      <w:pPr>
        <w:pStyle w:val="52"/>
        <w:bidi w:val="0"/>
        <w:rPr>
          <w:rFonts w:hint="eastAsia"/>
        </w:rPr>
      </w:pPr>
      <w:r>
        <w:rPr>
          <w:rFonts w:hint="eastAsia"/>
          <w:lang w:eastAsia="zh-CN"/>
        </w:rPr>
        <w:t>法定代表人/单位负责人或授权代表</w:t>
      </w:r>
      <w:r>
        <w:rPr>
          <w:rFonts w:hint="eastAsia"/>
        </w:rPr>
        <w:t>：</w:t>
      </w:r>
      <w:r>
        <w:rPr>
          <w:rFonts w:hint="eastAsia"/>
          <w:u w:val="single"/>
          <w:lang w:val="en-US" w:eastAsia="zh-CN"/>
        </w:rPr>
        <w:t xml:space="preserve">            </w:t>
      </w:r>
      <w:r>
        <w:rPr>
          <w:rFonts w:hint="eastAsia"/>
        </w:rPr>
        <w:t>(签字</w:t>
      </w:r>
      <w:r>
        <w:rPr>
          <w:rFonts w:hint="eastAsia"/>
          <w:lang w:eastAsia="zh-CN"/>
        </w:rPr>
        <w:t>或盖章</w:t>
      </w:r>
      <w:r>
        <w:rPr>
          <w:rFonts w:hint="eastAsia"/>
        </w:rPr>
        <w:t>)</w:t>
      </w:r>
    </w:p>
    <w:p>
      <w:pPr>
        <w:pStyle w:val="52"/>
      </w:pPr>
      <w:r>
        <w:rPr>
          <w:rFonts w:hint="eastAsia"/>
          <w:lang w:val="en-US" w:eastAsia="zh-CN"/>
        </w:rPr>
        <w:t>投标</w:t>
      </w:r>
      <w:r>
        <w:rPr>
          <w:rFonts w:hint="eastAsia"/>
        </w:rPr>
        <w:t>日期：</w:t>
      </w:r>
      <w:r>
        <w:rPr>
          <w:rFonts w:hint="eastAsia"/>
          <w:u w:val="single"/>
          <w:lang w:val="en-US" w:eastAsia="zh-CN"/>
        </w:rPr>
        <w:t xml:space="preserve">                  </w:t>
      </w:r>
    </w:p>
    <w:p>
      <w:pPr>
        <w:widowControl/>
        <w:ind w:firstLine="480" w:firstLineChars="200"/>
        <w:rPr>
          <w:rFonts w:ascii="仿宋" w:hAnsi="仿宋" w:eastAsia="仿宋"/>
        </w:rPr>
      </w:pPr>
    </w:p>
    <w:p>
      <w:pPr>
        <w:ind w:firstLine="480" w:firstLineChars="200"/>
        <w:rPr>
          <w:rFonts w:ascii="仿宋" w:hAnsi="仿宋" w:eastAsia="仿宋"/>
        </w:rPr>
      </w:pPr>
    </w:p>
    <w:p>
      <w:pPr>
        <w:pStyle w:val="53"/>
        <w:ind w:firstLine="482"/>
      </w:pPr>
      <w:r>
        <w:rPr>
          <w:rFonts w:hint="eastAsia"/>
        </w:rPr>
        <w:t>注：</w:t>
      </w:r>
    </w:p>
    <w:p>
      <w:pPr>
        <w:pStyle w:val="53"/>
        <w:ind w:firstLine="482"/>
      </w:pPr>
      <w:r>
        <w:rPr>
          <w:rFonts w:hint="eastAsia"/>
        </w:rPr>
        <w:t>①本表格式及内容仅供参考，可自拟格式；</w:t>
      </w:r>
    </w:p>
    <w:p>
      <w:pPr>
        <w:pStyle w:val="53"/>
        <w:ind w:firstLine="482"/>
      </w:pPr>
      <w:r>
        <w:rPr>
          <w:rFonts w:hint="eastAsia"/>
        </w:rPr>
        <w:fldChar w:fldCharType="begin"/>
      </w:r>
      <w:r>
        <w:rPr>
          <w:rFonts w:hint="eastAsia"/>
        </w:rPr>
        <w:instrText xml:space="preserve"> = 2 \* GB3 \* MERGEFORMAT </w:instrText>
      </w:r>
      <w:r>
        <w:rPr>
          <w:rFonts w:hint="eastAsia"/>
        </w:rPr>
        <w:fldChar w:fldCharType="separate"/>
      </w:r>
      <w:r>
        <w:rPr>
          <w:rFonts w:hint="eastAsia"/>
        </w:rPr>
        <w:t>②</w:t>
      </w:r>
      <w:r>
        <w:rPr>
          <w:rFonts w:hint="eastAsia"/>
        </w:rPr>
        <w:fldChar w:fldCharType="end"/>
      </w:r>
      <w:r>
        <w:rPr>
          <w:rFonts w:hint="eastAsia"/>
        </w:rPr>
        <w:t>供应商存在以上所述失信行为的，将按照第二章投标人须知前附表的要求进行处理；</w:t>
      </w:r>
    </w:p>
    <w:p>
      <w:pPr>
        <w:pStyle w:val="53"/>
        <w:ind w:firstLine="482"/>
      </w:pPr>
      <w:r>
        <w:rPr>
          <w:rFonts w:hint="eastAsia"/>
        </w:rPr>
        <w:fldChar w:fldCharType="begin"/>
      </w:r>
      <w:r>
        <w:rPr>
          <w:rFonts w:hint="eastAsia"/>
        </w:rPr>
        <w:instrText xml:space="preserve"> = 3 \* GB3 \* MERGEFORMAT </w:instrText>
      </w:r>
      <w:r>
        <w:rPr>
          <w:rFonts w:hint="eastAsia"/>
        </w:rPr>
        <w:fldChar w:fldCharType="separate"/>
      </w:r>
      <w:r>
        <w:rPr>
          <w:rFonts w:hint="eastAsia"/>
        </w:rPr>
        <w:t>③</w:t>
      </w:r>
      <w:r>
        <w:rPr>
          <w:rFonts w:hint="eastAsia"/>
        </w:rPr>
        <w:fldChar w:fldCharType="end"/>
      </w:r>
      <w:r>
        <w:rPr>
          <w:rFonts w:hint="eastAsia"/>
        </w:rPr>
        <w:t>财政部门对政府采购当事人的失信行为依法进行处罚、处理后，应当在四川政府采购网向社会公告，并记入诚信档案，有效期为1年。工商部门、税务部门、审判机关及其他有关部门单位认定供应商的失信行为明确了有效期的，不再重复计算。</w:t>
      </w:r>
    </w:p>
    <w:p>
      <w:pPr>
        <w:pStyle w:val="53"/>
        <w:ind w:firstLine="482"/>
      </w:pPr>
      <w:r>
        <w:rPr>
          <w:rFonts w:hint="eastAsia"/>
        </w:rPr>
        <w:fldChar w:fldCharType="begin"/>
      </w:r>
      <w:r>
        <w:rPr>
          <w:rFonts w:hint="eastAsia"/>
        </w:rPr>
        <w:instrText xml:space="preserve"> = 4 \* GB3 \* MERGEFORMAT </w:instrText>
      </w:r>
      <w:r>
        <w:rPr>
          <w:rFonts w:hint="eastAsia"/>
        </w:rPr>
        <w:fldChar w:fldCharType="separate"/>
      </w:r>
      <w:r>
        <w:rPr>
          <w:rFonts w:hint="eastAsia"/>
        </w:rPr>
        <w:t>④</w:t>
      </w:r>
      <w:r>
        <w:rPr>
          <w:rFonts w:hint="eastAsia"/>
        </w:rPr>
        <w:fldChar w:fldCharType="end"/>
      </w:r>
      <w:r>
        <w:rPr>
          <w:rFonts w:hint="eastAsia"/>
        </w:rPr>
        <w:t>供应商的失信行为受到行政处罚或司法惩处的，评审时不再对其以价格加成进行惩戒。</w:t>
      </w:r>
    </w:p>
    <w:p>
      <w:r>
        <w:rPr>
          <w:rFonts w:hint="eastAsia"/>
        </w:rPr>
        <w:br w:type="page"/>
      </w:r>
    </w:p>
    <w:p>
      <w:pPr>
        <w:pStyle w:val="50"/>
        <w:numPr>
          <w:ilvl w:val="0"/>
          <w:numId w:val="24"/>
        </w:numPr>
        <w:spacing w:before="120" w:after="120"/>
        <w:ind w:firstLine="0"/>
      </w:pPr>
      <w:bookmarkStart w:id="907" w:name="_Toc18227"/>
      <w:bookmarkStart w:id="908" w:name="_Toc10493"/>
      <w:bookmarkStart w:id="909" w:name="_Toc439161752"/>
      <w:bookmarkStart w:id="910" w:name="_Toc3690"/>
      <w:bookmarkStart w:id="911" w:name="_Toc5912"/>
      <w:bookmarkStart w:id="912" w:name="_Toc6982"/>
      <w:bookmarkStart w:id="913" w:name="_Toc302997926"/>
      <w:r>
        <w:rPr>
          <w:rFonts w:hint="eastAsia"/>
        </w:rPr>
        <w:t>投标人基本情况表</w:t>
      </w:r>
      <w:bookmarkEnd w:id="907"/>
      <w:bookmarkEnd w:id="908"/>
      <w:bookmarkEnd w:id="909"/>
      <w:bookmarkEnd w:id="910"/>
      <w:bookmarkEnd w:id="911"/>
      <w:bookmarkEnd w:id="912"/>
      <w:bookmarkEnd w:id="913"/>
    </w:p>
    <w:tbl>
      <w:tblPr>
        <w:tblStyle w:val="26"/>
        <w:tblW w:w="9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939"/>
        <w:gridCol w:w="1432"/>
        <w:gridCol w:w="1455"/>
        <w:gridCol w:w="1548"/>
        <w:gridCol w:w="186"/>
        <w:gridCol w:w="1178"/>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51"/>
              <w:spacing w:line="480" w:lineRule="exact"/>
            </w:pPr>
            <w:r>
              <w:rPr>
                <w:rFonts w:hint="eastAsia"/>
              </w:rPr>
              <w:t>投标人名称</w:t>
            </w:r>
          </w:p>
        </w:tc>
        <w:tc>
          <w:tcPr>
            <w:tcW w:w="8000" w:type="dxa"/>
            <w:gridSpan w:val="7"/>
            <w:vAlign w:val="center"/>
          </w:tcPr>
          <w:p>
            <w:pPr>
              <w:pStyle w:val="51"/>
              <w:spacing w:line="48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51"/>
              <w:spacing w:line="480" w:lineRule="exact"/>
            </w:pPr>
            <w:r>
              <w:rPr>
                <w:rFonts w:hint="eastAsia"/>
              </w:rPr>
              <w:t>注册地址</w:t>
            </w:r>
          </w:p>
        </w:tc>
        <w:tc>
          <w:tcPr>
            <w:tcW w:w="3826" w:type="dxa"/>
            <w:gridSpan w:val="3"/>
            <w:vAlign w:val="center"/>
          </w:tcPr>
          <w:p>
            <w:pPr>
              <w:pStyle w:val="51"/>
              <w:spacing w:line="480" w:lineRule="exact"/>
            </w:pPr>
          </w:p>
        </w:tc>
        <w:tc>
          <w:tcPr>
            <w:tcW w:w="1548" w:type="dxa"/>
            <w:vAlign w:val="center"/>
          </w:tcPr>
          <w:p>
            <w:pPr>
              <w:pStyle w:val="51"/>
              <w:spacing w:line="480" w:lineRule="exact"/>
            </w:pPr>
            <w:r>
              <w:rPr>
                <w:rFonts w:hint="eastAsia"/>
              </w:rPr>
              <w:t>邮政编码</w:t>
            </w:r>
          </w:p>
        </w:tc>
        <w:tc>
          <w:tcPr>
            <w:tcW w:w="2626" w:type="dxa"/>
            <w:gridSpan w:val="3"/>
            <w:vAlign w:val="center"/>
          </w:tcPr>
          <w:p>
            <w:pPr>
              <w:pStyle w:val="51"/>
              <w:spacing w:line="48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Merge w:val="restart"/>
            <w:vAlign w:val="center"/>
          </w:tcPr>
          <w:p>
            <w:pPr>
              <w:pStyle w:val="51"/>
              <w:spacing w:line="480" w:lineRule="exact"/>
            </w:pPr>
            <w:r>
              <w:rPr>
                <w:rFonts w:hint="eastAsia"/>
              </w:rPr>
              <w:t>联系方式</w:t>
            </w:r>
          </w:p>
        </w:tc>
        <w:tc>
          <w:tcPr>
            <w:tcW w:w="939" w:type="dxa"/>
            <w:vAlign w:val="center"/>
          </w:tcPr>
          <w:p>
            <w:pPr>
              <w:pStyle w:val="51"/>
              <w:spacing w:line="480" w:lineRule="exact"/>
            </w:pPr>
            <w:r>
              <w:rPr>
                <w:rFonts w:hint="eastAsia"/>
              </w:rPr>
              <w:t>联系人</w:t>
            </w:r>
          </w:p>
        </w:tc>
        <w:tc>
          <w:tcPr>
            <w:tcW w:w="2887" w:type="dxa"/>
            <w:gridSpan w:val="2"/>
            <w:vAlign w:val="center"/>
          </w:tcPr>
          <w:p>
            <w:pPr>
              <w:pStyle w:val="51"/>
              <w:spacing w:line="480" w:lineRule="exact"/>
            </w:pPr>
          </w:p>
        </w:tc>
        <w:tc>
          <w:tcPr>
            <w:tcW w:w="1548" w:type="dxa"/>
            <w:vAlign w:val="center"/>
          </w:tcPr>
          <w:p>
            <w:pPr>
              <w:pStyle w:val="51"/>
              <w:spacing w:line="480" w:lineRule="exact"/>
            </w:pPr>
            <w:r>
              <w:rPr>
                <w:rFonts w:hint="eastAsia"/>
              </w:rPr>
              <w:t>电话</w:t>
            </w:r>
          </w:p>
        </w:tc>
        <w:tc>
          <w:tcPr>
            <w:tcW w:w="2626" w:type="dxa"/>
            <w:gridSpan w:val="3"/>
            <w:vAlign w:val="center"/>
          </w:tcPr>
          <w:p>
            <w:pPr>
              <w:pStyle w:val="51"/>
              <w:spacing w:line="48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trPr>
        <w:tc>
          <w:tcPr>
            <w:tcW w:w="1956" w:type="dxa"/>
            <w:vMerge w:val="continue"/>
            <w:vAlign w:val="center"/>
          </w:tcPr>
          <w:p>
            <w:pPr>
              <w:pStyle w:val="51"/>
              <w:spacing w:line="480" w:lineRule="exact"/>
            </w:pPr>
          </w:p>
        </w:tc>
        <w:tc>
          <w:tcPr>
            <w:tcW w:w="939" w:type="dxa"/>
            <w:vAlign w:val="center"/>
          </w:tcPr>
          <w:p>
            <w:pPr>
              <w:pStyle w:val="51"/>
              <w:spacing w:line="480" w:lineRule="exact"/>
            </w:pPr>
            <w:r>
              <w:rPr>
                <w:rFonts w:hint="eastAsia"/>
              </w:rPr>
              <w:t>传真</w:t>
            </w:r>
          </w:p>
        </w:tc>
        <w:tc>
          <w:tcPr>
            <w:tcW w:w="2887" w:type="dxa"/>
            <w:gridSpan w:val="2"/>
            <w:vAlign w:val="center"/>
          </w:tcPr>
          <w:p>
            <w:pPr>
              <w:pStyle w:val="51"/>
              <w:spacing w:line="480" w:lineRule="exact"/>
            </w:pPr>
          </w:p>
        </w:tc>
        <w:tc>
          <w:tcPr>
            <w:tcW w:w="1548" w:type="dxa"/>
            <w:vAlign w:val="center"/>
          </w:tcPr>
          <w:p>
            <w:pPr>
              <w:pStyle w:val="51"/>
              <w:spacing w:line="480" w:lineRule="exact"/>
            </w:pPr>
            <w:r>
              <w:rPr>
                <w:rFonts w:hint="eastAsia"/>
              </w:rPr>
              <w:t>网址</w:t>
            </w:r>
          </w:p>
        </w:tc>
        <w:tc>
          <w:tcPr>
            <w:tcW w:w="2626" w:type="dxa"/>
            <w:gridSpan w:val="3"/>
            <w:vAlign w:val="center"/>
          </w:tcPr>
          <w:p>
            <w:pPr>
              <w:pStyle w:val="51"/>
              <w:spacing w:line="48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956" w:type="dxa"/>
            <w:vAlign w:val="center"/>
          </w:tcPr>
          <w:p>
            <w:pPr>
              <w:pStyle w:val="51"/>
              <w:spacing w:line="480" w:lineRule="exact"/>
            </w:pPr>
            <w:r>
              <w:rPr>
                <w:rFonts w:hint="eastAsia"/>
              </w:rPr>
              <w:t>法定代表人</w:t>
            </w:r>
          </w:p>
        </w:tc>
        <w:tc>
          <w:tcPr>
            <w:tcW w:w="939" w:type="dxa"/>
            <w:vAlign w:val="center"/>
          </w:tcPr>
          <w:p>
            <w:pPr>
              <w:pStyle w:val="51"/>
              <w:spacing w:line="480" w:lineRule="exact"/>
            </w:pPr>
            <w:r>
              <w:rPr>
                <w:rFonts w:hint="eastAsia"/>
              </w:rPr>
              <w:t>姓名</w:t>
            </w:r>
          </w:p>
        </w:tc>
        <w:tc>
          <w:tcPr>
            <w:tcW w:w="1432" w:type="dxa"/>
            <w:vAlign w:val="center"/>
          </w:tcPr>
          <w:p>
            <w:pPr>
              <w:pStyle w:val="51"/>
              <w:spacing w:line="480" w:lineRule="exact"/>
            </w:pPr>
          </w:p>
        </w:tc>
        <w:tc>
          <w:tcPr>
            <w:tcW w:w="1455" w:type="dxa"/>
            <w:vAlign w:val="center"/>
          </w:tcPr>
          <w:p>
            <w:pPr>
              <w:pStyle w:val="51"/>
              <w:spacing w:line="480" w:lineRule="exact"/>
            </w:pPr>
            <w:r>
              <w:rPr>
                <w:rFonts w:hint="eastAsia"/>
              </w:rPr>
              <w:t>技术职称</w:t>
            </w:r>
          </w:p>
        </w:tc>
        <w:tc>
          <w:tcPr>
            <w:tcW w:w="1548" w:type="dxa"/>
            <w:vAlign w:val="center"/>
          </w:tcPr>
          <w:p>
            <w:pPr>
              <w:pStyle w:val="51"/>
              <w:spacing w:line="480" w:lineRule="exact"/>
            </w:pPr>
          </w:p>
        </w:tc>
        <w:tc>
          <w:tcPr>
            <w:tcW w:w="1364" w:type="dxa"/>
            <w:gridSpan w:val="2"/>
            <w:vAlign w:val="center"/>
          </w:tcPr>
          <w:p>
            <w:pPr>
              <w:pStyle w:val="51"/>
              <w:spacing w:line="480" w:lineRule="exact"/>
            </w:pPr>
            <w:r>
              <w:rPr>
                <w:rFonts w:hint="eastAsia"/>
              </w:rPr>
              <w:t>电话</w:t>
            </w:r>
          </w:p>
        </w:tc>
        <w:tc>
          <w:tcPr>
            <w:tcW w:w="1262" w:type="dxa"/>
            <w:vAlign w:val="center"/>
          </w:tcPr>
          <w:p>
            <w:pPr>
              <w:pStyle w:val="51"/>
              <w:spacing w:line="48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956" w:type="dxa"/>
            <w:vAlign w:val="center"/>
          </w:tcPr>
          <w:p>
            <w:pPr>
              <w:pStyle w:val="51"/>
              <w:spacing w:line="480" w:lineRule="exact"/>
            </w:pPr>
            <w:r>
              <w:rPr>
                <w:rFonts w:hint="eastAsia"/>
              </w:rPr>
              <w:t>技术负责人</w:t>
            </w:r>
          </w:p>
        </w:tc>
        <w:tc>
          <w:tcPr>
            <w:tcW w:w="939" w:type="dxa"/>
            <w:vAlign w:val="center"/>
          </w:tcPr>
          <w:p>
            <w:pPr>
              <w:pStyle w:val="51"/>
              <w:spacing w:line="480" w:lineRule="exact"/>
            </w:pPr>
            <w:r>
              <w:rPr>
                <w:rFonts w:hint="eastAsia"/>
              </w:rPr>
              <w:t>姓名</w:t>
            </w:r>
          </w:p>
        </w:tc>
        <w:tc>
          <w:tcPr>
            <w:tcW w:w="1432" w:type="dxa"/>
            <w:vAlign w:val="center"/>
          </w:tcPr>
          <w:p>
            <w:pPr>
              <w:pStyle w:val="51"/>
              <w:spacing w:line="480" w:lineRule="exact"/>
            </w:pPr>
          </w:p>
        </w:tc>
        <w:tc>
          <w:tcPr>
            <w:tcW w:w="1455" w:type="dxa"/>
            <w:vAlign w:val="center"/>
          </w:tcPr>
          <w:p>
            <w:pPr>
              <w:pStyle w:val="51"/>
              <w:spacing w:line="480" w:lineRule="exact"/>
            </w:pPr>
            <w:r>
              <w:rPr>
                <w:rFonts w:hint="eastAsia"/>
              </w:rPr>
              <w:t>技术职称</w:t>
            </w:r>
          </w:p>
        </w:tc>
        <w:tc>
          <w:tcPr>
            <w:tcW w:w="1548" w:type="dxa"/>
            <w:vAlign w:val="center"/>
          </w:tcPr>
          <w:p>
            <w:pPr>
              <w:pStyle w:val="51"/>
              <w:spacing w:line="480" w:lineRule="exact"/>
            </w:pPr>
          </w:p>
        </w:tc>
        <w:tc>
          <w:tcPr>
            <w:tcW w:w="1364" w:type="dxa"/>
            <w:gridSpan w:val="2"/>
            <w:vAlign w:val="center"/>
          </w:tcPr>
          <w:p>
            <w:pPr>
              <w:pStyle w:val="51"/>
              <w:spacing w:line="480" w:lineRule="exact"/>
            </w:pPr>
            <w:r>
              <w:rPr>
                <w:rFonts w:hint="eastAsia"/>
              </w:rPr>
              <w:t>电话</w:t>
            </w:r>
          </w:p>
        </w:tc>
        <w:tc>
          <w:tcPr>
            <w:tcW w:w="1262" w:type="dxa"/>
            <w:vAlign w:val="center"/>
          </w:tcPr>
          <w:p>
            <w:pPr>
              <w:pStyle w:val="51"/>
              <w:spacing w:line="48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1"/>
              <w:spacing w:line="480" w:lineRule="exact"/>
            </w:pPr>
            <w:r>
              <w:rPr>
                <w:rFonts w:hint="eastAsia"/>
              </w:rPr>
              <w:t>成立时间</w:t>
            </w:r>
          </w:p>
        </w:tc>
        <w:tc>
          <w:tcPr>
            <w:tcW w:w="2371" w:type="dxa"/>
            <w:gridSpan w:val="2"/>
            <w:vAlign w:val="center"/>
          </w:tcPr>
          <w:p>
            <w:pPr>
              <w:pStyle w:val="51"/>
              <w:spacing w:line="480" w:lineRule="exact"/>
            </w:pPr>
          </w:p>
        </w:tc>
        <w:tc>
          <w:tcPr>
            <w:tcW w:w="5629" w:type="dxa"/>
            <w:gridSpan w:val="5"/>
            <w:vAlign w:val="center"/>
          </w:tcPr>
          <w:p>
            <w:pPr>
              <w:pStyle w:val="51"/>
              <w:spacing w:line="480" w:lineRule="exact"/>
            </w:pPr>
            <w:r>
              <w:rPr>
                <w:rFonts w:hint="eastAsia"/>
              </w:rPr>
              <w:t>从业人员总人数：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51"/>
              <w:spacing w:line="480" w:lineRule="exact"/>
            </w:pPr>
            <w:r>
              <w:rPr>
                <w:rFonts w:hint="eastAsia"/>
              </w:rPr>
              <w:t>企业资质等级</w:t>
            </w:r>
          </w:p>
        </w:tc>
        <w:tc>
          <w:tcPr>
            <w:tcW w:w="2371" w:type="dxa"/>
            <w:gridSpan w:val="2"/>
            <w:vAlign w:val="center"/>
          </w:tcPr>
          <w:p>
            <w:pPr>
              <w:pStyle w:val="51"/>
              <w:spacing w:line="480" w:lineRule="exact"/>
            </w:pPr>
          </w:p>
        </w:tc>
        <w:tc>
          <w:tcPr>
            <w:tcW w:w="1455" w:type="dxa"/>
            <w:vMerge w:val="restart"/>
            <w:vAlign w:val="center"/>
          </w:tcPr>
          <w:p>
            <w:pPr>
              <w:pStyle w:val="51"/>
              <w:spacing w:line="480" w:lineRule="exact"/>
            </w:pPr>
            <w:r>
              <w:rPr>
                <w:rFonts w:hint="eastAsia"/>
              </w:rPr>
              <w:t>其中</w:t>
            </w:r>
          </w:p>
        </w:tc>
        <w:tc>
          <w:tcPr>
            <w:tcW w:w="1734" w:type="dxa"/>
            <w:gridSpan w:val="2"/>
            <w:vAlign w:val="center"/>
          </w:tcPr>
          <w:p>
            <w:pPr>
              <w:pStyle w:val="51"/>
              <w:spacing w:line="480" w:lineRule="exact"/>
            </w:pPr>
            <w:r>
              <w:rPr>
                <w:rFonts w:hint="eastAsia"/>
              </w:rPr>
              <w:t>项目经理</w:t>
            </w:r>
          </w:p>
        </w:tc>
        <w:tc>
          <w:tcPr>
            <w:tcW w:w="2440" w:type="dxa"/>
            <w:gridSpan w:val="2"/>
            <w:vAlign w:val="center"/>
          </w:tcPr>
          <w:p>
            <w:pPr>
              <w:pStyle w:val="51"/>
              <w:spacing w:line="48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1"/>
              <w:spacing w:line="480" w:lineRule="exact"/>
            </w:pPr>
            <w:r>
              <w:rPr>
                <w:rFonts w:hint="eastAsia"/>
              </w:rPr>
              <w:t>营业执照号/统一社会信用代码</w:t>
            </w:r>
          </w:p>
        </w:tc>
        <w:tc>
          <w:tcPr>
            <w:tcW w:w="2371" w:type="dxa"/>
            <w:gridSpan w:val="2"/>
            <w:vAlign w:val="center"/>
          </w:tcPr>
          <w:p>
            <w:pPr>
              <w:pStyle w:val="51"/>
              <w:spacing w:line="480" w:lineRule="exact"/>
            </w:pPr>
          </w:p>
        </w:tc>
        <w:tc>
          <w:tcPr>
            <w:tcW w:w="1455" w:type="dxa"/>
            <w:vMerge w:val="continue"/>
            <w:vAlign w:val="center"/>
          </w:tcPr>
          <w:p>
            <w:pPr>
              <w:pStyle w:val="51"/>
              <w:spacing w:line="480" w:lineRule="exact"/>
            </w:pPr>
          </w:p>
        </w:tc>
        <w:tc>
          <w:tcPr>
            <w:tcW w:w="1734" w:type="dxa"/>
            <w:gridSpan w:val="2"/>
            <w:vAlign w:val="center"/>
          </w:tcPr>
          <w:p>
            <w:pPr>
              <w:pStyle w:val="51"/>
              <w:spacing w:line="480" w:lineRule="exact"/>
            </w:pPr>
            <w:r>
              <w:rPr>
                <w:rFonts w:hint="eastAsia"/>
              </w:rPr>
              <w:t>高级职称人员</w:t>
            </w:r>
          </w:p>
        </w:tc>
        <w:tc>
          <w:tcPr>
            <w:tcW w:w="2440" w:type="dxa"/>
            <w:gridSpan w:val="2"/>
            <w:vAlign w:val="center"/>
          </w:tcPr>
          <w:p>
            <w:pPr>
              <w:pStyle w:val="51"/>
              <w:spacing w:line="48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1"/>
              <w:spacing w:line="480" w:lineRule="exact"/>
            </w:pPr>
            <w:r>
              <w:rPr>
                <w:rFonts w:hint="eastAsia"/>
              </w:rPr>
              <w:t>注册资金</w:t>
            </w:r>
          </w:p>
        </w:tc>
        <w:tc>
          <w:tcPr>
            <w:tcW w:w="2371" w:type="dxa"/>
            <w:gridSpan w:val="2"/>
            <w:vAlign w:val="center"/>
          </w:tcPr>
          <w:p>
            <w:pPr>
              <w:pStyle w:val="51"/>
              <w:spacing w:line="480" w:lineRule="exact"/>
            </w:pPr>
          </w:p>
        </w:tc>
        <w:tc>
          <w:tcPr>
            <w:tcW w:w="1455" w:type="dxa"/>
            <w:vMerge w:val="continue"/>
            <w:vAlign w:val="center"/>
          </w:tcPr>
          <w:p>
            <w:pPr>
              <w:pStyle w:val="51"/>
              <w:spacing w:line="480" w:lineRule="exact"/>
            </w:pPr>
          </w:p>
        </w:tc>
        <w:tc>
          <w:tcPr>
            <w:tcW w:w="1734" w:type="dxa"/>
            <w:gridSpan w:val="2"/>
            <w:vAlign w:val="center"/>
          </w:tcPr>
          <w:p>
            <w:pPr>
              <w:pStyle w:val="51"/>
              <w:spacing w:line="480" w:lineRule="exact"/>
            </w:pPr>
            <w:r>
              <w:rPr>
                <w:rFonts w:hint="eastAsia"/>
              </w:rPr>
              <w:t>中级职称人员</w:t>
            </w:r>
          </w:p>
        </w:tc>
        <w:tc>
          <w:tcPr>
            <w:tcW w:w="2440" w:type="dxa"/>
            <w:gridSpan w:val="2"/>
            <w:vAlign w:val="center"/>
          </w:tcPr>
          <w:p>
            <w:pPr>
              <w:pStyle w:val="51"/>
              <w:spacing w:line="48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51"/>
              <w:spacing w:line="480" w:lineRule="exact"/>
            </w:pPr>
            <w:r>
              <w:rPr>
                <w:rFonts w:hint="eastAsia"/>
              </w:rPr>
              <w:t>开户银行</w:t>
            </w:r>
          </w:p>
        </w:tc>
        <w:tc>
          <w:tcPr>
            <w:tcW w:w="2371" w:type="dxa"/>
            <w:gridSpan w:val="2"/>
            <w:vAlign w:val="center"/>
          </w:tcPr>
          <w:p>
            <w:pPr>
              <w:pStyle w:val="51"/>
              <w:spacing w:line="480" w:lineRule="exact"/>
            </w:pPr>
          </w:p>
        </w:tc>
        <w:tc>
          <w:tcPr>
            <w:tcW w:w="1455" w:type="dxa"/>
            <w:vMerge w:val="continue"/>
            <w:vAlign w:val="center"/>
          </w:tcPr>
          <w:p>
            <w:pPr>
              <w:pStyle w:val="51"/>
              <w:spacing w:line="480" w:lineRule="exact"/>
            </w:pPr>
          </w:p>
        </w:tc>
        <w:tc>
          <w:tcPr>
            <w:tcW w:w="1734" w:type="dxa"/>
            <w:gridSpan w:val="2"/>
            <w:vAlign w:val="center"/>
          </w:tcPr>
          <w:p>
            <w:pPr>
              <w:pStyle w:val="51"/>
              <w:spacing w:line="480" w:lineRule="exact"/>
            </w:pPr>
            <w:r>
              <w:rPr>
                <w:rFonts w:hint="eastAsia"/>
              </w:rPr>
              <w:t>初级职称人员</w:t>
            </w:r>
          </w:p>
        </w:tc>
        <w:tc>
          <w:tcPr>
            <w:tcW w:w="2440" w:type="dxa"/>
            <w:gridSpan w:val="2"/>
            <w:vAlign w:val="center"/>
          </w:tcPr>
          <w:p>
            <w:pPr>
              <w:pStyle w:val="51"/>
              <w:spacing w:line="48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1"/>
              <w:spacing w:line="480" w:lineRule="exact"/>
            </w:pPr>
            <w:r>
              <w:rPr>
                <w:rFonts w:hint="eastAsia"/>
              </w:rPr>
              <w:t>账号</w:t>
            </w:r>
          </w:p>
        </w:tc>
        <w:tc>
          <w:tcPr>
            <w:tcW w:w="2371" w:type="dxa"/>
            <w:gridSpan w:val="2"/>
            <w:vAlign w:val="center"/>
          </w:tcPr>
          <w:p>
            <w:pPr>
              <w:pStyle w:val="51"/>
              <w:spacing w:line="480" w:lineRule="exact"/>
            </w:pPr>
          </w:p>
        </w:tc>
        <w:tc>
          <w:tcPr>
            <w:tcW w:w="1455" w:type="dxa"/>
            <w:vMerge w:val="continue"/>
            <w:vAlign w:val="center"/>
          </w:tcPr>
          <w:p>
            <w:pPr>
              <w:pStyle w:val="51"/>
              <w:spacing w:line="480" w:lineRule="exact"/>
            </w:pPr>
          </w:p>
        </w:tc>
        <w:tc>
          <w:tcPr>
            <w:tcW w:w="1734" w:type="dxa"/>
            <w:gridSpan w:val="2"/>
            <w:vAlign w:val="center"/>
          </w:tcPr>
          <w:p>
            <w:pPr>
              <w:pStyle w:val="51"/>
              <w:spacing w:line="480" w:lineRule="exact"/>
            </w:pPr>
            <w:r>
              <w:rPr>
                <w:rFonts w:hint="eastAsia"/>
              </w:rPr>
              <w:t>技工</w:t>
            </w:r>
          </w:p>
        </w:tc>
        <w:tc>
          <w:tcPr>
            <w:tcW w:w="2440" w:type="dxa"/>
            <w:gridSpan w:val="2"/>
            <w:vAlign w:val="center"/>
          </w:tcPr>
          <w:p>
            <w:pPr>
              <w:pStyle w:val="51"/>
              <w:spacing w:line="48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1"/>
              <w:spacing w:line="480" w:lineRule="exact"/>
            </w:pPr>
            <w:r>
              <w:rPr>
                <w:rFonts w:hint="eastAsia"/>
              </w:rPr>
              <w:t>营业收入</w:t>
            </w:r>
          </w:p>
        </w:tc>
        <w:tc>
          <w:tcPr>
            <w:tcW w:w="2371" w:type="dxa"/>
            <w:gridSpan w:val="2"/>
            <w:vAlign w:val="center"/>
          </w:tcPr>
          <w:p>
            <w:pPr>
              <w:pStyle w:val="51"/>
              <w:spacing w:line="480" w:lineRule="exact"/>
            </w:pPr>
          </w:p>
        </w:tc>
        <w:tc>
          <w:tcPr>
            <w:tcW w:w="1455" w:type="dxa"/>
            <w:vAlign w:val="center"/>
          </w:tcPr>
          <w:p>
            <w:pPr>
              <w:pStyle w:val="51"/>
              <w:spacing w:line="480" w:lineRule="exact"/>
            </w:pPr>
            <w:r>
              <w:rPr>
                <w:rFonts w:hint="eastAsia"/>
              </w:rPr>
              <w:t>资产总额</w:t>
            </w:r>
          </w:p>
        </w:tc>
        <w:tc>
          <w:tcPr>
            <w:tcW w:w="4174" w:type="dxa"/>
            <w:gridSpan w:val="4"/>
            <w:vAlign w:val="center"/>
          </w:tcPr>
          <w:p>
            <w:pPr>
              <w:pStyle w:val="51"/>
              <w:spacing w:line="48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 w:hRule="atLeast"/>
        </w:trPr>
        <w:tc>
          <w:tcPr>
            <w:tcW w:w="1956" w:type="dxa"/>
            <w:vAlign w:val="center"/>
          </w:tcPr>
          <w:p>
            <w:pPr>
              <w:pStyle w:val="51"/>
              <w:spacing w:line="480" w:lineRule="exact"/>
            </w:pPr>
            <w:r>
              <w:rPr>
                <w:rFonts w:hint="eastAsia"/>
              </w:rPr>
              <w:t>经营范围</w:t>
            </w:r>
          </w:p>
        </w:tc>
        <w:tc>
          <w:tcPr>
            <w:tcW w:w="8000" w:type="dxa"/>
            <w:gridSpan w:val="7"/>
            <w:vAlign w:val="center"/>
          </w:tcPr>
          <w:p>
            <w:pPr>
              <w:pStyle w:val="51"/>
              <w:spacing w:line="48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rPr>
        <w:tc>
          <w:tcPr>
            <w:tcW w:w="1956" w:type="dxa"/>
            <w:vAlign w:val="center"/>
          </w:tcPr>
          <w:p>
            <w:pPr>
              <w:pStyle w:val="51"/>
              <w:spacing w:line="480" w:lineRule="exact"/>
            </w:pPr>
            <w:r>
              <w:rPr>
                <w:rFonts w:hint="eastAsia"/>
              </w:rPr>
              <w:t>是否属于中小企业</w:t>
            </w:r>
          </w:p>
        </w:tc>
        <w:tc>
          <w:tcPr>
            <w:tcW w:w="8000" w:type="dxa"/>
            <w:gridSpan w:val="7"/>
            <w:vAlign w:val="center"/>
          </w:tcPr>
          <w:p>
            <w:pPr>
              <w:pStyle w:val="51"/>
              <w:spacing w:line="480" w:lineRule="exact"/>
              <w:jc w:val="left"/>
            </w:pPr>
            <w:r>
              <w:rPr>
                <w:rFonts w:hint="eastAsia"/>
              </w:rPr>
              <w:t xml:space="preserve">□中型企业  □小型企业  □微型企业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2" w:hRule="atLeast"/>
        </w:trPr>
        <w:tc>
          <w:tcPr>
            <w:tcW w:w="1956" w:type="dxa"/>
            <w:vAlign w:val="center"/>
          </w:tcPr>
          <w:p>
            <w:pPr>
              <w:pStyle w:val="51"/>
              <w:spacing w:line="480" w:lineRule="exact"/>
            </w:pPr>
            <w:r>
              <w:rPr>
                <w:rFonts w:hint="eastAsia"/>
              </w:rPr>
              <w:t>备注</w:t>
            </w:r>
          </w:p>
        </w:tc>
        <w:tc>
          <w:tcPr>
            <w:tcW w:w="8000" w:type="dxa"/>
            <w:gridSpan w:val="7"/>
          </w:tcPr>
          <w:p>
            <w:pPr>
              <w:pStyle w:val="51"/>
              <w:spacing w:line="480" w:lineRule="exact"/>
            </w:pPr>
          </w:p>
        </w:tc>
      </w:tr>
    </w:tbl>
    <w:p>
      <w:pPr>
        <w:pStyle w:val="53"/>
        <w:ind w:firstLine="482"/>
      </w:pPr>
      <w:r>
        <w:rPr>
          <w:rFonts w:hint="eastAsia"/>
        </w:rPr>
        <w:t>注：①投标人根据自身实际情况填写，对不涉及的内容可填写“/”，不影响投标资质及效力。</w:t>
      </w:r>
    </w:p>
    <w:p>
      <w:pPr>
        <w:pStyle w:val="53"/>
        <w:ind w:firstLine="482"/>
      </w:pPr>
      <w:r>
        <w:rPr>
          <w:rFonts w:hint="eastAsia"/>
        </w:rPr>
        <w:t>②从业人员、营业收入、资产总额填报上一年度数据，无上一年度数据的新成立企业可不填报</w:t>
      </w:r>
    </w:p>
    <w:p>
      <w:pPr>
        <w:pStyle w:val="52"/>
      </w:pPr>
    </w:p>
    <w:p>
      <w:pPr>
        <w:pStyle w:val="52"/>
        <w:bidi w:val="0"/>
        <w:rPr>
          <w:rFonts w:hint="eastAsia"/>
        </w:rPr>
      </w:pPr>
      <w:r>
        <w:rPr>
          <w:rFonts w:hint="eastAsia"/>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(盖章)</w:t>
      </w:r>
    </w:p>
    <w:p>
      <w:pPr>
        <w:pStyle w:val="52"/>
        <w:bidi w:val="0"/>
        <w:rPr>
          <w:rFonts w:hint="eastAsia"/>
        </w:rPr>
      </w:pPr>
      <w:r>
        <w:rPr>
          <w:rFonts w:hint="eastAsia"/>
          <w:lang w:eastAsia="zh-CN"/>
        </w:rPr>
        <w:t>法定代表人/单位负责人或授权代表</w:t>
      </w:r>
      <w:r>
        <w:rPr>
          <w:rFonts w:hint="eastAsia"/>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(签字</w:t>
      </w:r>
      <w:r>
        <w:rPr>
          <w:rFonts w:hint="eastAsia"/>
          <w:lang w:eastAsia="zh-CN"/>
        </w:rPr>
        <w:t>或盖章</w:t>
      </w:r>
      <w:r>
        <w:rPr>
          <w:rFonts w:hint="eastAsia"/>
        </w:rPr>
        <w:t>)</w:t>
      </w:r>
    </w:p>
    <w:p>
      <w:pPr>
        <w:pStyle w:val="52"/>
      </w:pPr>
      <w:r>
        <w:rPr>
          <w:rFonts w:hint="eastAsia"/>
        </w:rPr>
        <w:t>投标日期</w:t>
      </w:r>
      <w:r>
        <w:rPr>
          <w:rFonts w:hint="eastAsia"/>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50"/>
        <w:numPr>
          <w:ilvl w:val="0"/>
          <w:numId w:val="24"/>
        </w:numPr>
        <w:spacing w:before="120" w:after="120"/>
        <w:ind w:firstLine="0"/>
      </w:pPr>
      <w:bookmarkStart w:id="914" w:name="_Toc27274"/>
      <w:r>
        <w:rPr>
          <w:rFonts w:hint="eastAsia"/>
        </w:rPr>
        <w:t>开标一览表</w:t>
      </w:r>
      <w:bookmarkEnd w:id="899"/>
      <w:bookmarkEnd w:id="900"/>
      <w:bookmarkEnd w:id="901"/>
      <w:bookmarkEnd w:id="902"/>
      <w:r>
        <w:rPr>
          <w:rFonts w:hint="eastAsia"/>
          <w:lang w:val="en-US" w:eastAsia="zh-CN"/>
        </w:rPr>
        <w:t>(适用于第一包、第二包、第三包)</w:t>
      </w:r>
      <w:bookmarkEnd w:id="914"/>
    </w:p>
    <w:p>
      <w:pPr>
        <w:pStyle w:val="48"/>
        <w:rPr>
          <w:rFonts w:hint="default" w:eastAsia="宋体"/>
          <w:u w:val="single"/>
          <w:lang w:val="en-US" w:eastAsia="zh-CN"/>
        </w:rPr>
      </w:pPr>
      <w:r>
        <w:rPr>
          <w:rFonts w:hint="eastAsia"/>
        </w:rPr>
        <w:t>项目名称：</w:t>
      </w:r>
      <w:r>
        <w:rPr>
          <w:rFonts w:hint="eastAsia"/>
          <w:u w:val="single"/>
          <w:lang w:val="en-US" w:eastAsia="zh-CN"/>
        </w:rPr>
        <w:t xml:space="preserve">                           </w:t>
      </w:r>
    </w:p>
    <w:p>
      <w:pPr>
        <w:pStyle w:val="48"/>
        <w:rPr>
          <w:rFonts w:hint="default"/>
          <w:u w:val="single"/>
          <w:lang w:val="en-US" w:eastAsia="zh-CN"/>
        </w:rPr>
      </w:pPr>
      <w:r>
        <w:rPr>
          <w:rFonts w:hint="eastAsia"/>
        </w:rPr>
        <w:t>项目编号：</w:t>
      </w:r>
      <w:r>
        <w:rPr>
          <w:rFonts w:hint="eastAsia"/>
          <w:u w:val="single"/>
          <w:lang w:val="en-US" w:eastAsia="zh-CN"/>
        </w:rPr>
        <w:t xml:space="preserve">                           </w:t>
      </w:r>
      <w:r>
        <w:rPr>
          <w:rFonts w:hint="eastAsia"/>
          <w:lang w:val="en-US" w:eastAsia="zh-CN"/>
        </w:rPr>
        <w:t xml:space="preserve">                  包号：</w:t>
      </w:r>
      <w:r>
        <w:rPr>
          <w:rFonts w:hint="eastAsia"/>
          <w:u w:val="single"/>
          <w:lang w:val="en-US" w:eastAsia="zh-CN"/>
        </w:rPr>
        <w:t>第1包/第2包/第3包</w:t>
      </w:r>
    </w:p>
    <w:tbl>
      <w:tblPr>
        <w:tblStyle w:val="26"/>
        <w:tblW w:w="10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2447"/>
        <w:gridCol w:w="2618"/>
        <w:gridCol w:w="2137"/>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4" w:hRule="atLeast"/>
          <w:jc w:val="center"/>
        </w:trPr>
        <w:tc>
          <w:tcPr>
            <w:tcW w:w="741" w:type="dxa"/>
            <w:vAlign w:val="center"/>
          </w:tcPr>
          <w:p>
            <w:pPr>
              <w:pStyle w:val="51"/>
              <w:rPr>
                <w:rFonts w:hint="eastAsia" w:eastAsia="宋体"/>
                <w:b/>
                <w:bCs/>
                <w:szCs w:val="21"/>
                <w:lang w:eastAsia="zh-CN"/>
              </w:rPr>
            </w:pPr>
            <w:r>
              <w:rPr>
                <w:rFonts w:hint="eastAsia"/>
                <w:b/>
                <w:bCs/>
                <w:szCs w:val="21"/>
                <w:lang w:eastAsia="zh-CN"/>
              </w:rPr>
              <w:t>序号</w:t>
            </w:r>
          </w:p>
        </w:tc>
        <w:tc>
          <w:tcPr>
            <w:tcW w:w="2447" w:type="dxa"/>
            <w:vAlign w:val="center"/>
          </w:tcPr>
          <w:p>
            <w:pPr>
              <w:pStyle w:val="51"/>
              <w:rPr>
                <w:b/>
                <w:bCs/>
                <w:szCs w:val="21"/>
              </w:rPr>
            </w:pPr>
            <w:r>
              <w:rPr>
                <w:rFonts w:hint="eastAsia"/>
                <w:b/>
                <w:bCs/>
                <w:szCs w:val="21"/>
                <w:lang w:eastAsia="zh-CN"/>
              </w:rPr>
              <w:t>采购</w:t>
            </w:r>
            <w:r>
              <w:rPr>
                <w:rFonts w:hint="eastAsia"/>
                <w:b/>
                <w:bCs/>
                <w:szCs w:val="21"/>
              </w:rPr>
              <w:t>内容</w:t>
            </w:r>
          </w:p>
        </w:tc>
        <w:tc>
          <w:tcPr>
            <w:tcW w:w="2618" w:type="dxa"/>
            <w:vAlign w:val="center"/>
          </w:tcPr>
          <w:p>
            <w:pPr>
              <w:pStyle w:val="51"/>
              <w:rPr>
                <w:rFonts w:hint="eastAsia" w:eastAsia="宋体"/>
                <w:b/>
                <w:bCs/>
                <w:szCs w:val="21"/>
                <w:lang w:eastAsia="zh-CN"/>
              </w:rPr>
            </w:pPr>
            <w:r>
              <w:rPr>
                <w:rFonts w:hint="eastAsia"/>
                <w:b/>
                <w:bCs/>
                <w:szCs w:val="21"/>
              </w:rPr>
              <w:t>投标</w:t>
            </w:r>
            <w:r>
              <w:rPr>
                <w:rFonts w:hint="eastAsia"/>
                <w:b/>
                <w:bCs/>
                <w:szCs w:val="21"/>
                <w:lang w:val="en-US" w:eastAsia="zh-CN"/>
              </w:rPr>
              <w:t>单价</w:t>
            </w:r>
          </w:p>
        </w:tc>
        <w:tc>
          <w:tcPr>
            <w:tcW w:w="2137" w:type="dxa"/>
            <w:vAlign w:val="center"/>
          </w:tcPr>
          <w:p>
            <w:pPr>
              <w:pStyle w:val="51"/>
              <w:rPr>
                <w:rFonts w:hint="default" w:eastAsia="宋体"/>
                <w:b/>
                <w:bCs/>
                <w:szCs w:val="21"/>
                <w:lang w:val="en-US" w:eastAsia="zh-CN"/>
              </w:rPr>
            </w:pPr>
            <w:r>
              <w:rPr>
                <w:rFonts w:hint="eastAsia"/>
                <w:b/>
                <w:bCs/>
                <w:szCs w:val="21"/>
                <w:lang w:val="en-US" w:eastAsia="zh-CN"/>
              </w:rPr>
              <w:t>投标报价（元）</w:t>
            </w:r>
          </w:p>
        </w:tc>
        <w:tc>
          <w:tcPr>
            <w:tcW w:w="2135" w:type="dxa"/>
            <w:vAlign w:val="center"/>
          </w:tcPr>
          <w:p>
            <w:pPr>
              <w:pStyle w:val="51"/>
              <w:rPr>
                <w:rFonts w:hint="eastAsia"/>
                <w:b/>
                <w:bCs/>
                <w:szCs w:val="21"/>
              </w:rPr>
            </w:pPr>
            <w:r>
              <w:rPr>
                <w:rFonts w:hint="eastAsia"/>
                <w:b/>
                <w:bCs/>
                <w:szCs w:val="21"/>
              </w:rPr>
              <w:t>履约时间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741" w:type="dxa"/>
            <w:vAlign w:val="center"/>
          </w:tcPr>
          <w:p>
            <w:pPr>
              <w:jc w:val="center"/>
              <w:rPr>
                <w:rFonts w:hint="eastAsia" w:eastAsia="宋体"/>
                <w:sz w:val="21"/>
                <w:szCs w:val="21"/>
                <w:lang w:eastAsia="zh-CN"/>
              </w:rPr>
            </w:pPr>
            <w:r>
              <w:rPr>
                <w:rFonts w:hint="eastAsia"/>
                <w:sz w:val="21"/>
                <w:szCs w:val="21"/>
                <w:highlight w:val="none"/>
                <w:lang w:val="en-US" w:eastAsia="zh-CN"/>
              </w:rPr>
              <w:t>1</w:t>
            </w:r>
          </w:p>
        </w:tc>
        <w:tc>
          <w:tcPr>
            <w:tcW w:w="2447" w:type="dxa"/>
            <w:vAlign w:val="center"/>
          </w:tcPr>
          <w:p>
            <w:pPr>
              <w:jc w:val="center"/>
              <w:rPr>
                <w:sz w:val="21"/>
                <w:szCs w:val="21"/>
              </w:rPr>
            </w:pPr>
            <w:r>
              <w:rPr>
                <w:rFonts w:hint="eastAsia"/>
                <w:sz w:val="21"/>
                <w:szCs w:val="21"/>
                <w:highlight w:val="none"/>
              </w:rPr>
              <w:t>全野外探测</w:t>
            </w:r>
          </w:p>
        </w:tc>
        <w:tc>
          <w:tcPr>
            <w:tcW w:w="2618" w:type="dxa"/>
            <w:vAlign w:val="center"/>
          </w:tcPr>
          <w:p>
            <w:pPr>
              <w:jc w:val="center"/>
              <w:rPr>
                <w:rFonts w:hint="default" w:ascii="宋体" w:hAnsi="宋体" w:eastAsia="宋体" w:cstheme="minorBidi"/>
                <w:kern w:val="2"/>
                <w:sz w:val="21"/>
                <w:szCs w:val="21"/>
                <w:highlight w:val="none"/>
                <w:lang w:val="zh-CN" w:eastAsia="zh-CN" w:bidi="ar-SA"/>
              </w:rPr>
            </w:pPr>
            <w:r>
              <w:rPr>
                <w:rFonts w:hint="eastAsia"/>
                <w:sz w:val="21"/>
                <w:szCs w:val="21"/>
                <w:highlight w:val="none"/>
                <w:u w:val="single"/>
                <w:lang w:val="en-US" w:eastAsia="zh-CN"/>
              </w:rPr>
              <w:t xml:space="preserve">      </w:t>
            </w:r>
            <w:r>
              <w:rPr>
                <w:rFonts w:hint="eastAsia"/>
                <w:sz w:val="21"/>
                <w:szCs w:val="21"/>
                <w:highlight w:val="none"/>
                <w:lang w:val="en-US" w:eastAsia="zh-CN"/>
              </w:rPr>
              <w:t>元/公里</w:t>
            </w:r>
          </w:p>
        </w:tc>
        <w:tc>
          <w:tcPr>
            <w:tcW w:w="2137" w:type="dxa"/>
            <w:vAlign w:val="center"/>
          </w:tcPr>
          <w:p>
            <w:pPr>
              <w:jc w:val="center"/>
              <w:rPr>
                <w:rFonts w:hint="eastAsia"/>
                <w:sz w:val="21"/>
                <w:szCs w:val="21"/>
                <w:highlight w:val="yellow"/>
                <w:u w:val="single"/>
                <w:lang w:val="en-US" w:eastAsia="zh-CN"/>
              </w:rPr>
            </w:pPr>
          </w:p>
        </w:tc>
        <w:tc>
          <w:tcPr>
            <w:tcW w:w="2135" w:type="dxa"/>
            <w:vMerge w:val="restart"/>
            <w:vAlign w:val="center"/>
          </w:tcPr>
          <w:p>
            <w:pPr>
              <w:jc w:val="center"/>
              <w:rPr>
                <w:rFonts w:hint="eastAsia"/>
                <w:sz w:val="21"/>
                <w:szCs w:val="21"/>
                <w:highlight w:val="yellow"/>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741" w:type="dxa"/>
            <w:vAlign w:val="center"/>
          </w:tcPr>
          <w:p>
            <w:pPr>
              <w:jc w:val="center"/>
              <w:rPr>
                <w:rFonts w:hint="eastAsia" w:eastAsia="宋体"/>
                <w:sz w:val="21"/>
                <w:szCs w:val="21"/>
                <w:lang w:eastAsia="zh-CN"/>
              </w:rPr>
            </w:pPr>
            <w:r>
              <w:rPr>
                <w:rFonts w:hint="eastAsia"/>
                <w:sz w:val="21"/>
                <w:szCs w:val="21"/>
                <w:highlight w:val="none"/>
                <w:lang w:val="en-US" w:eastAsia="zh-CN"/>
              </w:rPr>
              <w:t>2</w:t>
            </w:r>
          </w:p>
        </w:tc>
        <w:tc>
          <w:tcPr>
            <w:tcW w:w="2447" w:type="dxa"/>
            <w:vAlign w:val="center"/>
          </w:tcPr>
          <w:p>
            <w:pPr>
              <w:jc w:val="center"/>
              <w:rPr>
                <w:sz w:val="21"/>
                <w:szCs w:val="21"/>
              </w:rPr>
            </w:pPr>
            <w:r>
              <w:rPr>
                <w:rFonts w:hint="eastAsia"/>
                <w:sz w:val="21"/>
                <w:szCs w:val="21"/>
                <w:highlight w:val="none"/>
              </w:rPr>
              <w:t>内外业结合核实探测</w:t>
            </w:r>
          </w:p>
        </w:tc>
        <w:tc>
          <w:tcPr>
            <w:tcW w:w="2618" w:type="dxa"/>
            <w:vAlign w:val="center"/>
          </w:tcPr>
          <w:p>
            <w:pPr>
              <w:jc w:val="center"/>
              <w:rPr>
                <w:rFonts w:ascii="宋体" w:hAnsi="宋体" w:eastAsia="宋体" w:cstheme="minorBidi"/>
                <w:kern w:val="2"/>
                <w:sz w:val="21"/>
                <w:szCs w:val="21"/>
                <w:highlight w:val="none"/>
                <w:lang w:val="zh-CN" w:eastAsia="zh-CN" w:bidi="ar-SA"/>
              </w:rPr>
            </w:pPr>
            <w:r>
              <w:rPr>
                <w:rFonts w:hint="eastAsia"/>
                <w:sz w:val="21"/>
                <w:szCs w:val="21"/>
                <w:highlight w:val="none"/>
                <w:u w:val="single"/>
                <w:lang w:val="en-US" w:eastAsia="zh-CN"/>
              </w:rPr>
              <w:t xml:space="preserve">      </w:t>
            </w:r>
            <w:r>
              <w:rPr>
                <w:rFonts w:hint="eastAsia"/>
                <w:sz w:val="21"/>
                <w:szCs w:val="21"/>
                <w:highlight w:val="none"/>
                <w:lang w:val="en-US" w:eastAsia="zh-CN"/>
              </w:rPr>
              <w:t>元/公里</w:t>
            </w:r>
          </w:p>
        </w:tc>
        <w:tc>
          <w:tcPr>
            <w:tcW w:w="2137" w:type="dxa"/>
            <w:vAlign w:val="center"/>
          </w:tcPr>
          <w:p>
            <w:pPr>
              <w:jc w:val="center"/>
              <w:rPr>
                <w:rFonts w:hint="eastAsia"/>
                <w:sz w:val="21"/>
                <w:szCs w:val="21"/>
                <w:highlight w:val="yellow"/>
                <w:u w:val="single"/>
                <w:lang w:val="en-US" w:eastAsia="zh-CN"/>
              </w:rPr>
            </w:pPr>
          </w:p>
        </w:tc>
        <w:tc>
          <w:tcPr>
            <w:tcW w:w="2135" w:type="dxa"/>
            <w:vMerge w:val="continue"/>
            <w:vAlign w:val="center"/>
          </w:tcPr>
          <w:p>
            <w:pPr>
              <w:jc w:val="center"/>
              <w:rPr>
                <w:rFonts w:hint="eastAsia"/>
                <w:sz w:val="21"/>
                <w:szCs w:val="21"/>
                <w:highlight w:val="yellow"/>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0078" w:type="dxa"/>
            <w:gridSpan w:val="5"/>
            <w:vAlign w:val="center"/>
          </w:tcPr>
          <w:p>
            <w:pPr>
              <w:jc w:val="left"/>
              <w:rPr>
                <w:rFonts w:hint="default"/>
                <w:sz w:val="21"/>
                <w:szCs w:val="21"/>
                <w:highlight w:val="none"/>
                <w:u w:val="none"/>
                <w:lang w:val="en-US" w:eastAsia="zh-CN"/>
              </w:rPr>
            </w:pPr>
            <w:r>
              <w:rPr>
                <w:rFonts w:hint="eastAsia"/>
                <w:sz w:val="21"/>
                <w:szCs w:val="21"/>
                <w:highlight w:val="none"/>
                <w:u w:val="none"/>
                <w:lang w:val="en-US" w:eastAsia="zh-CN"/>
              </w:rPr>
              <w:t>投标报价合计：</w:t>
            </w:r>
            <w:r>
              <w:rPr>
                <w:rFonts w:hint="eastAsia"/>
                <w:sz w:val="21"/>
                <w:szCs w:val="21"/>
              </w:rPr>
              <w:t>小写</w:t>
            </w:r>
            <w:r>
              <w:rPr>
                <w:rFonts w:hint="eastAsia"/>
                <w:sz w:val="21"/>
                <w:szCs w:val="21"/>
                <w:lang w:val="en-US" w:eastAsia="zh-CN"/>
              </w:rPr>
              <w:t>(人民币)</w:t>
            </w:r>
            <w:r>
              <w:rPr>
                <w:rFonts w:hint="eastAsia"/>
                <w:sz w:val="21"/>
                <w:szCs w:val="21"/>
              </w:rPr>
              <w:t>：</w:t>
            </w:r>
            <w:r>
              <w:rPr>
                <w:rFonts w:hint="eastAsia"/>
                <w:sz w:val="21"/>
                <w:szCs w:val="21"/>
                <w:u w:val="single"/>
                <w:lang w:val="en-US" w:eastAsia="zh-CN"/>
              </w:rPr>
              <w:t xml:space="preserve">          </w:t>
            </w:r>
            <w:r>
              <w:rPr>
                <w:rFonts w:hint="eastAsia"/>
                <w:sz w:val="21"/>
                <w:szCs w:val="21"/>
              </w:rPr>
              <w:t>元</w:t>
            </w:r>
            <w:r>
              <w:rPr>
                <w:rFonts w:hint="eastAsia"/>
                <w:sz w:val="21"/>
                <w:szCs w:val="21"/>
                <w:lang w:eastAsia="zh-CN"/>
              </w:rPr>
              <w:t>；</w:t>
            </w:r>
            <w:r>
              <w:rPr>
                <w:rFonts w:hint="eastAsia"/>
                <w:sz w:val="21"/>
                <w:szCs w:val="21"/>
              </w:rPr>
              <w:t>大写</w:t>
            </w:r>
            <w:r>
              <w:rPr>
                <w:rFonts w:hint="eastAsia"/>
                <w:sz w:val="21"/>
                <w:szCs w:val="21"/>
                <w:lang w:val="en-US" w:eastAsia="zh-CN"/>
              </w:rPr>
              <w:t>(人民币)</w:t>
            </w:r>
            <w:r>
              <w:rPr>
                <w:rFonts w:hint="eastAsia"/>
                <w:sz w:val="21"/>
                <w:szCs w:val="21"/>
              </w:rPr>
              <w:t>：</w:t>
            </w:r>
            <w:r>
              <w:rPr>
                <w:rFonts w:hint="eastAsia"/>
                <w:sz w:val="21"/>
                <w:szCs w:val="21"/>
                <w:u w:val="single"/>
                <w:lang w:val="en-US" w:eastAsia="zh-CN"/>
              </w:rPr>
              <w:t xml:space="preserve">          </w:t>
            </w:r>
            <w:r>
              <w:rPr>
                <w:rFonts w:hint="eastAsia"/>
                <w:sz w:val="21"/>
                <w:szCs w:val="21"/>
              </w:rPr>
              <w:t>元。</w:t>
            </w:r>
            <w:r>
              <w:rPr>
                <w:rFonts w:hint="eastAsia"/>
                <w:sz w:val="21"/>
                <w:szCs w:val="21"/>
                <w:highlight w:val="none"/>
                <w:u w:val="none"/>
                <w:lang w:val="en-US" w:eastAsia="zh-CN"/>
              </w:rPr>
              <w:t xml:space="preserve">    </w:t>
            </w:r>
          </w:p>
        </w:tc>
      </w:tr>
    </w:tbl>
    <w:p>
      <w:pPr>
        <w:pStyle w:val="53"/>
        <w:ind w:firstLine="482"/>
        <w:rPr>
          <w:rFonts w:hint="eastAsia" w:cs="宋体"/>
          <w:bCs/>
          <w:highlight w:val="none"/>
          <w:lang w:val="en-US" w:eastAsia="zh-CN"/>
        </w:rPr>
      </w:pPr>
      <w:r>
        <w:rPr>
          <w:rFonts w:hint="eastAsia"/>
        </w:rPr>
        <w:t>注：①</w:t>
      </w:r>
      <w:r>
        <w:rPr>
          <w:rFonts w:hint="eastAsia" w:cs="宋体"/>
          <w:bCs/>
          <w:highlight w:val="none"/>
          <w:lang w:val="en-US" w:eastAsia="zh-CN"/>
        </w:rPr>
        <w:t>投标报价=</w:t>
      </w:r>
      <w:r>
        <w:rPr>
          <w:rFonts w:hint="eastAsia" w:cs="宋体"/>
          <w:bCs/>
          <w:highlight w:val="none"/>
        </w:rPr>
        <w:t>投标</w:t>
      </w:r>
      <w:r>
        <w:rPr>
          <w:rFonts w:hint="eastAsia" w:cs="宋体"/>
          <w:bCs/>
          <w:highlight w:val="none"/>
          <w:lang w:val="en-US" w:eastAsia="zh-CN"/>
        </w:rPr>
        <w:t>单价×工作测区预计工作量；</w:t>
      </w:r>
    </w:p>
    <w:p>
      <w:pPr>
        <w:pStyle w:val="53"/>
        <w:ind w:firstLine="482"/>
        <w:rPr>
          <w:rFonts w:hint="default"/>
          <w:lang w:val="en-US"/>
        </w:rPr>
      </w:pPr>
      <w:r>
        <w:rPr>
          <w:rFonts w:hint="eastAsia" w:cs="宋体"/>
          <w:bCs/>
          <w:highlight w:val="none"/>
          <w:lang w:val="en-US" w:eastAsia="zh-CN"/>
        </w:rPr>
        <w:t>投标报价合计=</w:t>
      </w:r>
      <w:r>
        <w:rPr>
          <w:rFonts w:hint="eastAsia" w:cs="宋体"/>
          <w:bCs/>
          <w:highlight w:val="none"/>
        </w:rPr>
        <w:t>全野外探测</w:t>
      </w:r>
      <w:r>
        <w:rPr>
          <w:rFonts w:hint="eastAsia" w:cs="宋体"/>
          <w:bCs/>
          <w:highlight w:val="none"/>
          <w:lang w:val="en-US" w:eastAsia="zh-CN"/>
        </w:rPr>
        <w:t>投标报价+</w:t>
      </w:r>
      <w:r>
        <w:rPr>
          <w:rFonts w:hint="eastAsia" w:cs="宋体"/>
          <w:bCs/>
          <w:highlight w:val="none"/>
        </w:rPr>
        <w:t>内外业结合核实探测</w:t>
      </w:r>
      <w:r>
        <w:rPr>
          <w:rFonts w:hint="eastAsia" w:cs="宋体"/>
          <w:bCs/>
          <w:highlight w:val="none"/>
          <w:lang w:val="en-US" w:eastAsia="zh-CN"/>
        </w:rPr>
        <w:t>投标报价。</w:t>
      </w:r>
    </w:p>
    <w:p>
      <w:pPr>
        <w:pStyle w:val="53"/>
        <w:ind w:firstLine="482"/>
      </w:pPr>
      <w:r>
        <w:rPr>
          <w:rFonts w:hint="eastAsia"/>
        </w:rPr>
        <w:t>②投标人各包的报价是投标人响应本项目对应包所要求的</w:t>
      </w:r>
      <w:r>
        <w:rPr>
          <w:rFonts w:hint="eastAsia"/>
          <w:lang w:eastAsia="zh-CN"/>
        </w:rPr>
        <w:t>单项</w:t>
      </w:r>
      <w:r>
        <w:rPr>
          <w:rFonts w:hint="eastAsia"/>
        </w:rPr>
        <w:t>工作内容的价格体现，</w:t>
      </w:r>
      <w:r>
        <w:rPr>
          <w:rFonts w:hint="eastAsia"/>
          <w:highlight w:val="none"/>
        </w:rPr>
        <w:t>包括投标人</w:t>
      </w:r>
      <w:r>
        <w:rPr>
          <w:rFonts w:hint="eastAsia" w:cs="宋体"/>
          <w:bCs/>
          <w:highlight w:val="none"/>
        </w:rPr>
        <w:t>完成本项目所涉及人员劳务、差旅、设备投入、调研、保险、风险、税金、利润、招标代理服务费以及招标文件规定的一切费用</w:t>
      </w:r>
      <w:r>
        <w:rPr>
          <w:rFonts w:hint="eastAsia"/>
          <w:highlight w:val="none"/>
        </w:rPr>
        <w:t>。</w:t>
      </w:r>
    </w:p>
    <w:p>
      <w:pPr>
        <w:pStyle w:val="53"/>
        <w:ind w:firstLine="482"/>
      </w:pPr>
      <w:r>
        <w:rPr>
          <w:rFonts w:hint="eastAsia"/>
          <w:lang w:val="en-US" w:eastAsia="zh-CN"/>
        </w:rPr>
        <w:t>③</w:t>
      </w:r>
      <w:r>
        <w:rPr>
          <w:rFonts w:hint="eastAsia"/>
        </w:rPr>
        <w:t>“开标一览表”除了单独密封递交外，其他投标文件(正副本)中也应当提供，如有遗漏，将视为无效投标。</w:t>
      </w:r>
    </w:p>
    <w:p>
      <w:pPr>
        <w:pStyle w:val="48"/>
      </w:pPr>
    </w:p>
    <w:p>
      <w:pPr>
        <w:pStyle w:val="48"/>
      </w:pPr>
    </w:p>
    <w:p>
      <w:pPr>
        <w:pStyle w:val="48"/>
      </w:pPr>
    </w:p>
    <w:p>
      <w:pPr>
        <w:pStyle w:val="48"/>
      </w:pPr>
    </w:p>
    <w:p>
      <w:pPr>
        <w:pStyle w:val="52"/>
        <w:bidi w:val="0"/>
        <w:rPr>
          <w:rFonts w:hint="eastAsia"/>
        </w:rPr>
      </w:pPr>
      <w:r>
        <w:rPr>
          <w:rFonts w:hint="eastAsia"/>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(盖章)</w:t>
      </w:r>
    </w:p>
    <w:p>
      <w:pPr>
        <w:pStyle w:val="52"/>
        <w:bidi w:val="0"/>
        <w:rPr>
          <w:rFonts w:hint="eastAsia"/>
        </w:rPr>
      </w:pPr>
      <w:r>
        <w:rPr>
          <w:rFonts w:hint="eastAsia"/>
          <w:lang w:eastAsia="zh-CN"/>
        </w:rPr>
        <w:t>法定代表人/单位负责人或授权代表</w:t>
      </w:r>
      <w:r>
        <w:rPr>
          <w:rFonts w:hint="eastAsia"/>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(签字</w:t>
      </w:r>
      <w:r>
        <w:rPr>
          <w:rFonts w:hint="eastAsia"/>
          <w:lang w:eastAsia="zh-CN"/>
        </w:rPr>
        <w:t>或盖章</w:t>
      </w:r>
      <w:r>
        <w:rPr>
          <w:rFonts w:hint="eastAsia"/>
        </w:rPr>
        <w:t>)</w:t>
      </w:r>
    </w:p>
    <w:p>
      <w:pPr>
        <w:pStyle w:val="48"/>
        <w:ind w:firstLine="480" w:firstLineChars="200"/>
        <w:rPr>
          <w:rFonts w:hint="eastAsia"/>
        </w:rPr>
      </w:pPr>
      <w:r>
        <w:rPr>
          <w:rFonts w:hint="eastAsia"/>
        </w:rPr>
        <w:t>投标日期</w:t>
      </w:r>
      <w:r>
        <w:rPr>
          <w:rFonts w:hint="eastAsia"/>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bookmarkStart w:id="915" w:name="_Toc7728"/>
      <w:r>
        <w:rPr>
          <w:rFonts w:hint="eastAsia"/>
        </w:rPr>
        <w:br w:type="page"/>
      </w:r>
    </w:p>
    <w:p>
      <w:pPr>
        <w:pStyle w:val="50"/>
        <w:numPr>
          <w:ilvl w:val="0"/>
          <w:numId w:val="24"/>
        </w:numPr>
        <w:spacing w:before="120" w:after="120"/>
        <w:ind w:firstLine="0"/>
      </w:pPr>
      <w:bookmarkStart w:id="916" w:name="_Toc7246"/>
      <w:r>
        <w:rPr>
          <w:rFonts w:hint="eastAsia"/>
        </w:rPr>
        <w:t>开标一览表</w:t>
      </w:r>
      <w:r>
        <w:rPr>
          <w:rFonts w:hint="eastAsia"/>
          <w:lang w:val="en-US" w:eastAsia="zh-CN"/>
        </w:rPr>
        <w:t>(适用于第四包)</w:t>
      </w:r>
      <w:bookmarkEnd w:id="916"/>
    </w:p>
    <w:p>
      <w:pPr>
        <w:pStyle w:val="48"/>
        <w:rPr>
          <w:rFonts w:hint="default" w:eastAsia="宋体"/>
          <w:u w:val="single"/>
          <w:lang w:val="en-US" w:eastAsia="zh-CN"/>
        </w:rPr>
      </w:pPr>
      <w:r>
        <w:rPr>
          <w:rFonts w:hint="eastAsia"/>
        </w:rPr>
        <w:t>项目名称：</w:t>
      </w:r>
      <w:r>
        <w:rPr>
          <w:rFonts w:hint="eastAsia"/>
          <w:u w:val="single"/>
          <w:lang w:val="en-US" w:eastAsia="zh-CN"/>
        </w:rPr>
        <w:t xml:space="preserve">                           </w:t>
      </w:r>
    </w:p>
    <w:p>
      <w:pPr>
        <w:pStyle w:val="48"/>
        <w:rPr>
          <w:highlight w:val="yellow"/>
          <w:u w:val="single"/>
        </w:rPr>
      </w:pPr>
      <w:r>
        <w:rPr>
          <w:rFonts w:hint="eastAsia"/>
        </w:rPr>
        <w:t>项目编号：</w:t>
      </w:r>
      <w:r>
        <w:rPr>
          <w:rFonts w:hint="eastAsia"/>
          <w:u w:val="single"/>
          <w:lang w:val="en-US" w:eastAsia="zh-CN"/>
        </w:rPr>
        <w:t xml:space="preserve">                           </w:t>
      </w:r>
      <w:r>
        <w:rPr>
          <w:rFonts w:hint="eastAsia"/>
          <w:lang w:val="en-US" w:eastAsia="zh-CN"/>
        </w:rPr>
        <w:t xml:space="preserve">                                包号：</w:t>
      </w:r>
      <w:r>
        <w:rPr>
          <w:rFonts w:hint="eastAsia"/>
          <w:u w:val="single"/>
          <w:lang w:val="en-US" w:eastAsia="zh-CN"/>
        </w:rPr>
        <w:t>第4包</w:t>
      </w:r>
    </w:p>
    <w:tbl>
      <w:tblPr>
        <w:tblStyle w:val="26"/>
        <w:tblW w:w="10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1547"/>
        <w:gridCol w:w="6095"/>
        <w:gridCol w:w="2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01" w:type="dxa"/>
            <w:vAlign w:val="center"/>
          </w:tcPr>
          <w:p>
            <w:pPr>
              <w:pStyle w:val="51"/>
              <w:rPr>
                <w:rFonts w:hint="eastAsia" w:eastAsia="宋体"/>
                <w:b/>
                <w:bCs/>
                <w:szCs w:val="21"/>
                <w:lang w:eastAsia="zh-CN"/>
              </w:rPr>
            </w:pPr>
            <w:r>
              <w:rPr>
                <w:rFonts w:hint="eastAsia"/>
                <w:b/>
                <w:bCs/>
                <w:szCs w:val="21"/>
                <w:lang w:eastAsia="zh-CN"/>
              </w:rPr>
              <w:t>序号</w:t>
            </w:r>
          </w:p>
        </w:tc>
        <w:tc>
          <w:tcPr>
            <w:tcW w:w="1547" w:type="dxa"/>
            <w:vAlign w:val="center"/>
          </w:tcPr>
          <w:p>
            <w:pPr>
              <w:pStyle w:val="51"/>
              <w:rPr>
                <w:b/>
                <w:bCs/>
                <w:szCs w:val="21"/>
              </w:rPr>
            </w:pPr>
            <w:r>
              <w:rPr>
                <w:rFonts w:hint="eastAsia"/>
                <w:b/>
                <w:bCs/>
                <w:szCs w:val="21"/>
                <w:lang w:eastAsia="zh-CN"/>
              </w:rPr>
              <w:t>采购</w:t>
            </w:r>
            <w:r>
              <w:rPr>
                <w:rFonts w:hint="eastAsia"/>
                <w:b/>
                <w:bCs/>
                <w:szCs w:val="21"/>
              </w:rPr>
              <w:t>内容</w:t>
            </w:r>
          </w:p>
        </w:tc>
        <w:tc>
          <w:tcPr>
            <w:tcW w:w="6095" w:type="dxa"/>
            <w:vAlign w:val="center"/>
          </w:tcPr>
          <w:p>
            <w:pPr>
              <w:pStyle w:val="51"/>
              <w:rPr>
                <w:b/>
                <w:bCs/>
                <w:szCs w:val="21"/>
              </w:rPr>
            </w:pPr>
            <w:r>
              <w:rPr>
                <w:rFonts w:hint="eastAsia"/>
                <w:b/>
                <w:bCs/>
                <w:szCs w:val="21"/>
              </w:rPr>
              <w:t>投标报价</w:t>
            </w:r>
          </w:p>
        </w:tc>
        <w:tc>
          <w:tcPr>
            <w:tcW w:w="2232" w:type="dxa"/>
            <w:vAlign w:val="center"/>
          </w:tcPr>
          <w:p>
            <w:pPr>
              <w:pStyle w:val="51"/>
              <w:rPr>
                <w:b/>
                <w:bCs/>
                <w:szCs w:val="21"/>
              </w:rPr>
            </w:pPr>
            <w:r>
              <w:rPr>
                <w:rFonts w:hint="eastAsia"/>
                <w:b/>
                <w:bCs/>
                <w:szCs w:val="21"/>
              </w:rPr>
              <w:t>履约时间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jc w:val="center"/>
        </w:trPr>
        <w:tc>
          <w:tcPr>
            <w:tcW w:w="601" w:type="dxa"/>
            <w:vAlign w:val="center"/>
          </w:tcPr>
          <w:p>
            <w:pPr>
              <w:pStyle w:val="48"/>
              <w:spacing w:line="360" w:lineRule="exact"/>
              <w:jc w:val="center"/>
              <w:rPr>
                <w:rFonts w:hint="eastAsia" w:eastAsia="宋体"/>
                <w:sz w:val="21"/>
                <w:szCs w:val="21"/>
                <w:lang w:eastAsia="zh-CN"/>
              </w:rPr>
            </w:pPr>
            <w:r>
              <w:rPr>
                <w:rFonts w:hint="eastAsia"/>
                <w:sz w:val="21"/>
                <w:szCs w:val="21"/>
                <w:lang w:val="en-US" w:eastAsia="zh-CN"/>
              </w:rPr>
              <w:t>1</w:t>
            </w:r>
          </w:p>
        </w:tc>
        <w:tc>
          <w:tcPr>
            <w:tcW w:w="1547" w:type="dxa"/>
            <w:vAlign w:val="center"/>
          </w:tcPr>
          <w:p>
            <w:pPr>
              <w:pStyle w:val="48"/>
              <w:spacing w:line="360" w:lineRule="exact"/>
              <w:jc w:val="center"/>
              <w:rPr>
                <w:sz w:val="21"/>
                <w:szCs w:val="21"/>
              </w:rPr>
            </w:pPr>
            <w:r>
              <w:rPr>
                <w:rFonts w:hint="eastAsia"/>
                <w:sz w:val="21"/>
                <w:szCs w:val="21"/>
                <w:lang w:eastAsia="zh-CN"/>
              </w:rPr>
              <w:t>地下管线成果普查</w:t>
            </w:r>
            <w:r>
              <w:rPr>
                <w:rFonts w:hint="eastAsia"/>
                <w:sz w:val="21"/>
                <w:szCs w:val="21"/>
              </w:rPr>
              <w:t>监理</w:t>
            </w:r>
          </w:p>
        </w:tc>
        <w:tc>
          <w:tcPr>
            <w:tcW w:w="6095" w:type="dxa"/>
            <w:vAlign w:val="center"/>
          </w:tcPr>
          <w:p>
            <w:pPr>
              <w:pStyle w:val="48"/>
              <w:spacing w:line="360" w:lineRule="exact"/>
              <w:rPr>
                <w:sz w:val="21"/>
                <w:szCs w:val="21"/>
              </w:rPr>
            </w:pPr>
            <w:r>
              <w:rPr>
                <w:rFonts w:hint="eastAsia"/>
                <w:sz w:val="21"/>
                <w:szCs w:val="21"/>
              </w:rPr>
              <w:t>小写</w:t>
            </w:r>
            <w:r>
              <w:rPr>
                <w:rFonts w:hint="eastAsia"/>
                <w:sz w:val="21"/>
                <w:szCs w:val="21"/>
                <w:lang w:val="en-US" w:eastAsia="zh-CN"/>
              </w:rPr>
              <w:t>(人民币)</w:t>
            </w:r>
            <w:r>
              <w:rPr>
                <w:rFonts w:hint="eastAsia"/>
                <w:sz w:val="21"/>
                <w:szCs w:val="21"/>
              </w:rPr>
              <w:t>：</w:t>
            </w:r>
            <w:r>
              <w:rPr>
                <w:rFonts w:hint="eastAsia"/>
                <w:sz w:val="21"/>
                <w:szCs w:val="21"/>
                <w:u w:val="single"/>
                <w:lang w:val="en-US" w:eastAsia="zh-CN"/>
              </w:rPr>
              <w:t xml:space="preserve">          </w:t>
            </w:r>
            <w:r>
              <w:rPr>
                <w:rFonts w:hint="eastAsia"/>
                <w:sz w:val="21"/>
                <w:szCs w:val="21"/>
              </w:rPr>
              <w:t>元。</w:t>
            </w:r>
          </w:p>
          <w:p>
            <w:pPr>
              <w:pStyle w:val="48"/>
              <w:spacing w:line="360" w:lineRule="exact"/>
              <w:rPr>
                <w:sz w:val="21"/>
                <w:szCs w:val="21"/>
              </w:rPr>
            </w:pPr>
            <w:r>
              <w:rPr>
                <w:rFonts w:hint="eastAsia"/>
                <w:sz w:val="21"/>
                <w:szCs w:val="21"/>
              </w:rPr>
              <w:t>大写</w:t>
            </w:r>
            <w:r>
              <w:rPr>
                <w:rFonts w:hint="eastAsia"/>
                <w:sz w:val="21"/>
                <w:szCs w:val="21"/>
                <w:lang w:val="en-US" w:eastAsia="zh-CN"/>
              </w:rPr>
              <w:t>(人民币)</w:t>
            </w:r>
            <w:r>
              <w:rPr>
                <w:rFonts w:hint="eastAsia"/>
                <w:sz w:val="21"/>
                <w:szCs w:val="21"/>
              </w:rPr>
              <w:t>：</w:t>
            </w:r>
            <w:r>
              <w:rPr>
                <w:rFonts w:hint="eastAsia"/>
                <w:sz w:val="21"/>
                <w:szCs w:val="21"/>
                <w:u w:val="single"/>
                <w:lang w:val="en-US" w:eastAsia="zh-CN"/>
              </w:rPr>
              <w:t xml:space="preserve">          </w:t>
            </w:r>
            <w:r>
              <w:rPr>
                <w:rFonts w:hint="eastAsia"/>
                <w:sz w:val="21"/>
                <w:szCs w:val="21"/>
              </w:rPr>
              <w:t>元。</w:t>
            </w:r>
          </w:p>
        </w:tc>
        <w:tc>
          <w:tcPr>
            <w:tcW w:w="2232" w:type="dxa"/>
            <w:vAlign w:val="center"/>
          </w:tcPr>
          <w:p>
            <w:pPr>
              <w:pStyle w:val="48"/>
              <w:spacing w:line="360" w:lineRule="exact"/>
              <w:rPr>
                <w:sz w:val="21"/>
                <w:szCs w:val="21"/>
                <w:lang w:val="zh-CN"/>
              </w:rPr>
            </w:pPr>
          </w:p>
        </w:tc>
      </w:tr>
    </w:tbl>
    <w:p>
      <w:pPr>
        <w:pStyle w:val="53"/>
        <w:ind w:firstLine="482"/>
      </w:pPr>
      <w:r>
        <w:rPr>
          <w:rFonts w:hint="eastAsia"/>
        </w:rPr>
        <w:t>注：①投标人各包的报价是投标人响应本项目对应包所要求的全部工作内容的价格体现，</w:t>
      </w:r>
      <w:r>
        <w:rPr>
          <w:rFonts w:hint="eastAsia"/>
          <w:highlight w:val="none"/>
        </w:rPr>
        <w:t>包括投标人</w:t>
      </w:r>
      <w:r>
        <w:rPr>
          <w:rFonts w:hint="eastAsia" w:cs="宋体"/>
          <w:bCs/>
          <w:highlight w:val="none"/>
        </w:rPr>
        <w:t>完成本项目所涉及人员劳务、差旅、设备投入、调研、保险、风险、税金、利润、招标代理服务费以及招标文件规定的一切费用</w:t>
      </w:r>
      <w:r>
        <w:rPr>
          <w:rFonts w:hint="eastAsia"/>
          <w:highlight w:val="none"/>
        </w:rPr>
        <w:t>。</w:t>
      </w:r>
    </w:p>
    <w:p>
      <w:pPr>
        <w:pStyle w:val="53"/>
        <w:ind w:firstLine="482"/>
      </w:pPr>
      <w:r>
        <w:rPr>
          <w:rFonts w:hint="eastAsia"/>
        </w:rPr>
        <w:t>②“开标一览表”除了单独密封递交外，其他投标文件(正副本)中也应当提供，如有遗漏，将视为无效投标。</w:t>
      </w:r>
    </w:p>
    <w:p>
      <w:pPr>
        <w:pStyle w:val="48"/>
      </w:pPr>
    </w:p>
    <w:p>
      <w:pPr>
        <w:pStyle w:val="48"/>
      </w:pPr>
    </w:p>
    <w:p>
      <w:pPr>
        <w:pStyle w:val="48"/>
      </w:pPr>
    </w:p>
    <w:p>
      <w:pPr>
        <w:pStyle w:val="48"/>
      </w:pPr>
    </w:p>
    <w:p>
      <w:pPr>
        <w:pStyle w:val="52"/>
        <w:bidi w:val="0"/>
        <w:rPr>
          <w:rFonts w:hint="eastAsia"/>
        </w:rPr>
      </w:pPr>
      <w:r>
        <w:rPr>
          <w:rFonts w:hint="eastAsia"/>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(盖章)</w:t>
      </w:r>
    </w:p>
    <w:p>
      <w:pPr>
        <w:pStyle w:val="52"/>
        <w:bidi w:val="0"/>
        <w:rPr>
          <w:rFonts w:hint="eastAsia"/>
        </w:rPr>
      </w:pPr>
      <w:r>
        <w:rPr>
          <w:rFonts w:hint="eastAsia"/>
          <w:lang w:eastAsia="zh-CN"/>
        </w:rPr>
        <w:t>法定代表人/单位负责人或授权代表</w:t>
      </w:r>
      <w:r>
        <w:rPr>
          <w:rFonts w:hint="eastAsia"/>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(签字</w:t>
      </w:r>
      <w:r>
        <w:rPr>
          <w:rFonts w:hint="eastAsia"/>
          <w:lang w:eastAsia="zh-CN"/>
        </w:rPr>
        <w:t>或盖章</w:t>
      </w:r>
      <w:r>
        <w:rPr>
          <w:rFonts w:hint="eastAsia"/>
        </w:rPr>
        <w:t>)</w:t>
      </w:r>
    </w:p>
    <w:p>
      <w:pPr>
        <w:pStyle w:val="48"/>
        <w:ind w:firstLine="480" w:firstLineChars="200"/>
        <w:rPr>
          <w:rFonts w:hint="eastAsia"/>
        </w:rPr>
      </w:pPr>
      <w:r>
        <w:rPr>
          <w:rFonts w:hint="eastAsia"/>
        </w:rPr>
        <w:t>投标日期</w:t>
      </w:r>
      <w:r>
        <w:rPr>
          <w:rFonts w:hint="eastAsia"/>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48"/>
        <w:rPr>
          <w:rFonts w:hint="eastAsia"/>
        </w:rPr>
      </w:pPr>
    </w:p>
    <w:p>
      <w:pPr>
        <w:rPr>
          <w:rFonts w:hint="eastAsia"/>
        </w:rPr>
      </w:pPr>
      <w:r>
        <w:rPr>
          <w:rFonts w:hint="eastAsia"/>
        </w:rPr>
        <w:br w:type="page"/>
      </w:r>
    </w:p>
    <w:p>
      <w:pPr>
        <w:pStyle w:val="50"/>
        <w:numPr>
          <w:ilvl w:val="0"/>
          <w:numId w:val="24"/>
        </w:numPr>
        <w:spacing w:before="120" w:after="120"/>
        <w:ind w:firstLine="0"/>
      </w:pPr>
      <w:bookmarkStart w:id="917" w:name="_Toc26778"/>
      <w:r>
        <w:rPr>
          <w:rFonts w:hint="eastAsia"/>
        </w:rPr>
        <w:t>开标一览表</w:t>
      </w:r>
      <w:r>
        <w:rPr>
          <w:rFonts w:hint="eastAsia"/>
          <w:lang w:val="en-US" w:eastAsia="zh-CN"/>
        </w:rPr>
        <w:t>(适用于第五包)</w:t>
      </w:r>
      <w:bookmarkEnd w:id="917"/>
    </w:p>
    <w:p>
      <w:pPr>
        <w:pStyle w:val="48"/>
        <w:rPr>
          <w:rFonts w:hint="default" w:eastAsia="宋体"/>
          <w:u w:val="single"/>
          <w:lang w:val="en-US" w:eastAsia="zh-CN"/>
        </w:rPr>
      </w:pPr>
      <w:r>
        <w:rPr>
          <w:rFonts w:hint="eastAsia"/>
        </w:rPr>
        <w:t>项目名称：</w:t>
      </w:r>
      <w:r>
        <w:rPr>
          <w:rFonts w:hint="eastAsia"/>
          <w:u w:val="single"/>
          <w:lang w:val="en-US" w:eastAsia="zh-CN"/>
        </w:rPr>
        <w:t xml:space="preserve">                           </w:t>
      </w:r>
    </w:p>
    <w:p>
      <w:pPr>
        <w:pStyle w:val="48"/>
        <w:rPr>
          <w:highlight w:val="yellow"/>
          <w:u w:val="single"/>
        </w:rPr>
      </w:pPr>
      <w:r>
        <w:rPr>
          <w:rFonts w:hint="eastAsia"/>
        </w:rPr>
        <w:t>项目编号：</w:t>
      </w:r>
      <w:r>
        <w:rPr>
          <w:rFonts w:hint="eastAsia"/>
          <w:u w:val="single"/>
          <w:lang w:val="en-US" w:eastAsia="zh-CN"/>
        </w:rPr>
        <w:t xml:space="preserve">                           </w:t>
      </w:r>
      <w:r>
        <w:rPr>
          <w:rFonts w:hint="eastAsia"/>
          <w:lang w:val="en-US" w:eastAsia="zh-CN"/>
        </w:rPr>
        <w:t xml:space="preserve">                                包号：</w:t>
      </w:r>
      <w:r>
        <w:rPr>
          <w:rFonts w:hint="eastAsia"/>
          <w:u w:val="single"/>
          <w:lang w:val="en-US" w:eastAsia="zh-CN"/>
        </w:rPr>
        <w:t>第5包</w:t>
      </w:r>
    </w:p>
    <w:tbl>
      <w:tblPr>
        <w:tblStyle w:val="26"/>
        <w:tblW w:w="10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1547"/>
        <w:gridCol w:w="6095"/>
        <w:gridCol w:w="2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01" w:type="dxa"/>
            <w:vAlign w:val="center"/>
          </w:tcPr>
          <w:p>
            <w:pPr>
              <w:pStyle w:val="51"/>
              <w:rPr>
                <w:rFonts w:hint="eastAsia" w:eastAsia="宋体"/>
                <w:b/>
                <w:bCs/>
                <w:szCs w:val="21"/>
                <w:lang w:eastAsia="zh-CN"/>
              </w:rPr>
            </w:pPr>
            <w:r>
              <w:rPr>
                <w:rFonts w:hint="eastAsia"/>
                <w:b/>
                <w:bCs/>
                <w:szCs w:val="21"/>
                <w:lang w:eastAsia="zh-CN"/>
              </w:rPr>
              <w:t>序号</w:t>
            </w:r>
          </w:p>
        </w:tc>
        <w:tc>
          <w:tcPr>
            <w:tcW w:w="1547" w:type="dxa"/>
            <w:vAlign w:val="center"/>
          </w:tcPr>
          <w:p>
            <w:pPr>
              <w:pStyle w:val="51"/>
              <w:rPr>
                <w:b/>
                <w:bCs/>
                <w:szCs w:val="21"/>
              </w:rPr>
            </w:pPr>
            <w:r>
              <w:rPr>
                <w:rFonts w:hint="eastAsia"/>
                <w:b/>
                <w:bCs/>
                <w:szCs w:val="21"/>
                <w:lang w:eastAsia="zh-CN"/>
              </w:rPr>
              <w:t>采购</w:t>
            </w:r>
            <w:r>
              <w:rPr>
                <w:rFonts w:hint="eastAsia"/>
                <w:b/>
                <w:bCs/>
                <w:szCs w:val="21"/>
              </w:rPr>
              <w:t>内容</w:t>
            </w:r>
          </w:p>
        </w:tc>
        <w:tc>
          <w:tcPr>
            <w:tcW w:w="6095" w:type="dxa"/>
            <w:vAlign w:val="center"/>
          </w:tcPr>
          <w:p>
            <w:pPr>
              <w:pStyle w:val="51"/>
              <w:rPr>
                <w:b/>
                <w:bCs/>
                <w:szCs w:val="21"/>
              </w:rPr>
            </w:pPr>
            <w:r>
              <w:rPr>
                <w:rFonts w:hint="eastAsia"/>
                <w:b/>
                <w:bCs/>
                <w:szCs w:val="21"/>
              </w:rPr>
              <w:t>投标报价</w:t>
            </w:r>
          </w:p>
        </w:tc>
        <w:tc>
          <w:tcPr>
            <w:tcW w:w="2232" w:type="dxa"/>
            <w:vAlign w:val="center"/>
          </w:tcPr>
          <w:p>
            <w:pPr>
              <w:pStyle w:val="51"/>
              <w:rPr>
                <w:b/>
                <w:bCs/>
                <w:szCs w:val="21"/>
              </w:rPr>
            </w:pPr>
            <w:r>
              <w:rPr>
                <w:rFonts w:hint="eastAsia"/>
                <w:b/>
                <w:bCs/>
                <w:szCs w:val="21"/>
              </w:rPr>
              <w:t>履约时间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jc w:val="center"/>
        </w:trPr>
        <w:tc>
          <w:tcPr>
            <w:tcW w:w="601" w:type="dxa"/>
            <w:vAlign w:val="center"/>
          </w:tcPr>
          <w:p>
            <w:pPr>
              <w:pStyle w:val="48"/>
              <w:spacing w:line="360" w:lineRule="exact"/>
              <w:jc w:val="center"/>
              <w:rPr>
                <w:rFonts w:hint="eastAsia" w:eastAsia="宋体"/>
                <w:sz w:val="21"/>
                <w:szCs w:val="21"/>
                <w:lang w:eastAsia="zh-CN"/>
              </w:rPr>
            </w:pPr>
            <w:r>
              <w:rPr>
                <w:rFonts w:hint="eastAsia"/>
                <w:sz w:val="21"/>
                <w:szCs w:val="21"/>
                <w:lang w:val="en-US" w:eastAsia="zh-CN"/>
              </w:rPr>
              <w:t>1</w:t>
            </w:r>
          </w:p>
        </w:tc>
        <w:tc>
          <w:tcPr>
            <w:tcW w:w="1547" w:type="dxa"/>
            <w:vAlign w:val="center"/>
          </w:tcPr>
          <w:p>
            <w:pPr>
              <w:pStyle w:val="48"/>
              <w:spacing w:line="360" w:lineRule="exact"/>
              <w:jc w:val="center"/>
              <w:rPr>
                <w:sz w:val="21"/>
                <w:szCs w:val="21"/>
              </w:rPr>
            </w:pPr>
            <w:r>
              <w:rPr>
                <w:rFonts w:hint="eastAsia"/>
                <w:sz w:val="21"/>
                <w:szCs w:val="21"/>
                <w:lang w:eastAsia="zh-CN"/>
              </w:rPr>
              <w:t>地下管线成果普查</w:t>
            </w:r>
            <w:r>
              <w:rPr>
                <w:rFonts w:hint="eastAsia"/>
                <w:sz w:val="21"/>
                <w:szCs w:val="21"/>
              </w:rPr>
              <w:t>质检</w:t>
            </w:r>
          </w:p>
        </w:tc>
        <w:tc>
          <w:tcPr>
            <w:tcW w:w="6095" w:type="dxa"/>
            <w:vAlign w:val="center"/>
          </w:tcPr>
          <w:p>
            <w:pPr>
              <w:pStyle w:val="48"/>
              <w:spacing w:line="360" w:lineRule="exact"/>
              <w:rPr>
                <w:sz w:val="21"/>
                <w:szCs w:val="21"/>
              </w:rPr>
            </w:pPr>
            <w:r>
              <w:rPr>
                <w:rFonts w:hint="eastAsia"/>
                <w:sz w:val="21"/>
                <w:szCs w:val="21"/>
              </w:rPr>
              <w:t>小写</w:t>
            </w:r>
            <w:r>
              <w:rPr>
                <w:rFonts w:hint="eastAsia"/>
                <w:sz w:val="21"/>
                <w:szCs w:val="21"/>
                <w:lang w:val="en-US" w:eastAsia="zh-CN"/>
              </w:rPr>
              <w:t>(人民币)</w:t>
            </w:r>
            <w:r>
              <w:rPr>
                <w:rFonts w:hint="eastAsia"/>
                <w:sz w:val="21"/>
                <w:szCs w:val="21"/>
              </w:rPr>
              <w:t>：</w:t>
            </w:r>
            <w:r>
              <w:rPr>
                <w:rFonts w:hint="eastAsia"/>
                <w:sz w:val="21"/>
                <w:szCs w:val="21"/>
                <w:u w:val="single"/>
                <w:lang w:val="en-US" w:eastAsia="zh-CN"/>
              </w:rPr>
              <w:t xml:space="preserve">          </w:t>
            </w:r>
            <w:r>
              <w:rPr>
                <w:rFonts w:hint="eastAsia"/>
                <w:sz w:val="21"/>
                <w:szCs w:val="21"/>
              </w:rPr>
              <w:t>元。</w:t>
            </w:r>
          </w:p>
          <w:p>
            <w:pPr>
              <w:pStyle w:val="48"/>
              <w:spacing w:line="360" w:lineRule="exact"/>
              <w:rPr>
                <w:sz w:val="21"/>
                <w:szCs w:val="21"/>
              </w:rPr>
            </w:pPr>
            <w:r>
              <w:rPr>
                <w:rFonts w:hint="eastAsia"/>
                <w:sz w:val="21"/>
                <w:szCs w:val="21"/>
              </w:rPr>
              <w:t>大写</w:t>
            </w:r>
            <w:r>
              <w:rPr>
                <w:rFonts w:hint="eastAsia"/>
                <w:sz w:val="21"/>
                <w:szCs w:val="21"/>
                <w:lang w:val="en-US" w:eastAsia="zh-CN"/>
              </w:rPr>
              <w:t>(人民币)</w:t>
            </w:r>
            <w:r>
              <w:rPr>
                <w:rFonts w:hint="eastAsia"/>
                <w:sz w:val="21"/>
                <w:szCs w:val="21"/>
              </w:rPr>
              <w:t>：</w:t>
            </w:r>
            <w:r>
              <w:rPr>
                <w:rFonts w:hint="eastAsia"/>
                <w:sz w:val="21"/>
                <w:szCs w:val="21"/>
                <w:u w:val="single"/>
                <w:lang w:val="en-US" w:eastAsia="zh-CN"/>
              </w:rPr>
              <w:t xml:space="preserve">          </w:t>
            </w:r>
            <w:r>
              <w:rPr>
                <w:rFonts w:hint="eastAsia"/>
                <w:sz w:val="21"/>
                <w:szCs w:val="21"/>
              </w:rPr>
              <w:t>元。</w:t>
            </w:r>
          </w:p>
        </w:tc>
        <w:tc>
          <w:tcPr>
            <w:tcW w:w="2232" w:type="dxa"/>
            <w:vAlign w:val="center"/>
          </w:tcPr>
          <w:p>
            <w:pPr>
              <w:pStyle w:val="48"/>
              <w:spacing w:line="360" w:lineRule="exact"/>
              <w:rPr>
                <w:sz w:val="21"/>
                <w:szCs w:val="21"/>
                <w:lang w:val="zh-CN"/>
              </w:rPr>
            </w:pPr>
          </w:p>
        </w:tc>
      </w:tr>
    </w:tbl>
    <w:p>
      <w:pPr>
        <w:pStyle w:val="53"/>
        <w:ind w:firstLine="482"/>
      </w:pPr>
      <w:r>
        <w:rPr>
          <w:rFonts w:hint="eastAsia"/>
        </w:rPr>
        <w:t>注：①投标人各包的报价是投标人响应本项目对应包所要求的全部工作内容的价格体现，</w:t>
      </w:r>
      <w:r>
        <w:rPr>
          <w:rFonts w:hint="eastAsia"/>
          <w:highlight w:val="none"/>
        </w:rPr>
        <w:t>包括投标人</w:t>
      </w:r>
      <w:r>
        <w:rPr>
          <w:rFonts w:hint="eastAsia" w:cs="宋体"/>
          <w:bCs/>
          <w:highlight w:val="none"/>
        </w:rPr>
        <w:t>完成本项目所涉及人员劳务、差旅、设备投入、调研、保险、风险、税金、利润、招标代理服务费以及招标文件规定的一切费用</w:t>
      </w:r>
      <w:r>
        <w:rPr>
          <w:rFonts w:hint="eastAsia"/>
          <w:highlight w:val="none"/>
        </w:rPr>
        <w:t>。</w:t>
      </w:r>
    </w:p>
    <w:p>
      <w:pPr>
        <w:pStyle w:val="53"/>
        <w:ind w:firstLine="482"/>
      </w:pPr>
      <w:r>
        <w:rPr>
          <w:rFonts w:hint="eastAsia"/>
        </w:rPr>
        <w:t>②“开标一览表”除了单独密封递交外，其他投标文件(正副本)中也应当提供，如有遗漏，将视为无效投标。</w:t>
      </w:r>
    </w:p>
    <w:p>
      <w:pPr>
        <w:pStyle w:val="48"/>
      </w:pPr>
    </w:p>
    <w:p>
      <w:pPr>
        <w:pStyle w:val="48"/>
      </w:pPr>
    </w:p>
    <w:p>
      <w:pPr>
        <w:pStyle w:val="48"/>
      </w:pPr>
    </w:p>
    <w:p>
      <w:pPr>
        <w:pStyle w:val="48"/>
      </w:pPr>
    </w:p>
    <w:p>
      <w:pPr>
        <w:pStyle w:val="52"/>
        <w:bidi w:val="0"/>
        <w:rPr>
          <w:rFonts w:hint="eastAsia"/>
        </w:rPr>
      </w:pPr>
      <w:r>
        <w:rPr>
          <w:rFonts w:hint="eastAsia"/>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(盖章)</w:t>
      </w:r>
    </w:p>
    <w:p>
      <w:pPr>
        <w:pStyle w:val="52"/>
        <w:bidi w:val="0"/>
        <w:rPr>
          <w:rFonts w:hint="eastAsia"/>
        </w:rPr>
      </w:pPr>
      <w:r>
        <w:rPr>
          <w:rFonts w:hint="eastAsia"/>
          <w:lang w:eastAsia="zh-CN"/>
        </w:rPr>
        <w:t>法定代表人/单位负责人或授权代表</w:t>
      </w:r>
      <w:r>
        <w:rPr>
          <w:rFonts w:hint="eastAsia"/>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(签字</w:t>
      </w:r>
      <w:r>
        <w:rPr>
          <w:rFonts w:hint="eastAsia"/>
          <w:lang w:eastAsia="zh-CN"/>
        </w:rPr>
        <w:t>或盖章</w:t>
      </w:r>
      <w:r>
        <w:rPr>
          <w:rFonts w:hint="eastAsia"/>
        </w:rPr>
        <w:t>)</w:t>
      </w:r>
    </w:p>
    <w:p>
      <w:pPr>
        <w:pStyle w:val="48"/>
        <w:ind w:firstLine="480" w:firstLineChars="200"/>
        <w:rPr>
          <w:rFonts w:hint="eastAsia"/>
        </w:rPr>
      </w:pPr>
      <w:r>
        <w:rPr>
          <w:rFonts w:hint="eastAsia"/>
        </w:rPr>
        <w:t>投标日期</w:t>
      </w:r>
      <w:r>
        <w:rPr>
          <w:rFonts w:hint="eastAsia"/>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48"/>
        <w:ind w:firstLine="480" w:firstLineChars="200"/>
        <w:rPr>
          <w:rFonts w:hint="eastAsia"/>
        </w:rPr>
      </w:pPr>
    </w:p>
    <w:bookmarkEnd w:id="915"/>
    <w:p>
      <w:pPr>
        <w:pStyle w:val="50"/>
        <w:numPr>
          <w:ilvl w:val="0"/>
          <w:numId w:val="24"/>
        </w:numPr>
        <w:spacing w:before="120" w:after="120"/>
        <w:ind w:firstLine="0"/>
      </w:pPr>
      <w:bookmarkStart w:id="918" w:name="_Toc217446087"/>
      <w:bookmarkStart w:id="919" w:name="_Toc319440166"/>
      <w:bookmarkStart w:id="920" w:name="_Toc307501130"/>
      <w:bookmarkStart w:id="921" w:name="_Toc11461"/>
      <w:bookmarkStart w:id="922" w:name="_Toc21006"/>
      <w:bookmarkStart w:id="923" w:name="_Toc34"/>
      <w:bookmarkStart w:id="924" w:name="_Toc25577"/>
      <w:bookmarkStart w:id="925" w:name="_Toc327196310"/>
      <w:bookmarkStart w:id="926" w:name="_Toc7835"/>
      <w:bookmarkStart w:id="927" w:name="_Toc307564875"/>
      <w:bookmarkStart w:id="928" w:name="_Toc319440168"/>
      <w:bookmarkStart w:id="929" w:name="_Toc327196312"/>
      <w:bookmarkStart w:id="930" w:name="_Toc26124"/>
      <w:bookmarkStart w:id="931" w:name="_Toc24507"/>
      <w:r>
        <w:rPr>
          <w:rFonts w:hint="eastAsia"/>
        </w:rPr>
        <w:t>商务应答表</w:t>
      </w:r>
      <w:bookmarkEnd w:id="918"/>
      <w:bookmarkEnd w:id="919"/>
      <w:bookmarkEnd w:id="920"/>
      <w:bookmarkEnd w:id="921"/>
      <w:bookmarkEnd w:id="922"/>
      <w:bookmarkEnd w:id="923"/>
      <w:bookmarkEnd w:id="924"/>
      <w:bookmarkEnd w:id="925"/>
      <w:bookmarkEnd w:id="926"/>
      <w:bookmarkEnd w:id="927"/>
    </w:p>
    <w:p>
      <w:pPr>
        <w:pStyle w:val="48"/>
      </w:pPr>
      <w:r>
        <w:rPr>
          <w:rFonts w:hint="eastAsia"/>
        </w:rPr>
        <w:t>项目名称：</w:t>
      </w:r>
      <w:r>
        <w:rPr>
          <w:rFonts w:hint="eastAsia"/>
          <w:u w:val="single"/>
        </w:rPr>
        <w:t xml:space="preserve">                             </w:t>
      </w:r>
    </w:p>
    <w:p>
      <w:pPr>
        <w:pStyle w:val="48"/>
        <w:rPr>
          <w:rFonts w:hint="default" w:eastAsia="宋体"/>
          <w:highlight w:val="yellow"/>
          <w:u w:val="none"/>
          <w:lang w:val="en-US" w:eastAsia="zh-CN"/>
        </w:rPr>
      </w:pPr>
      <w:r>
        <w:rPr>
          <w:rFonts w:hint="eastAsia"/>
        </w:rPr>
        <w:t>项目编号：</w:t>
      </w:r>
      <w:r>
        <w:rPr>
          <w:rFonts w:hint="eastAsia"/>
          <w:u w:val="single"/>
        </w:rPr>
        <w:t xml:space="preserve">                             </w:t>
      </w:r>
      <w:r>
        <w:rPr>
          <w:rFonts w:hint="eastAsia"/>
          <w:u w:val="none"/>
          <w:lang w:val="en-US" w:eastAsia="zh-CN"/>
        </w:rPr>
        <w:t xml:space="preserve">                              </w:t>
      </w:r>
      <w:r>
        <w:rPr>
          <w:rFonts w:hint="eastAsia"/>
        </w:rPr>
        <w:t>包号：</w:t>
      </w:r>
      <w:r>
        <w:rPr>
          <w:rFonts w:hint="eastAsia"/>
          <w:u w:val="single"/>
          <w:lang w:val="en-US" w:eastAsia="zh-CN"/>
        </w:rPr>
        <w:t xml:space="preserve">     </w:t>
      </w:r>
    </w:p>
    <w:tbl>
      <w:tblPr>
        <w:tblStyle w:val="26"/>
        <w:tblW w:w="9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128"/>
        <w:gridCol w:w="3690"/>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vAlign w:val="center"/>
          </w:tcPr>
          <w:p>
            <w:pPr>
              <w:pStyle w:val="51"/>
              <w:rPr>
                <w:b/>
                <w:bCs/>
              </w:rPr>
            </w:pPr>
            <w:r>
              <w:rPr>
                <w:rFonts w:hint="eastAsia"/>
                <w:b/>
                <w:bCs/>
              </w:rPr>
              <w:t>序号</w:t>
            </w:r>
          </w:p>
        </w:tc>
        <w:tc>
          <w:tcPr>
            <w:tcW w:w="4128" w:type="dxa"/>
            <w:vAlign w:val="center"/>
          </w:tcPr>
          <w:p>
            <w:pPr>
              <w:pStyle w:val="51"/>
              <w:rPr>
                <w:b/>
                <w:bCs/>
              </w:rPr>
            </w:pPr>
            <w:r>
              <w:rPr>
                <w:rFonts w:hint="eastAsia"/>
                <w:b/>
                <w:bCs/>
              </w:rPr>
              <w:t>招标文件第六章商务要求</w:t>
            </w:r>
          </w:p>
        </w:tc>
        <w:tc>
          <w:tcPr>
            <w:tcW w:w="3690" w:type="dxa"/>
            <w:vAlign w:val="center"/>
          </w:tcPr>
          <w:p>
            <w:pPr>
              <w:pStyle w:val="51"/>
              <w:rPr>
                <w:b/>
                <w:bCs/>
              </w:rPr>
            </w:pPr>
            <w:r>
              <w:rPr>
                <w:rFonts w:hint="eastAsia"/>
                <w:b/>
                <w:bCs/>
              </w:rPr>
              <w:t>投标文件响应情况</w:t>
            </w:r>
          </w:p>
        </w:tc>
        <w:tc>
          <w:tcPr>
            <w:tcW w:w="1277" w:type="dxa"/>
            <w:vAlign w:val="center"/>
          </w:tcPr>
          <w:p>
            <w:pPr>
              <w:pStyle w:val="51"/>
              <w:rPr>
                <w:b/>
                <w:bCs/>
              </w:rPr>
            </w:pPr>
            <w:r>
              <w:rPr>
                <w:rFonts w:hint="eastAsia"/>
                <w:b/>
                <w:bCs/>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866" w:type="dxa"/>
            <w:gridSpan w:val="4"/>
            <w:vAlign w:val="center"/>
          </w:tcPr>
          <w:p>
            <w:pPr>
              <w:pStyle w:val="51"/>
              <w:jc w:val="both"/>
              <w:rPr>
                <w:b/>
                <w:bCs/>
              </w:rPr>
            </w:pPr>
            <w:r>
              <w:rPr>
                <w:rFonts w:hint="eastAsia"/>
              </w:rPr>
              <w:t>我公司承诺(响应/不响应)</w:t>
            </w:r>
            <w:r>
              <w:rPr>
                <w:rFonts w:hint="eastAsia" w:asciiTheme="minorEastAsia" w:hAnsiTheme="minorEastAsia" w:eastAsiaTheme="minorEastAsia" w:cstheme="minorEastAsia"/>
                <w:color w:val="000000"/>
                <w:szCs w:val="21"/>
              </w:rPr>
              <w:t>招标文件第六章商务要求的所有条款，如有偏离的条款，均已在下方列出。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tcPr>
          <w:p>
            <w:pPr>
              <w:pStyle w:val="51"/>
              <w:rPr>
                <w:b/>
                <w:bCs/>
              </w:rPr>
            </w:pPr>
          </w:p>
        </w:tc>
        <w:tc>
          <w:tcPr>
            <w:tcW w:w="4128" w:type="dxa"/>
          </w:tcPr>
          <w:p>
            <w:pPr>
              <w:pStyle w:val="51"/>
              <w:rPr>
                <w:b/>
                <w:bCs/>
              </w:rPr>
            </w:pPr>
          </w:p>
        </w:tc>
        <w:tc>
          <w:tcPr>
            <w:tcW w:w="3690" w:type="dxa"/>
          </w:tcPr>
          <w:p>
            <w:pPr>
              <w:pStyle w:val="51"/>
              <w:rPr>
                <w:b/>
                <w:bCs/>
              </w:rPr>
            </w:pPr>
          </w:p>
        </w:tc>
        <w:tc>
          <w:tcPr>
            <w:tcW w:w="1277" w:type="dxa"/>
          </w:tcPr>
          <w:p>
            <w:pPr>
              <w:pStyle w:val="51"/>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tcPr>
          <w:p>
            <w:pPr>
              <w:pStyle w:val="51"/>
              <w:rPr>
                <w:b/>
                <w:bCs/>
              </w:rPr>
            </w:pPr>
          </w:p>
        </w:tc>
        <w:tc>
          <w:tcPr>
            <w:tcW w:w="4128" w:type="dxa"/>
          </w:tcPr>
          <w:p>
            <w:pPr>
              <w:pStyle w:val="51"/>
              <w:rPr>
                <w:b/>
                <w:bCs/>
              </w:rPr>
            </w:pPr>
          </w:p>
        </w:tc>
        <w:tc>
          <w:tcPr>
            <w:tcW w:w="3690" w:type="dxa"/>
          </w:tcPr>
          <w:p>
            <w:pPr>
              <w:pStyle w:val="51"/>
              <w:rPr>
                <w:b/>
                <w:bCs/>
              </w:rPr>
            </w:pPr>
          </w:p>
        </w:tc>
        <w:tc>
          <w:tcPr>
            <w:tcW w:w="1277" w:type="dxa"/>
          </w:tcPr>
          <w:p>
            <w:pPr>
              <w:pStyle w:val="51"/>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tcPr>
          <w:p>
            <w:pPr>
              <w:pStyle w:val="51"/>
              <w:rPr>
                <w:b/>
                <w:bCs/>
              </w:rPr>
            </w:pPr>
          </w:p>
        </w:tc>
        <w:tc>
          <w:tcPr>
            <w:tcW w:w="4128" w:type="dxa"/>
          </w:tcPr>
          <w:p>
            <w:pPr>
              <w:pStyle w:val="51"/>
              <w:rPr>
                <w:b/>
                <w:bCs/>
              </w:rPr>
            </w:pPr>
          </w:p>
        </w:tc>
        <w:tc>
          <w:tcPr>
            <w:tcW w:w="3690" w:type="dxa"/>
          </w:tcPr>
          <w:p>
            <w:pPr>
              <w:pStyle w:val="51"/>
              <w:rPr>
                <w:b/>
                <w:bCs/>
              </w:rPr>
            </w:pPr>
          </w:p>
        </w:tc>
        <w:tc>
          <w:tcPr>
            <w:tcW w:w="1277" w:type="dxa"/>
          </w:tcPr>
          <w:p>
            <w:pPr>
              <w:pStyle w:val="51"/>
              <w:rPr>
                <w:b/>
                <w:bCs/>
              </w:rPr>
            </w:pPr>
          </w:p>
        </w:tc>
      </w:tr>
    </w:tbl>
    <w:p>
      <w:pPr>
        <w:pStyle w:val="53"/>
        <w:rPr>
          <w:b w:val="0"/>
          <w:bCs/>
          <w:color w:val="000000" w:themeColor="text1"/>
          <w14:textFill>
            <w14:solidFill>
              <w14:schemeClr w14:val="tx1"/>
            </w14:solidFill>
          </w14:textFill>
        </w:rPr>
      </w:pPr>
      <w:r>
        <w:rPr>
          <w:rFonts w:hint="eastAsia"/>
          <w:b w:val="0"/>
          <w:bCs/>
        </w:rPr>
        <w:t>注：①</w:t>
      </w:r>
      <w:r>
        <w:rPr>
          <w:rFonts w:hint="eastAsia"/>
          <w:b w:val="0"/>
          <w:bCs/>
          <w:color w:val="000000" w:themeColor="text1"/>
          <w14:textFill>
            <w14:solidFill>
              <w14:schemeClr w14:val="tx1"/>
            </w14:solidFill>
          </w14:textFill>
        </w:rPr>
        <w:t>如与招标文件</w:t>
      </w:r>
      <w:r>
        <w:rPr>
          <w:rFonts w:hint="eastAsia"/>
          <w:b w:val="0"/>
          <w:bCs/>
        </w:rPr>
        <w:t>第六章商务要求</w:t>
      </w:r>
      <w:r>
        <w:rPr>
          <w:rFonts w:hint="eastAsia"/>
          <w:b w:val="0"/>
          <w:bCs/>
          <w:color w:val="000000" w:themeColor="text1"/>
          <w14:textFill>
            <w14:solidFill>
              <w14:schemeClr w14:val="tx1"/>
            </w14:solidFill>
          </w14:textFill>
        </w:rPr>
        <w:t>有偏离(包括正偏离和负偏离)，</w:t>
      </w:r>
      <w:r>
        <w:rPr>
          <w:rFonts w:hint="eastAsia"/>
          <w:color w:val="000000" w:themeColor="text1"/>
          <w14:textFill>
            <w14:solidFill>
              <w14:schemeClr w14:val="tx1"/>
            </w14:solidFill>
          </w14:textFill>
        </w:rPr>
        <w:t>请将偏离条款逐条应答</w:t>
      </w:r>
      <w:r>
        <w:rPr>
          <w:rFonts w:hint="eastAsia"/>
          <w:b w:val="0"/>
          <w:bCs/>
          <w:color w:val="000000" w:themeColor="text1"/>
          <w14:textFill>
            <w14:solidFill>
              <w14:schemeClr w14:val="tx1"/>
            </w14:solidFill>
          </w14:textFill>
        </w:rPr>
        <w:t>，未在此表中进行应答或未明确偏离的条款视为默认完全响应和接受，投标人不得以未作应答而拒不接受</w:t>
      </w:r>
      <w:r>
        <w:rPr>
          <w:rFonts w:hint="eastAsia"/>
          <w:b w:val="0"/>
          <w:bCs/>
        </w:rPr>
        <w:t>(要求提供承诺函或证明材料的条款，以供应商提供的承诺函内容或证明材料为准)</w:t>
      </w:r>
      <w:r>
        <w:rPr>
          <w:rFonts w:hint="eastAsia"/>
          <w:b w:val="0"/>
          <w:bCs/>
          <w:color w:val="000000" w:themeColor="text1"/>
          <w14:textFill>
            <w14:solidFill>
              <w14:schemeClr w14:val="tx1"/>
            </w14:solidFill>
          </w14:textFill>
        </w:rPr>
        <w:t>。</w:t>
      </w:r>
    </w:p>
    <w:p>
      <w:pPr>
        <w:pStyle w:val="53"/>
        <w:rPr>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②投标人必须据实填写有偏离的条款，不得虚假应答，否则将取消其中标资格。</w:t>
      </w:r>
    </w:p>
    <w:p>
      <w:pPr>
        <w:pStyle w:val="53"/>
      </w:pPr>
      <w:r>
        <w:rPr>
          <w:rFonts w:hint="eastAsia"/>
          <w:b w:val="0"/>
          <w:bCs/>
        </w:rPr>
        <w:t>③评审时如对投标人投标文件中商务应答表的应答内容存在歧义的，可以要求投标人进行澄清。</w:t>
      </w:r>
    </w:p>
    <w:p>
      <w:pPr>
        <w:pStyle w:val="48"/>
      </w:pPr>
    </w:p>
    <w:p>
      <w:pPr>
        <w:pStyle w:val="48"/>
      </w:pPr>
    </w:p>
    <w:p>
      <w:pPr>
        <w:pStyle w:val="52"/>
        <w:bidi w:val="0"/>
        <w:rPr>
          <w:rFonts w:hint="eastAsia"/>
        </w:rPr>
      </w:pPr>
      <w:r>
        <w:rPr>
          <w:rFonts w:hint="eastAsia"/>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(盖章)</w:t>
      </w:r>
    </w:p>
    <w:p>
      <w:pPr>
        <w:pStyle w:val="52"/>
        <w:bidi w:val="0"/>
        <w:rPr>
          <w:rFonts w:hint="eastAsia"/>
        </w:rPr>
      </w:pPr>
      <w:r>
        <w:rPr>
          <w:rFonts w:hint="eastAsia"/>
          <w:lang w:eastAsia="zh-CN"/>
        </w:rPr>
        <w:t>法定代表人/单位负责人或授权代表</w:t>
      </w:r>
      <w:r>
        <w:rPr>
          <w:rFonts w:hint="eastAsia"/>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(签字</w:t>
      </w:r>
      <w:r>
        <w:rPr>
          <w:rFonts w:hint="eastAsia"/>
          <w:lang w:eastAsia="zh-CN"/>
        </w:rPr>
        <w:t>或盖章</w:t>
      </w:r>
      <w:r>
        <w:rPr>
          <w:rFonts w:hint="eastAsia"/>
        </w:rPr>
        <w:t>)</w:t>
      </w:r>
    </w:p>
    <w:p>
      <w:pPr>
        <w:pStyle w:val="52"/>
      </w:pPr>
      <w:r>
        <w:rPr>
          <w:rFonts w:hint="eastAsia"/>
        </w:rPr>
        <w:t>投标日期</w:t>
      </w:r>
      <w:r>
        <w:rPr>
          <w:rFonts w:hint="eastAsia"/>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48"/>
      </w:pPr>
      <w:r>
        <w:rPr>
          <w:rFonts w:hint="eastAsia"/>
        </w:rPr>
        <w:br w:type="page"/>
      </w:r>
    </w:p>
    <w:p>
      <w:pPr>
        <w:pStyle w:val="50"/>
        <w:numPr>
          <w:ilvl w:val="0"/>
          <w:numId w:val="24"/>
        </w:numPr>
        <w:spacing w:before="120" w:after="120"/>
        <w:ind w:firstLine="0"/>
      </w:pPr>
      <w:bookmarkStart w:id="932" w:name="_Toc3995"/>
      <w:bookmarkStart w:id="933" w:name="_Toc25122"/>
      <w:bookmarkStart w:id="934" w:name="_Toc8373"/>
      <w:bookmarkStart w:id="935" w:name="_Toc23376"/>
      <w:r>
        <w:rPr>
          <w:rFonts w:hint="eastAsia"/>
        </w:rPr>
        <w:t>服务应答表</w:t>
      </w:r>
      <w:bookmarkEnd w:id="932"/>
      <w:bookmarkEnd w:id="933"/>
      <w:bookmarkEnd w:id="934"/>
      <w:bookmarkEnd w:id="935"/>
    </w:p>
    <w:p>
      <w:pPr>
        <w:pStyle w:val="48"/>
      </w:pPr>
      <w:r>
        <w:rPr>
          <w:rFonts w:hint="eastAsia"/>
        </w:rPr>
        <w:t>项目名称：</w:t>
      </w:r>
      <w:r>
        <w:rPr>
          <w:rFonts w:hint="eastAsia"/>
          <w:u w:val="single"/>
        </w:rPr>
        <w:t xml:space="preserve">                             </w:t>
      </w:r>
    </w:p>
    <w:p>
      <w:pPr>
        <w:pStyle w:val="48"/>
        <w:rPr>
          <w:highlight w:val="yellow"/>
          <w:u w:val="single"/>
        </w:rPr>
      </w:pPr>
      <w:r>
        <w:rPr>
          <w:rFonts w:hint="eastAsia"/>
        </w:rPr>
        <w:t>项目编号：</w:t>
      </w:r>
      <w:r>
        <w:rPr>
          <w:rFonts w:hint="eastAsia"/>
          <w:u w:val="single"/>
        </w:rPr>
        <w:t xml:space="preserve">                             </w:t>
      </w:r>
      <w:r>
        <w:rPr>
          <w:rFonts w:hint="eastAsia"/>
          <w:u w:val="none"/>
          <w:lang w:val="en-US" w:eastAsia="zh-CN"/>
        </w:rPr>
        <w:t xml:space="preserve">                              </w:t>
      </w:r>
      <w:r>
        <w:rPr>
          <w:rFonts w:hint="eastAsia"/>
        </w:rPr>
        <w:t>包号：</w:t>
      </w:r>
      <w:r>
        <w:rPr>
          <w:rFonts w:hint="eastAsia"/>
          <w:u w:val="single"/>
          <w:lang w:val="en-US" w:eastAsia="zh-CN"/>
        </w:rPr>
        <w:t xml:space="preserve">     </w:t>
      </w:r>
    </w:p>
    <w:tbl>
      <w:tblPr>
        <w:tblStyle w:val="26"/>
        <w:tblW w:w="9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128"/>
        <w:gridCol w:w="3690"/>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vAlign w:val="center"/>
          </w:tcPr>
          <w:p>
            <w:pPr>
              <w:pStyle w:val="51"/>
              <w:rPr>
                <w:b/>
                <w:bCs/>
              </w:rPr>
            </w:pPr>
            <w:r>
              <w:rPr>
                <w:rFonts w:hint="eastAsia"/>
                <w:b/>
                <w:bCs/>
              </w:rPr>
              <w:t>序号</w:t>
            </w:r>
          </w:p>
        </w:tc>
        <w:tc>
          <w:tcPr>
            <w:tcW w:w="4128" w:type="dxa"/>
            <w:vAlign w:val="center"/>
          </w:tcPr>
          <w:p>
            <w:pPr>
              <w:pStyle w:val="51"/>
              <w:rPr>
                <w:b/>
                <w:bCs/>
              </w:rPr>
            </w:pPr>
            <w:r>
              <w:rPr>
                <w:rFonts w:hint="eastAsia"/>
                <w:b/>
                <w:bCs/>
              </w:rPr>
              <w:t>招标文件第六章工作内容及要求</w:t>
            </w:r>
          </w:p>
        </w:tc>
        <w:tc>
          <w:tcPr>
            <w:tcW w:w="3690" w:type="dxa"/>
            <w:vAlign w:val="center"/>
          </w:tcPr>
          <w:p>
            <w:pPr>
              <w:pStyle w:val="51"/>
              <w:rPr>
                <w:b/>
                <w:bCs/>
              </w:rPr>
            </w:pPr>
            <w:r>
              <w:rPr>
                <w:rFonts w:hint="eastAsia"/>
                <w:b/>
                <w:bCs/>
              </w:rPr>
              <w:t>投标文件响应情况</w:t>
            </w:r>
          </w:p>
        </w:tc>
        <w:tc>
          <w:tcPr>
            <w:tcW w:w="1277" w:type="dxa"/>
            <w:vAlign w:val="center"/>
          </w:tcPr>
          <w:p>
            <w:pPr>
              <w:pStyle w:val="51"/>
              <w:rPr>
                <w:b/>
                <w:bCs/>
              </w:rPr>
            </w:pPr>
            <w:r>
              <w:rPr>
                <w:rFonts w:hint="eastAsia"/>
                <w:b/>
                <w:bCs/>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866" w:type="dxa"/>
            <w:gridSpan w:val="4"/>
            <w:vAlign w:val="center"/>
          </w:tcPr>
          <w:p>
            <w:pPr>
              <w:pStyle w:val="51"/>
              <w:jc w:val="both"/>
              <w:rPr>
                <w:b/>
                <w:bCs/>
              </w:rPr>
            </w:pPr>
            <w:r>
              <w:rPr>
                <w:rFonts w:hint="eastAsia"/>
              </w:rPr>
              <w:t>我公司承诺(响应/不响应)</w:t>
            </w:r>
            <w:r>
              <w:rPr>
                <w:rFonts w:hint="eastAsia" w:asciiTheme="minorEastAsia" w:hAnsiTheme="minorEastAsia" w:eastAsiaTheme="minorEastAsia" w:cstheme="minorEastAsia"/>
                <w:color w:val="000000"/>
                <w:szCs w:val="21"/>
              </w:rPr>
              <w:t>招标文件第六章工作内容及要求的所有条款，如有偏离的条款，均已在下方列出。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tcPr>
          <w:p>
            <w:pPr>
              <w:pStyle w:val="51"/>
              <w:rPr>
                <w:b/>
                <w:bCs/>
              </w:rPr>
            </w:pPr>
          </w:p>
        </w:tc>
        <w:tc>
          <w:tcPr>
            <w:tcW w:w="4128" w:type="dxa"/>
          </w:tcPr>
          <w:p>
            <w:pPr>
              <w:pStyle w:val="51"/>
              <w:rPr>
                <w:b/>
                <w:bCs/>
              </w:rPr>
            </w:pPr>
          </w:p>
        </w:tc>
        <w:tc>
          <w:tcPr>
            <w:tcW w:w="3690" w:type="dxa"/>
          </w:tcPr>
          <w:p>
            <w:pPr>
              <w:pStyle w:val="51"/>
              <w:rPr>
                <w:b/>
                <w:bCs/>
              </w:rPr>
            </w:pPr>
          </w:p>
        </w:tc>
        <w:tc>
          <w:tcPr>
            <w:tcW w:w="1277" w:type="dxa"/>
          </w:tcPr>
          <w:p>
            <w:pPr>
              <w:pStyle w:val="51"/>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tcPr>
          <w:p>
            <w:pPr>
              <w:pStyle w:val="51"/>
              <w:rPr>
                <w:b/>
                <w:bCs/>
              </w:rPr>
            </w:pPr>
          </w:p>
        </w:tc>
        <w:tc>
          <w:tcPr>
            <w:tcW w:w="4128" w:type="dxa"/>
          </w:tcPr>
          <w:p>
            <w:pPr>
              <w:pStyle w:val="51"/>
              <w:rPr>
                <w:b/>
                <w:bCs/>
              </w:rPr>
            </w:pPr>
          </w:p>
        </w:tc>
        <w:tc>
          <w:tcPr>
            <w:tcW w:w="3690" w:type="dxa"/>
          </w:tcPr>
          <w:p>
            <w:pPr>
              <w:pStyle w:val="51"/>
              <w:rPr>
                <w:b/>
                <w:bCs/>
              </w:rPr>
            </w:pPr>
          </w:p>
        </w:tc>
        <w:tc>
          <w:tcPr>
            <w:tcW w:w="1277" w:type="dxa"/>
          </w:tcPr>
          <w:p>
            <w:pPr>
              <w:pStyle w:val="51"/>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0" w:hRule="atLeast"/>
          <w:jc w:val="center"/>
        </w:trPr>
        <w:tc>
          <w:tcPr>
            <w:tcW w:w="771" w:type="dxa"/>
          </w:tcPr>
          <w:p>
            <w:pPr>
              <w:pStyle w:val="51"/>
              <w:rPr>
                <w:b/>
                <w:bCs/>
              </w:rPr>
            </w:pPr>
          </w:p>
        </w:tc>
        <w:tc>
          <w:tcPr>
            <w:tcW w:w="4128" w:type="dxa"/>
          </w:tcPr>
          <w:p>
            <w:pPr>
              <w:pStyle w:val="51"/>
              <w:rPr>
                <w:b/>
                <w:bCs/>
              </w:rPr>
            </w:pPr>
          </w:p>
        </w:tc>
        <w:tc>
          <w:tcPr>
            <w:tcW w:w="3690" w:type="dxa"/>
          </w:tcPr>
          <w:p>
            <w:pPr>
              <w:pStyle w:val="51"/>
              <w:rPr>
                <w:b/>
                <w:bCs/>
              </w:rPr>
            </w:pPr>
          </w:p>
        </w:tc>
        <w:tc>
          <w:tcPr>
            <w:tcW w:w="1277" w:type="dxa"/>
          </w:tcPr>
          <w:p>
            <w:pPr>
              <w:pStyle w:val="51"/>
              <w:rPr>
                <w:b/>
                <w:bCs/>
              </w:rPr>
            </w:pPr>
          </w:p>
        </w:tc>
      </w:tr>
    </w:tbl>
    <w:p>
      <w:pPr>
        <w:pStyle w:val="53"/>
        <w:rPr>
          <w:b w:val="0"/>
          <w:bCs/>
          <w:color w:val="000000" w:themeColor="text1"/>
          <w14:textFill>
            <w14:solidFill>
              <w14:schemeClr w14:val="tx1"/>
            </w14:solidFill>
          </w14:textFill>
        </w:rPr>
      </w:pPr>
      <w:r>
        <w:rPr>
          <w:rFonts w:hint="eastAsia"/>
          <w:b w:val="0"/>
          <w:bCs/>
        </w:rPr>
        <w:t>注：①</w:t>
      </w:r>
      <w:r>
        <w:rPr>
          <w:rFonts w:hint="eastAsia"/>
          <w:b w:val="0"/>
          <w:bCs/>
          <w:color w:val="000000" w:themeColor="text1"/>
          <w14:textFill>
            <w14:solidFill>
              <w14:schemeClr w14:val="tx1"/>
            </w14:solidFill>
          </w14:textFill>
        </w:rPr>
        <w:t>如与招标文件</w:t>
      </w:r>
      <w:r>
        <w:rPr>
          <w:rFonts w:hint="eastAsia"/>
          <w:b w:val="0"/>
          <w:bCs/>
        </w:rPr>
        <w:t>第六章工作内容及要求</w:t>
      </w:r>
      <w:r>
        <w:rPr>
          <w:rFonts w:hint="eastAsia"/>
          <w:b w:val="0"/>
          <w:bCs/>
          <w:color w:val="000000" w:themeColor="text1"/>
          <w14:textFill>
            <w14:solidFill>
              <w14:schemeClr w14:val="tx1"/>
            </w14:solidFill>
          </w14:textFill>
        </w:rPr>
        <w:t>有偏离(包括正偏离和负偏离)，</w:t>
      </w:r>
      <w:r>
        <w:rPr>
          <w:rFonts w:hint="eastAsia"/>
          <w:color w:val="000000" w:themeColor="text1"/>
          <w14:textFill>
            <w14:solidFill>
              <w14:schemeClr w14:val="tx1"/>
            </w14:solidFill>
          </w14:textFill>
        </w:rPr>
        <w:t>请将偏离条款逐条应答</w:t>
      </w:r>
      <w:r>
        <w:rPr>
          <w:rFonts w:hint="eastAsia"/>
          <w:b w:val="0"/>
          <w:bCs/>
          <w:color w:val="000000" w:themeColor="text1"/>
          <w14:textFill>
            <w14:solidFill>
              <w14:schemeClr w14:val="tx1"/>
            </w14:solidFill>
          </w14:textFill>
        </w:rPr>
        <w:t>，未在此表中进行应答或未明确偏离的条款视为默认完全响应和接受，投标人不得以未作应答而拒不接受</w:t>
      </w:r>
      <w:r>
        <w:rPr>
          <w:rFonts w:hint="eastAsia"/>
          <w:b w:val="0"/>
          <w:bCs/>
        </w:rPr>
        <w:t>(要求提供承诺函的条款，以承诺函为准)</w:t>
      </w:r>
      <w:r>
        <w:rPr>
          <w:rFonts w:hint="eastAsia"/>
          <w:b w:val="0"/>
          <w:bCs/>
          <w:color w:val="000000" w:themeColor="text1"/>
          <w14:textFill>
            <w14:solidFill>
              <w14:schemeClr w14:val="tx1"/>
            </w14:solidFill>
          </w14:textFill>
        </w:rPr>
        <w:t>。</w:t>
      </w:r>
    </w:p>
    <w:p>
      <w:pPr>
        <w:pStyle w:val="53"/>
        <w:rPr>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②投标人必须据实填写有偏离的条款，不得虚假应答，否则将取消其投标或中标资格。</w:t>
      </w:r>
    </w:p>
    <w:p>
      <w:pPr>
        <w:pStyle w:val="53"/>
      </w:pPr>
      <w:r>
        <w:rPr>
          <w:rFonts w:hint="eastAsia"/>
          <w:b w:val="0"/>
          <w:bCs/>
        </w:rPr>
        <w:t>③评审时如对投标文件中服务应答表的应答内容存在歧义的，可以要求投标人进行澄清。</w:t>
      </w:r>
    </w:p>
    <w:p>
      <w:pPr>
        <w:pStyle w:val="48"/>
      </w:pPr>
    </w:p>
    <w:p>
      <w:pPr>
        <w:pStyle w:val="48"/>
      </w:pPr>
    </w:p>
    <w:p>
      <w:pPr>
        <w:pStyle w:val="48"/>
      </w:pPr>
    </w:p>
    <w:p>
      <w:pPr>
        <w:pStyle w:val="52"/>
        <w:bidi w:val="0"/>
        <w:rPr>
          <w:rFonts w:hint="eastAsia"/>
        </w:rPr>
      </w:pPr>
      <w:r>
        <w:rPr>
          <w:rFonts w:hint="eastAsia"/>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(盖章)</w:t>
      </w:r>
    </w:p>
    <w:p>
      <w:pPr>
        <w:pStyle w:val="52"/>
        <w:bidi w:val="0"/>
        <w:rPr>
          <w:rFonts w:hint="eastAsia"/>
        </w:rPr>
      </w:pPr>
      <w:r>
        <w:rPr>
          <w:rFonts w:hint="eastAsia"/>
          <w:lang w:eastAsia="zh-CN"/>
        </w:rPr>
        <w:t>法定代表人/单位负责人或授权代表</w:t>
      </w:r>
      <w:r>
        <w:rPr>
          <w:rFonts w:hint="eastAsia"/>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(签字</w:t>
      </w:r>
      <w:r>
        <w:rPr>
          <w:rFonts w:hint="eastAsia"/>
          <w:lang w:eastAsia="zh-CN"/>
        </w:rPr>
        <w:t>或盖章</w:t>
      </w:r>
      <w:r>
        <w:rPr>
          <w:rFonts w:hint="eastAsia"/>
        </w:rPr>
        <w:t>)</w:t>
      </w:r>
    </w:p>
    <w:p>
      <w:pPr>
        <w:pStyle w:val="52"/>
      </w:pPr>
      <w:r>
        <w:rPr>
          <w:rFonts w:hint="eastAsia"/>
        </w:rPr>
        <w:t>投标日期</w:t>
      </w:r>
      <w:r>
        <w:rPr>
          <w:rFonts w:hint="eastAsia"/>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48"/>
      </w:pPr>
      <w:r>
        <w:rPr>
          <w:rFonts w:hint="eastAsia"/>
        </w:rPr>
        <w:br w:type="page"/>
      </w:r>
    </w:p>
    <w:bookmarkEnd w:id="928"/>
    <w:bookmarkEnd w:id="929"/>
    <w:bookmarkEnd w:id="930"/>
    <w:p>
      <w:pPr>
        <w:pStyle w:val="50"/>
        <w:numPr>
          <w:ilvl w:val="0"/>
          <w:numId w:val="24"/>
        </w:numPr>
        <w:spacing w:before="120" w:after="120"/>
        <w:ind w:firstLine="0"/>
      </w:pPr>
      <w:bookmarkStart w:id="936" w:name="_Toc28539"/>
      <w:bookmarkStart w:id="937" w:name="_Toc13356"/>
      <w:r>
        <w:rPr>
          <w:rFonts w:hint="eastAsia"/>
        </w:rPr>
        <w:t>履约能力及相关证明</w:t>
      </w:r>
      <w:bookmarkEnd w:id="936"/>
      <w:bookmarkEnd w:id="937"/>
    </w:p>
    <w:p>
      <w:pPr>
        <w:pStyle w:val="53"/>
        <w:ind w:firstLine="482"/>
      </w:pPr>
      <w:r>
        <w:rPr>
          <w:rFonts w:hint="eastAsia"/>
        </w:rPr>
        <w:t>注：格式自拟。</w:t>
      </w:r>
    </w:p>
    <w:p>
      <w:pPr>
        <w:pStyle w:val="48"/>
      </w:pPr>
    </w:p>
    <w:p>
      <w:pPr>
        <w:pStyle w:val="48"/>
      </w:pPr>
    </w:p>
    <w:p>
      <w:pPr>
        <w:pStyle w:val="48"/>
      </w:pPr>
    </w:p>
    <w:p>
      <w:pPr>
        <w:pStyle w:val="48"/>
      </w:pPr>
    </w:p>
    <w:p>
      <w:pPr>
        <w:pStyle w:val="48"/>
      </w:pPr>
    </w:p>
    <w:p>
      <w:pPr>
        <w:pStyle w:val="48"/>
      </w:pPr>
      <w:r>
        <w:rPr>
          <w:rFonts w:hint="eastAsia"/>
        </w:rPr>
        <w:br w:type="page"/>
      </w:r>
    </w:p>
    <w:bookmarkEnd w:id="931"/>
    <w:p>
      <w:pPr>
        <w:pStyle w:val="50"/>
        <w:numPr>
          <w:ilvl w:val="0"/>
          <w:numId w:val="24"/>
        </w:numPr>
        <w:spacing w:before="120" w:after="120"/>
        <w:ind w:firstLine="0"/>
      </w:pPr>
      <w:bookmarkStart w:id="938" w:name="_Toc13361"/>
      <w:bookmarkStart w:id="939" w:name="_Toc23080"/>
      <w:bookmarkStart w:id="940" w:name="_Toc19240"/>
      <w:bookmarkStart w:id="941" w:name="_Toc2450"/>
      <w:bookmarkStart w:id="942" w:name="_Toc8563"/>
      <w:bookmarkStart w:id="943" w:name="_Toc122"/>
      <w:r>
        <w:rPr>
          <w:rFonts w:hint="eastAsia"/>
        </w:rPr>
        <w:t>投标人针对本项目人员配置情况表</w:t>
      </w:r>
      <w:bookmarkEnd w:id="938"/>
      <w:bookmarkEnd w:id="939"/>
    </w:p>
    <w:p>
      <w:pPr>
        <w:pStyle w:val="48"/>
      </w:pPr>
      <w:r>
        <w:rPr>
          <w:rFonts w:hint="eastAsia"/>
        </w:rPr>
        <w:t>项目名称：</w:t>
      </w:r>
      <w:r>
        <w:rPr>
          <w:rFonts w:hint="eastAsia"/>
          <w:u w:val="single"/>
        </w:rPr>
        <w:t xml:space="preserve">                             </w:t>
      </w:r>
    </w:p>
    <w:p>
      <w:pPr>
        <w:pStyle w:val="48"/>
        <w:rPr>
          <w:u w:val="single"/>
        </w:rPr>
      </w:pPr>
      <w:r>
        <w:rPr>
          <w:rFonts w:hint="eastAsia"/>
        </w:rPr>
        <w:t>项目编号：</w:t>
      </w:r>
      <w:r>
        <w:rPr>
          <w:rFonts w:hint="eastAsia"/>
          <w:u w:val="single"/>
        </w:rPr>
        <w:t xml:space="preserve">                             </w:t>
      </w:r>
      <w:r>
        <w:rPr>
          <w:rFonts w:hint="eastAsia"/>
          <w:u w:val="none"/>
          <w:lang w:val="en-US" w:eastAsia="zh-CN"/>
        </w:rPr>
        <w:t xml:space="preserve">                              </w:t>
      </w:r>
      <w:r>
        <w:rPr>
          <w:rFonts w:hint="eastAsia"/>
        </w:rPr>
        <w:t>包号：</w:t>
      </w:r>
      <w:r>
        <w:rPr>
          <w:rFonts w:hint="eastAsia"/>
          <w:u w:val="single"/>
          <w:lang w:val="en-US" w:eastAsia="zh-CN"/>
        </w:rPr>
        <w:t xml:space="preserve">     </w:t>
      </w:r>
    </w:p>
    <w:tbl>
      <w:tblPr>
        <w:tblStyle w:val="26"/>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923"/>
        <w:gridCol w:w="921"/>
        <w:gridCol w:w="923"/>
        <w:gridCol w:w="922"/>
        <w:gridCol w:w="1436"/>
        <w:gridCol w:w="1022"/>
        <w:gridCol w:w="1232"/>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restart"/>
            <w:vAlign w:val="center"/>
          </w:tcPr>
          <w:p>
            <w:pPr>
              <w:pStyle w:val="51"/>
              <w:rPr>
                <w:b/>
                <w:bCs/>
              </w:rPr>
            </w:pPr>
            <w:r>
              <w:rPr>
                <w:rFonts w:hint="eastAsia"/>
                <w:b/>
                <w:bCs/>
              </w:rPr>
              <w:t>类别</w:t>
            </w:r>
          </w:p>
        </w:tc>
        <w:tc>
          <w:tcPr>
            <w:tcW w:w="923" w:type="dxa"/>
            <w:vMerge w:val="restart"/>
            <w:vAlign w:val="center"/>
          </w:tcPr>
          <w:p>
            <w:pPr>
              <w:pStyle w:val="51"/>
              <w:rPr>
                <w:b/>
                <w:bCs/>
              </w:rPr>
            </w:pPr>
            <w:r>
              <w:rPr>
                <w:rFonts w:hint="eastAsia"/>
                <w:b/>
                <w:bCs/>
              </w:rPr>
              <w:t>职务(岗位)</w:t>
            </w:r>
          </w:p>
        </w:tc>
        <w:tc>
          <w:tcPr>
            <w:tcW w:w="921" w:type="dxa"/>
            <w:vMerge w:val="restart"/>
            <w:vAlign w:val="center"/>
          </w:tcPr>
          <w:p>
            <w:pPr>
              <w:pStyle w:val="51"/>
              <w:rPr>
                <w:b/>
                <w:bCs/>
              </w:rPr>
            </w:pPr>
            <w:r>
              <w:rPr>
                <w:rFonts w:hint="eastAsia"/>
                <w:b/>
                <w:bCs/>
              </w:rPr>
              <w:t>姓名</w:t>
            </w:r>
          </w:p>
        </w:tc>
        <w:tc>
          <w:tcPr>
            <w:tcW w:w="923" w:type="dxa"/>
            <w:vMerge w:val="restart"/>
            <w:vAlign w:val="center"/>
          </w:tcPr>
          <w:p>
            <w:pPr>
              <w:pStyle w:val="51"/>
              <w:rPr>
                <w:b/>
                <w:bCs/>
              </w:rPr>
            </w:pPr>
            <w:r>
              <w:rPr>
                <w:rFonts w:hint="eastAsia"/>
                <w:b/>
                <w:bCs/>
              </w:rPr>
              <w:t>职称</w:t>
            </w:r>
          </w:p>
        </w:tc>
        <w:tc>
          <w:tcPr>
            <w:tcW w:w="922" w:type="dxa"/>
            <w:vMerge w:val="restart"/>
            <w:vAlign w:val="center"/>
          </w:tcPr>
          <w:p>
            <w:pPr>
              <w:pStyle w:val="51"/>
              <w:rPr>
                <w:b/>
                <w:bCs/>
              </w:rPr>
            </w:pPr>
            <w:r>
              <w:rPr>
                <w:rFonts w:hint="eastAsia"/>
                <w:b/>
                <w:bCs/>
              </w:rPr>
              <w:t>常住地</w:t>
            </w:r>
          </w:p>
        </w:tc>
        <w:tc>
          <w:tcPr>
            <w:tcW w:w="4919" w:type="dxa"/>
            <w:gridSpan w:val="4"/>
            <w:vAlign w:val="center"/>
          </w:tcPr>
          <w:p>
            <w:pPr>
              <w:pStyle w:val="51"/>
              <w:rPr>
                <w:b/>
                <w:bCs/>
              </w:rPr>
            </w:pPr>
            <w:r>
              <w:rPr>
                <w:rFonts w:hint="eastAsia"/>
                <w:b/>
                <w:bCs/>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continue"/>
            <w:vAlign w:val="center"/>
          </w:tcPr>
          <w:p>
            <w:pPr>
              <w:pStyle w:val="51"/>
              <w:rPr>
                <w:b/>
                <w:bCs/>
              </w:rPr>
            </w:pPr>
          </w:p>
        </w:tc>
        <w:tc>
          <w:tcPr>
            <w:tcW w:w="923" w:type="dxa"/>
            <w:vMerge w:val="continue"/>
            <w:vAlign w:val="center"/>
          </w:tcPr>
          <w:p>
            <w:pPr>
              <w:pStyle w:val="51"/>
              <w:rPr>
                <w:b/>
                <w:bCs/>
              </w:rPr>
            </w:pPr>
          </w:p>
        </w:tc>
        <w:tc>
          <w:tcPr>
            <w:tcW w:w="921" w:type="dxa"/>
            <w:vMerge w:val="continue"/>
            <w:vAlign w:val="center"/>
          </w:tcPr>
          <w:p>
            <w:pPr>
              <w:pStyle w:val="51"/>
              <w:rPr>
                <w:b/>
                <w:bCs/>
              </w:rPr>
            </w:pPr>
          </w:p>
        </w:tc>
        <w:tc>
          <w:tcPr>
            <w:tcW w:w="923" w:type="dxa"/>
            <w:vMerge w:val="continue"/>
            <w:vAlign w:val="center"/>
          </w:tcPr>
          <w:p>
            <w:pPr>
              <w:pStyle w:val="51"/>
              <w:rPr>
                <w:b/>
                <w:bCs/>
              </w:rPr>
            </w:pPr>
          </w:p>
        </w:tc>
        <w:tc>
          <w:tcPr>
            <w:tcW w:w="922" w:type="dxa"/>
            <w:vMerge w:val="continue"/>
            <w:vAlign w:val="center"/>
          </w:tcPr>
          <w:p>
            <w:pPr>
              <w:pStyle w:val="51"/>
              <w:rPr>
                <w:b/>
                <w:bCs/>
              </w:rPr>
            </w:pPr>
          </w:p>
        </w:tc>
        <w:tc>
          <w:tcPr>
            <w:tcW w:w="1436" w:type="dxa"/>
            <w:vAlign w:val="center"/>
          </w:tcPr>
          <w:p>
            <w:pPr>
              <w:pStyle w:val="51"/>
              <w:rPr>
                <w:b/>
                <w:bCs/>
              </w:rPr>
            </w:pPr>
            <w:r>
              <w:rPr>
                <w:rFonts w:hint="eastAsia"/>
                <w:b/>
                <w:bCs/>
              </w:rPr>
              <w:t>证书名称</w:t>
            </w:r>
          </w:p>
        </w:tc>
        <w:tc>
          <w:tcPr>
            <w:tcW w:w="1022" w:type="dxa"/>
            <w:vAlign w:val="center"/>
          </w:tcPr>
          <w:p>
            <w:pPr>
              <w:pStyle w:val="51"/>
              <w:rPr>
                <w:b/>
                <w:bCs/>
              </w:rPr>
            </w:pPr>
            <w:r>
              <w:rPr>
                <w:rFonts w:hint="eastAsia"/>
                <w:b/>
                <w:bCs/>
              </w:rPr>
              <w:t>级别</w:t>
            </w:r>
          </w:p>
        </w:tc>
        <w:tc>
          <w:tcPr>
            <w:tcW w:w="1232" w:type="dxa"/>
            <w:vAlign w:val="center"/>
          </w:tcPr>
          <w:p>
            <w:pPr>
              <w:pStyle w:val="51"/>
              <w:rPr>
                <w:b/>
                <w:bCs/>
              </w:rPr>
            </w:pPr>
            <w:r>
              <w:rPr>
                <w:rFonts w:hint="eastAsia"/>
                <w:b/>
                <w:bCs/>
              </w:rPr>
              <w:t>证号</w:t>
            </w:r>
          </w:p>
        </w:tc>
        <w:tc>
          <w:tcPr>
            <w:tcW w:w="1229" w:type="dxa"/>
            <w:vAlign w:val="center"/>
          </w:tcPr>
          <w:p>
            <w:pPr>
              <w:pStyle w:val="51"/>
              <w:rPr>
                <w:b/>
                <w:bCs/>
              </w:rPr>
            </w:pPr>
            <w:r>
              <w:rPr>
                <w:rFonts w:hint="eastAsia"/>
                <w:b/>
                <w:bCs/>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51"/>
            </w:pPr>
          </w:p>
        </w:tc>
        <w:tc>
          <w:tcPr>
            <w:tcW w:w="923" w:type="dxa"/>
          </w:tcPr>
          <w:p>
            <w:pPr>
              <w:pStyle w:val="51"/>
            </w:pPr>
          </w:p>
        </w:tc>
        <w:tc>
          <w:tcPr>
            <w:tcW w:w="921" w:type="dxa"/>
          </w:tcPr>
          <w:p>
            <w:pPr>
              <w:pStyle w:val="51"/>
            </w:pPr>
          </w:p>
        </w:tc>
        <w:tc>
          <w:tcPr>
            <w:tcW w:w="923" w:type="dxa"/>
          </w:tcPr>
          <w:p>
            <w:pPr>
              <w:pStyle w:val="51"/>
            </w:pPr>
          </w:p>
        </w:tc>
        <w:tc>
          <w:tcPr>
            <w:tcW w:w="922" w:type="dxa"/>
          </w:tcPr>
          <w:p>
            <w:pPr>
              <w:pStyle w:val="51"/>
            </w:pPr>
          </w:p>
        </w:tc>
        <w:tc>
          <w:tcPr>
            <w:tcW w:w="1436" w:type="dxa"/>
          </w:tcPr>
          <w:p>
            <w:pPr>
              <w:pStyle w:val="51"/>
            </w:pPr>
          </w:p>
        </w:tc>
        <w:tc>
          <w:tcPr>
            <w:tcW w:w="1022" w:type="dxa"/>
          </w:tcPr>
          <w:p>
            <w:pPr>
              <w:pStyle w:val="51"/>
            </w:pPr>
          </w:p>
        </w:tc>
        <w:tc>
          <w:tcPr>
            <w:tcW w:w="1232" w:type="dxa"/>
          </w:tcPr>
          <w:p>
            <w:pPr>
              <w:pStyle w:val="51"/>
            </w:pPr>
          </w:p>
        </w:tc>
        <w:tc>
          <w:tcPr>
            <w:tcW w:w="1229" w:type="dxa"/>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51"/>
            </w:pPr>
          </w:p>
        </w:tc>
        <w:tc>
          <w:tcPr>
            <w:tcW w:w="923" w:type="dxa"/>
          </w:tcPr>
          <w:p>
            <w:pPr>
              <w:pStyle w:val="51"/>
            </w:pPr>
          </w:p>
        </w:tc>
        <w:tc>
          <w:tcPr>
            <w:tcW w:w="921" w:type="dxa"/>
          </w:tcPr>
          <w:p>
            <w:pPr>
              <w:pStyle w:val="51"/>
            </w:pPr>
          </w:p>
        </w:tc>
        <w:tc>
          <w:tcPr>
            <w:tcW w:w="923" w:type="dxa"/>
          </w:tcPr>
          <w:p>
            <w:pPr>
              <w:pStyle w:val="51"/>
            </w:pPr>
          </w:p>
        </w:tc>
        <w:tc>
          <w:tcPr>
            <w:tcW w:w="922" w:type="dxa"/>
          </w:tcPr>
          <w:p>
            <w:pPr>
              <w:pStyle w:val="51"/>
            </w:pPr>
          </w:p>
        </w:tc>
        <w:tc>
          <w:tcPr>
            <w:tcW w:w="1436" w:type="dxa"/>
          </w:tcPr>
          <w:p>
            <w:pPr>
              <w:pStyle w:val="51"/>
            </w:pPr>
          </w:p>
        </w:tc>
        <w:tc>
          <w:tcPr>
            <w:tcW w:w="1022" w:type="dxa"/>
          </w:tcPr>
          <w:p>
            <w:pPr>
              <w:pStyle w:val="51"/>
            </w:pPr>
          </w:p>
        </w:tc>
        <w:tc>
          <w:tcPr>
            <w:tcW w:w="1232" w:type="dxa"/>
          </w:tcPr>
          <w:p>
            <w:pPr>
              <w:pStyle w:val="51"/>
            </w:pPr>
          </w:p>
        </w:tc>
        <w:tc>
          <w:tcPr>
            <w:tcW w:w="1229" w:type="dxa"/>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51"/>
            </w:pPr>
          </w:p>
        </w:tc>
        <w:tc>
          <w:tcPr>
            <w:tcW w:w="923" w:type="dxa"/>
          </w:tcPr>
          <w:p>
            <w:pPr>
              <w:pStyle w:val="51"/>
            </w:pPr>
          </w:p>
        </w:tc>
        <w:tc>
          <w:tcPr>
            <w:tcW w:w="921" w:type="dxa"/>
          </w:tcPr>
          <w:p>
            <w:pPr>
              <w:pStyle w:val="51"/>
            </w:pPr>
          </w:p>
        </w:tc>
        <w:tc>
          <w:tcPr>
            <w:tcW w:w="923" w:type="dxa"/>
          </w:tcPr>
          <w:p>
            <w:pPr>
              <w:pStyle w:val="51"/>
            </w:pPr>
          </w:p>
        </w:tc>
        <w:tc>
          <w:tcPr>
            <w:tcW w:w="922" w:type="dxa"/>
          </w:tcPr>
          <w:p>
            <w:pPr>
              <w:pStyle w:val="51"/>
            </w:pPr>
          </w:p>
        </w:tc>
        <w:tc>
          <w:tcPr>
            <w:tcW w:w="1436" w:type="dxa"/>
          </w:tcPr>
          <w:p>
            <w:pPr>
              <w:pStyle w:val="51"/>
            </w:pPr>
          </w:p>
        </w:tc>
        <w:tc>
          <w:tcPr>
            <w:tcW w:w="1022" w:type="dxa"/>
          </w:tcPr>
          <w:p>
            <w:pPr>
              <w:pStyle w:val="51"/>
            </w:pPr>
          </w:p>
        </w:tc>
        <w:tc>
          <w:tcPr>
            <w:tcW w:w="1232" w:type="dxa"/>
          </w:tcPr>
          <w:p>
            <w:pPr>
              <w:pStyle w:val="51"/>
            </w:pPr>
          </w:p>
        </w:tc>
        <w:tc>
          <w:tcPr>
            <w:tcW w:w="1229" w:type="dxa"/>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51"/>
            </w:pPr>
          </w:p>
        </w:tc>
        <w:tc>
          <w:tcPr>
            <w:tcW w:w="923" w:type="dxa"/>
          </w:tcPr>
          <w:p>
            <w:pPr>
              <w:pStyle w:val="51"/>
            </w:pPr>
          </w:p>
        </w:tc>
        <w:tc>
          <w:tcPr>
            <w:tcW w:w="921" w:type="dxa"/>
          </w:tcPr>
          <w:p>
            <w:pPr>
              <w:pStyle w:val="51"/>
            </w:pPr>
          </w:p>
        </w:tc>
        <w:tc>
          <w:tcPr>
            <w:tcW w:w="923" w:type="dxa"/>
          </w:tcPr>
          <w:p>
            <w:pPr>
              <w:pStyle w:val="51"/>
            </w:pPr>
          </w:p>
        </w:tc>
        <w:tc>
          <w:tcPr>
            <w:tcW w:w="922" w:type="dxa"/>
          </w:tcPr>
          <w:p>
            <w:pPr>
              <w:pStyle w:val="51"/>
            </w:pPr>
          </w:p>
        </w:tc>
        <w:tc>
          <w:tcPr>
            <w:tcW w:w="1436" w:type="dxa"/>
          </w:tcPr>
          <w:p>
            <w:pPr>
              <w:pStyle w:val="51"/>
            </w:pPr>
          </w:p>
        </w:tc>
        <w:tc>
          <w:tcPr>
            <w:tcW w:w="1022" w:type="dxa"/>
          </w:tcPr>
          <w:p>
            <w:pPr>
              <w:pStyle w:val="51"/>
            </w:pPr>
          </w:p>
        </w:tc>
        <w:tc>
          <w:tcPr>
            <w:tcW w:w="1232" w:type="dxa"/>
          </w:tcPr>
          <w:p>
            <w:pPr>
              <w:pStyle w:val="51"/>
            </w:pPr>
          </w:p>
        </w:tc>
        <w:tc>
          <w:tcPr>
            <w:tcW w:w="1229" w:type="dxa"/>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51"/>
            </w:pPr>
          </w:p>
        </w:tc>
        <w:tc>
          <w:tcPr>
            <w:tcW w:w="923" w:type="dxa"/>
          </w:tcPr>
          <w:p>
            <w:pPr>
              <w:pStyle w:val="51"/>
            </w:pPr>
          </w:p>
        </w:tc>
        <w:tc>
          <w:tcPr>
            <w:tcW w:w="921" w:type="dxa"/>
          </w:tcPr>
          <w:p>
            <w:pPr>
              <w:pStyle w:val="51"/>
            </w:pPr>
          </w:p>
        </w:tc>
        <w:tc>
          <w:tcPr>
            <w:tcW w:w="923" w:type="dxa"/>
          </w:tcPr>
          <w:p>
            <w:pPr>
              <w:pStyle w:val="51"/>
            </w:pPr>
          </w:p>
        </w:tc>
        <w:tc>
          <w:tcPr>
            <w:tcW w:w="922" w:type="dxa"/>
          </w:tcPr>
          <w:p>
            <w:pPr>
              <w:pStyle w:val="51"/>
            </w:pPr>
          </w:p>
        </w:tc>
        <w:tc>
          <w:tcPr>
            <w:tcW w:w="1436" w:type="dxa"/>
          </w:tcPr>
          <w:p>
            <w:pPr>
              <w:pStyle w:val="51"/>
            </w:pPr>
          </w:p>
        </w:tc>
        <w:tc>
          <w:tcPr>
            <w:tcW w:w="1022" w:type="dxa"/>
          </w:tcPr>
          <w:p>
            <w:pPr>
              <w:pStyle w:val="51"/>
            </w:pPr>
          </w:p>
        </w:tc>
        <w:tc>
          <w:tcPr>
            <w:tcW w:w="1232" w:type="dxa"/>
          </w:tcPr>
          <w:p>
            <w:pPr>
              <w:pStyle w:val="51"/>
            </w:pPr>
          </w:p>
        </w:tc>
        <w:tc>
          <w:tcPr>
            <w:tcW w:w="1229" w:type="dxa"/>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51"/>
            </w:pPr>
          </w:p>
        </w:tc>
        <w:tc>
          <w:tcPr>
            <w:tcW w:w="923" w:type="dxa"/>
          </w:tcPr>
          <w:p>
            <w:pPr>
              <w:pStyle w:val="51"/>
            </w:pPr>
          </w:p>
        </w:tc>
        <w:tc>
          <w:tcPr>
            <w:tcW w:w="921" w:type="dxa"/>
          </w:tcPr>
          <w:p>
            <w:pPr>
              <w:pStyle w:val="51"/>
            </w:pPr>
          </w:p>
        </w:tc>
        <w:tc>
          <w:tcPr>
            <w:tcW w:w="923" w:type="dxa"/>
          </w:tcPr>
          <w:p>
            <w:pPr>
              <w:pStyle w:val="51"/>
            </w:pPr>
          </w:p>
        </w:tc>
        <w:tc>
          <w:tcPr>
            <w:tcW w:w="922" w:type="dxa"/>
          </w:tcPr>
          <w:p>
            <w:pPr>
              <w:pStyle w:val="51"/>
            </w:pPr>
          </w:p>
        </w:tc>
        <w:tc>
          <w:tcPr>
            <w:tcW w:w="1436" w:type="dxa"/>
          </w:tcPr>
          <w:p>
            <w:pPr>
              <w:pStyle w:val="51"/>
            </w:pPr>
          </w:p>
        </w:tc>
        <w:tc>
          <w:tcPr>
            <w:tcW w:w="1022" w:type="dxa"/>
          </w:tcPr>
          <w:p>
            <w:pPr>
              <w:pStyle w:val="51"/>
            </w:pPr>
          </w:p>
        </w:tc>
        <w:tc>
          <w:tcPr>
            <w:tcW w:w="1232" w:type="dxa"/>
          </w:tcPr>
          <w:p>
            <w:pPr>
              <w:pStyle w:val="51"/>
            </w:pPr>
          </w:p>
        </w:tc>
        <w:tc>
          <w:tcPr>
            <w:tcW w:w="1229" w:type="dxa"/>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51"/>
            </w:pPr>
          </w:p>
        </w:tc>
        <w:tc>
          <w:tcPr>
            <w:tcW w:w="923" w:type="dxa"/>
          </w:tcPr>
          <w:p>
            <w:pPr>
              <w:pStyle w:val="51"/>
            </w:pPr>
          </w:p>
        </w:tc>
        <w:tc>
          <w:tcPr>
            <w:tcW w:w="921" w:type="dxa"/>
          </w:tcPr>
          <w:p>
            <w:pPr>
              <w:pStyle w:val="51"/>
            </w:pPr>
          </w:p>
        </w:tc>
        <w:tc>
          <w:tcPr>
            <w:tcW w:w="923" w:type="dxa"/>
          </w:tcPr>
          <w:p>
            <w:pPr>
              <w:pStyle w:val="51"/>
            </w:pPr>
          </w:p>
        </w:tc>
        <w:tc>
          <w:tcPr>
            <w:tcW w:w="922" w:type="dxa"/>
          </w:tcPr>
          <w:p>
            <w:pPr>
              <w:pStyle w:val="51"/>
            </w:pPr>
          </w:p>
        </w:tc>
        <w:tc>
          <w:tcPr>
            <w:tcW w:w="1436" w:type="dxa"/>
          </w:tcPr>
          <w:p>
            <w:pPr>
              <w:pStyle w:val="51"/>
            </w:pPr>
          </w:p>
        </w:tc>
        <w:tc>
          <w:tcPr>
            <w:tcW w:w="1022" w:type="dxa"/>
          </w:tcPr>
          <w:p>
            <w:pPr>
              <w:pStyle w:val="51"/>
            </w:pPr>
          </w:p>
        </w:tc>
        <w:tc>
          <w:tcPr>
            <w:tcW w:w="1232" w:type="dxa"/>
          </w:tcPr>
          <w:p>
            <w:pPr>
              <w:pStyle w:val="51"/>
            </w:pPr>
          </w:p>
        </w:tc>
        <w:tc>
          <w:tcPr>
            <w:tcW w:w="1229" w:type="dxa"/>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tcPr>
          <w:p>
            <w:pPr>
              <w:pStyle w:val="51"/>
            </w:pPr>
          </w:p>
        </w:tc>
        <w:tc>
          <w:tcPr>
            <w:tcW w:w="923" w:type="dxa"/>
          </w:tcPr>
          <w:p>
            <w:pPr>
              <w:pStyle w:val="51"/>
            </w:pPr>
          </w:p>
        </w:tc>
        <w:tc>
          <w:tcPr>
            <w:tcW w:w="921" w:type="dxa"/>
          </w:tcPr>
          <w:p>
            <w:pPr>
              <w:pStyle w:val="51"/>
            </w:pPr>
          </w:p>
        </w:tc>
        <w:tc>
          <w:tcPr>
            <w:tcW w:w="923" w:type="dxa"/>
          </w:tcPr>
          <w:p>
            <w:pPr>
              <w:pStyle w:val="51"/>
            </w:pPr>
          </w:p>
        </w:tc>
        <w:tc>
          <w:tcPr>
            <w:tcW w:w="922" w:type="dxa"/>
          </w:tcPr>
          <w:p>
            <w:pPr>
              <w:pStyle w:val="51"/>
            </w:pPr>
          </w:p>
        </w:tc>
        <w:tc>
          <w:tcPr>
            <w:tcW w:w="1436" w:type="dxa"/>
          </w:tcPr>
          <w:p>
            <w:pPr>
              <w:pStyle w:val="51"/>
            </w:pPr>
          </w:p>
        </w:tc>
        <w:tc>
          <w:tcPr>
            <w:tcW w:w="1022" w:type="dxa"/>
          </w:tcPr>
          <w:p>
            <w:pPr>
              <w:pStyle w:val="51"/>
            </w:pPr>
          </w:p>
        </w:tc>
        <w:tc>
          <w:tcPr>
            <w:tcW w:w="1232" w:type="dxa"/>
          </w:tcPr>
          <w:p>
            <w:pPr>
              <w:pStyle w:val="51"/>
            </w:pPr>
          </w:p>
        </w:tc>
        <w:tc>
          <w:tcPr>
            <w:tcW w:w="1229" w:type="dxa"/>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tcPr>
          <w:p>
            <w:pPr>
              <w:pStyle w:val="51"/>
            </w:pPr>
          </w:p>
        </w:tc>
        <w:tc>
          <w:tcPr>
            <w:tcW w:w="923" w:type="dxa"/>
          </w:tcPr>
          <w:p>
            <w:pPr>
              <w:pStyle w:val="51"/>
            </w:pPr>
          </w:p>
        </w:tc>
        <w:tc>
          <w:tcPr>
            <w:tcW w:w="921" w:type="dxa"/>
          </w:tcPr>
          <w:p>
            <w:pPr>
              <w:pStyle w:val="51"/>
            </w:pPr>
          </w:p>
        </w:tc>
        <w:tc>
          <w:tcPr>
            <w:tcW w:w="923" w:type="dxa"/>
          </w:tcPr>
          <w:p>
            <w:pPr>
              <w:pStyle w:val="51"/>
            </w:pPr>
          </w:p>
        </w:tc>
        <w:tc>
          <w:tcPr>
            <w:tcW w:w="922" w:type="dxa"/>
          </w:tcPr>
          <w:p>
            <w:pPr>
              <w:pStyle w:val="51"/>
            </w:pPr>
          </w:p>
        </w:tc>
        <w:tc>
          <w:tcPr>
            <w:tcW w:w="1436" w:type="dxa"/>
          </w:tcPr>
          <w:p>
            <w:pPr>
              <w:pStyle w:val="51"/>
            </w:pPr>
          </w:p>
        </w:tc>
        <w:tc>
          <w:tcPr>
            <w:tcW w:w="1022" w:type="dxa"/>
          </w:tcPr>
          <w:p>
            <w:pPr>
              <w:pStyle w:val="51"/>
            </w:pPr>
          </w:p>
        </w:tc>
        <w:tc>
          <w:tcPr>
            <w:tcW w:w="1232" w:type="dxa"/>
          </w:tcPr>
          <w:p>
            <w:pPr>
              <w:pStyle w:val="51"/>
            </w:pPr>
          </w:p>
        </w:tc>
        <w:tc>
          <w:tcPr>
            <w:tcW w:w="1229" w:type="dxa"/>
          </w:tcPr>
          <w:p>
            <w:pPr>
              <w:pStyle w:val="51"/>
            </w:pPr>
          </w:p>
        </w:tc>
      </w:tr>
    </w:tbl>
    <w:p>
      <w:pPr>
        <w:pStyle w:val="53"/>
        <w:ind w:firstLine="482"/>
      </w:pPr>
      <w:r>
        <w:rPr>
          <w:rFonts w:hint="eastAsia"/>
        </w:rPr>
        <w:t>注：①投标人根据自身实际情况填写，对不涉及的内容可填写“/”。②本表所列项目管理成员信息将作为主管部门监督管理是否属于串通投标的情形。</w:t>
      </w:r>
    </w:p>
    <w:p>
      <w:pPr>
        <w:pStyle w:val="48"/>
      </w:pPr>
    </w:p>
    <w:p>
      <w:pPr>
        <w:pStyle w:val="48"/>
      </w:pPr>
    </w:p>
    <w:p>
      <w:pPr>
        <w:pStyle w:val="52"/>
        <w:bidi w:val="0"/>
        <w:rPr>
          <w:rFonts w:hint="eastAsia"/>
        </w:rPr>
      </w:pPr>
      <w:r>
        <w:rPr>
          <w:rFonts w:hint="eastAsia"/>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(盖章)</w:t>
      </w:r>
    </w:p>
    <w:p>
      <w:pPr>
        <w:pStyle w:val="52"/>
        <w:bidi w:val="0"/>
        <w:rPr>
          <w:rFonts w:hint="eastAsia"/>
        </w:rPr>
      </w:pPr>
      <w:r>
        <w:rPr>
          <w:rFonts w:hint="eastAsia"/>
          <w:lang w:eastAsia="zh-CN"/>
        </w:rPr>
        <w:t>法定代表人/单位负责人或授权代表</w:t>
      </w:r>
      <w:r>
        <w:rPr>
          <w:rFonts w:hint="eastAsia"/>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(签字</w:t>
      </w:r>
      <w:r>
        <w:rPr>
          <w:rFonts w:hint="eastAsia"/>
          <w:lang w:eastAsia="zh-CN"/>
        </w:rPr>
        <w:t>或盖章</w:t>
      </w:r>
      <w:r>
        <w:rPr>
          <w:rFonts w:hint="eastAsia"/>
        </w:rPr>
        <w:t>)</w:t>
      </w:r>
    </w:p>
    <w:p>
      <w:pPr>
        <w:pStyle w:val="52"/>
      </w:pPr>
      <w:r>
        <w:rPr>
          <w:rFonts w:hint="eastAsia"/>
        </w:rPr>
        <w:t>投标日期</w:t>
      </w:r>
      <w:r>
        <w:rPr>
          <w:rFonts w:hint="eastAsia"/>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48"/>
      </w:pPr>
      <w:r>
        <w:rPr>
          <w:rFonts w:hint="eastAsia"/>
        </w:rPr>
        <w:br w:type="page"/>
      </w:r>
      <w:bookmarkEnd w:id="940"/>
    </w:p>
    <w:p>
      <w:pPr>
        <w:pStyle w:val="50"/>
        <w:numPr>
          <w:ilvl w:val="0"/>
          <w:numId w:val="24"/>
        </w:numPr>
        <w:spacing w:before="120" w:after="120"/>
        <w:ind w:firstLine="0"/>
      </w:pPr>
      <w:bookmarkStart w:id="944" w:name="_Toc18236"/>
      <w:r>
        <w:rPr>
          <w:rFonts w:hint="eastAsia"/>
        </w:rPr>
        <w:t>中小企业声明函(如涉及</w:t>
      </w:r>
      <w:bookmarkEnd w:id="941"/>
      <w:r>
        <w:rPr>
          <w:rFonts w:hint="eastAsia"/>
        </w:rPr>
        <w:t>)</w:t>
      </w:r>
      <w:bookmarkEnd w:id="942"/>
      <w:bookmarkEnd w:id="943"/>
      <w:bookmarkEnd w:id="944"/>
    </w:p>
    <w:p>
      <w:pPr>
        <w:widowControl w:val="0"/>
        <w:wordWrap w:val="0"/>
        <w:topLinePunct/>
        <w:adjustRightInd w:val="0"/>
        <w:snapToGrid w:val="0"/>
        <w:spacing w:line="440" w:lineRule="exact"/>
        <w:ind w:firstLine="480" w:firstLineChars="200"/>
        <w:jc w:val="left"/>
        <w:rPr>
          <w:rFonts w:hint="eastAsia" w:ascii="宋体" w:hAnsi="宋体" w:eastAsia="宋体" w:cstheme="minorBidi"/>
          <w:b w:val="0"/>
          <w:bCs/>
          <w:snapToGrid w:val="0"/>
          <w:kern w:val="2"/>
          <w:sz w:val="24"/>
          <w:szCs w:val="24"/>
          <w:lang w:val="en-US" w:eastAsia="zh-CN" w:bidi="ar-SA"/>
        </w:rPr>
      </w:pPr>
      <w:r>
        <w:rPr>
          <w:rFonts w:hint="eastAsia" w:ascii="宋体" w:hAnsi="宋体" w:eastAsia="宋体" w:cstheme="minorBidi"/>
          <w:b w:val="0"/>
          <w:bCs/>
          <w:snapToGrid w:val="0"/>
          <w:spacing w:val="0"/>
          <w:kern w:val="2"/>
          <w:sz w:val="24"/>
          <w:szCs w:val="24"/>
          <w:lang w:val="en-US" w:eastAsia="zh-CN" w:bidi="ar-SA"/>
        </w:rPr>
        <w:t>本公司</w:t>
      </w:r>
      <w:r>
        <w:rPr>
          <w:rFonts w:hint="eastAsia" w:ascii="宋体" w:hAnsi="宋体" w:eastAsia="宋体" w:cstheme="minorBidi"/>
          <w:b w:val="0"/>
          <w:bCs/>
          <w:snapToGrid w:val="0"/>
          <w:kern w:val="2"/>
          <w:sz w:val="24"/>
          <w:szCs w:val="24"/>
          <w:lang w:val="en-US" w:eastAsia="zh-CN" w:bidi="ar-SA"/>
        </w:rPr>
        <w:t>（联合体</w:t>
      </w:r>
      <w:r>
        <w:rPr>
          <w:rFonts w:hint="eastAsia" w:ascii="宋体" w:hAnsi="宋体" w:eastAsia="宋体" w:cstheme="minorBidi"/>
          <w:b w:val="0"/>
          <w:bCs/>
          <w:snapToGrid w:val="0"/>
          <w:spacing w:val="0"/>
          <w:kern w:val="2"/>
          <w:sz w:val="24"/>
          <w:szCs w:val="24"/>
          <w:lang w:val="en-US" w:eastAsia="zh-CN" w:bidi="ar-SA"/>
        </w:rPr>
        <w:t>）郑重声明，根据《政府采购促进中小企业发展管理办法》</w:t>
      </w:r>
      <w:r>
        <w:rPr>
          <w:rFonts w:hint="eastAsia" w:ascii="宋体" w:hAnsi="宋体" w:eastAsia="宋体" w:cstheme="minorBidi"/>
          <w:b w:val="0"/>
          <w:bCs/>
          <w:snapToGrid w:val="0"/>
          <w:kern w:val="2"/>
          <w:sz w:val="24"/>
          <w:szCs w:val="24"/>
          <w:lang w:val="en-US" w:eastAsia="zh-CN" w:bidi="ar-SA"/>
        </w:rPr>
        <w:t>（</w:t>
      </w:r>
      <w:r>
        <w:rPr>
          <w:rFonts w:hint="eastAsia" w:ascii="宋体" w:hAnsi="宋体" w:eastAsia="宋体" w:cstheme="minorBidi"/>
          <w:b w:val="0"/>
          <w:bCs/>
          <w:snapToGrid w:val="0"/>
          <w:spacing w:val="0"/>
          <w:kern w:val="2"/>
          <w:sz w:val="24"/>
          <w:szCs w:val="24"/>
          <w:lang w:val="en-US" w:eastAsia="zh-CN" w:bidi="ar-SA"/>
        </w:rPr>
        <w:t>财库</w:t>
      </w:r>
      <w:r>
        <w:rPr>
          <w:rFonts w:hint="eastAsia" w:ascii="宋体" w:hAnsi="宋体" w:eastAsia="宋体" w:cstheme="minorBidi"/>
          <w:b w:val="0"/>
          <w:bCs/>
          <w:snapToGrid w:val="0"/>
          <w:kern w:val="2"/>
          <w:sz w:val="24"/>
          <w:szCs w:val="24"/>
          <w:lang w:val="en-US" w:eastAsia="zh-CN" w:bidi="ar-SA"/>
        </w:rPr>
        <w:t>﹝2020﹞46</w:t>
      </w:r>
      <w:r>
        <w:rPr>
          <w:rFonts w:hint="eastAsia" w:ascii="宋体" w:hAnsi="宋体" w:eastAsia="宋体" w:cstheme="minorBidi"/>
          <w:b w:val="0"/>
          <w:bCs/>
          <w:snapToGrid w:val="0"/>
          <w:spacing w:val="0"/>
          <w:kern w:val="2"/>
          <w:sz w:val="24"/>
          <w:szCs w:val="24"/>
          <w:lang w:val="en-US" w:eastAsia="zh-CN" w:bidi="ar-SA"/>
        </w:rPr>
        <w:t>号）</w:t>
      </w:r>
      <w:r>
        <w:rPr>
          <w:rFonts w:hint="eastAsia" w:ascii="宋体" w:hAnsi="宋体" w:eastAsia="宋体" w:cstheme="minorBidi"/>
          <w:b w:val="0"/>
          <w:bCs/>
          <w:snapToGrid w:val="0"/>
          <w:kern w:val="2"/>
          <w:sz w:val="24"/>
          <w:szCs w:val="24"/>
          <w:lang w:val="en-US" w:eastAsia="zh-CN" w:bidi="ar-SA"/>
        </w:rPr>
        <w:t>的规定，本公司（联合体）</w:t>
      </w:r>
      <w:r>
        <w:rPr>
          <w:rFonts w:hint="eastAsia" w:ascii="宋体" w:hAnsi="宋体" w:eastAsia="宋体" w:cstheme="minorBidi"/>
          <w:b w:val="0"/>
          <w:bCs/>
          <w:snapToGrid w:val="0"/>
          <w:spacing w:val="0"/>
          <w:kern w:val="2"/>
          <w:sz w:val="24"/>
          <w:szCs w:val="24"/>
          <w:lang w:val="en-US" w:eastAsia="zh-CN" w:bidi="ar-SA"/>
        </w:rPr>
        <w:t>参加</w:t>
      </w:r>
      <w:r>
        <w:rPr>
          <w:rFonts w:hint="eastAsia" w:ascii="宋体" w:hAnsi="宋体" w:eastAsia="宋体" w:cstheme="minorBidi"/>
          <w:b w:val="0"/>
          <w:bCs/>
          <w:i w:val="0"/>
          <w:snapToGrid w:val="0"/>
          <w:spacing w:val="0"/>
          <w:kern w:val="2"/>
          <w:sz w:val="24"/>
          <w:szCs w:val="24"/>
          <w:u w:val="single"/>
          <w:lang w:val="en-US" w:eastAsia="zh-CN" w:bidi="ar-SA"/>
        </w:rPr>
        <w:t>（单位名称）</w:t>
      </w:r>
      <w:r>
        <w:rPr>
          <w:rFonts w:hint="eastAsia" w:ascii="宋体" w:hAnsi="宋体" w:eastAsia="宋体" w:cstheme="minorBidi"/>
          <w:b w:val="0"/>
          <w:bCs/>
          <w:snapToGrid w:val="0"/>
          <w:spacing w:val="0"/>
          <w:kern w:val="2"/>
          <w:sz w:val="24"/>
          <w:szCs w:val="24"/>
          <w:lang w:val="en-US" w:eastAsia="zh-CN" w:bidi="ar-SA"/>
        </w:rPr>
        <w:t>的</w:t>
      </w:r>
      <w:r>
        <w:rPr>
          <w:rFonts w:hint="eastAsia" w:ascii="宋体" w:hAnsi="宋体" w:eastAsia="宋体" w:cstheme="minorBidi"/>
          <w:b w:val="0"/>
          <w:bCs/>
          <w:i w:val="0"/>
          <w:snapToGrid w:val="0"/>
          <w:spacing w:val="0"/>
          <w:kern w:val="2"/>
          <w:sz w:val="24"/>
          <w:szCs w:val="24"/>
          <w:u w:val="single"/>
          <w:lang w:val="en-US" w:eastAsia="zh-CN" w:bidi="ar-SA"/>
        </w:rPr>
        <w:t>（项目名称）</w:t>
      </w:r>
      <w:r>
        <w:rPr>
          <w:rFonts w:hint="eastAsia" w:ascii="宋体" w:hAnsi="宋体" w:eastAsia="宋体" w:cstheme="minorBidi"/>
          <w:b w:val="0"/>
          <w:bCs/>
          <w:snapToGrid w:val="0"/>
          <w:spacing w:val="0"/>
          <w:kern w:val="2"/>
          <w:sz w:val="24"/>
          <w:szCs w:val="24"/>
          <w:lang w:val="en-US" w:eastAsia="zh-CN" w:bidi="ar-SA"/>
        </w:rPr>
        <w:t>采购活动，服务</w:t>
      </w:r>
      <w:r>
        <w:rPr>
          <w:rFonts w:hint="eastAsia" w:ascii="宋体" w:hAnsi="宋体" w:eastAsia="宋体" w:cstheme="minorBidi"/>
          <w:b w:val="0"/>
          <w:bCs/>
          <w:snapToGrid w:val="0"/>
          <w:spacing w:val="0"/>
          <w:w w:val="100"/>
          <w:kern w:val="2"/>
          <w:sz w:val="24"/>
          <w:szCs w:val="24"/>
          <w:lang w:val="en-US" w:eastAsia="zh-CN" w:bidi="ar-SA"/>
        </w:rPr>
        <w:t>全部由符合政策要求的中小企业承接。相关企业（含联合</w:t>
      </w:r>
      <w:r>
        <w:rPr>
          <w:rFonts w:hint="eastAsia" w:ascii="宋体" w:hAnsi="宋体" w:eastAsia="宋体" w:cstheme="minorBidi"/>
          <w:b w:val="0"/>
          <w:bCs/>
          <w:snapToGrid w:val="0"/>
          <w:kern w:val="2"/>
          <w:sz w:val="24"/>
          <w:szCs w:val="24"/>
          <w:lang w:val="en-US" w:eastAsia="zh-CN" w:bidi="ar-SA"/>
        </w:rPr>
        <w:t>体中的中小企业、签订分包意向协议的中小企业</w:t>
      </w:r>
      <w:r>
        <w:rPr>
          <w:rFonts w:hint="eastAsia" w:ascii="宋体" w:hAnsi="宋体" w:eastAsia="宋体" w:cstheme="minorBidi"/>
          <w:b w:val="0"/>
          <w:bCs/>
          <w:snapToGrid w:val="0"/>
          <w:spacing w:val="0"/>
          <w:kern w:val="2"/>
          <w:sz w:val="24"/>
          <w:szCs w:val="24"/>
          <w:lang w:val="en-US" w:eastAsia="zh-CN" w:bidi="ar-SA"/>
        </w:rPr>
        <w:t>）</w:t>
      </w:r>
      <w:r>
        <w:rPr>
          <w:rFonts w:hint="eastAsia" w:ascii="宋体" w:hAnsi="宋体" w:eastAsia="宋体" w:cstheme="minorBidi"/>
          <w:b w:val="0"/>
          <w:bCs/>
          <w:snapToGrid w:val="0"/>
          <w:kern w:val="2"/>
          <w:sz w:val="24"/>
          <w:szCs w:val="24"/>
          <w:lang w:val="en-US" w:eastAsia="zh-CN" w:bidi="ar-SA"/>
        </w:rPr>
        <w:t>的具体情况如下：</w:t>
      </w:r>
    </w:p>
    <w:p>
      <w:pPr>
        <w:widowControl w:val="0"/>
        <w:wordWrap w:val="0"/>
        <w:topLinePunct/>
        <w:adjustRightInd w:val="0"/>
        <w:snapToGrid w:val="0"/>
        <w:spacing w:line="440" w:lineRule="exact"/>
        <w:ind w:firstLine="480" w:firstLineChars="200"/>
        <w:jc w:val="left"/>
        <w:rPr>
          <w:rFonts w:hint="eastAsia" w:ascii="宋体" w:hAnsi="宋体" w:eastAsia="宋体" w:cstheme="minorBidi"/>
          <w:b w:val="0"/>
          <w:bCs/>
          <w:snapToGrid w:val="0"/>
          <w:kern w:val="2"/>
          <w:sz w:val="24"/>
          <w:szCs w:val="24"/>
          <w:lang w:val="en-US" w:eastAsia="zh-CN" w:bidi="ar-SA"/>
        </w:rPr>
      </w:pPr>
      <w:r>
        <w:rPr>
          <w:rFonts w:hint="eastAsia" w:ascii="宋体" w:hAnsi="宋体" w:eastAsia="宋体" w:cstheme="minorBidi"/>
          <w:b w:val="0"/>
          <w:bCs/>
          <w:i w:val="0"/>
          <w:snapToGrid w:val="0"/>
          <w:spacing w:val="0"/>
          <w:w w:val="100"/>
          <w:kern w:val="2"/>
          <w:sz w:val="24"/>
          <w:szCs w:val="24"/>
          <w:u w:val="single"/>
          <w:lang w:val="en-US" w:eastAsia="zh-CN" w:bidi="ar-SA"/>
        </w:rPr>
        <w:t>（标的名称）</w:t>
      </w:r>
      <w:r>
        <w:rPr>
          <w:rFonts w:hint="eastAsia" w:ascii="宋体" w:hAnsi="宋体" w:eastAsia="宋体" w:cstheme="minorBidi"/>
          <w:b w:val="0"/>
          <w:bCs/>
          <w:snapToGrid w:val="0"/>
          <w:spacing w:val="0"/>
          <w:w w:val="100"/>
          <w:kern w:val="2"/>
          <w:sz w:val="24"/>
          <w:szCs w:val="24"/>
          <w:u w:val="none"/>
          <w:lang w:val="en-US" w:eastAsia="zh-CN" w:bidi="ar-SA"/>
        </w:rPr>
        <w:t>，属于</w:t>
      </w:r>
      <w:r>
        <w:rPr>
          <w:rFonts w:hint="eastAsia" w:ascii="宋体" w:hAnsi="宋体" w:eastAsia="宋体" w:cstheme="minorBidi"/>
          <w:b w:val="0"/>
          <w:bCs/>
          <w:i w:val="0"/>
          <w:snapToGrid w:val="0"/>
          <w:spacing w:val="0"/>
          <w:w w:val="100"/>
          <w:kern w:val="2"/>
          <w:sz w:val="24"/>
          <w:szCs w:val="24"/>
          <w:u w:val="single"/>
          <w:lang w:val="en-US" w:eastAsia="zh-CN" w:bidi="ar-SA"/>
        </w:rPr>
        <w:t>（采购文件中明确的所属行业）</w:t>
      </w:r>
      <w:r>
        <w:rPr>
          <w:rFonts w:hint="eastAsia" w:ascii="宋体" w:hAnsi="宋体" w:eastAsia="宋体" w:cstheme="minorBidi"/>
          <w:b w:val="0"/>
          <w:bCs/>
          <w:snapToGrid w:val="0"/>
          <w:w w:val="100"/>
          <w:kern w:val="2"/>
          <w:sz w:val="24"/>
          <w:szCs w:val="24"/>
          <w:u w:val="none"/>
          <w:lang w:val="en-US" w:eastAsia="zh-CN" w:bidi="ar-SA"/>
        </w:rPr>
        <w:t>；</w:t>
      </w:r>
      <w:r>
        <w:rPr>
          <w:rFonts w:hint="eastAsia" w:ascii="宋体" w:hAnsi="宋体" w:eastAsia="宋体" w:cstheme="minorBidi"/>
          <w:b w:val="0"/>
          <w:bCs/>
          <w:snapToGrid w:val="0"/>
          <w:spacing w:val="0"/>
          <w:w w:val="100"/>
          <w:kern w:val="2"/>
          <w:sz w:val="24"/>
          <w:szCs w:val="24"/>
          <w:lang w:val="en-US" w:eastAsia="zh-CN" w:bidi="ar-SA"/>
        </w:rPr>
        <w:t>承接企业为</w:t>
      </w:r>
      <w:r>
        <w:rPr>
          <w:rFonts w:hint="eastAsia" w:ascii="宋体" w:hAnsi="宋体" w:eastAsia="宋体" w:cstheme="minorBidi"/>
          <w:b w:val="0"/>
          <w:bCs/>
          <w:i w:val="0"/>
          <w:snapToGrid w:val="0"/>
          <w:spacing w:val="0"/>
          <w:w w:val="100"/>
          <w:kern w:val="2"/>
          <w:sz w:val="24"/>
          <w:szCs w:val="24"/>
          <w:u w:val="single"/>
          <w:lang w:val="en-US" w:eastAsia="zh-CN" w:bidi="ar-SA"/>
        </w:rPr>
        <w:t>（企业名称）</w:t>
      </w:r>
      <w:r>
        <w:rPr>
          <w:rFonts w:hint="eastAsia" w:ascii="宋体" w:hAnsi="宋体" w:eastAsia="宋体" w:cstheme="minorBidi"/>
          <w:b w:val="0"/>
          <w:bCs/>
          <w:snapToGrid w:val="0"/>
          <w:spacing w:val="0"/>
          <w:w w:val="100"/>
          <w:kern w:val="2"/>
          <w:sz w:val="24"/>
          <w:szCs w:val="24"/>
          <w:lang w:val="en-US" w:eastAsia="zh-CN" w:bidi="ar-SA"/>
        </w:rPr>
        <w:t>，从业人员</w:t>
      </w:r>
      <w:r>
        <w:rPr>
          <w:rFonts w:hint="eastAsia" w:ascii="宋体" w:hAnsi="宋体" w:eastAsia="宋体" w:cstheme="minorBidi"/>
          <w:b w:val="0"/>
          <w:bCs/>
          <w:snapToGrid w:val="0"/>
          <w:w w:val="100"/>
          <w:kern w:val="2"/>
          <w:sz w:val="24"/>
          <w:szCs w:val="24"/>
          <w:u w:val="single"/>
          <w:lang w:val="en-US" w:eastAsia="zh-CN" w:bidi="ar-SA"/>
        </w:rPr>
        <w:t xml:space="preserve">    </w:t>
      </w:r>
      <w:r>
        <w:rPr>
          <w:rFonts w:hint="eastAsia" w:ascii="宋体" w:hAnsi="宋体" w:eastAsia="宋体" w:cstheme="minorBidi"/>
          <w:b w:val="0"/>
          <w:bCs/>
          <w:snapToGrid w:val="0"/>
          <w:spacing w:val="0"/>
          <w:w w:val="100"/>
          <w:kern w:val="2"/>
          <w:sz w:val="24"/>
          <w:szCs w:val="24"/>
          <w:lang w:val="en-US" w:eastAsia="zh-CN" w:bidi="ar-SA"/>
        </w:rPr>
        <w:t>人，营</w:t>
      </w:r>
      <w:r>
        <w:rPr>
          <w:rFonts w:hint="eastAsia" w:ascii="宋体" w:hAnsi="宋体" w:eastAsia="宋体" w:cstheme="minorBidi"/>
          <w:b w:val="0"/>
          <w:bCs/>
          <w:snapToGrid w:val="0"/>
          <w:w w:val="100"/>
          <w:kern w:val="2"/>
          <w:sz w:val="24"/>
          <w:szCs w:val="24"/>
          <w:lang w:val="en-US" w:eastAsia="zh-CN" w:bidi="ar-SA"/>
        </w:rPr>
        <w:t>业</w:t>
      </w:r>
      <w:r>
        <w:rPr>
          <w:rFonts w:hint="eastAsia" w:ascii="宋体" w:hAnsi="宋体" w:eastAsia="宋体" w:cstheme="minorBidi"/>
          <w:b w:val="0"/>
          <w:bCs/>
          <w:snapToGrid w:val="0"/>
          <w:kern w:val="2"/>
          <w:sz w:val="24"/>
          <w:szCs w:val="24"/>
          <w:lang w:val="en-US" w:eastAsia="zh-CN" w:bidi="ar-SA"/>
        </w:rPr>
        <w:t>收入为</w:t>
      </w:r>
      <w:r>
        <w:rPr>
          <w:rFonts w:hint="eastAsia" w:ascii="宋体" w:hAnsi="宋体" w:eastAsia="宋体" w:cstheme="minorBidi"/>
          <w:b w:val="0"/>
          <w:bCs/>
          <w:snapToGrid w:val="0"/>
          <w:kern w:val="2"/>
          <w:sz w:val="24"/>
          <w:szCs w:val="24"/>
          <w:u w:val="single"/>
          <w:lang w:val="en-US" w:eastAsia="zh-CN" w:bidi="ar-SA"/>
        </w:rPr>
        <w:t xml:space="preserve">    </w:t>
      </w:r>
      <w:r>
        <w:rPr>
          <w:rFonts w:hint="eastAsia" w:ascii="宋体" w:hAnsi="宋体" w:eastAsia="宋体" w:cstheme="minorBidi"/>
          <w:b w:val="0"/>
          <w:bCs/>
          <w:snapToGrid w:val="0"/>
          <w:kern w:val="2"/>
          <w:sz w:val="24"/>
          <w:szCs w:val="24"/>
          <w:u w:val="none"/>
          <w:lang w:val="en-US" w:eastAsia="zh-CN" w:bidi="ar-SA"/>
        </w:rPr>
        <w:tab/>
      </w:r>
      <w:r>
        <w:rPr>
          <w:rFonts w:hint="eastAsia" w:ascii="宋体" w:hAnsi="宋体" w:eastAsia="宋体" w:cstheme="minorBidi"/>
          <w:b w:val="0"/>
          <w:bCs/>
          <w:snapToGrid w:val="0"/>
          <w:kern w:val="2"/>
          <w:sz w:val="24"/>
          <w:szCs w:val="24"/>
          <w:lang w:val="en-US" w:eastAsia="zh-CN" w:bidi="ar-SA"/>
        </w:rPr>
        <w:t>万元，资产总额为</w:t>
      </w:r>
      <w:r>
        <w:rPr>
          <w:rFonts w:hint="eastAsia" w:ascii="宋体" w:hAnsi="宋体" w:eastAsia="宋体" w:cstheme="minorBidi"/>
          <w:b w:val="0"/>
          <w:bCs/>
          <w:snapToGrid w:val="0"/>
          <w:kern w:val="2"/>
          <w:sz w:val="24"/>
          <w:szCs w:val="24"/>
          <w:u w:val="single"/>
          <w:lang w:val="en-US" w:eastAsia="zh-CN" w:bidi="ar-SA"/>
        </w:rPr>
        <w:t xml:space="preserve">    </w:t>
      </w:r>
      <w:r>
        <w:rPr>
          <w:rFonts w:hint="eastAsia" w:ascii="宋体" w:hAnsi="宋体" w:eastAsia="宋体" w:cstheme="minorBidi"/>
          <w:b w:val="0"/>
          <w:bCs/>
          <w:snapToGrid w:val="0"/>
          <w:w w:val="100"/>
          <w:kern w:val="2"/>
          <w:sz w:val="24"/>
          <w:szCs w:val="24"/>
          <w:lang w:val="en-US" w:eastAsia="zh-CN" w:bidi="ar-SA"/>
        </w:rPr>
        <w:t>万元，属</w:t>
      </w:r>
      <w:r>
        <w:rPr>
          <w:rFonts w:hint="eastAsia" w:ascii="宋体" w:hAnsi="宋体" w:eastAsia="宋体" w:cstheme="minorBidi"/>
          <w:b w:val="0"/>
          <w:bCs/>
          <w:snapToGrid w:val="0"/>
          <w:spacing w:val="0"/>
          <w:w w:val="100"/>
          <w:kern w:val="2"/>
          <w:sz w:val="24"/>
          <w:szCs w:val="24"/>
          <w:lang w:val="en-US" w:eastAsia="zh-CN" w:bidi="ar-SA"/>
        </w:rPr>
        <w:t>于</w:t>
      </w:r>
      <w:r>
        <w:rPr>
          <w:rFonts w:hint="eastAsia" w:ascii="宋体" w:hAnsi="宋体" w:eastAsia="宋体" w:cstheme="minorBidi"/>
          <w:b w:val="0"/>
          <w:bCs/>
          <w:i w:val="0"/>
          <w:snapToGrid w:val="0"/>
          <w:spacing w:val="0"/>
          <w:w w:val="100"/>
          <w:kern w:val="2"/>
          <w:sz w:val="24"/>
          <w:szCs w:val="24"/>
          <w:u w:val="single"/>
          <w:lang w:val="en-US" w:eastAsia="zh-CN" w:bidi="ar-SA"/>
        </w:rPr>
        <w:t>（中型企业</w:t>
      </w:r>
      <w:r>
        <w:rPr>
          <w:rFonts w:hint="eastAsia" w:ascii="宋体" w:hAnsi="宋体" w:eastAsia="宋体" w:cstheme="minorBidi"/>
          <w:b w:val="0"/>
          <w:bCs/>
          <w:i w:val="0"/>
          <w:snapToGrid w:val="0"/>
          <w:w w:val="100"/>
          <w:kern w:val="2"/>
          <w:sz w:val="24"/>
          <w:szCs w:val="24"/>
          <w:u w:val="single"/>
          <w:lang w:val="en-US" w:eastAsia="zh-CN" w:bidi="ar-SA"/>
        </w:rPr>
        <w:t>、</w:t>
      </w:r>
      <w:r>
        <w:rPr>
          <w:rFonts w:hint="eastAsia" w:ascii="宋体" w:hAnsi="宋体" w:eastAsia="宋体" w:cstheme="minorBidi"/>
          <w:b w:val="0"/>
          <w:bCs/>
          <w:i w:val="0"/>
          <w:snapToGrid w:val="0"/>
          <w:spacing w:val="0"/>
          <w:w w:val="100"/>
          <w:kern w:val="2"/>
          <w:sz w:val="24"/>
          <w:szCs w:val="24"/>
          <w:u w:val="single"/>
          <w:lang w:val="en-US" w:eastAsia="zh-CN" w:bidi="ar-SA"/>
        </w:rPr>
        <w:t>小型企业、微型企业）</w:t>
      </w:r>
      <w:r>
        <w:rPr>
          <w:rFonts w:hint="eastAsia" w:ascii="宋体" w:hAnsi="宋体" w:eastAsia="宋体" w:cstheme="minorBidi"/>
          <w:b w:val="0"/>
          <w:bCs/>
          <w:snapToGrid w:val="0"/>
          <w:w w:val="100"/>
          <w:kern w:val="2"/>
          <w:sz w:val="24"/>
          <w:szCs w:val="24"/>
          <w:lang w:val="en-US" w:eastAsia="zh-CN" w:bidi="ar-SA"/>
        </w:rPr>
        <w:t>；</w:t>
      </w:r>
    </w:p>
    <w:p>
      <w:pPr>
        <w:widowControl w:val="0"/>
        <w:wordWrap w:val="0"/>
        <w:topLinePunct/>
        <w:adjustRightInd w:val="0"/>
        <w:snapToGrid w:val="0"/>
        <w:spacing w:line="440" w:lineRule="exact"/>
        <w:ind w:firstLine="480" w:firstLineChars="200"/>
        <w:jc w:val="left"/>
        <w:rPr>
          <w:rFonts w:hint="eastAsia" w:ascii="宋体" w:hAnsi="宋体" w:eastAsia="宋体" w:cstheme="minorBidi"/>
          <w:b w:val="0"/>
          <w:bCs/>
          <w:snapToGrid w:val="0"/>
          <w:kern w:val="2"/>
          <w:sz w:val="24"/>
          <w:szCs w:val="24"/>
          <w:u w:val="none"/>
          <w:lang w:val="en-US" w:eastAsia="zh-CN" w:bidi="ar-SA"/>
        </w:rPr>
      </w:pPr>
      <w:r>
        <w:rPr>
          <w:rFonts w:hint="eastAsia" w:ascii="宋体" w:hAnsi="宋体" w:eastAsia="宋体" w:cstheme="minorBidi"/>
          <w:b w:val="0"/>
          <w:bCs/>
          <w:i w:val="0"/>
          <w:snapToGrid w:val="0"/>
          <w:spacing w:val="0"/>
          <w:w w:val="100"/>
          <w:kern w:val="2"/>
          <w:sz w:val="24"/>
          <w:szCs w:val="24"/>
          <w:u w:val="single"/>
          <w:lang w:val="en-US" w:eastAsia="zh-CN" w:bidi="ar-SA"/>
        </w:rPr>
        <w:t>（标的名称）</w:t>
      </w:r>
      <w:r>
        <w:rPr>
          <w:rFonts w:hint="eastAsia" w:ascii="宋体" w:hAnsi="宋体" w:eastAsia="宋体" w:cstheme="minorBidi"/>
          <w:b w:val="0"/>
          <w:bCs/>
          <w:snapToGrid w:val="0"/>
          <w:spacing w:val="0"/>
          <w:w w:val="100"/>
          <w:kern w:val="2"/>
          <w:sz w:val="24"/>
          <w:szCs w:val="24"/>
          <w:u w:val="none"/>
          <w:lang w:val="en-US" w:eastAsia="zh-CN" w:bidi="ar-SA"/>
        </w:rPr>
        <w:t>，</w:t>
      </w:r>
      <w:r>
        <w:rPr>
          <w:rFonts w:hint="eastAsia" w:ascii="宋体" w:hAnsi="宋体" w:eastAsia="宋体" w:cstheme="minorBidi"/>
          <w:b w:val="0"/>
          <w:bCs/>
          <w:snapToGrid w:val="0"/>
          <w:w w:val="100"/>
          <w:kern w:val="2"/>
          <w:sz w:val="24"/>
          <w:szCs w:val="24"/>
          <w:u w:val="none"/>
          <w:lang w:val="en-US" w:eastAsia="zh-CN" w:bidi="ar-SA"/>
        </w:rPr>
        <w:t>属</w:t>
      </w:r>
      <w:r>
        <w:rPr>
          <w:rFonts w:hint="eastAsia" w:ascii="宋体" w:hAnsi="宋体" w:eastAsia="宋体" w:cstheme="minorBidi"/>
          <w:b w:val="0"/>
          <w:bCs/>
          <w:snapToGrid w:val="0"/>
          <w:spacing w:val="0"/>
          <w:w w:val="100"/>
          <w:kern w:val="2"/>
          <w:sz w:val="24"/>
          <w:szCs w:val="24"/>
          <w:u w:val="none"/>
          <w:lang w:val="en-US" w:eastAsia="zh-CN" w:bidi="ar-SA"/>
        </w:rPr>
        <w:t>于</w:t>
      </w:r>
      <w:r>
        <w:rPr>
          <w:rFonts w:hint="eastAsia" w:ascii="宋体" w:hAnsi="宋体" w:eastAsia="宋体" w:cstheme="minorBidi"/>
          <w:b w:val="0"/>
          <w:bCs/>
          <w:i w:val="0"/>
          <w:snapToGrid w:val="0"/>
          <w:spacing w:val="0"/>
          <w:w w:val="100"/>
          <w:kern w:val="2"/>
          <w:sz w:val="24"/>
          <w:szCs w:val="24"/>
          <w:u w:val="single"/>
          <w:lang w:val="en-US" w:eastAsia="zh-CN" w:bidi="ar-SA"/>
        </w:rPr>
        <w:t>（采购文件中明确的所属行业）</w:t>
      </w:r>
      <w:r>
        <w:rPr>
          <w:rFonts w:hint="eastAsia" w:ascii="宋体" w:hAnsi="宋体" w:eastAsia="宋体" w:cstheme="minorBidi"/>
          <w:b w:val="0"/>
          <w:bCs/>
          <w:snapToGrid w:val="0"/>
          <w:w w:val="100"/>
          <w:kern w:val="2"/>
          <w:sz w:val="24"/>
          <w:szCs w:val="24"/>
          <w:u w:val="none"/>
          <w:lang w:val="en-US" w:eastAsia="zh-CN" w:bidi="ar-SA"/>
        </w:rPr>
        <w:t>；</w:t>
      </w:r>
      <w:r>
        <w:rPr>
          <w:rFonts w:hint="eastAsia" w:ascii="宋体" w:hAnsi="宋体" w:eastAsia="宋体" w:cstheme="minorBidi"/>
          <w:b w:val="0"/>
          <w:bCs/>
          <w:snapToGrid w:val="0"/>
          <w:spacing w:val="0"/>
          <w:w w:val="100"/>
          <w:kern w:val="2"/>
          <w:sz w:val="24"/>
          <w:szCs w:val="24"/>
          <w:u w:val="none"/>
          <w:lang w:val="en-US" w:eastAsia="zh-CN" w:bidi="ar-SA"/>
        </w:rPr>
        <w:t>承接企业为</w:t>
      </w:r>
      <w:r>
        <w:rPr>
          <w:rFonts w:hint="eastAsia" w:ascii="宋体" w:hAnsi="宋体" w:eastAsia="宋体" w:cstheme="minorBidi"/>
          <w:b w:val="0"/>
          <w:bCs/>
          <w:i w:val="0"/>
          <w:snapToGrid w:val="0"/>
          <w:spacing w:val="0"/>
          <w:w w:val="100"/>
          <w:kern w:val="2"/>
          <w:sz w:val="24"/>
          <w:szCs w:val="24"/>
          <w:u w:val="single"/>
          <w:lang w:val="en-US" w:eastAsia="zh-CN" w:bidi="ar-SA"/>
        </w:rPr>
        <w:t>（企业名称）</w:t>
      </w:r>
      <w:r>
        <w:rPr>
          <w:rFonts w:hint="eastAsia" w:ascii="宋体" w:hAnsi="宋体" w:eastAsia="宋体" w:cstheme="minorBidi"/>
          <w:b w:val="0"/>
          <w:bCs/>
          <w:snapToGrid w:val="0"/>
          <w:spacing w:val="0"/>
          <w:w w:val="100"/>
          <w:kern w:val="2"/>
          <w:sz w:val="24"/>
          <w:szCs w:val="24"/>
          <w:u w:val="none"/>
          <w:lang w:val="en-US" w:eastAsia="zh-CN" w:bidi="ar-SA"/>
        </w:rPr>
        <w:t>，从业人员</w:t>
      </w:r>
      <w:r>
        <w:rPr>
          <w:rFonts w:hint="eastAsia" w:ascii="宋体" w:hAnsi="宋体" w:eastAsia="宋体" w:cstheme="minorBidi"/>
          <w:b w:val="0"/>
          <w:bCs/>
          <w:snapToGrid w:val="0"/>
          <w:w w:val="100"/>
          <w:kern w:val="2"/>
          <w:sz w:val="24"/>
          <w:szCs w:val="24"/>
          <w:u w:val="single"/>
          <w:lang w:val="en-US" w:eastAsia="zh-CN" w:bidi="ar-SA"/>
        </w:rPr>
        <w:t xml:space="preserve">    </w:t>
      </w:r>
      <w:r>
        <w:rPr>
          <w:rFonts w:hint="eastAsia" w:ascii="宋体" w:hAnsi="宋体" w:eastAsia="宋体" w:cstheme="minorBidi"/>
          <w:b w:val="0"/>
          <w:bCs/>
          <w:snapToGrid w:val="0"/>
          <w:kern w:val="2"/>
          <w:sz w:val="24"/>
          <w:szCs w:val="24"/>
          <w:u w:val="none"/>
          <w:lang w:val="en-US" w:eastAsia="zh-CN" w:bidi="ar-SA"/>
        </w:rPr>
        <w:tab/>
      </w:r>
      <w:r>
        <w:rPr>
          <w:rFonts w:hint="eastAsia" w:ascii="宋体" w:hAnsi="宋体" w:eastAsia="宋体" w:cstheme="minorBidi"/>
          <w:b w:val="0"/>
          <w:bCs/>
          <w:snapToGrid w:val="0"/>
          <w:spacing w:val="0"/>
          <w:w w:val="100"/>
          <w:kern w:val="2"/>
          <w:sz w:val="24"/>
          <w:szCs w:val="24"/>
          <w:u w:val="none"/>
          <w:lang w:val="en-US" w:eastAsia="zh-CN" w:bidi="ar-SA"/>
        </w:rPr>
        <w:t>人，营</w:t>
      </w:r>
      <w:r>
        <w:rPr>
          <w:rFonts w:hint="eastAsia" w:ascii="宋体" w:hAnsi="宋体" w:eastAsia="宋体" w:cstheme="minorBidi"/>
          <w:b w:val="0"/>
          <w:bCs/>
          <w:snapToGrid w:val="0"/>
          <w:w w:val="100"/>
          <w:kern w:val="2"/>
          <w:sz w:val="24"/>
          <w:szCs w:val="24"/>
          <w:u w:val="none"/>
          <w:lang w:val="en-US" w:eastAsia="zh-CN" w:bidi="ar-SA"/>
        </w:rPr>
        <w:t>业</w:t>
      </w:r>
      <w:r>
        <w:rPr>
          <w:rFonts w:hint="eastAsia" w:ascii="宋体" w:hAnsi="宋体" w:eastAsia="宋体" w:cstheme="minorBidi"/>
          <w:b w:val="0"/>
          <w:bCs/>
          <w:snapToGrid w:val="0"/>
          <w:kern w:val="2"/>
          <w:sz w:val="24"/>
          <w:szCs w:val="24"/>
          <w:u w:val="none"/>
          <w:lang w:val="en-US" w:eastAsia="zh-CN" w:bidi="ar-SA"/>
        </w:rPr>
        <w:t>收入为</w:t>
      </w:r>
      <w:r>
        <w:rPr>
          <w:rFonts w:hint="eastAsia" w:ascii="宋体" w:hAnsi="宋体" w:eastAsia="宋体" w:cstheme="minorBidi"/>
          <w:b w:val="0"/>
          <w:bCs/>
          <w:snapToGrid w:val="0"/>
          <w:w w:val="100"/>
          <w:kern w:val="2"/>
          <w:sz w:val="24"/>
          <w:szCs w:val="24"/>
          <w:u w:val="single"/>
          <w:lang w:val="en-US" w:eastAsia="zh-CN" w:bidi="ar-SA"/>
        </w:rPr>
        <w:t xml:space="preserve">    </w:t>
      </w:r>
      <w:r>
        <w:rPr>
          <w:rFonts w:hint="eastAsia" w:ascii="宋体" w:hAnsi="宋体" w:eastAsia="宋体" w:cstheme="minorBidi"/>
          <w:b w:val="0"/>
          <w:bCs/>
          <w:snapToGrid w:val="0"/>
          <w:kern w:val="2"/>
          <w:sz w:val="24"/>
          <w:szCs w:val="24"/>
          <w:u w:val="none"/>
          <w:lang w:val="en-US" w:eastAsia="zh-CN" w:bidi="ar-SA"/>
        </w:rPr>
        <w:tab/>
      </w:r>
      <w:r>
        <w:rPr>
          <w:rFonts w:hint="eastAsia" w:ascii="宋体" w:hAnsi="宋体" w:eastAsia="宋体" w:cstheme="minorBidi"/>
          <w:b w:val="0"/>
          <w:bCs/>
          <w:snapToGrid w:val="0"/>
          <w:kern w:val="2"/>
          <w:sz w:val="24"/>
          <w:szCs w:val="24"/>
          <w:u w:val="none"/>
          <w:lang w:val="en-US" w:eastAsia="zh-CN" w:bidi="ar-SA"/>
        </w:rPr>
        <w:t>万元，资产总额为</w:t>
      </w:r>
      <w:r>
        <w:rPr>
          <w:rFonts w:hint="eastAsia" w:ascii="宋体" w:hAnsi="宋体" w:eastAsia="宋体" w:cstheme="minorBidi"/>
          <w:b w:val="0"/>
          <w:bCs/>
          <w:snapToGrid w:val="0"/>
          <w:w w:val="100"/>
          <w:kern w:val="2"/>
          <w:sz w:val="24"/>
          <w:szCs w:val="24"/>
          <w:u w:val="single"/>
          <w:lang w:val="en-US" w:eastAsia="zh-CN" w:bidi="ar-SA"/>
        </w:rPr>
        <w:t xml:space="preserve">    </w:t>
      </w:r>
      <w:r>
        <w:rPr>
          <w:rFonts w:hint="eastAsia" w:ascii="宋体" w:hAnsi="宋体" w:eastAsia="宋体" w:cstheme="minorBidi"/>
          <w:b w:val="0"/>
          <w:bCs/>
          <w:snapToGrid w:val="0"/>
          <w:kern w:val="2"/>
          <w:sz w:val="24"/>
          <w:szCs w:val="24"/>
          <w:u w:val="none"/>
          <w:lang w:val="en-US" w:eastAsia="zh-CN" w:bidi="ar-SA"/>
        </w:rPr>
        <w:tab/>
      </w:r>
      <w:r>
        <w:rPr>
          <w:rFonts w:hint="eastAsia" w:ascii="宋体" w:hAnsi="宋体" w:eastAsia="宋体" w:cstheme="minorBidi"/>
          <w:b w:val="0"/>
          <w:bCs/>
          <w:snapToGrid w:val="0"/>
          <w:kern w:val="2"/>
          <w:sz w:val="24"/>
          <w:szCs w:val="24"/>
          <w:u w:val="none"/>
          <w:lang w:val="en-US" w:eastAsia="zh-CN" w:bidi="ar-SA"/>
        </w:rPr>
        <w:t>万元，属</w:t>
      </w:r>
      <w:r>
        <w:rPr>
          <w:rFonts w:hint="eastAsia" w:ascii="宋体" w:hAnsi="宋体" w:eastAsia="宋体" w:cstheme="minorBidi"/>
          <w:b w:val="0"/>
          <w:bCs/>
          <w:snapToGrid w:val="0"/>
          <w:spacing w:val="0"/>
          <w:kern w:val="2"/>
          <w:sz w:val="24"/>
          <w:szCs w:val="24"/>
          <w:u w:val="none"/>
          <w:lang w:val="en-US" w:eastAsia="zh-CN" w:bidi="ar-SA"/>
        </w:rPr>
        <w:t>于</w:t>
      </w:r>
      <w:r>
        <w:rPr>
          <w:rFonts w:hint="eastAsia" w:ascii="宋体" w:hAnsi="宋体" w:eastAsia="宋体" w:cstheme="minorBidi"/>
          <w:b w:val="0"/>
          <w:bCs/>
          <w:i w:val="0"/>
          <w:snapToGrid w:val="0"/>
          <w:spacing w:val="0"/>
          <w:kern w:val="2"/>
          <w:sz w:val="24"/>
          <w:szCs w:val="24"/>
          <w:u w:val="single"/>
          <w:lang w:val="en-US" w:eastAsia="zh-CN" w:bidi="ar-SA"/>
        </w:rPr>
        <w:t>（中型企业</w:t>
      </w:r>
      <w:r>
        <w:rPr>
          <w:rFonts w:hint="eastAsia" w:ascii="宋体" w:hAnsi="宋体" w:eastAsia="宋体" w:cstheme="minorBidi"/>
          <w:b w:val="0"/>
          <w:bCs/>
          <w:i w:val="0"/>
          <w:snapToGrid w:val="0"/>
          <w:kern w:val="2"/>
          <w:sz w:val="24"/>
          <w:szCs w:val="24"/>
          <w:u w:val="single"/>
          <w:lang w:val="en-US" w:eastAsia="zh-CN" w:bidi="ar-SA"/>
        </w:rPr>
        <w:t>、</w:t>
      </w:r>
      <w:r>
        <w:rPr>
          <w:rFonts w:hint="eastAsia" w:ascii="宋体" w:hAnsi="宋体" w:eastAsia="宋体" w:cstheme="minorBidi"/>
          <w:b w:val="0"/>
          <w:bCs/>
          <w:i w:val="0"/>
          <w:snapToGrid w:val="0"/>
          <w:spacing w:val="0"/>
          <w:w w:val="100"/>
          <w:kern w:val="2"/>
          <w:sz w:val="24"/>
          <w:szCs w:val="24"/>
          <w:u w:val="single"/>
          <w:lang w:val="en-US" w:eastAsia="zh-CN" w:bidi="ar-SA"/>
        </w:rPr>
        <w:t>小型企业、微型企业）</w:t>
      </w:r>
      <w:r>
        <w:rPr>
          <w:rFonts w:hint="eastAsia" w:ascii="宋体" w:hAnsi="宋体" w:eastAsia="宋体" w:cstheme="minorBidi"/>
          <w:b w:val="0"/>
          <w:bCs/>
          <w:snapToGrid w:val="0"/>
          <w:w w:val="100"/>
          <w:kern w:val="2"/>
          <w:sz w:val="24"/>
          <w:szCs w:val="24"/>
          <w:u w:val="none"/>
          <w:lang w:val="en-US" w:eastAsia="zh-CN" w:bidi="ar-SA"/>
        </w:rPr>
        <w:t>；</w:t>
      </w:r>
    </w:p>
    <w:p>
      <w:pPr>
        <w:widowControl w:val="0"/>
        <w:wordWrap w:val="0"/>
        <w:topLinePunct/>
        <w:adjustRightInd w:val="0"/>
        <w:snapToGrid w:val="0"/>
        <w:spacing w:line="440" w:lineRule="exact"/>
        <w:ind w:firstLine="480" w:firstLineChars="200"/>
        <w:jc w:val="left"/>
        <w:rPr>
          <w:rFonts w:hint="eastAsia" w:ascii="宋体" w:hAnsi="宋体" w:eastAsia="宋体" w:cstheme="minorBidi"/>
          <w:b w:val="0"/>
          <w:bCs/>
          <w:snapToGrid w:val="0"/>
          <w:kern w:val="2"/>
          <w:sz w:val="24"/>
          <w:szCs w:val="24"/>
          <w:lang w:val="en-US" w:eastAsia="zh-CN" w:bidi="ar-SA"/>
        </w:rPr>
      </w:pPr>
      <w:r>
        <w:rPr>
          <w:rFonts w:hint="eastAsia" w:ascii="宋体" w:hAnsi="宋体" w:eastAsia="宋体" w:cstheme="minorBidi"/>
          <w:b w:val="0"/>
          <w:bCs/>
          <w:snapToGrid w:val="0"/>
          <w:kern w:val="2"/>
          <w:sz w:val="24"/>
          <w:szCs w:val="24"/>
          <w:lang w:val="en-US" w:eastAsia="zh-CN" w:bidi="ar-SA"/>
        </w:rPr>
        <w:t>……</w:t>
      </w:r>
    </w:p>
    <w:p>
      <w:pPr>
        <w:widowControl w:val="0"/>
        <w:wordWrap w:val="0"/>
        <w:topLinePunct/>
        <w:adjustRightInd w:val="0"/>
        <w:snapToGrid w:val="0"/>
        <w:spacing w:line="440" w:lineRule="exact"/>
        <w:ind w:firstLine="480" w:firstLineChars="200"/>
        <w:jc w:val="left"/>
        <w:rPr>
          <w:rFonts w:hint="eastAsia" w:ascii="宋体" w:hAnsi="宋体" w:eastAsia="宋体" w:cstheme="minorBidi"/>
          <w:b w:val="0"/>
          <w:bCs/>
          <w:snapToGrid w:val="0"/>
          <w:kern w:val="2"/>
          <w:sz w:val="24"/>
          <w:szCs w:val="24"/>
          <w:lang w:val="en-US" w:eastAsia="zh-CN" w:bidi="ar-SA"/>
        </w:rPr>
      </w:pPr>
      <w:r>
        <w:rPr>
          <w:rFonts w:hint="eastAsia" w:ascii="宋体" w:hAnsi="宋体" w:eastAsia="宋体" w:cstheme="minorBidi"/>
          <w:b w:val="0"/>
          <w:bCs/>
          <w:snapToGrid w:val="0"/>
          <w:spacing w:val="0"/>
          <w:kern w:val="2"/>
          <w:sz w:val="24"/>
          <w:szCs w:val="24"/>
          <w:lang w:val="en-US" w:eastAsia="zh-CN" w:bidi="ar-SA"/>
        </w:rPr>
        <w:t>以上企业，不属于大企业的分支机构，不存在控股股东为大企业的情形，也不存在与大企业的负责人为同一人的情形。</w:t>
      </w:r>
    </w:p>
    <w:p>
      <w:pPr>
        <w:pStyle w:val="53"/>
        <w:rPr>
          <w:b w:val="0"/>
          <w:bCs/>
        </w:rPr>
      </w:pPr>
      <w:r>
        <w:rPr>
          <w:rFonts w:hint="eastAsia" w:ascii="宋体" w:hAnsi="宋体" w:eastAsia="宋体" w:cstheme="minorBidi"/>
          <w:b w:val="0"/>
          <w:bCs/>
          <w:snapToGrid w:val="0"/>
          <w:kern w:val="2"/>
          <w:sz w:val="24"/>
          <w:szCs w:val="24"/>
          <w:lang w:val="en-US" w:eastAsia="zh-CN" w:bidi="ar-SA"/>
        </w:rPr>
        <w:t>本企业对上述声明内容的真实性负责。如有虚假，将依法承担相应责任</w:t>
      </w:r>
      <w:r>
        <w:rPr>
          <w:rFonts w:hint="eastAsia"/>
          <w:b w:val="0"/>
          <w:bCs/>
        </w:rPr>
        <w:t>。</w:t>
      </w:r>
    </w:p>
    <w:p>
      <w:pPr>
        <w:pStyle w:val="48"/>
      </w:pPr>
    </w:p>
    <w:p>
      <w:pPr>
        <w:pStyle w:val="48"/>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rPr>
      </w:pPr>
      <w:r>
        <w:rPr>
          <w:rFonts w:hint="eastAsia"/>
        </w:rPr>
        <w:t>企业名称(盖章)：</w:t>
      </w:r>
      <w:r>
        <w:rPr>
          <w:rFonts w:hint="eastAsia"/>
          <w:u w:val="single"/>
          <w:lang w:val="en-US" w:eastAsia="zh-CN"/>
        </w:rPr>
        <w:t xml:space="preserve">        </w:t>
      </w:r>
    </w:p>
    <w:p>
      <w:pPr>
        <w:pStyle w:val="48"/>
        <w:ind w:left="4800" w:leftChars="2000"/>
      </w:pPr>
      <w:r>
        <w:rPr>
          <w:rFonts w:hint="eastAsia"/>
        </w:rPr>
        <w:t>日期：</w:t>
      </w:r>
      <w:r>
        <w:rPr>
          <w:rFonts w:hint="eastAsia"/>
          <w:u w:val="single"/>
          <w:lang w:val="en-US" w:eastAsia="zh-CN"/>
        </w:rPr>
        <w:t xml:space="preserve">        </w:t>
      </w:r>
      <w:r>
        <w:rPr>
          <w:rFonts w:hint="eastAsia"/>
        </w:rPr>
        <w:t>　</w:t>
      </w:r>
      <w:bookmarkStart w:id="945" w:name="_Toc8055"/>
      <w:bookmarkStart w:id="946" w:name="_Toc417911732"/>
      <w:bookmarkStart w:id="947" w:name="_Toc413748654"/>
      <w:bookmarkStart w:id="948" w:name="_Toc419811733"/>
      <w:bookmarkStart w:id="949" w:name="_Toc387147344"/>
      <w:bookmarkStart w:id="950" w:name="_Toc387658050"/>
    </w:p>
    <w:p>
      <w:pPr>
        <w:pStyle w:val="53"/>
        <w:ind w:firstLine="482"/>
      </w:pPr>
    </w:p>
    <w:p>
      <w:pPr>
        <w:pStyle w:val="53"/>
        <w:ind w:firstLine="482"/>
      </w:pPr>
      <w:r>
        <w:rPr>
          <w:rFonts w:hint="eastAsia"/>
        </w:rPr>
        <w:t>说明：①从业人员、营业收入、资产总额填报上一年度数据，无上一年度数据的新成立企业可不填报。</w:t>
      </w:r>
    </w:p>
    <w:p>
      <w:pPr>
        <w:pStyle w:val="53"/>
        <w:ind w:firstLine="482"/>
      </w:pPr>
      <w:r>
        <w:rPr>
          <w:rFonts w:hint="eastAsia"/>
        </w:rPr>
        <w:t>②如未提供中小企业声明函的，则其评审中的小型、微型企业不能享受招标文件规定的价格扣除，但不影响供应商投标文件的有效性。</w:t>
      </w:r>
    </w:p>
    <w:p>
      <w:pPr>
        <w:pStyle w:val="53"/>
        <w:ind w:firstLine="482"/>
      </w:pPr>
      <w:r>
        <w:t>③</w:t>
      </w:r>
      <w:r>
        <w:rPr>
          <w:rFonts w:hint="eastAsia"/>
        </w:rPr>
        <w:t>投标人参加政府采购活动时，提供虚假中小企业声明函的，以提供虚假材料谋取中标处理。</w:t>
      </w:r>
    </w:p>
    <w:p>
      <w:pPr>
        <w:pStyle w:val="53"/>
        <w:ind w:firstLine="482"/>
      </w:pPr>
      <w:r>
        <w:fldChar w:fldCharType="begin"/>
      </w:r>
      <w:r>
        <w:instrText xml:space="preserve"> = 4 \* GB3 \* MERGEFORMAT </w:instrText>
      </w:r>
      <w:r>
        <w:fldChar w:fldCharType="separate"/>
      </w:r>
      <w:r>
        <w:rPr>
          <w:rFonts w:hint="eastAsia"/>
        </w:rPr>
        <w:t>④</w:t>
      </w:r>
      <w:r>
        <w:fldChar w:fldCharType="end"/>
      </w:r>
      <w:r>
        <w:rPr>
          <w:rFonts w:hint="eastAsia"/>
        </w:rPr>
        <w:t>投标人为非企业单位的，如</w:t>
      </w:r>
      <w:r>
        <w:fldChar w:fldCharType="begin"/>
      </w:r>
      <w:r>
        <w:instrText xml:space="preserve"> HYPERLINK "http://www.baidu.com/link?url=iBElULo-d5ZLg5hWr9fKyE9J-RxccwLI-m1Agt9ljL77ObTW5LQjhadjNT2MqWnbLezvMqwfSInjbbIsQiOB-i51ng1O-k9urRWB9JMMNXa_i_MLA720oUeu4HvXUaUSG40sshnLZLbEhVc0Xthfwq" \t "https://www.baidu.com/_blank" </w:instrText>
      </w:r>
      <w:r>
        <w:fldChar w:fldCharType="separate"/>
      </w:r>
      <w:r>
        <w:t>民办非企业</w:t>
      </w:r>
      <w:r>
        <w:fldChar w:fldCharType="end"/>
      </w:r>
      <w:r>
        <w:rPr>
          <w:rFonts w:hint="eastAsia"/>
        </w:rPr>
        <w:t>、基金会、协会、服务中心、农村承包经营户、学会等非工商(市场监管)登记注册的组织均不适用此声明函，不得提供中小企业声明函，提供此声明的在评审过程中按声明无效处理。</w:t>
      </w:r>
    </w:p>
    <w:p>
      <w:pPr>
        <w:pStyle w:val="53"/>
        <w:ind w:firstLine="482"/>
      </w:pPr>
      <w:r>
        <w:rPr>
          <w:rFonts w:hint="eastAsia"/>
        </w:rPr>
        <w:t>⑤</w:t>
      </w:r>
      <w:r>
        <w:t>符合中小企业划分标准的个体工商户</w:t>
      </w:r>
      <w:r>
        <w:rPr>
          <w:rFonts w:hint="eastAsia"/>
        </w:rPr>
        <w:t>，在政府采购活动中视同中小企业。</w:t>
      </w:r>
    </w:p>
    <w:p>
      <w:pPr>
        <w:pStyle w:val="50"/>
        <w:numPr>
          <w:ilvl w:val="0"/>
          <w:numId w:val="24"/>
        </w:numPr>
        <w:spacing w:before="120" w:after="120"/>
        <w:ind w:firstLine="0"/>
      </w:pPr>
      <w:bookmarkStart w:id="951" w:name="_Toc11278"/>
      <w:bookmarkStart w:id="952" w:name="_Toc8790"/>
      <w:bookmarkStart w:id="953" w:name="_Toc30256"/>
      <w:bookmarkStart w:id="954" w:name="_Toc26771"/>
      <w:r>
        <w:rPr>
          <w:rFonts w:hint="eastAsia"/>
        </w:rPr>
        <w:t>监狱企业相关证明材料</w:t>
      </w:r>
      <w:bookmarkEnd w:id="945"/>
      <w:r>
        <w:rPr>
          <w:rFonts w:hint="eastAsia"/>
        </w:rPr>
        <w:t>(如涉及</w:t>
      </w:r>
      <w:bookmarkEnd w:id="951"/>
      <w:r>
        <w:rPr>
          <w:rFonts w:hint="eastAsia"/>
        </w:rPr>
        <w:t>)</w:t>
      </w:r>
      <w:bookmarkEnd w:id="952"/>
      <w:bookmarkEnd w:id="953"/>
      <w:bookmarkEnd w:id="954"/>
    </w:p>
    <w:p>
      <w:pPr>
        <w:pStyle w:val="53"/>
        <w:ind w:firstLine="482"/>
      </w:pPr>
      <w:r>
        <w:rPr>
          <w:rFonts w:hint="eastAsia"/>
        </w:rPr>
        <w:t>说明：</w:t>
      </w:r>
    </w:p>
    <w:p>
      <w:pPr>
        <w:pStyle w:val="53"/>
        <w:ind w:firstLine="482"/>
      </w:pPr>
      <w:r>
        <w:rPr>
          <w:rFonts w:hint="eastAsia"/>
        </w:rPr>
        <w:t>①监狱企业参加政府采购活动时，应当提供由省级以上监狱管理局、戒毒管理局(含新疆生产建设兵团)出具的属于监狱企业的证明文件。</w:t>
      </w:r>
    </w:p>
    <w:p>
      <w:pPr>
        <w:pStyle w:val="53"/>
        <w:ind w:firstLine="482"/>
      </w:pPr>
      <w:r>
        <w:rPr>
          <w:rFonts w:hint="eastAsia"/>
        </w:rPr>
        <w:t>②如未提供监狱企业相关证明材料的，则其评审中的监狱企业不能享受招标文件规定的价格扣除，但不影响投标文件的有效性。</w:t>
      </w:r>
    </w:p>
    <w:p>
      <w:pPr>
        <w:pStyle w:val="53"/>
        <w:ind w:firstLine="482"/>
      </w:pPr>
      <w:r>
        <w:rPr>
          <w:rFonts w:hint="eastAsia"/>
        </w:rPr>
        <w:t>③非监狱企业无需提供证明材料。</w:t>
      </w:r>
    </w:p>
    <w:p>
      <w:pPr>
        <w:pStyle w:val="48"/>
      </w:pPr>
      <w:r>
        <w:rPr>
          <w:rFonts w:hint="eastAsia"/>
        </w:rPr>
        <w:br w:type="page"/>
      </w:r>
    </w:p>
    <w:p>
      <w:pPr>
        <w:pStyle w:val="50"/>
        <w:numPr>
          <w:ilvl w:val="0"/>
          <w:numId w:val="24"/>
        </w:numPr>
        <w:spacing w:before="120" w:after="120"/>
        <w:ind w:firstLine="0"/>
      </w:pPr>
      <w:bookmarkStart w:id="955" w:name="_Toc7140"/>
      <w:bookmarkStart w:id="956" w:name="_Toc11192"/>
      <w:bookmarkStart w:id="957" w:name="_Toc27384"/>
      <w:bookmarkStart w:id="958" w:name="_Toc30301"/>
      <w:r>
        <w:rPr>
          <w:rFonts w:hint="eastAsia"/>
        </w:rPr>
        <w:t>残疾人福利性单位声明函(如涉及</w:t>
      </w:r>
      <w:bookmarkEnd w:id="955"/>
      <w:r>
        <w:rPr>
          <w:rFonts w:hint="eastAsia"/>
        </w:rPr>
        <w:t>)</w:t>
      </w:r>
      <w:bookmarkEnd w:id="956"/>
      <w:bookmarkEnd w:id="957"/>
      <w:bookmarkEnd w:id="958"/>
    </w:p>
    <w:p>
      <w:pPr>
        <w:pStyle w:val="52"/>
      </w:pPr>
      <w:r>
        <w:rPr>
          <w:rFonts w:hint="eastAsia"/>
        </w:rPr>
        <w:t>本单位郑重声明，根据《财政部 民政部 中国残疾人联合会关于促进残疾人就业政府采购政策的通知》(财库〔2017〕141号)的规定，本单位为符合条件的残疾人福利性单位，且本单位参加单位的项目采购活动由本单位提供服务。</w:t>
      </w:r>
    </w:p>
    <w:p>
      <w:pPr>
        <w:pStyle w:val="52"/>
      </w:pPr>
      <w:r>
        <w:rPr>
          <w:rFonts w:hint="eastAsia"/>
        </w:rPr>
        <w:t>本单位对上述声明的真实性负责。如有虚假，将依法承担相应责任。</w:t>
      </w:r>
    </w:p>
    <w:p>
      <w:pPr>
        <w:pStyle w:val="48"/>
      </w:pPr>
    </w:p>
    <w:p>
      <w:pPr>
        <w:pStyle w:val="48"/>
      </w:pPr>
    </w:p>
    <w:p>
      <w:pPr>
        <w:pStyle w:val="48"/>
      </w:pPr>
    </w:p>
    <w:bookmarkEnd w:id="946"/>
    <w:bookmarkEnd w:id="947"/>
    <w:bookmarkEnd w:id="948"/>
    <w:bookmarkEnd w:id="949"/>
    <w:bookmarkEnd w:id="950"/>
    <w:p>
      <w:pPr>
        <w:pStyle w:val="48"/>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rPr>
      </w:pPr>
      <w:r>
        <w:rPr>
          <w:rFonts w:hint="eastAsia"/>
        </w:rPr>
        <w:t>单位名称</w:t>
      </w:r>
      <w:r>
        <w:rPr>
          <w:rFonts w:hint="eastAsia"/>
          <w:lang w:eastAsia="zh-CN"/>
        </w:rPr>
        <w:t>：</w:t>
      </w:r>
      <w:r>
        <w:rPr>
          <w:rFonts w:hint="eastAsia"/>
          <w:u w:val="single"/>
          <w:lang w:val="en-US" w:eastAsia="zh-CN"/>
        </w:rPr>
        <w:t xml:space="preserve">             </w:t>
      </w:r>
      <w:r>
        <w:rPr>
          <w:rFonts w:hint="eastAsia"/>
          <w:lang w:val="en-US" w:eastAsia="zh-CN"/>
        </w:rPr>
        <w:t xml:space="preserve"> </w:t>
      </w:r>
      <w:r>
        <w:rPr>
          <w:rFonts w:hint="eastAsia"/>
          <w:lang w:eastAsia="zh-CN"/>
        </w:rPr>
        <w:t>(</w:t>
      </w:r>
      <w:r>
        <w:rPr>
          <w:rFonts w:hint="eastAsia"/>
        </w:rPr>
        <w:t>盖章</w:t>
      </w:r>
      <w:r>
        <w:rPr>
          <w:rFonts w:hint="eastAsia"/>
          <w:lang w:eastAsia="zh-CN"/>
        </w:rPr>
        <w:t>)</w:t>
      </w:r>
    </w:p>
    <w:p>
      <w:pPr>
        <w:pStyle w:val="48"/>
        <w:ind w:left="4800" w:leftChars="2000"/>
      </w:pPr>
      <w:r>
        <w:rPr>
          <w:rFonts w:hint="eastAsia"/>
        </w:rPr>
        <w:t xml:space="preserve">日  </w:t>
      </w:r>
      <w:r>
        <w:rPr>
          <w:rFonts w:hint="eastAsia"/>
          <w:lang w:val="en-US" w:eastAsia="zh-CN"/>
        </w:rPr>
        <w:t xml:space="preserve">  </w:t>
      </w:r>
      <w:r>
        <w:rPr>
          <w:rFonts w:hint="eastAsia"/>
        </w:rPr>
        <w:t>期：</w:t>
      </w:r>
      <w:r>
        <w:rPr>
          <w:rFonts w:hint="eastAsia"/>
          <w:u w:val="single"/>
          <w:lang w:val="en-US" w:eastAsia="zh-CN"/>
        </w:rPr>
        <w:t xml:space="preserve">             </w:t>
      </w:r>
    </w:p>
    <w:p>
      <w:pPr>
        <w:pStyle w:val="48"/>
        <w:ind w:left="4800" w:leftChars="2000"/>
      </w:pPr>
    </w:p>
    <w:p>
      <w:pPr>
        <w:pStyle w:val="53"/>
        <w:ind w:firstLine="482"/>
      </w:pPr>
    </w:p>
    <w:p>
      <w:pPr>
        <w:pStyle w:val="53"/>
        <w:ind w:firstLine="482"/>
      </w:pPr>
      <w:r>
        <w:rPr>
          <w:rFonts w:hint="eastAsia"/>
        </w:rPr>
        <w:t>说明：</w:t>
      </w:r>
      <w:r>
        <w:rPr>
          <w:rFonts w:hint="eastAsia"/>
        </w:rPr>
        <w:fldChar w:fldCharType="begin"/>
      </w:r>
      <w:r>
        <w:rPr>
          <w:rFonts w:hint="eastAsia"/>
        </w:rPr>
        <w:instrText xml:space="preserve"> = 1 \* GB3 \* MERGEFORMAT </w:instrText>
      </w:r>
      <w:r>
        <w:rPr>
          <w:rFonts w:hint="eastAsia"/>
        </w:rPr>
        <w:fldChar w:fldCharType="separate"/>
      </w:r>
      <w:r>
        <w:rPr>
          <w:rFonts w:hint="eastAsia"/>
        </w:rPr>
        <w:t>①</w:t>
      </w:r>
      <w:r>
        <w:rPr>
          <w:rFonts w:hint="eastAsia"/>
        </w:rPr>
        <w:fldChar w:fldCharType="end"/>
      </w:r>
      <w:r>
        <w:rPr>
          <w:rFonts w:hint="eastAsia"/>
        </w:rPr>
        <w:t>如未提供残疾人福利性单位声明函的，则其评审中的残疾人福利性单位不能享受招标文件规定的价格扣除。非残疾人福利性单位，不需提供此声明函，不影响投标文件的有效性。</w:t>
      </w:r>
    </w:p>
    <w:p>
      <w:pPr>
        <w:pStyle w:val="53"/>
        <w:ind w:firstLine="482"/>
      </w:pPr>
      <w:r>
        <w:rPr>
          <w:rFonts w:hint="eastAsia"/>
        </w:rPr>
        <w:fldChar w:fldCharType="begin"/>
      </w:r>
      <w:r>
        <w:rPr>
          <w:rFonts w:hint="eastAsia"/>
        </w:rPr>
        <w:instrText xml:space="preserve"> = 2 \* GB3 \* MERGEFORMAT </w:instrText>
      </w:r>
      <w:r>
        <w:rPr>
          <w:rFonts w:hint="eastAsia"/>
        </w:rPr>
        <w:fldChar w:fldCharType="separate"/>
      </w:r>
      <w:r>
        <w:rPr>
          <w:rFonts w:hint="eastAsia"/>
        </w:rPr>
        <w:t>②</w:t>
      </w:r>
      <w:r>
        <w:rPr>
          <w:rFonts w:hint="eastAsia"/>
        </w:rPr>
        <w:fldChar w:fldCharType="end"/>
      </w:r>
      <w:r>
        <w:rPr>
          <w:rFonts w:hint="eastAsia"/>
        </w:rPr>
        <w:t>投标人参加政府采购活动时，提供虚假残疾人福利性单位声明函的，以提供虚假材料谋取中标处理。</w:t>
      </w:r>
    </w:p>
    <w:p>
      <w:pPr>
        <w:pStyle w:val="48"/>
        <w:ind w:left="4800" w:leftChars="2000"/>
      </w:pPr>
    </w:p>
    <w:p>
      <w:pPr>
        <w:pStyle w:val="50"/>
        <w:numPr>
          <w:ilvl w:val="0"/>
          <w:numId w:val="24"/>
        </w:numPr>
        <w:spacing w:before="120" w:after="120"/>
        <w:ind w:firstLine="0"/>
      </w:pPr>
      <w:bookmarkStart w:id="959" w:name="_Toc16092"/>
      <w:bookmarkStart w:id="960" w:name="_Toc31340"/>
      <w:bookmarkStart w:id="961" w:name="_Toc20002"/>
      <w:bookmarkStart w:id="962" w:name="_Toc18724"/>
      <w:bookmarkStart w:id="963" w:name="_Toc881"/>
      <w:r>
        <w:rPr>
          <w:rFonts w:hint="eastAsia"/>
          <w:lang w:val="en-US" w:eastAsia="zh-CN"/>
        </w:rPr>
        <w:t>服务方案、技术方案(以评分表相关内容为准)</w:t>
      </w:r>
      <w:bookmarkEnd w:id="959"/>
      <w:bookmarkEnd w:id="960"/>
      <w:bookmarkEnd w:id="961"/>
    </w:p>
    <w:p>
      <w:pPr>
        <w:pStyle w:val="53"/>
        <w:ind w:firstLine="482"/>
      </w:pPr>
      <w:r>
        <w:rPr>
          <w:rFonts w:hint="eastAsia"/>
        </w:rPr>
        <w:t>注：格式自拟。</w:t>
      </w:r>
    </w:p>
    <w:p>
      <w:pPr>
        <w:pStyle w:val="48"/>
      </w:pPr>
      <w:r>
        <w:rPr>
          <w:rFonts w:hint="eastAsia"/>
        </w:rPr>
        <w:br w:type="page"/>
      </w:r>
    </w:p>
    <w:p>
      <w:pPr>
        <w:pStyle w:val="50"/>
        <w:numPr>
          <w:ilvl w:val="0"/>
          <w:numId w:val="24"/>
        </w:numPr>
        <w:spacing w:before="120" w:after="120"/>
        <w:ind w:firstLine="0"/>
      </w:pPr>
      <w:bookmarkStart w:id="964" w:name="_Toc23794"/>
      <w:bookmarkStart w:id="965" w:name="_Toc32188"/>
      <w:r>
        <w:rPr>
          <w:rFonts w:hint="eastAsia"/>
        </w:rPr>
        <w:t>招标代理服务费承诺函</w:t>
      </w:r>
      <w:bookmarkEnd w:id="964"/>
      <w:bookmarkEnd w:id="965"/>
    </w:p>
    <w:p>
      <w:pPr>
        <w:pStyle w:val="48"/>
        <w:bidi w:val="0"/>
        <w:rPr>
          <w:rFonts w:hint="eastAsia"/>
        </w:rPr>
      </w:pPr>
      <w:r>
        <w:rPr>
          <w:rFonts w:hint="eastAsia"/>
          <w:lang w:eastAsia="zh-CN"/>
        </w:rPr>
        <w:t>四川意惠采购招标代理有限公司</w:t>
      </w:r>
      <w:r>
        <w:rPr>
          <w:rFonts w:hint="eastAsia"/>
        </w:rPr>
        <w:t>：</w:t>
      </w:r>
    </w:p>
    <w:p>
      <w:pPr>
        <w:pStyle w:val="52"/>
        <w:bidi w:val="0"/>
        <w:rPr>
          <w:rFonts w:hint="eastAsia"/>
          <w:lang w:val="en-US" w:eastAsia="zh-CN"/>
        </w:rPr>
      </w:pPr>
      <w:r>
        <w:rPr>
          <w:rFonts w:hint="eastAsia"/>
        </w:rPr>
        <w:t>我公司在贵公司代理的</w:t>
      </w:r>
      <w:r>
        <w:rPr>
          <w:rFonts w:hint="eastAsia"/>
          <w:u w:val="single"/>
        </w:rPr>
        <w:t xml:space="preserve">                              </w:t>
      </w:r>
      <w:r>
        <w:rPr>
          <w:rFonts w:hint="eastAsia"/>
        </w:rPr>
        <w:t>项目(项目编号</w:t>
      </w:r>
      <w:r>
        <w:rPr>
          <w:rFonts w:hint="eastAsia"/>
          <w:u w:val="none"/>
        </w:rPr>
        <w:t>：</w:t>
      </w:r>
      <w:r>
        <w:rPr>
          <w:rFonts w:hint="eastAsia"/>
          <w:u w:val="single"/>
        </w:rPr>
        <w:t xml:space="preserve">                              </w:t>
      </w:r>
      <w:r>
        <w:rPr>
          <w:rFonts w:hint="eastAsia"/>
        </w:rPr>
        <w:t>)公开招标中若获中标，我们保证在收到中标通知后2个工作日内按</w:t>
      </w:r>
      <w:r>
        <w:rPr>
          <w:rFonts w:hint="eastAsia"/>
          <w:lang w:val="zh-CN"/>
        </w:rPr>
        <w:t>招标文件</w:t>
      </w:r>
      <w:r>
        <w:rPr>
          <w:rFonts w:hint="eastAsia"/>
        </w:rPr>
        <w:t>的规定，以支票、银行汇票、电汇、现金或经贵公司认可的一种方式，向贵公司即</w:t>
      </w:r>
      <w:r>
        <w:rPr>
          <w:rFonts w:hint="eastAsia"/>
          <w:lang w:eastAsia="zh-CN"/>
        </w:rPr>
        <w:t>四川意惠采购招标代理有限公司</w:t>
      </w:r>
      <w:r>
        <w:rPr>
          <w:rFonts w:hint="eastAsia"/>
        </w:rPr>
        <w:t>指定的银行帐号，按照</w:t>
      </w:r>
      <w:r>
        <w:rPr>
          <w:rFonts w:hint="eastAsia"/>
          <w:lang w:val="zh-CN"/>
        </w:rPr>
        <w:t>招标文件中</w:t>
      </w:r>
      <w:r>
        <w:rPr>
          <w:rFonts w:hint="eastAsia"/>
        </w:rPr>
        <w:t>招标代理服务费收取标准一次性支付招标代理服务费。</w:t>
      </w:r>
      <w:r>
        <w:rPr>
          <w:rFonts w:hint="eastAsia"/>
          <w:b/>
          <w:bCs/>
          <w:lang w:val="en-US" w:eastAsia="zh-CN"/>
        </w:rPr>
        <w:t>如因我公司自身原因造成取消中标资格或自愿放弃中标资格的，</w:t>
      </w:r>
      <w:r>
        <w:rPr>
          <w:rFonts w:hint="eastAsia"/>
          <w:b/>
          <w:bCs/>
          <w:highlight w:val="none"/>
          <w:lang w:val="en-US" w:eastAsia="zh-CN"/>
        </w:rPr>
        <w:t>我司</w:t>
      </w:r>
      <w:r>
        <w:rPr>
          <w:rFonts w:hint="eastAsia"/>
          <w:b/>
          <w:bCs/>
          <w:color w:val="auto"/>
          <w:highlight w:val="none"/>
          <w:lang w:val="en-US" w:eastAsia="zh-CN"/>
        </w:rPr>
        <w:t>支付</w:t>
      </w:r>
      <w:r>
        <w:rPr>
          <w:rFonts w:hint="eastAsia"/>
          <w:b/>
          <w:bCs/>
          <w:highlight w:val="none"/>
          <w:lang w:val="en-US" w:eastAsia="zh-CN"/>
        </w:rPr>
        <w:t>的</w:t>
      </w:r>
      <w:r>
        <w:rPr>
          <w:rFonts w:hint="eastAsia"/>
          <w:b/>
          <w:bCs/>
          <w:lang w:val="en-US" w:eastAsia="zh-CN"/>
        </w:rPr>
        <w:t>招标代理服务费不予退还，由此造成的损失由我方自行承担。</w:t>
      </w:r>
    </w:p>
    <w:p>
      <w:pPr>
        <w:pStyle w:val="52"/>
        <w:bidi w:val="0"/>
        <w:rPr>
          <w:rFonts w:hint="eastAsia"/>
        </w:rPr>
      </w:pPr>
    </w:p>
    <w:p>
      <w:pPr>
        <w:pStyle w:val="52"/>
        <w:bidi w:val="0"/>
        <w:rPr>
          <w:rFonts w:hint="eastAsia"/>
        </w:rPr>
      </w:pPr>
    </w:p>
    <w:p>
      <w:pPr>
        <w:pStyle w:val="52"/>
        <w:bidi w:val="0"/>
        <w:rPr>
          <w:rFonts w:hint="eastAsia"/>
        </w:rPr>
      </w:pPr>
      <w:r>
        <w:rPr>
          <w:rFonts w:hint="eastAsia"/>
        </w:rPr>
        <w:t>特此承诺。</w:t>
      </w:r>
    </w:p>
    <w:p>
      <w:pPr>
        <w:pStyle w:val="48"/>
        <w:bidi w:val="0"/>
        <w:rPr>
          <w:rFonts w:hint="eastAsia"/>
        </w:rPr>
      </w:pPr>
    </w:p>
    <w:p>
      <w:pPr>
        <w:pStyle w:val="48"/>
        <w:bidi w:val="0"/>
        <w:rPr>
          <w:rFonts w:hint="eastAsia"/>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投标人</w:t>
      </w:r>
      <w:r>
        <w:rPr>
          <w:rFonts w:hint="eastAsia" w:asciiTheme="minorEastAsia" w:hAnsiTheme="minorEastAsia" w:eastAsiaTheme="minorEastAsia" w:cstheme="minorEastAsia"/>
          <w:color w:val="auto"/>
          <w:sz w:val="24"/>
          <w:highlight w:val="none"/>
        </w:rPr>
        <w:t>名称</w:t>
      </w:r>
      <w:r>
        <w:rPr>
          <w:rFonts w:hint="eastAsia" w:asciiTheme="minorEastAsia" w:hAnsiTheme="minorEastAsia" w:eastAsiaTheme="minorEastAsia" w:cstheme="minorEastAsia"/>
          <w:color w:val="auto"/>
          <w:sz w:val="24"/>
          <w:highlight w:val="none"/>
          <w:u w:val="none"/>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rPr>
        <w:t>(盖章)</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电  话：</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传  真：</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邮  编：</w:t>
      </w:r>
      <w:r>
        <w:rPr>
          <w:rFonts w:hint="eastAsia" w:asciiTheme="minorEastAsia" w:hAnsiTheme="minorEastAsia" w:eastAsiaTheme="minorEastAsia" w:cstheme="minorEastAsia"/>
          <w:bCs/>
          <w:color w:val="auto"/>
          <w:sz w:val="24"/>
          <w:highlight w:val="none"/>
          <w:u w:val="single"/>
        </w:rPr>
        <w:t xml:space="preserve">                </w:t>
      </w:r>
    </w:p>
    <w:p>
      <w:pPr>
        <w:pStyle w:val="48"/>
        <w:keepNext w:val="0"/>
        <w:keepLines w:val="0"/>
        <w:pageBreakBefore w:val="0"/>
        <w:widowControl w:val="0"/>
        <w:kinsoku/>
        <w:wordWrap w:val="0"/>
        <w:overflowPunct/>
        <w:topLinePunct/>
        <w:autoSpaceDE/>
        <w:autoSpaceDN/>
        <w:bidi w:val="0"/>
        <w:adjustRightInd w:val="0"/>
        <w:snapToGrid w:val="0"/>
        <w:spacing w:line="520" w:lineRule="exact"/>
        <w:ind w:firstLine="480" w:firstLineChars="200"/>
        <w:textAlignment w:val="auto"/>
        <w:rPr>
          <w:rFonts w:hint="eastAsia"/>
        </w:rPr>
      </w:pPr>
      <w:r>
        <w:rPr>
          <w:rFonts w:hint="eastAsia"/>
          <w:lang w:eastAsia="zh-CN"/>
        </w:rPr>
        <w:t>法定代表人/单位负责人或授权代表</w:t>
      </w:r>
      <w:r>
        <w:rPr>
          <w:rFonts w:hint="eastAsia"/>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(签字</w:t>
      </w:r>
      <w:r>
        <w:rPr>
          <w:rFonts w:hint="eastAsia"/>
          <w:lang w:eastAsia="zh-CN"/>
        </w:rPr>
        <w:t>或盖章</w:t>
      </w:r>
      <w:r>
        <w:rPr>
          <w:rFonts w:hint="eastAsia"/>
        </w:rPr>
        <w:t>)</w:t>
      </w:r>
    </w:p>
    <w:p>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color w:val="auto"/>
          <w:sz w:val="24"/>
          <w:highlight w:val="none"/>
        </w:rPr>
        <w:t>承诺日期：</w:t>
      </w:r>
      <w:r>
        <w:rPr>
          <w:rFonts w:hint="eastAsia" w:asciiTheme="minorEastAsia" w:hAnsiTheme="minorEastAsia" w:eastAsiaTheme="minorEastAsia" w:cstheme="minorEastAsia"/>
          <w:bCs/>
          <w:color w:val="auto"/>
          <w:sz w:val="24"/>
          <w:highlight w:val="none"/>
          <w:u w:val="single"/>
        </w:rPr>
        <w:t xml:space="preserve">                </w:t>
      </w:r>
    </w:p>
    <w:p>
      <w:pPr>
        <w:pStyle w:val="48"/>
      </w:pPr>
    </w:p>
    <w:p>
      <w:pPr>
        <w:pStyle w:val="48"/>
      </w:pPr>
    </w:p>
    <w:p>
      <w:pPr>
        <w:pStyle w:val="48"/>
      </w:pPr>
      <w:r>
        <w:rPr>
          <w:rFonts w:hint="eastAsia"/>
        </w:rPr>
        <w:br w:type="page"/>
      </w:r>
    </w:p>
    <w:bookmarkEnd w:id="962"/>
    <w:bookmarkEnd w:id="963"/>
    <w:p>
      <w:pPr>
        <w:pStyle w:val="54"/>
        <w:numPr>
          <w:ilvl w:val="0"/>
          <w:numId w:val="14"/>
        </w:numPr>
        <w:spacing w:before="120" w:after="120"/>
        <w:rPr>
          <w:w w:val="95"/>
        </w:rPr>
      </w:pPr>
      <w:bookmarkStart w:id="966" w:name="_Toc1941"/>
      <w:bookmarkStart w:id="967" w:name="_Toc23532"/>
      <w:bookmarkStart w:id="968" w:name="_Toc23987"/>
      <w:bookmarkStart w:id="969" w:name="_Toc17786"/>
      <w:bookmarkStart w:id="970" w:name="_Toc24042"/>
      <w:bookmarkStart w:id="971" w:name="_Toc10576"/>
      <w:bookmarkStart w:id="972" w:name="_Toc8502"/>
      <w:r>
        <w:rPr>
          <w:rFonts w:hint="eastAsia"/>
          <w:w w:val="95"/>
        </w:rPr>
        <w:t>投标人和投标产品的资格、资质性</w:t>
      </w:r>
      <w:bookmarkStart w:id="973" w:name="_Toc319439931"/>
      <w:bookmarkStart w:id="974" w:name="_Toc327196317"/>
      <w:bookmarkStart w:id="975" w:name="_Toc17884"/>
      <w:bookmarkStart w:id="976" w:name="_Toc21759"/>
      <w:bookmarkStart w:id="977" w:name="_Toc307564882"/>
      <w:bookmarkStart w:id="978" w:name="_Toc307501136"/>
      <w:r>
        <w:rPr>
          <w:rFonts w:hint="eastAsia"/>
          <w:w w:val="95"/>
        </w:rPr>
        <w:t>及其他类似效力要求</w:t>
      </w:r>
      <w:bookmarkEnd w:id="966"/>
      <w:bookmarkEnd w:id="967"/>
      <w:bookmarkEnd w:id="968"/>
      <w:bookmarkEnd w:id="969"/>
      <w:bookmarkEnd w:id="973"/>
      <w:bookmarkEnd w:id="974"/>
      <w:bookmarkEnd w:id="975"/>
      <w:bookmarkEnd w:id="976"/>
      <w:bookmarkEnd w:id="977"/>
      <w:bookmarkEnd w:id="978"/>
    </w:p>
    <w:bookmarkEnd w:id="970"/>
    <w:bookmarkEnd w:id="971"/>
    <w:bookmarkEnd w:id="972"/>
    <w:p>
      <w:pPr>
        <w:pStyle w:val="41"/>
        <w:numPr>
          <w:ilvl w:val="1"/>
          <w:numId w:val="14"/>
        </w:numPr>
        <w:ind w:firstLine="482"/>
        <w:rPr>
          <w:lang w:val="zh-CN"/>
        </w:rPr>
      </w:pPr>
      <w:bookmarkStart w:id="979" w:name="_Toc29710"/>
      <w:bookmarkStart w:id="980" w:name="_Toc30456"/>
      <w:bookmarkStart w:id="981" w:name="_Toc5268"/>
      <w:bookmarkStart w:id="982" w:name="_Toc4824"/>
      <w:bookmarkStart w:id="983" w:name="_Toc18335"/>
      <w:bookmarkStart w:id="984" w:name="_Toc14656"/>
      <w:r>
        <w:rPr>
          <w:rFonts w:hint="eastAsia"/>
        </w:rPr>
        <w:t>投标人资格、资质性及其他类似效力要求</w:t>
      </w:r>
      <w:bookmarkEnd w:id="979"/>
      <w:bookmarkEnd w:id="980"/>
    </w:p>
    <w:p>
      <w:pPr>
        <w:pStyle w:val="48"/>
        <w:spacing w:line="460" w:lineRule="exact"/>
        <w:ind w:firstLine="480" w:firstLineChars="200"/>
        <w:rPr>
          <w:lang w:val="zh-CN"/>
        </w:rPr>
      </w:pPr>
      <w:r>
        <w:rPr>
          <w:rFonts w:hint="eastAsia"/>
        </w:rPr>
        <w:t>(一)</w:t>
      </w:r>
      <w:r>
        <w:rPr>
          <w:rFonts w:hint="eastAsia"/>
          <w:lang w:val="zh-CN"/>
        </w:rPr>
        <w:t>符合《中华人民共和国政府采购法》第二十二条规定的条件：</w:t>
      </w:r>
    </w:p>
    <w:p>
      <w:pPr>
        <w:pStyle w:val="48"/>
        <w:spacing w:line="460" w:lineRule="exact"/>
        <w:ind w:firstLine="480" w:firstLineChars="200"/>
      </w:pPr>
      <w:r>
        <w:rPr>
          <w:rFonts w:hint="eastAsia"/>
        </w:rPr>
        <w:t>1.具有独立承担</w:t>
      </w:r>
      <w:r>
        <w:fldChar w:fldCharType="begin"/>
      </w:r>
      <w:r>
        <w:instrText xml:space="preserve"> HYPERLINK "http://www.lawtime.cn/info/minfa/mszeren/" \t "_blank" </w:instrText>
      </w:r>
      <w:r>
        <w:fldChar w:fldCharType="separate"/>
      </w:r>
      <w:r>
        <w:rPr>
          <w:rFonts w:hint="eastAsia"/>
        </w:rPr>
        <w:t>民事责任</w:t>
      </w:r>
      <w:r>
        <w:rPr>
          <w:rFonts w:hint="eastAsia"/>
        </w:rPr>
        <w:fldChar w:fldCharType="end"/>
      </w:r>
      <w:r>
        <w:rPr>
          <w:rFonts w:hint="eastAsia"/>
        </w:rPr>
        <w:t>的能力；</w:t>
      </w:r>
    </w:p>
    <w:p>
      <w:pPr>
        <w:pStyle w:val="48"/>
        <w:spacing w:line="460" w:lineRule="exact"/>
        <w:ind w:firstLine="480" w:firstLineChars="200"/>
      </w:pPr>
      <w:r>
        <w:rPr>
          <w:rFonts w:hint="eastAsia"/>
        </w:rPr>
        <w:t>2.具有良好的商业信誉和健全的财务会计制度；</w:t>
      </w:r>
    </w:p>
    <w:p>
      <w:pPr>
        <w:pStyle w:val="48"/>
        <w:spacing w:line="460" w:lineRule="exact"/>
        <w:ind w:firstLine="480" w:firstLineChars="200"/>
      </w:pPr>
      <w:r>
        <w:rPr>
          <w:rFonts w:hint="eastAsia"/>
        </w:rPr>
        <w:t>3.具有履行合同所必需的设备和专业技术能力；</w:t>
      </w:r>
    </w:p>
    <w:p>
      <w:pPr>
        <w:pStyle w:val="48"/>
        <w:spacing w:line="460" w:lineRule="exact"/>
        <w:ind w:firstLine="480" w:firstLineChars="200"/>
      </w:pPr>
      <w:r>
        <w:rPr>
          <w:rFonts w:hint="eastAsia"/>
        </w:rPr>
        <w:t>4.有依法缴纳税收和</w:t>
      </w:r>
      <w:r>
        <w:fldChar w:fldCharType="begin"/>
      </w:r>
      <w:r>
        <w:instrText xml:space="preserve"> HYPERLINK "http://www.lawtime.cn/info/laodong/shehuibaozhang/" \t "_blank" </w:instrText>
      </w:r>
      <w:r>
        <w:fldChar w:fldCharType="separate"/>
      </w:r>
      <w:r>
        <w:rPr>
          <w:rFonts w:hint="eastAsia"/>
        </w:rPr>
        <w:t>社会保障</w:t>
      </w:r>
      <w:r>
        <w:rPr>
          <w:rFonts w:hint="eastAsia"/>
        </w:rPr>
        <w:fldChar w:fldCharType="end"/>
      </w:r>
      <w:r>
        <w:rPr>
          <w:rFonts w:hint="eastAsia"/>
        </w:rPr>
        <w:t>资金的良好记录；</w:t>
      </w:r>
    </w:p>
    <w:p>
      <w:pPr>
        <w:pStyle w:val="48"/>
        <w:spacing w:line="460" w:lineRule="exact"/>
        <w:ind w:firstLine="480" w:firstLineChars="200"/>
      </w:pPr>
      <w:r>
        <w:rPr>
          <w:rFonts w:hint="eastAsia"/>
        </w:rPr>
        <w:t>5.参加政府采购活动前三年内，在经营活动中没有重大违法记录；</w:t>
      </w:r>
    </w:p>
    <w:p>
      <w:pPr>
        <w:pStyle w:val="48"/>
        <w:spacing w:line="460" w:lineRule="exact"/>
        <w:ind w:firstLine="480" w:firstLineChars="200"/>
      </w:pPr>
      <w:r>
        <w:rPr>
          <w:rFonts w:hint="eastAsia"/>
        </w:rPr>
        <w:t>6.法律、</w:t>
      </w:r>
      <w:r>
        <w:fldChar w:fldCharType="begin"/>
      </w:r>
      <w:r>
        <w:instrText xml:space="preserve"> HYPERLINK "http://www.lawtime.cn/info/sifakaoshi/xingzhengfa/" \t "_blank" </w:instrText>
      </w:r>
      <w:r>
        <w:fldChar w:fldCharType="separate"/>
      </w:r>
      <w:r>
        <w:rPr>
          <w:rFonts w:hint="eastAsia"/>
        </w:rPr>
        <w:t>行政法</w:t>
      </w:r>
      <w:r>
        <w:rPr>
          <w:rFonts w:hint="eastAsia"/>
        </w:rPr>
        <w:fldChar w:fldCharType="end"/>
      </w:r>
      <w:r>
        <w:rPr>
          <w:rFonts w:hint="eastAsia"/>
        </w:rPr>
        <w:t>规规定的其他条件。</w:t>
      </w:r>
    </w:p>
    <w:p>
      <w:pPr>
        <w:pStyle w:val="48"/>
        <w:spacing w:line="460" w:lineRule="exact"/>
        <w:ind w:firstLine="480" w:firstLineChars="200"/>
        <w:rPr>
          <w:lang w:val="zh-CN"/>
        </w:rPr>
      </w:pPr>
      <w:r>
        <w:rPr>
          <w:rFonts w:hint="eastAsia"/>
        </w:rPr>
        <w:t>(</w:t>
      </w:r>
      <w:r>
        <w:rPr>
          <w:rFonts w:hint="eastAsia"/>
          <w:lang w:val="en-US" w:eastAsia="zh-CN"/>
        </w:rPr>
        <w:t>二</w:t>
      </w:r>
      <w:r>
        <w:rPr>
          <w:rFonts w:hint="eastAsia"/>
        </w:rPr>
        <w:t>)</w:t>
      </w:r>
      <w:r>
        <w:rPr>
          <w:rFonts w:hint="eastAsia"/>
          <w:lang w:val="zh-CN"/>
        </w:rPr>
        <w:t>本项目的特定资格要求：</w:t>
      </w:r>
    </w:p>
    <w:p>
      <w:pPr>
        <w:pStyle w:val="48"/>
        <w:spacing w:line="460" w:lineRule="exact"/>
        <w:ind w:firstLine="480" w:firstLineChars="200"/>
      </w:pPr>
      <w:r>
        <w:rPr>
          <w:rFonts w:hint="eastAsia"/>
        </w:rPr>
        <w:t>1.各包供应商应具备的资质证书：</w:t>
      </w:r>
    </w:p>
    <w:p>
      <w:pPr>
        <w:pStyle w:val="48"/>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rPr>
      </w:pPr>
      <w:r>
        <w:rPr>
          <w:rFonts w:hint="eastAsia"/>
        </w:rPr>
        <w:t>(1)第一包</w:t>
      </w:r>
      <w:r>
        <w:rPr>
          <w:rFonts w:hint="eastAsia"/>
          <w:lang w:eastAsia="zh-CN"/>
        </w:rPr>
        <w:t>、第二包、第三包</w:t>
      </w:r>
      <w:r>
        <w:rPr>
          <w:rFonts w:hint="eastAsia"/>
        </w:rPr>
        <w:t>：供应商</w:t>
      </w:r>
      <w:r>
        <w:rPr>
          <w:rFonts w:hint="eastAsia"/>
          <w:lang w:eastAsia="zh-CN"/>
        </w:rPr>
        <w:t>须</w:t>
      </w:r>
      <w:r>
        <w:rPr>
          <w:rFonts w:hint="eastAsia"/>
        </w:rPr>
        <w:t>具有</w:t>
      </w:r>
      <w:r>
        <w:rPr>
          <w:rFonts w:hint="eastAsia"/>
          <w:lang w:eastAsia="zh-CN"/>
        </w:rPr>
        <w:t>国家行政主管部门</w:t>
      </w:r>
      <w:r>
        <w:rPr>
          <w:rFonts w:hint="eastAsia"/>
        </w:rPr>
        <w:t>颁发</w:t>
      </w:r>
      <w:r>
        <w:rPr>
          <w:rFonts w:hint="eastAsia"/>
          <w:lang w:eastAsia="zh-CN"/>
        </w:rPr>
        <w:t>且在有效期内</w:t>
      </w:r>
      <w:r>
        <w:rPr>
          <w:rFonts w:hint="eastAsia"/>
        </w:rPr>
        <w:t>的</w:t>
      </w:r>
      <w:r>
        <w:rPr>
          <w:rFonts w:hint="eastAsia"/>
          <w:lang w:eastAsia="zh-CN"/>
        </w:rPr>
        <w:t>甲级</w:t>
      </w:r>
      <w:r>
        <w:rPr>
          <w:rFonts w:hint="eastAsia" w:asciiTheme="minorEastAsia" w:hAnsiTheme="minorEastAsia"/>
          <w:szCs w:val="21"/>
        </w:rPr>
        <w:t>工程测量</w:t>
      </w:r>
      <w:r>
        <w:rPr>
          <w:rFonts w:hint="eastAsia" w:asciiTheme="minorEastAsia" w:hAnsiTheme="minorEastAsia"/>
          <w:szCs w:val="21"/>
          <w:lang w:eastAsia="zh-CN"/>
        </w:rPr>
        <w:t>资质</w:t>
      </w:r>
      <w:r>
        <w:rPr>
          <w:rFonts w:hint="eastAsia"/>
          <w:lang w:val="en-US" w:eastAsia="zh-CN"/>
        </w:rPr>
        <w:t>(含地下管线测量子项)</w:t>
      </w:r>
      <w:r>
        <w:rPr>
          <w:rFonts w:hint="eastAsia"/>
          <w:lang w:eastAsia="zh-CN"/>
        </w:rPr>
        <w:t>和乙级及以上</w:t>
      </w:r>
      <w:r>
        <w:rPr>
          <w:rFonts w:hint="eastAsia"/>
          <w:lang w:val="en-US" w:eastAsia="zh-CN"/>
        </w:rPr>
        <w:t>地理信息系统工程资质（含地理信息系统及数据库建设子项）</w:t>
      </w:r>
      <w:r>
        <w:rPr>
          <w:rFonts w:hint="eastAsia"/>
        </w:rPr>
        <w:t>；</w:t>
      </w:r>
    </w:p>
    <w:p>
      <w:pPr>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rPr>
      </w:pPr>
      <w:r>
        <w:rPr>
          <w:rFonts w:hint="eastAsia"/>
        </w:rPr>
        <w:t>(</w:t>
      </w:r>
      <w:r>
        <w:rPr>
          <w:rFonts w:hint="eastAsia"/>
          <w:lang w:val="en-US" w:eastAsia="zh-CN"/>
        </w:rPr>
        <w:t>2</w:t>
      </w:r>
      <w:r>
        <w:rPr>
          <w:rFonts w:hint="eastAsia"/>
        </w:rPr>
        <w:t>)第</w:t>
      </w:r>
      <w:r>
        <w:rPr>
          <w:rFonts w:hint="eastAsia"/>
          <w:lang w:eastAsia="zh-CN"/>
        </w:rPr>
        <w:t>四</w:t>
      </w:r>
      <w:r>
        <w:rPr>
          <w:rFonts w:hint="eastAsia"/>
        </w:rPr>
        <w:t>包：供应商</w:t>
      </w:r>
      <w:r>
        <w:rPr>
          <w:rFonts w:hint="eastAsia"/>
          <w:lang w:eastAsia="zh-CN"/>
        </w:rPr>
        <w:t>须</w:t>
      </w:r>
      <w:r>
        <w:rPr>
          <w:rFonts w:hint="eastAsia"/>
        </w:rPr>
        <w:t>具有</w:t>
      </w:r>
      <w:r>
        <w:rPr>
          <w:rFonts w:hint="eastAsia"/>
          <w:lang w:eastAsia="zh-CN"/>
        </w:rPr>
        <w:t>国家行政主管部门</w:t>
      </w:r>
      <w:r>
        <w:rPr>
          <w:rFonts w:hint="eastAsia"/>
        </w:rPr>
        <w:t>颁发</w:t>
      </w:r>
      <w:r>
        <w:rPr>
          <w:rFonts w:hint="eastAsia"/>
          <w:lang w:eastAsia="zh-CN"/>
        </w:rPr>
        <w:t>且在有效期内</w:t>
      </w:r>
      <w:r>
        <w:rPr>
          <w:rFonts w:hint="eastAsia"/>
        </w:rPr>
        <w:t>的</w:t>
      </w:r>
      <w:r>
        <w:rPr>
          <w:rFonts w:hint="eastAsia"/>
          <w:lang w:val="en-US" w:eastAsia="zh-CN"/>
        </w:rPr>
        <w:t>甲级工程测量资质（含</w:t>
      </w:r>
      <w:r>
        <w:rPr>
          <w:rFonts w:hint="eastAsia" w:asciiTheme="minorEastAsia" w:hAnsiTheme="minorEastAsia"/>
          <w:szCs w:val="21"/>
        </w:rPr>
        <w:t>地下管线测量</w:t>
      </w:r>
      <w:r>
        <w:rPr>
          <w:rFonts w:hint="eastAsia" w:asciiTheme="minorEastAsia" w:hAnsiTheme="minorEastAsia"/>
          <w:szCs w:val="21"/>
          <w:lang w:eastAsia="zh-CN"/>
        </w:rPr>
        <w:t>和</w:t>
      </w:r>
      <w:r>
        <w:rPr>
          <w:rFonts w:hint="eastAsia" w:asciiTheme="minorEastAsia" w:hAnsiTheme="minorEastAsia"/>
          <w:szCs w:val="21"/>
        </w:rPr>
        <w:t>工程测量监理</w:t>
      </w:r>
      <w:r>
        <w:rPr>
          <w:rFonts w:hint="eastAsia" w:asciiTheme="minorEastAsia" w:hAnsiTheme="minorEastAsia"/>
          <w:szCs w:val="21"/>
          <w:lang w:eastAsia="zh-CN"/>
        </w:rPr>
        <w:t>子项</w:t>
      </w:r>
      <w:r>
        <w:rPr>
          <w:rFonts w:hint="eastAsia"/>
          <w:lang w:val="en-US" w:eastAsia="zh-CN"/>
        </w:rPr>
        <w:t>）</w:t>
      </w:r>
      <w:r>
        <w:rPr>
          <w:rFonts w:hint="eastAsia"/>
        </w:rPr>
        <w:t>；</w:t>
      </w:r>
    </w:p>
    <w:p>
      <w:pPr>
        <w:pStyle w:val="48"/>
        <w:spacing w:line="460" w:lineRule="exact"/>
        <w:ind w:firstLine="480" w:firstLineChars="200"/>
        <w:rPr>
          <w:rFonts w:hint="eastAsia"/>
        </w:rPr>
      </w:pPr>
      <w:r>
        <w:rPr>
          <w:rFonts w:hint="eastAsia"/>
        </w:rPr>
        <w:t>(3)第</w:t>
      </w:r>
      <w:r>
        <w:rPr>
          <w:rFonts w:hint="eastAsia"/>
          <w:lang w:eastAsia="zh-CN"/>
        </w:rPr>
        <w:t>五</w:t>
      </w:r>
      <w:r>
        <w:rPr>
          <w:rFonts w:hint="eastAsia"/>
        </w:rPr>
        <w:t>包：</w:t>
      </w:r>
      <w:r>
        <w:rPr>
          <w:rFonts w:hint="eastAsia" w:ascii="宋体" w:hAnsi="宋体" w:eastAsia="宋体" w:cs="宋体"/>
          <w:color w:val="auto"/>
          <w:sz w:val="24"/>
          <w:szCs w:val="24"/>
          <w:lang w:eastAsia="zh-CN"/>
        </w:rPr>
        <w:t>供应商须具有</w:t>
      </w:r>
      <w:r>
        <w:rPr>
          <w:rFonts w:hint="eastAsia" w:ascii="宋体" w:hAnsi="宋体" w:eastAsia="宋体" w:cs="宋体"/>
          <w:color w:val="auto"/>
          <w:sz w:val="24"/>
          <w:szCs w:val="24"/>
        </w:rPr>
        <w:t>CMA</w:t>
      </w:r>
      <w:r>
        <w:rPr>
          <w:rFonts w:hint="eastAsia" w:ascii="宋体" w:hAnsi="宋体" w:eastAsia="宋体" w:cs="宋体"/>
          <w:color w:val="auto"/>
          <w:sz w:val="24"/>
          <w:szCs w:val="24"/>
          <w:lang w:eastAsia="zh-CN"/>
        </w:rPr>
        <w:t>检验检测机构资质认定证书</w:t>
      </w:r>
      <w:r>
        <w:rPr>
          <w:rFonts w:hint="eastAsia" w:ascii="宋体" w:hAnsi="宋体" w:eastAsia="宋体" w:cs="宋体"/>
          <w:color w:val="auto"/>
          <w:sz w:val="24"/>
          <w:szCs w:val="24"/>
        </w:rPr>
        <w:t>(</w:t>
      </w:r>
      <w:r>
        <w:rPr>
          <w:rFonts w:hint="eastAsia" w:cs="宋体"/>
          <w:color w:val="auto"/>
          <w:sz w:val="24"/>
          <w:szCs w:val="24"/>
          <w:lang w:val="en-US" w:eastAsia="zh-CN"/>
        </w:rPr>
        <w:t>资质</w:t>
      </w:r>
      <w:r>
        <w:rPr>
          <w:rFonts w:hint="eastAsia" w:ascii="宋体" w:hAnsi="宋体" w:eastAsia="宋体" w:cs="宋体"/>
          <w:color w:val="auto"/>
          <w:sz w:val="24"/>
          <w:szCs w:val="24"/>
          <w:lang w:eastAsia="zh-CN"/>
        </w:rPr>
        <w:t>范围须包含平面控制测量、高程控制测量、</w:t>
      </w:r>
      <w:r>
        <w:rPr>
          <w:rFonts w:hint="eastAsia"/>
          <w:lang w:eastAsia="zh-CN"/>
        </w:rPr>
        <w:t>地下管线测量</w:t>
      </w:r>
      <w:r>
        <w:rPr>
          <w:rFonts w:hint="eastAsia" w:ascii="宋体" w:hAnsi="宋体" w:eastAsia="宋体" w:cs="宋体"/>
          <w:color w:val="auto"/>
          <w:sz w:val="24"/>
          <w:szCs w:val="24"/>
        </w:rPr>
        <w:t>)</w:t>
      </w:r>
      <w:r>
        <w:rPr>
          <w:rFonts w:hint="eastAsia"/>
        </w:rPr>
        <w:t>。</w:t>
      </w:r>
    </w:p>
    <w:p>
      <w:pPr>
        <w:pStyle w:val="48"/>
        <w:spacing w:line="460" w:lineRule="exact"/>
        <w:ind w:firstLine="480" w:firstLineChars="200"/>
        <w:rPr>
          <w:lang w:val="zh-CN"/>
        </w:rPr>
      </w:pPr>
      <w:r>
        <w:rPr>
          <w:rFonts w:hint="eastAsia"/>
        </w:rPr>
        <w:t>2.本项目不接受联合体投标。</w:t>
      </w:r>
    </w:p>
    <w:p>
      <w:pPr>
        <w:pStyle w:val="41"/>
        <w:numPr>
          <w:ilvl w:val="1"/>
          <w:numId w:val="14"/>
        </w:numPr>
        <w:ind w:firstLine="482"/>
      </w:pPr>
      <w:bookmarkStart w:id="985" w:name="_Toc4710"/>
      <w:r>
        <w:rPr>
          <w:rFonts w:hint="eastAsia"/>
        </w:rPr>
        <w:t>投标产品的资格、资质性及其他类似效力要求</w:t>
      </w:r>
      <w:bookmarkEnd w:id="981"/>
      <w:bookmarkEnd w:id="982"/>
      <w:bookmarkEnd w:id="983"/>
      <w:bookmarkEnd w:id="984"/>
      <w:bookmarkEnd w:id="985"/>
    </w:p>
    <w:p>
      <w:pPr>
        <w:pStyle w:val="52"/>
        <w:rPr>
          <w:highlight w:val="yellow"/>
        </w:rPr>
      </w:pPr>
      <w:r>
        <w:rPr>
          <w:rFonts w:hint="eastAsia"/>
        </w:rPr>
        <w:t>无。</w:t>
      </w:r>
    </w:p>
    <w:p>
      <w:pPr>
        <w:pStyle w:val="41"/>
        <w:numPr>
          <w:ilvl w:val="1"/>
          <w:numId w:val="14"/>
        </w:numPr>
        <w:ind w:firstLine="482"/>
      </w:pPr>
      <w:bookmarkStart w:id="986" w:name="_Toc3740"/>
      <w:bookmarkStart w:id="987" w:name="_Toc20822"/>
      <w:r>
        <w:rPr>
          <w:rFonts w:hint="eastAsia"/>
        </w:rPr>
        <w:t>其他类似效力要求</w:t>
      </w:r>
      <w:bookmarkEnd w:id="986"/>
      <w:bookmarkEnd w:id="987"/>
    </w:p>
    <w:p>
      <w:pPr>
        <w:pStyle w:val="39"/>
        <w:numPr>
          <w:ilvl w:val="1"/>
          <w:numId w:val="27"/>
        </w:numPr>
        <w:ind w:firstLine="480"/>
        <w:rPr>
          <w:lang w:val="zh-CN"/>
        </w:rPr>
      </w:pPr>
      <w:r>
        <w:rPr>
          <w:rFonts w:hint="eastAsia"/>
          <w:lang w:val="zh-CN"/>
        </w:rPr>
        <w:t>投标供应商单位及其现任法定代表人、主要负责人不得具有行贿犯罪记录；</w:t>
      </w:r>
    </w:p>
    <w:p>
      <w:pPr>
        <w:pStyle w:val="39"/>
        <w:numPr>
          <w:ilvl w:val="1"/>
          <w:numId w:val="27"/>
        </w:numPr>
        <w:ind w:firstLine="480"/>
      </w:pPr>
      <w:r>
        <w:rPr>
          <w:rFonts w:hint="eastAsia"/>
          <w:lang w:val="zh-CN"/>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处罚决定规定的时间和地域范围内)；</w:t>
      </w:r>
    </w:p>
    <w:p>
      <w:pPr>
        <w:pStyle w:val="39"/>
        <w:numPr>
          <w:ilvl w:val="1"/>
          <w:numId w:val="27"/>
        </w:numPr>
        <w:ind w:firstLine="480"/>
        <w:rPr>
          <w:lang w:val="zh-CN"/>
        </w:rPr>
      </w:pPr>
      <w:r>
        <w:rPr>
          <w:rFonts w:hint="eastAsia"/>
          <w:lang w:val="zh-CN"/>
        </w:rPr>
        <w:t>投标人代表不是法定代表人</w:t>
      </w:r>
      <w:r>
        <w:rPr>
          <w:rFonts w:hint="eastAsia"/>
        </w:rPr>
        <w:t>/单位负责人</w:t>
      </w:r>
      <w:r>
        <w:rPr>
          <w:rFonts w:hint="eastAsia"/>
          <w:lang w:val="zh-CN"/>
        </w:rPr>
        <w:t>时提供针对本次投标的法定代表人</w:t>
      </w:r>
      <w:r>
        <w:rPr>
          <w:rFonts w:hint="eastAsia"/>
        </w:rPr>
        <w:t>/单位负责人</w:t>
      </w:r>
      <w:r>
        <w:rPr>
          <w:rFonts w:hint="eastAsia"/>
          <w:lang w:val="zh-CN"/>
        </w:rPr>
        <w:t>授权书原件；</w:t>
      </w:r>
    </w:p>
    <w:p>
      <w:pPr>
        <w:pStyle w:val="39"/>
        <w:numPr>
          <w:ilvl w:val="1"/>
          <w:numId w:val="27"/>
        </w:numPr>
        <w:ind w:firstLine="480"/>
        <w:rPr>
          <w:lang w:val="zh-CN"/>
        </w:rPr>
      </w:pPr>
      <w:r>
        <w:rPr>
          <w:rFonts w:hint="eastAsia"/>
        </w:rPr>
        <w:t>投标人代表是法定</w:t>
      </w:r>
      <w:r>
        <w:rPr>
          <w:rFonts w:hint="eastAsia"/>
          <w:lang w:val="zh-CN"/>
        </w:rPr>
        <w:t>代表人</w:t>
      </w:r>
      <w:r>
        <w:rPr>
          <w:rFonts w:hint="eastAsia"/>
        </w:rPr>
        <w:t>/单位负责人</w:t>
      </w:r>
      <w:r>
        <w:rPr>
          <w:rFonts w:hint="eastAsia"/>
          <w:lang w:val="zh-CN"/>
        </w:rPr>
        <w:t>时，</w:t>
      </w:r>
      <w:r>
        <w:rPr>
          <w:rFonts w:hint="eastAsia"/>
        </w:rPr>
        <w:t>提供法定代表人/单位负责人证明书原件。</w:t>
      </w:r>
    </w:p>
    <w:p>
      <w:pPr>
        <w:pStyle w:val="52"/>
        <w:ind w:firstLine="482"/>
        <w:rPr>
          <w:b/>
          <w:bCs/>
        </w:rPr>
      </w:pPr>
      <w:bookmarkStart w:id="988" w:name="_Toc24888"/>
      <w:r>
        <w:rPr>
          <w:rFonts w:hint="eastAsia"/>
          <w:b/>
          <w:bCs/>
        </w:rPr>
        <w:t>注：供应商在前三年政府采购合同履约过程中及其他经营活动履约过程中未依法履约被有关部门处理的，本项目不认定其具有良好的商业信誉。若虚假响应，取消中标资格。</w:t>
      </w:r>
    </w:p>
    <w:p>
      <w:pPr>
        <w:pStyle w:val="52"/>
        <w:ind w:firstLine="482"/>
        <w:rPr>
          <w:b/>
          <w:bCs/>
        </w:rPr>
      </w:pPr>
      <w:r>
        <w:rPr>
          <w:rFonts w:hint="eastAsia"/>
          <w:b/>
          <w:bCs/>
        </w:rPr>
        <w:t>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政府采购活动。</w:t>
      </w:r>
    </w:p>
    <w:p>
      <w:pPr>
        <w:pStyle w:val="53"/>
        <w:ind w:firstLine="482"/>
      </w:pPr>
      <w:r>
        <w:rPr>
          <w:rFonts w:hint="eastAsia"/>
        </w:rPr>
        <w:t>重大违法记录中的较大数额罚款的具体金额标准及范围是：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行政处罚听证程序规定》(四川省人民政府令第317号)规定的行政处罚罚款听证标准金额为准。</w:t>
      </w:r>
    </w:p>
    <w:p>
      <w:pPr>
        <w:pStyle w:val="53"/>
        <w:ind w:firstLine="482"/>
      </w:pPr>
    </w:p>
    <w:p>
      <w:pPr>
        <w:pStyle w:val="54"/>
        <w:numPr>
          <w:ilvl w:val="0"/>
          <w:numId w:val="14"/>
        </w:numPr>
        <w:spacing w:before="120" w:after="120"/>
      </w:pPr>
      <w:r>
        <w:rPr>
          <w:rFonts w:hint="eastAsia"/>
        </w:rPr>
        <w:br w:type="page"/>
      </w:r>
      <w:bookmarkEnd w:id="988"/>
      <w:bookmarkStart w:id="989" w:name="_Toc18196"/>
      <w:bookmarkStart w:id="990" w:name="_Toc7185"/>
      <w:bookmarkStart w:id="991" w:name="_Toc22998"/>
      <w:r>
        <w:rPr>
          <w:rFonts w:hint="eastAsia"/>
        </w:rPr>
        <w:t>资格性审查</w:t>
      </w:r>
      <w:bookmarkEnd w:id="989"/>
      <w:r>
        <w:rPr>
          <w:rFonts w:hint="eastAsia"/>
        </w:rPr>
        <w:t>内容</w:t>
      </w:r>
      <w:bookmarkEnd w:id="990"/>
      <w:bookmarkEnd w:id="991"/>
    </w:p>
    <w:p>
      <w:pPr>
        <w:pStyle w:val="41"/>
        <w:numPr>
          <w:ilvl w:val="1"/>
          <w:numId w:val="14"/>
        </w:numPr>
        <w:ind w:firstLine="482"/>
      </w:pPr>
      <w:bookmarkStart w:id="992" w:name="_Toc30344"/>
      <w:bookmarkStart w:id="993" w:name="_Toc3107"/>
      <w:bookmarkStart w:id="994" w:name="_Toc25834"/>
      <w:bookmarkStart w:id="995" w:name="_Toc28265"/>
      <w:bookmarkStart w:id="996" w:name="_Toc17175"/>
      <w:bookmarkStart w:id="997" w:name="_Toc17621"/>
      <w:bookmarkStart w:id="998" w:name="_Toc20678"/>
      <w:bookmarkStart w:id="999" w:name="_Toc141"/>
      <w:bookmarkStart w:id="1000" w:name="_Toc10631"/>
      <w:bookmarkStart w:id="1001" w:name="_Toc32482"/>
      <w:r>
        <w:rPr>
          <w:rFonts w:hint="eastAsia"/>
        </w:rPr>
        <w:t>应当提供的投标人及投标产品资格、资质性及其他类似效力要求的相关证明材料</w:t>
      </w:r>
      <w:bookmarkEnd w:id="992"/>
      <w:bookmarkEnd w:id="993"/>
      <w:bookmarkEnd w:id="994"/>
      <w:bookmarkEnd w:id="995"/>
      <w:bookmarkEnd w:id="996"/>
      <w:bookmarkEnd w:id="997"/>
    </w:p>
    <w:p>
      <w:pPr>
        <w:pStyle w:val="39"/>
        <w:numPr>
          <w:ilvl w:val="1"/>
          <w:numId w:val="28"/>
        </w:numPr>
        <w:ind w:firstLine="482"/>
        <w:rPr>
          <w:b/>
          <w:bCs/>
        </w:rPr>
      </w:pPr>
      <w:r>
        <w:rPr>
          <w:rFonts w:hint="eastAsia"/>
          <w:b/>
          <w:bCs/>
        </w:rPr>
        <w:t>投标人具有独立承担民事责任的能力的证明材料；</w:t>
      </w:r>
    </w:p>
    <w:p>
      <w:pPr>
        <w:pStyle w:val="52"/>
      </w:pPr>
      <w:r>
        <w:rPr>
          <w:rFonts w:hint="eastAsia"/>
        </w:rPr>
        <w:t>1.投标人若为企业法人：提供“营业执照”；未换证的提供“营业执照、税务登记证、组织机构代码证”；2.若为事业法人：提供“统一社会信用代码法人登记证书”；未换证的提交“事业法人登记证书、组织机构代码证”；3.若为其他组织：提供“对应主管部门颁发的准许执业证明文件或营业执照”；4.若为自然人：提供“身份证明材料”。</w:t>
      </w:r>
    </w:p>
    <w:p>
      <w:pPr>
        <w:pStyle w:val="53"/>
        <w:ind w:firstLine="482"/>
      </w:pPr>
      <w:r>
        <w:rPr>
          <w:rFonts w:hint="eastAsia"/>
        </w:rPr>
        <w:t>注：1.以上证明材料应满足此条要求①发证机关有年检要求的，应按规定通过年检；②在有效期内；③复印件加盖投标人公章；</w:t>
      </w:r>
    </w:p>
    <w:p>
      <w:pPr>
        <w:pStyle w:val="53"/>
        <w:ind w:firstLine="482"/>
      </w:pPr>
      <w:r>
        <w:rPr>
          <w:rFonts w:hint="eastAsia"/>
        </w:rPr>
        <w:t>2.企业若已更换为三证合一的则提供营业执照副本复印件，事业单位提供事业单位法人证书复印件，其他组织提供执业许可证或营业执照等证明文件复印件，自然人提供身份证明均具备此条同等效力；</w:t>
      </w:r>
    </w:p>
    <w:p>
      <w:pPr>
        <w:pStyle w:val="53"/>
        <w:ind w:firstLine="482"/>
      </w:pPr>
      <w:r>
        <w:rPr>
          <w:rFonts w:hint="eastAsia"/>
        </w:rPr>
        <w:t>3.</w:t>
      </w:r>
      <w:r>
        <w:t>根据国务院办公厅关于加快推进“多证合一”改革的指导意见</w:t>
      </w:r>
      <w:r>
        <w:rPr>
          <w:rFonts w:hint="eastAsia"/>
        </w:rPr>
        <w:t>(</w:t>
      </w:r>
      <w:r>
        <w:t>国办发</w:t>
      </w:r>
      <w:r>
        <w:rPr>
          <w:rFonts w:hint="eastAsia"/>
        </w:rPr>
        <w:t>〔</w:t>
      </w:r>
      <w:r>
        <w:t>2017</w:t>
      </w:r>
      <w:r>
        <w:rPr>
          <w:rFonts w:hint="eastAsia"/>
        </w:rPr>
        <w:t>〕</w:t>
      </w:r>
      <w:r>
        <w:t>41号</w:t>
      </w:r>
      <w:r>
        <w:rPr>
          <w:rFonts w:hint="eastAsia"/>
        </w:rPr>
        <w:t>)</w:t>
      </w:r>
      <w:r>
        <w:t>等政策要求，若资格要求涉及的登记、备案等有关事项和各类证照已实行多证合一</w:t>
      </w:r>
      <w:r>
        <w:rPr>
          <w:rFonts w:hint="eastAsia"/>
        </w:rPr>
        <w:t>提供多证合一证照副本复印件</w:t>
      </w:r>
      <w:r>
        <w:t>。</w:t>
      </w:r>
    </w:p>
    <w:p>
      <w:pPr>
        <w:pStyle w:val="39"/>
        <w:numPr>
          <w:ilvl w:val="1"/>
          <w:numId w:val="28"/>
        </w:numPr>
        <w:ind w:firstLine="482"/>
        <w:rPr>
          <w:b/>
          <w:bCs/>
        </w:rPr>
      </w:pPr>
      <w:r>
        <w:rPr>
          <w:rFonts w:hint="eastAsia"/>
          <w:b/>
          <w:bCs/>
        </w:rPr>
        <w:t>投标人具有良好的商业信誉和健全的财务会计制度的证明材料；</w:t>
      </w:r>
    </w:p>
    <w:p>
      <w:pPr>
        <w:pStyle w:val="52"/>
      </w:pPr>
      <w:r>
        <w:rPr>
          <w:rFonts w:hint="eastAsia"/>
        </w:rPr>
        <w:t>1.投标人具有良好商业信誉的证明材料；</w:t>
      </w:r>
    </w:p>
    <w:p>
      <w:pPr>
        <w:pStyle w:val="52"/>
      </w:pPr>
      <w:r>
        <w:rPr>
          <w:rFonts w:hint="eastAsia"/>
        </w:rPr>
        <w:t>提供具有良好的商业信誉的承诺函。</w:t>
      </w:r>
    </w:p>
    <w:p>
      <w:pPr>
        <w:pStyle w:val="52"/>
        <w:ind w:firstLine="482"/>
        <w:rPr>
          <w:b/>
          <w:bCs/>
        </w:rPr>
      </w:pPr>
      <w:r>
        <w:rPr>
          <w:rFonts w:hint="eastAsia"/>
          <w:b/>
          <w:bCs/>
        </w:rPr>
        <w:t>注：投标人在参加政府采购活动前，被纳入法院、工商(市场监管)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52"/>
      </w:pPr>
      <w:r>
        <w:rPr>
          <w:rFonts w:hint="eastAsia"/>
        </w:rPr>
        <w:t>2.投标人具有健全的财务会计制度的证明材料；</w:t>
      </w:r>
    </w:p>
    <w:p>
      <w:pPr>
        <w:pStyle w:val="52"/>
      </w:pPr>
      <w:r>
        <w:rPr>
          <w:rFonts w:hint="eastAsia"/>
        </w:rPr>
        <w:t>(1)投标人提供2019年度经过会计师事务所审计的财务报告复印件(经审计的有效财务报告应包括报告及报告中所附的完整内容，并由注册会计师签名、盖章以及会计师事务所盖章)；</w:t>
      </w:r>
    </w:p>
    <w:p>
      <w:pPr>
        <w:pStyle w:val="52"/>
      </w:pPr>
      <w:r>
        <w:rPr>
          <w:rFonts w:hint="eastAsia"/>
        </w:rPr>
        <w:t>(2)投标人提供2019年度投标人内部的财务报表复印件(至少包含资产负债表)；</w:t>
      </w:r>
    </w:p>
    <w:p>
      <w:pPr>
        <w:pStyle w:val="52"/>
      </w:pPr>
      <w:r>
        <w:rPr>
          <w:rFonts w:hint="eastAsia"/>
        </w:rPr>
        <w:t>(3)投标人提供投标文件递交截止日前一年内银行为其出具的资信证明复印件；</w:t>
      </w:r>
    </w:p>
    <w:p>
      <w:pPr>
        <w:pStyle w:val="52"/>
      </w:pPr>
      <w:r>
        <w:rPr>
          <w:rFonts w:hint="eastAsia"/>
        </w:rPr>
        <w:t>(4)投标人注册时间截至投标文件递交截止日不足一年的，可提供公司章程复印件；</w:t>
      </w:r>
    </w:p>
    <w:p>
      <w:pPr>
        <w:pStyle w:val="52"/>
      </w:pPr>
      <w:r>
        <w:rPr>
          <w:rFonts w:hint="eastAsia"/>
        </w:rPr>
        <w:t>(5)投标人为事业单位或其他组织(不具备法人条件的组织，如合伙组织、个体工商户、农村承包经营户等)或自然人时，可提供承诺函。</w:t>
      </w:r>
    </w:p>
    <w:p>
      <w:pPr>
        <w:pStyle w:val="53"/>
        <w:ind w:firstLine="482"/>
      </w:pPr>
      <w:r>
        <w:rPr>
          <w:rFonts w:hint="eastAsia"/>
          <w:bCs/>
        </w:rPr>
        <w:t>注：具有健全的财务会计制度的证明材料中第(1)-(5)项具有同等的投标效力，投标人可根据自身实际情况选择提供其中任意一项。</w:t>
      </w:r>
    </w:p>
    <w:p>
      <w:pPr>
        <w:pStyle w:val="39"/>
        <w:numPr>
          <w:ilvl w:val="1"/>
          <w:numId w:val="28"/>
        </w:numPr>
        <w:ind w:firstLine="482"/>
        <w:rPr>
          <w:b/>
          <w:bCs/>
        </w:rPr>
      </w:pPr>
      <w:r>
        <w:rPr>
          <w:rFonts w:hint="eastAsia"/>
          <w:b/>
          <w:bCs/>
        </w:rPr>
        <w:t>投标人具有履行合同所必需的设备和专业技术能力证明材料；</w:t>
      </w:r>
    </w:p>
    <w:p>
      <w:pPr>
        <w:pStyle w:val="52"/>
      </w:pPr>
      <w:r>
        <w:rPr>
          <w:rFonts w:hint="eastAsia"/>
        </w:rPr>
        <w:t>提供具有履行合同所必需的设备和专业技术能力的承诺函。</w:t>
      </w:r>
    </w:p>
    <w:p>
      <w:pPr>
        <w:pStyle w:val="53"/>
        <w:ind w:firstLine="482"/>
      </w:pPr>
      <w:r>
        <w:rPr>
          <w:rFonts w:hint="eastAsia"/>
        </w:rPr>
        <w:t>注：格式自拟，或参照《符合&lt;中华人民共和国政府采购法&gt;第二十二条规定的条件的承诺及声明函》的格式提供承诺函。</w:t>
      </w:r>
    </w:p>
    <w:p>
      <w:pPr>
        <w:pStyle w:val="39"/>
        <w:numPr>
          <w:ilvl w:val="1"/>
          <w:numId w:val="28"/>
        </w:numPr>
        <w:ind w:firstLine="482"/>
        <w:rPr>
          <w:b/>
          <w:bCs/>
        </w:rPr>
      </w:pPr>
      <w:r>
        <w:rPr>
          <w:rFonts w:hint="eastAsia"/>
          <w:b/>
          <w:bCs/>
        </w:rPr>
        <w:t>投标人具有依法缴纳税收和社会保障资金的良好记录的证明材料；</w:t>
      </w:r>
    </w:p>
    <w:p>
      <w:pPr>
        <w:pStyle w:val="52"/>
      </w:pPr>
      <w:r>
        <w:rPr>
          <w:rFonts w:hint="eastAsia"/>
        </w:rPr>
        <w:t>提供</w:t>
      </w:r>
      <w:r>
        <w:rPr>
          <w:rFonts w:hint="eastAsia"/>
          <w:lang w:val="zh-CN"/>
        </w:rPr>
        <w:t>依法缴纳税收和社会保障资金的良好记录</w:t>
      </w:r>
      <w:r>
        <w:rPr>
          <w:rFonts w:hint="eastAsia"/>
        </w:rPr>
        <w:t>的承诺函。</w:t>
      </w:r>
    </w:p>
    <w:p>
      <w:pPr>
        <w:pStyle w:val="53"/>
        <w:ind w:firstLine="482"/>
      </w:pPr>
      <w:r>
        <w:rPr>
          <w:rFonts w:hint="eastAsia"/>
        </w:rPr>
        <w:t>注：格式自拟，或参照《符合&lt;中华人民共和国政府采购法&gt;第二十二条规定的条件的承诺及声明函》的格式提供承诺函。</w:t>
      </w:r>
    </w:p>
    <w:p>
      <w:pPr>
        <w:pStyle w:val="39"/>
        <w:numPr>
          <w:ilvl w:val="1"/>
          <w:numId w:val="28"/>
        </w:numPr>
        <w:ind w:firstLine="482"/>
        <w:rPr>
          <w:b/>
          <w:bCs/>
        </w:rPr>
      </w:pPr>
      <w:r>
        <w:rPr>
          <w:rFonts w:hint="eastAsia"/>
          <w:b/>
          <w:bCs/>
        </w:rPr>
        <w:t>投标人参加政府采购活动前三年内，在经营活动中没有重大违法记录的证明材料；</w:t>
      </w:r>
    </w:p>
    <w:p>
      <w:pPr>
        <w:pStyle w:val="52"/>
      </w:pPr>
      <w:r>
        <w:rPr>
          <w:rFonts w:hint="eastAsia"/>
        </w:rPr>
        <w:t>提供参加本次政府采购活动前三年内，在经营活动中没有重大违法记录的书面声明(成立不足三年的，从成立之日起计算)。</w:t>
      </w:r>
    </w:p>
    <w:p>
      <w:pPr>
        <w:pStyle w:val="39"/>
        <w:numPr>
          <w:ilvl w:val="1"/>
          <w:numId w:val="28"/>
        </w:numPr>
        <w:ind w:firstLine="482"/>
        <w:rPr>
          <w:rFonts w:cs="宋体"/>
          <w:b/>
          <w:bCs/>
        </w:rPr>
      </w:pPr>
      <w:r>
        <w:rPr>
          <w:rFonts w:hint="eastAsia"/>
          <w:b/>
          <w:bCs/>
        </w:rPr>
        <w:t>投标</w:t>
      </w:r>
      <w:r>
        <w:rPr>
          <w:rFonts w:hint="eastAsia" w:cs="宋体"/>
          <w:b/>
          <w:bCs/>
        </w:rPr>
        <w:t>人</w:t>
      </w:r>
      <w:r>
        <w:rPr>
          <w:rFonts w:hint="eastAsia" w:cs="宋体"/>
          <w:b/>
          <w:bCs/>
          <w:lang w:val="zh-CN"/>
        </w:rPr>
        <w:t>及其现任法定代表人、主要负责人不得具有行贿犯罪记录</w:t>
      </w:r>
      <w:r>
        <w:rPr>
          <w:rFonts w:hint="eastAsia" w:cs="宋体"/>
          <w:b/>
          <w:bCs/>
        </w:rPr>
        <w:t>的证明材料</w:t>
      </w:r>
      <w:r>
        <w:rPr>
          <w:rFonts w:hint="eastAsia" w:cs="宋体"/>
          <w:b/>
          <w:bCs/>
          <w:lang w:val="zh-CN"/>
        </w:rPr>
        <w:t>；</w:t>
      </w:r>
    </w:p>
    <w:p>
      <w:pPr>
        <w:pStyle w:val="53"/>
        <w:jc w:val="both"/>
        <w:rPr>
          <w:b w:val="0"/>
          <w:bCs/>
        </w:rPr>
      </w:pPr>
      <w:r>
        <w:rPr>
          <w:rFonts w:hint="eastAsia"/>
          <w:b w:val="0"/>
          <w:bCs/>
        </w:rPr>
        <w:t>1.在投标文件中作出投标人及其现任法定代表人(姓名和身份证号码)、主要负责人(姓名和身份证号码)10年内(</w:t>
      </w:r>
      <w:r>
        <w:rPr>
          <w:rFonts w:hint="eastAsia"/>
          <w:b w:val="0"/>
          <w:bCs/>
          <w:lang w:val="zh-CN"/>
        </w:rPr>
        <w:t>若</w:t>
      </w:r>
      <w:r>
        <w:rPr>
          <w:rFonts w:hint="eastAsia"/>
          <w:b w:val="0"/>
          <w:bCs/>
        </w:rPr>
        <w:t>供应商</w:t>
      </w:r>
      <w:r>
        <w:rPr>
          <w:rFonts w:hint="eastAsia"/>
          <w:b w:val="0"/>
          <w:bCs/>
          <w:lang w:val="zh-CN"/>
        </w:rPr>
        <w:t>成立不足10年的，</w:t>
      </w:r>
      <w:r>
        <w:rPr>
          <w:rFonts w:hint="eastAsia"/>
          <w:b w:val="0"/>
          <w:bCs/>
        </w:rPr>
        <w:t>承诺期限为</w:t>
      </w:r>
      <w:r>
        <w:rPr>
          <w:rFonts w:hint="eastAsia"/>
          <w:b w:val="0"/>
          <w:bCs/>
          <w:lang w:val="zh-CN"/>
        </w:rPr>
        <w:t>成立之日起</w:t>
      </w:r>
      <w:r>
        <w:rPr>
          <w:rFonts w:hint="eastAsia"/>
          <w:b w:val="0"/>
          <w:bCs/>
        </w:rPr>
        <w:t>至今)无行贿犯罪记录的承诺；</w:t>
      </w:r>
    </w:p>
    <w:p>
      <w:pPr>
        <w:pStyle w:val="53"/>
        <w:jc w:val="both"/>
        <w:rPr>
          <w:b w:val="0"/>
          <w:bCs/>
          <w:lang w:val="zh-CN"/>
        </w:rPr>
      </w:pPr>
      <w:r>
        <w:rPr>
          <w:rFonts w:hint="eastAsia"/>
          <w:b w:val="0"/>
          <w:bCs/>
        </w:rPr>
        <w:t>2.投标人未提供有效承诺函的，则需要在投标文件中书面载明其“现任法定代表人”(姓名和身份证号码)、“主要负责人”(姓名和身份证号码)信息，由采购代理机构通过“中国裁判文书网”查询，并将查询记录存档，查询结果与承诺函具有同等效力</w:t>
      </w:r>
      <w:r>
        <w:rPr>
          <w:rFonts w:hint="eastAsia"/>
          <w:b w:val="0"/>
          <w:bCs/>
          <w:lang w:val="zh-CN"/>
        </w:rPr>
        <w:t>。</w:t>
      </w:r>
    </w:p>
    <w:p>
      <w:pPr>
        <w:pStyle w:val="69"/>
        <w:numPr>
          <w:ilvl w:val="3"/>
          <w:numId w:val="0"/>
        </w:numPr>
        <w:ind w:firstLine="482" w:firstLineChars="200"/>
        <w:rPr>
          <w:b/>
          <w:bCs/>
        </w:rPr>
      </w:pPr>
      <w:r>
        <w:rPr>
          <w:rFonts w:hint="eastAsia"/>
          <w:b/>
          <w:bCs/>
        </w:rPr>
        <w:t>注：①投标人采用提供承诺函方式响应的，其内容必须符合上述第1款的要求，否则将视为无效承诺；②如投标人未提供有效承诺函，且未</w:t>
      </w:r>
      <w:r>
        <w:rPr>
          <w:rFonts w:hint="eastAsia"/>
          <w:b/>
        </w:rPr>
        <w:t>在投标文件中书面载明</w:t>
      </w:r>
      <w:r>
        <w:rPr>
          <w:rFonts w:hint="eastAsia"/>
          <w:b/>
          <w:bCs/>
        </w:rPr>
        <w:t>其“现任法定代表人”(姓名和身份证号码)、“主要负责人”(姓名和身份证号码)信息的，将被视为无效投标。</w:t>
      </w:r>
    </w:p>
    <w:p>
      <w:pPr>
        <w:pStyle w:val="39"/>
        <w:numPr>
          <w:ilvl w:val="1"/>
          <w:numId w:val="28"/>
        </w:numPr>
        <w:ind w:firstLine="482"/>
        <w:rPr>
          <w:b/>
          <w:bCs/>
        </w:rPr>
      </w:pPr>
      <w:r>
        <w:rPr>
          <w:rFonts w:hint="eastAsia"/>
          <w:b/>
          <w:bCs/>
        </w:rPr>
        <w:t>投标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处罚决定规定的时间和地域范围内)；</w:t>
      </w:r>
    </w:p>
    <w:p>
      <w:pPr>
        <w:pStyle w:val="52"/>
      </w:pPr>
      <w:r>
        <w:rPr>
          <w:rFonts w:hint="eastAsia"/>
        </w:rPr>
        <w:t>采购代理机构通过“信用中国”网站、“中国政府采购网”等渠道对供应商进行信用记录查询，并将查询记录存档。凡被列入失信被执行人、重大税收违法案件当事人名单、政府采购严重违法失信行为记录名单的，视为存在不良信用记录，参与本项目的将被拒绝；</w:t>
      </w:r>
    </w:p>
    <w:p>
      <w:pPr>
        <w:pStyle w:val="53"/>
        <w:ind w:firstLine="482"/>
      </w:pPr>
      <w:r>
        <w:rPr>
          <w:rFonts w:hint="eastAsia"/>
        </w:rPr>
        <w:t>注：投标人参与投标时无需对此条进行响应。</w:t>
      </w:r>
    </w:p>
    <w:p>
      <w:pPr>
        <w:pStyle w:val="39"/>
        <w:numPr>
          <w:ilvl w:val="1"/>
          <w:numId w:val="28"/>
        </w:numPr>
        <w:ind w:firstLine="482"/>
        <w:rPr>
          <w:b/>
          <w:bCs/>
        </w:rPr>
      </w:pPr>
      <w:r>
        <w:rPr>
          <w:rFonts w:hint="eastAsia"/>
          <w:b/>
          <w:bCs/>
        </w:rPr>
        <w:t>法定代表人/单位负责人授权书原件；</w:t>
      </w:r>
    </w:p>
    <w:p>
      <w:pPr>
        <w:pStyle w:val="53"/>
        <w:ind w:firstLine="482"/>
      </w:pPr>
      <w:r>
        <w:rPr>
          <w:rFonts w:hint="eastAsia"/>
        </w:rPr>
        <w:t>注：①附法定代表人/单位负责人和被授权人身份证正反面复印件；②法定代表人/单位负责人亲自参与投标时不需要提供。</w:t>
      </w:r>
    </w:p>
    <w:p>
      <w:pPr>
        <w:pStyle w:val="39"/>
        <w:numPr>
          <w:ilvl w:val="1"/>
          <w:numId w:val="28"/>
        </w:numPr>
        <w:ind w:firstLine="482"/>
        <w:rPr>
          <w:b/>
          <w:bCs/>
        </w:rPr>
      </w:pPr>
      <w:r>
        <w:rPr>
          <w:rFonts w:hint="eastAsia"/>
          <w:b/>
          <w:bCs/>
        </w:rPr>
        <w:t>法定代表人/单位负责人证明书；</w:t>
      </w:r>
    </w:p>
    <w:p>
      <w:pPr>
        <w:pStyle w:val="53"/>
        <w:ind w:firstLine="482"/>
      </w:pPr>
      <w:r>
        <w:rPr>
          <w:rFonts w:hint="eastAsia"/>
        </w:rPr>
        <w:t>注：①附法定代表人/单位负责人身份证正反面复印件；②法定代表人/单位负责人亲自参加投标时提供本证明书。</w:t>
      </w:r>
    </w:p>
    <w:p>
      <w:pPr>
        <w:pStyle w:val="39"/>
        <w:numPr>
          <w:ilvl w:val="1"/>
          <w:numId w:val="28"/>
        </w:numPr>
        <w:ind w:firstLine="482"/>
        <w:rPr>
          <w:b/>
          <w:bCs/>
        </w:rPr>
      </w:pPr>
      <w:r>
        <w:rPr>
          <w:rFonts w:hint="eastAsia"/>
          <w:b/>
          <w:bCs/>
        </w:rPr>
        <w:t>法律、</w:t>
      </w:r>
      <w:r>
        <w:fldChar w:fldCharType="begin"/>
      </w:r>
      <w:r>
        <w:instrText xml:space="preserve"> HYPERLINK "http://www.lawtime.cn/info/sifakaoshi/xingzhengfa/" \t "_blank" </w:instrText>
      </w:r>
      <w:r>
        <w:fldChar w:fldCharType="separate"/>
      </w:r>
      <w:r>
        <w:rPr>
          <w:rFonts w:hint="eastAsia"/>
          <w:b/>
          <w:bCs/>
        </w:rPr>
        <w:t>行政法</w:t>
      </w:r>
      <w:r>
        <w:rPr>
          <w:rFonts w:hint="eastAsia"/>
          <w:b/>
          <w:bCs/>
        </w:rPr>
        <w:fldChar w:fldCharType="end"/>
      </w:r>
      <w:r>
        <w:rPr>
          <w:rFonts w:hint="eastAsia"/>
          <w:b/>
          <w:bCs/>
        </w:rPr>
        <w:t>规规定的其他条件的证明材料；</w:t>
      </w:r>
    </w:p>
    <w:p>
      <w:pPr>
        <w:pStyle w:val="52"/>
      </w:pPr>
      <w:r>
        <w:rPr>
          <w:rFonts w:hint="eastAsia"/>
        </w:rPr>
        <w:t>提供符合法律、</w:t>
      </w:r>
      <w:r>
        <w:fldChar w:fldCharType="begin"/>
      </w:r>
      <w:r>
        <w:instrText xml:space="preserve"> HYPERLINK "http://www.lawtime.cn/info/sifakaoshi/xingzhengfa/" \t "_blank" </w:instrText>
      </w:r>
      <w:r>
        <w:fldChar w:fldCharType="separate"/>
      </w:r>
      <w:r>
        <w:rPr>
          <w:rFonts w:hint="eastAsia"/>
        </w:rPr>
        <w:t>行政法</w:t>
      </w:r>
      <w:r>
        <w:rPr>
          <w:rFonts w:hint="eastAsia"/>
        </w:rPr>
        <w:fldChar w:fldCharType="end"/>
      </w:r>
      <w:r>
        <w:rPr>
          <w:rFonts w:hint="eastAsia"/>
        </w:rPr>
        <w:t>规规定的其他条件的承诺函。</w:t>
      </w:r>
    </w:p>
    <w:p>
      <w:pPr>
        <w:pStyle w:val="39"/>
        <w:numPr>
          <w:ilvl w:val="1"/>
          <w:numId w:val="28"/>
        </w:numPr>
        <w:ind w:firstLine="482"/>
        <w:rPr>
          <w:b/>
          <w:bCs/>
        </w:rPr>
      </w:pPr>
      <w:r>
        <w:rPr>
          <w:rFonts w:hint="eastAsia"/>
          <w:b/>
          <w:bCs/>
        </w:rPr>
        <w:t>根据采购项目的特殊要求，规定供应商的特定条件的证明材料；</w:t>
      </w:r>
    </w:p>
    <w:p>
      <w:pPr>
        <w:pStyle w:val="48"/>
        <w:spacing w:line="460" w:lineRule="exact"/>
        <w:ind w:firstLine="480" w:firstLineChars="200"/>
      </w:pPr>
      <w:r>
        <w:rPr>
          <w:rFonts w:hint="eastAsia"/>
        </w:rPr>
        <w:t>第一包</w:t>
      </w:r>
      <w:r>
        <w:rPr>
          <w:rFonts w:hint="eastAsia"/>
          <w:lang w:eastAsia="zh-CN"/>
        </w:rPr>
        <w:t>、第二包、第三包</w:t>
      </w:r>
      <w:r>
        <w:rPr>
          <w:rFonts w:hint="eastAsia"/>
        </w:rPr>
        <w:t>：供应商</w:t>
      </w:r>
      <w:r>
        <w:rPr>
          <w:rFonts w:hint="eastAsia"/>
          <w:lang w:eastAsia="zh-CN"/>
        </w:rPr>
        <w:t>须提供国家行政主管部门</w:t>
      </w:r>
      <w:r>
        <w:rPr>
          <w:rFonts w:hint="eastAsia"/>
        </w:rPr>
        <w:t>颁发</w:t>
      </w:r>
      <w:r>
        <w:rPr>
          <w:rFonts w:hint="eastAsia"/>
          <w:lang w:eastAsia="zh-CN"/>
        </w:rPr>
        <w:t>且在有效期内</w:t>
      </w:r>
      <w:r>
        <w:rPr>
          <w:rFonts w:hint="eastAsia"/>
        </w:rPr>
        <w:t>的</w:t>
      </w:r>
      <w:r>
        <w:rPr>
          <w:rFonts w:hint="eastAsia"/>
          <w:lang w:eastAsia="zh-CN"/>
        </w:rPr>
        <w:t>甲级</w:t>
      </w:r>
      <w:r>
        <w:rPr>
          <w:rFonts w:hint="eastAsia" w:asciiTheme="minorEastAsia" w:hAnsiTheme="minorEastAsia"/>
          <w:szCs w:val="21"/>
        </w:rPr>
        <w:t>工程测量</w:t>
      </w:r>
      <w:r>
        <w:rPr>
          <w:rFonts w:hint="eastAsia" w:asciiTheme="minorEastAsia" w:hAnsiTheme="minorEastAsia"/>
          <w:szCs w:val="21"/>
          <w:lang w:eastAsia="zh-CN"/>
        </w:rPr>
        <w:t>资质</w:t>
      </w:r>
      <w:r>
        <w:rPr>
          <w:rFonts w:hint="eastAsia"/>
          <w:lang w:val="en-US" w:eastAsia="zh-CN"/>
        </w:rPr>
        <w:t>(含地下管线测量子项)</w:t>
      </w:r>
      <w:r>
        <w:rPr>
          <w:rFonts w:hint="eastAsia"/>
          <w:lang w:eastAsia="zh-CN"/>
        </w:rPr>
        <w:t>和乙级及以上</w:t>
      </w:r>
      <w:r>
        <w:rPr>
          <w:rFonts w:hint="eastAsia"/>
          <w:lang w:val="en-US" w:eastAsia="zh-CN"/>
        </w:rPr>
        <w:t>地理信息系统工程资质（含地理信息系统及数据库建设子项）证书复印件</w:t>
      </w:r>
      <w:r>
        <w:rPr>
          <w:rFonts w:hint="eastAsia"/>
        </w:rPr>
        <w:t>；</w:t>
      </w:r>
    </w:p>
    <w:p>
      <w:pPr>
        <w:pStyle w:val="48"/>
        <w:spacing w:line="460" w:lineRule="exact"/>
        <w:ind w:firstLine="480" w:firstLineChars="200"/>
      </w:pPr>
      <w:r>
        <w:rPr>
          <w:rFonts w:hint="eastAsia"/>
        </w:rPr>
        <w:t>第</w:t>
      </w:r>
      <w:r>
        <w:rPr>
          <w:rFonts w:hint="eastAsia"/>
          <w:lang w:eastAsia="zh-CN"/>
        </w:rPr>
        <w:t>四</w:t>
      </w:r>
      <w:r>
        <w:rPr>
          <w:rFonts w:hint="eastAsia"/>
        </w:rPr>
        <w:t>包：供应商</w:t>
      </w:r>
      <w:r>
        <w:rPr>
          <w:rFonts w:hint="eastAsia"/>
          <w:lang w:eastAsia="zh-CN"/>
        </w:rPr>
        <w:t>须提供国家行政主管部门</w:t>
      </w:r>
      <w:r>
        <w:rPr>
          <w:rFonts w:hint="eastAsia"/>
        </w:rPr>
        <w:t>颁发</w:t>
      </w:r>
      <w:r>
        <w:rPr>
          <w:rFonts w:hint="eastAsia"/>
          <w:lang w:eastAsia="zh-CN"/>
        </w:rPr>
        <w:t>且在有效期内</w:t>
      </w:r>
      <w:r>
        <w:rPr>
          <w:rFonts w:hint="eastAsia"/>
        </w:rPr>
        <w:t>的</w:t>
      </w:r>
      <w:r>
        <w:rPr>
          <w:rFonts w:hint="eastAsia"/>
          <w:lang w:val="en-US" w:eastAsia="zh-CN"/>
        </w:rPr>
        <w:t>甲级工程测量资质（含</w:t>
      </w:r>
      <w:r>
        <w:rPr>
          <w:rFonts w:hint="eastAsia" w:asciiTheme="minorEastAsia" w:hAnsiTheme="minorEastAsia"/>
          <w:szCs w:val="21"/>
        </w:rPr>
        <w:t>地下管线测量</w:t>
      </w:r>
      <w:r>
        <w:rPr>
          <w:rFonts w:hint="eastAsia" w:asciiTheme="minorEastAsia" w:hAnsiTheme="minorEastAsia"/>
          <w:szCs w:val="21"/>
          <w:lang w:eastAsia="zh-CN"/>
        </w:rPr>
        <w:t>和</w:t>
      </w:r>
      <w:r>
        <w:rPr>
          <w:rFonts w:hint="eastAsia" w:asciiTheme="minorEastAsia" w:hAnsiTheme="minorEastAsia"/>
          <w:szCs w:val="21"/>
        </w:rPr>
        <w:t>工程测量监理</w:t>
      </w:r>
      <w:r>
        <w:rPr>
          <w:rFonts w:hint="eastAsia" w:asciiTheme="minorEastAsia" w:hAnsiTheme="minorEastAsia"/>
          <w:szCs w:val="21"/>
          <w:lang w:eastAsia="zh-CN"/>
        </w:rPr>
        <w:t>子项</w:t>
      </w:r>
      <w:r>
        <w:rPr>
          <w:rFonts w:hint="eastAsia"/>
          <w:lang w:val="en-US" w:eastAsia="zh-CN"/>
        </w:rPr>
        <w:t>）证书复印件</w:t>
      </w:r>
      <w:r>
        <w:rPr>
          <w:rFonts w:hint="eastAsia"/>
        </w:rPr>
        <w:t>；</w:t>
      </w:r>
    </w:p>
    <w:p>
      <w:pPr>
        <w:pStyle w:val="48"/>
        <w:spacing w:line="460" w:lineRule="exact"/>
        <w:ind w:firstLine="480" w:firstLineChars="200"/>
        <w:rPr>
          <w:rFonts w:hint="eastAsia" w:eastAsia="宋体"/>
          <w:lang w:eastAsia="zh-CN"/>
        </w:rPr>
      </w:pPr>
      <w:r>
        <w:rPr>
          <w:rFonts w:hint="eastAsia"/>
        </w:rPr>
        <w:t>第</w:t>
      </w:r>
      <w:r>
        <w:rPr>
          <w:rFonts w:hint="eastAsia"/>
          <w:lang w:eastAsia="zh-CN"/>
        </w:rPr>
        <w:t>五</w:t>
      </w:r>
      <w:r>
        <w:rPr>
          <w:rFonts w:hint="eastAsia"/>
        </w:rPr>
        <w:t>包：</w:t>
      </w:r>
      <w:r>
        <w:rPr>
          <w:rFonts w:hint="eastAsia" w:ascii="宋体" w:hAnsi="宋体" w:eastAsia="宋体" w:cs="宋体"/>
          <w:color w:val="auto"/>
          <w:sz w:val="24"/>
          <w:szCs w:val="24"/>
          <w:lang w:eastAsia="zh-CN"/>
        </w:rPr>
        <w:t>供应商须具有</w:t>
      </w:r>
      <w:r>
        <w:rPr>
          <w:rFonts w:hint="eastAsia" w:ascii="宋体" w:hAnsi="宋体" w:eastAsia="宋体" w:cs="宋体"/>
          <w:color w:val="auto"/>
          <w:sz w:val="24"/>
          <w:szCs w:val="24"/>
        </w:rPr>
        <w:t>CMA</w:t>
      </w:r>
      <w:r>
        <w:rPr>
          <w:rFonts w:hint="eastAsia" w:ascii="宋体" w:hAnsi="宋体" w:eastAsia="宋体" w:cs="宋体"/>
          <w:color w:val="auto"/>
          <w:sz w:val="24"/>
          <w:szCs w:val="24"/>
          <w:lang w:eastAsia="zh-CN"/>
        </w:rPr>
        <w:t>检验检测机构资质认定证书</w:t>
      </w:r>
      <w:r>
        <w:rPr>
          <w:rFonts w:hint="eastAsia" w:ascii="宋体" w:hAnsi="宋体" w:eastAsia="宋体" w:cs="宋体"/>
          <w:color w:val="auto"/>
          <w:sz w:val="24"/>
          <w:szCs w:val="24"/>
        </w:rPr>
        <w:t>(</w:t>
      </w:r>
      <w:r>
        <w:rPr>
          <w:rFonts w:hint="eastAsia"/>
          <w:lang w:val="en-US" w:eastAsia="zh-CN"/>
        </w:rPr>
        <w:t>资质</w:t>
      </w:r>
      <w:r>
        <w:rPr>
          <w:rFonts w:hint="eastAsia" w:ascii="宋体" w:hAnsi="宋体" w:eastAsia="宋体" w:cs="宋体"/>
          <w:color w:val="auto"/>
          <w:sz w:val="24"/>
          <w:szCs w:val="24"/>
          <w:lang w:eastAsia="zh-CN"/>
        </w:rPr>
        <w:t>范围须包含平面控制测量、高程控制测量、</w:t>
      </w:r>
      <w:r>
        <w:rPr>
          <w:rFonts w:hint="eastAsia"/>
          <w:lang w:eastAsia="zh-CN"/>
        </w:rPr>
        <w:t>地下管线测量</w:t>
      </w:r>
      <w:r>
        <w:rPr>
          <w:rFonts w:hint="eastAsia" w:ascii="宋体" w:hAnsi="宋体" w:eastAsia="宋体" w:cs="宋体"/>
          <w:color w:val="auto"/>
          <w:sz w:val="24"/>
          <w:szCs w:val="24"/>
        </w:rPr>
        <w:t>)</w:t>
      </w:r>
      <w:r>
        <w:rPr>
          <w:rFonts w:hint="eastAsia"/>
          <w:lang w:eastAsia="zh-CN"/>
        </w:rPr>
        <w:t>复印件。</w:t>
      </w:r>
    </w:p>
    <w:p>
      <w:pPr>
        <w:pStyle w:val="53"/>
        <w:ind w:firstLine="482"/>
      </w:pPr>
      <w:r>
        <w:rPr>
          <w:rFonts w:hint="eastAsia"/>
        </w:rPr>
        <w:t>备注：①以上承诺及声明函可参照第三章投标文件格式中相关格式或自拟格式填写均有效。</w:t>
      </w:r>
    </w:p>
    <w:p>
      <w:pPr>
        <w:pStyle w:val="53"/>
        <w:ind w:firstLine="482"/>
      </w:pPr>
      <w:r>
        <w:rPr>
          <w:rFonts w:hint="eastAsia"/>
        </w:rPr>
        <w:t>②以上要求提供的相关证明材料须加盖投标人公章，否则其资格审查作未通过处理。</w:t>
      </w:r>
    </w:p>
    <w:p>
      <w:pPr>
        <w:pStyle w:val="53"/>
        <w:ind w:firstLine="482"/>
      </w:pPr>
      <w:r>
        <w:rPr>
          <w:rFonts w:hint="eastAsia"/>
        </w:rPr>
        <w:t>③本项目资格审查仅限于本章涉及的所有内容，若供应商未按照以上要求提供齐全，其资格审查作未通过处理。</w:t>
      </w:r>
    </w:p>
    <w:p>
      <w:pPr>
        <w:pStyle w:val="53"/>
        <w:ind w:firstLine="482"/>
      </w:pPr>
      <w:r>
        <w:rPr>
          <w:rFonts w:hint="eastAsia"/>
        </w:rPr>
        <w:t>④投标人应对其所提供的资格证明材料来源的合法性、真实性承担法律责任。</w:t>
      </w:r>
    </w:p>
    <w:p>
      <w:pPr>
        <w:pStyle w:val="53"/>
        <w:ind w:firstLine="482"/>
      </w:pPr>
      <w:r>
        <w:rPr>
          <w:rFonts w:hint="eastAsia"/>
        </w:rPr>
        <w:t>⑤以上要求提供的相关证明材料应当结合采购项目具体情况和投标人的组织机构性质确定，不得一概而论。</w:t>
      </w:r>
    </w:p>
    <w:p>
      <w:pPr>
        <w:pStyle w:val="41"/>
        <w:numPr>
          <w:ilvl w:val="1"/>
          <w:numId w:val="14"/>
        </w:numPr>
        <w:ind w:firstLine="482"/>
      </w:pPr>
      <w:bookmarkStart w:id="1002" w:name="_Toc4141"/>
      <w:bookmarkStart w:id="1003" w:name="_Toc14213"/>
      <w:r>
        <w:rPr>
          <w:rFonts w:hint="eastAsia"/>
        </w:rPr>
        <w:t>审查程序</w:t>
      </w:r>
      <w:bookmarkEnd w:id="998"/>
      <w:bookmarkEnd w:id="999"/>
      <w:bookmarkEnd w:id="1000"/>
      <w:bookmarkEnd w:id="1002"/>
      <w:bookmarkEnd w:id="1003"/>
    </w:p>
    <w:p>
      <w:pPr>
        <w:pStyle w:val="39"/>
        <w:numPr>
          <w:ilvl w:val="1"/>
          <w:numId w:val="29"/>
        </w:numPr>
        <w:ind w:firstLine="480"/>
      </w:pPr>
      <w:r>
        <w:rPr>
          <w:rFonts w:hint="eastAsia"/>
        </w:rPr>
        <w:t>根据《政府采购货物和服务招标投标管理办法》(财政部令第87号)第四十四条对投标人的资格进行审查。</w:t>
      </w:r>
    </w:p>
    <w:p>
      <w:pPr>
        <w:pStyle w:val="39"/>
        <w:numPr>
          <w:ilvl w:val="1"/>
          <w:numId w:val="29"/>
        </w:numPr>
        <w:ind w:firstLine="480"/>
      </w:pPr>
      <w:r>
        <w:rPr>
          <w:rFonts w:hint="eastAsia"/>
        </w:rPr>
        <w:t>本项目由采购人或者采购代理机构依法对投标人的资格进行审查，并出具书面的资格性审查结果。</w:t>
      </w:r>
    </w:p>
    <w:p>
      <w:pPr>
        <w:pStyle w:val="39"/>
        <w:numPr>
          <w:ilvl w:val="1"/>
          <w:numId w:val="29"/>
        </w:numPr>
        <w:ind w:firstLine="480"/>
      </w:pPr>
      <w:r>
        <w:rPr>
          <w:rFonts w:hint="eastAsia"/>
        </w:rPr>
        <w:t>合格投标人不足3家的，不得评标。</w:t>
      </w:r>
    </w:p>
    <w:p>
      <w:r>
        <w:rPr>
          <w:rFonts w:hint="eastAsia"/>
        </w:rPr>
        <w:br w:type="page"/>
      </w:r>
    </w:p>
    <w:bookmarkEnd w:id="1001"/>
    <w:p>
      <w:pPr>
        <w:pStyle w:val="54"/>
        <w:numPr>
          <w:ilvl w:val="0"/>
          <w:numId w:val="14"/>
        </w:numPr>
        <w:spacing w:before="120" w:after="120"/>
      </w:pPr>
      <w:bookmarkStart w:id="1004" w:name="_Toc5955"/>
      <w:bookmarkStart w:id="1005" w:name="_Toc14893"/>
      <w:bookmarkStart w:id="1006" w:name="_Toc14530"/>
      <w:r>
        <w:rPr>
          <w:rFonts w:hint="eastAsia"/>
        </w:rPr>
        <w:t>招标项目技术、服务、政府采购合同内容条款及其他商务要求</w:t>
      </w:r>
      <w:bookmarkEnd w:id="1004"/>
      <w:bookmarkEnd w:id="1005"/>
      <w:bookmarkEnd w:id="1006"/>
    </w:p>
    <w:p>
      <w:pPr>
        <w:pStyle w:val="41"/>
        <w:ind w:firstLine="482"/>
      </w:pPr>
      <w:bookmarkStart w:id="1007" w:name="_Toc4640"/>
      <w:bookmarkStart w:id="1008" w:name="_Toc16709"/>
      <w:bookmarkStart w:id="1009" w:name="_Toc9091"/>
      <w:bookmarkStart w:id="1010" w:name="_Toc32447"/>
      <w:bookmarkStart w:id="1011" w:name="_Toc10570"/>
      <w:bookmarkStart w:id="1012" w:name="_Toc26923"/>
      <w:bookmarkStart w:id="1013" w:name="_Toc21302"/>
      <w:bookmarkStart w:id="1014" w:name="_Toc309897563"/>
      <w:bookmarkStart w:id="1015" w:name="_Toc308084645"/>
      <w:bookmarkStart w:id="1016" w:name="_Toc217446097"/>
      <w:bookmarkStart w:id="1017" w:name="_Toc4553"/>
      <w:bookmarkStart w:id="1018" w:name="_Toc183582280"/>
      <w:bookmarkStart w:id="1019" w:name="_Toc327196339"/>
      <w:bookmarkStart w:id="1020" w:name="_Toc307564896"/>
      <w:bookmarkStart w:id="1021" w:name="_Toc25959"/>
      <w:bookmarkStart w:id="1022" w:name="_Toc11039"/>
      <w:bookmarkStart w:id="1023" w:name="_Toc307501154"/>
      <w:bookmarkStart w:id="1024" w:name="_Toc208849007"/>
      <w:bookmarkStart w:id="1025" w:name="_Toc319440188"/>
      <w:bookmarkStart w:id="1026" w:name="_Toc308188198"/>
      <w:bookmarkStart w:id="1027" w:name="_Toc3881"/>
      <w:bookmarkStart w:id="1028" w:name="_Toc25435"/>
      <w:bookmarkStart w:id="1029" w:name="_Toc319439946"/>
      <w:bookmarkStart w:id="1030" w:name="_Toc1543"/>
      <w:bookmarkStart w:id="1031" w:name="_Toc483"/>
      <w:bookmarkStart w:id="1032" w:name="_Toc183682415"/>
      <w:bookmarkStart w:id="1033" w:name="_Toc2232"/>
      <w:bookmarkStart w:id="1034" w:name="_Toc32159"/>
      <w:bookmarkStart w:id="1035" w:name="_Toc308188201"/>
      <w:bookmarkStart w:id="1036" w:name="_Toc319439948"/>
      <w:bookmarkStart w:id="1037" w:name="_Toc327196343"/>
      <w:bookmarkStart w:id="1038" w:name="_Toc23360"/>
      <w:bookmarkStart w:id="1039" w:name="_Toc1839"/>
      <w:bookmarkStart w:id="1040" w:name="_Toc12025"/>
      <w:bookmarkStart w:id="1041" w:name="_Toc308084648"/>
      <w:bookmarkStart w:id="1042" w:name="_Toc319440192"/>
      <w:bookmarkStart w:id="1043" w:name="_Toc307564899"/>
      <w:bookmarkStart w:id="1044" w:name="_Toc1541"/>
      <w:bookmarkStart w:id="1045" w:name="_Toc307501157"/>
      <w:bookmarkStart w:id="1046" w:name="_Toc29864"/>
      <w:bookmarkStart w:id="1047" w:name="_Toc309897566"/>
      <w:bookmarkStart w:id="1048" w:name="_Toc217446060"/>
      <w:bookmarkStart w:id="1049" w:name="_Toc217446099"/>
      <w:r>
        <w:rPr>
          <w:rFonts w:hint="eastAsia"/>
        </w:rPr>
        <w:t>项目背景</w:t>
      </w:r>
      <w:bookmarkEnd w:id="1007"/>
      <w:bookmarkEnd w:id="1008"/>
    </w:p>
    <w:p>
      <w:pPr>
        <w:pStyle w:val="41"/>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outlineLvl w:val="9"/>
        <w:rPr>
          <w:rFonts w:hint="eastAsia" w:eastAsia="宋体"/>
          <w:b w:val="0"/>
          <w:bCs/>
          <w:lang w:eastAsia="zh-CN"/>
        </w:rPr>
      </w:pPr>
      <w:bookmarkStart w:id="1050" w:name="_Toc28857"/>
      <w:bookmarkStart w:id="1051" w:name="_Toc17248"/>
      <w:r>
        <w:rPr>
          <w:rFonts w:hint="eastAsia"/>
          <w:b w:val="0"/>
          <w:bCs/>
          <w:lang w:val="en-US" w:eastAsia="zh-CN"/>
        </w:rPr>
        <w:t>根据《国务院办公厅关于加强城市地下管线建设管理的指导意见》（国办发〔2014〕27 号）、《四川省人民政府关于加强城镇地下管线建设管理的意见》（川府发〔2014〕52 号）、《住房和城乡建设部工业和信息化部国家广播电视总局国家能源局关于进一步加强城市地下管线建设管理有关工作的通知》（建城〔2019〕100 号）等文件要求，结合《成都市地下管线普查成果更新工作方案》（成管普领〔2020〕1 号）、《成都市地下管线普查成果更新实施方案》（成管普办〔2020〕4 号）</w:t>
      </w:r>
      <w:r>
        <w:rPr>
          <w:rFonts w:hint="eastAsia"/>
          <w:b w:val="0"/>
          <w:bCs/>
          <w:lang w:eastAsia="zh-CN"/>
        </w:rPr>
        <w:t>和《成都市地下管线普查成果更新技术方案》（成管普领〔</w:t>
      </w:r>
      <w:r>
        <w:rPr>
          <w:rFonts w:hint="eastAsia"/>
          <w:b w:val="0"/>
          <w:bCs/>
          <w:lang w:val="en-US" w:eastAsia="zh-CN"/>
        </w:rPr>
        <w:t>2020</w:t>
      </w:r>
      <w:r>
        <w:rPr>
          <w:rFonts w:hint="eastAsia"/>
          <w:b w:val="0"/>
          <w:bCs/>
          <w:lang w:eastAsia="zh-CN"/>
        </w:rPr>
        <w:t>〕</w:t>
      </w:r>
      <w:r>
        <w:rPr>
          <w:rFonts w:hint="eastAsia"/>
          <w:b w:val="0"/>
          <w:bCs/>
          <w:lang w:val="en-US" w:eastAsia="zh-CN"/>
        </w:rPr>
        <w:t>7号</w:t>
      </w:r>
      <w:r>
        <w:rPr>
          <w:rFonts w:hint="eastAsia"/>
          <w:b w:val="0"/>
          <w:bCs/>
          <w:lang w:eastAsia="zh-CN"/>
        </w:rPr>
        <w:t>）要求，并结合本地实际情况，开展城市地下管线普查成果更新工作。</w:t>
      </w:r>
      <w:bookmarkEnd w:id="1050"/>
      <w:bookmarkEnd w:id="1051"/>
    </w:p>
    <w:p>
      <w:pPr>
        <w:pStyle w:val="41"/>
        <w:bidi w:val="0"/>
        <w:ind w:left="0" w:leftChars="0" w:firstLine="482" w:firstLineChars="200"/>
        <w:rPr>
          <w:rFonts w:hint="eastAsia"/>
          <w:lang w:eastAsia="zh-CN"/>
        </w:rPr>
      </w:pPr>
      <w:bookmarkStart w:id="1052" w:name="_Toc3910"/>
      <w:r>
        <w:rPr>
          <w:rFonts w:hint="eastAsia"/>
          <w:lang w:eastAsia="zh-CN"/>
        </w:rPr>
        <w:t>工作目标</w:t>
      </w:r>
      <w:bookmarkEnd w:id="1052"/>
    </w:p>
    <w:p>
      <w:pPr>
        <w:pStyle w:val="41"/>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053" w:name="_Toc29933"/>
      <w:bookmarkStart w:id="1054" w:name="_Toc30739"/>
      <w:r>
        <w:rPr>
          <w:rFonts w:hint="eastAsia"/>
          <w:b w:val="0"/>
          <w:bCs/>
          <w:lang w:eastAsia="zh-CN"/>
        </w:rPr>
        <w:t>摸清简阳市城市地下管线现状和短板，创新用好大数据、</w:t>
      </w:r>
      <w:r>
        <w:rPr>
          <w:rFonts w:hint="eastAsia"/>
          <w:b w:val="0"/>
          <w:bCs/>
          <w:lang w:val="en-US" w:eastAsia="zh-CN"/>
        </w:rPr>
        <w:t>3D建模等现代科技手段，加强基础数据整合，实现地下管线基础信息标准化、数字化、可视化、三维化管理，建立健全地下管线基础信息常态更新和成果应用机制，为规划建设和管理运行提供科学的数据支撑，保障城市人居环境高质量发展和城市安全运行。</w:t>
      </w:r>
      <w:bookmarkEnd w:id="1053"/>
      <w:bookmarkEnd w:id="1054"/>
    </w:p>
    <w:p>
      <w:pPr>
        <w:pStyle w:val="41"/>
        <w:ind w:firstLine="482"/>
      </w:pPr>
      <w:bookmarkStart w:id="1055" w:name="_Toc8398"/>
      <w:r>
        <w:rPr>
          <w:rFonts w:hint="eastAsia"/>
        </w:rPr>
        <w:t>※第一包</w:t>
      </w:r>
      <w:r>
        <w:rPr>
          <w:rFonts w:hint="eastAsia"/>
          <w:lang w:eastAsia="zh-CN"/>
        </w:rPr>
        <w:t>、第二包、第三包</w:t>
      </w:r>
      <w:r>
        <w:rPr>
          <w:rFonts w:hint="eastAsia"/>
        </w:rPr>
        <w:t>工作内容及要求</w:t>
      </w:r>
      <w:bookmarkEnd w:id="1009"/>
      <w:bookmarkEnd w:id="1055"/>
    </w:p>
    <w:p>
      <w:pPr>
        <w:pStyle w:val="55"/>
        <w:ind w:firstLine="482"/>
      </w:pPr>
      <w:bookmarkStart w:id="1056" w:name="_Toc13127"/>
      <w:bookmarkStart w:id="1057" w:name="_Toc11251"/>
      <w:bookmarkStart w:id="1058" w:name="_Toc24341"/>
      <w:bookmarkStart w:id="1059" w:name="_Toc3485"/>
      <w:r>
        <w:rPr>
          <w:rFonts w:hint="eastAsia"/>
        </w:rPr>
        <w:t>工作内容</w:t>
      </w:r>
      <w:bookmarkEnd w:id="1056"/>
      <w:bookmarkEnd w:id="1057"/>
      <w:bookmarkEnd w:id="1058"/>
      <w:bookmarkEnd w:id="1059"/>
    </w:p>
    <w:p>
      <w:pPr>
        <w:pStyle w:val="48"/>
        <w:ind w:firstLine="480" w:firstLineChars="200"/>
        <w:rPr>
          <w:rFonts w:hint="eastAsia" w:eastAsia="宋体"/>
          <w:lang w:eastAsia="zh-CN"/>
        </w:rPr>
      </w:pPr>
      <w:r>
        <w:rPr>
          <w:rFonts w:hint="eastAsia" w:ascii="宋体" w:hAnsi="宋体" w:eastAsia="宋体" w:cs="宋体"/>
          <w:sz w:val="24"/>
          <w:szCs w:val="24"/>
        </w:rPr>
        <w:t>完成简阳市</w:t>
      </w:r>
      <w:r>
        <w:rPr>
          <w:rFonts w:hint="eastAsia" w:cs="宋体"/>
          <w:sz w:val="24"/>
          <w:szCs w:val="24"/>
          <w:lang w:eastAsia="zh-CN"/>
        </w:rPr>
        <w:t>地下管线基础信息普查和隐患排查工作，建成地下管线基础信息系统，建立地下管线动态更新长效管理机制，实现地下管线数据的动态更新维护</w:t>
      </w:r>
      <w:r>
        <w:rPr>
          <w:rFonts w:hint="eastAsia" w:ascii="宋体" w:hAnsi="宋体" w:eastAsia="宋体" w:cs="宋体"/>
          <w:sz w:val="24"/>
          <w:szCs w:val="24"/>
          <w:lang w:eastAsia="zh-CN"/>
        </w:rPr>
        <w:t>。</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2" w:firstLineChars="200"/>
        <w:textAlignment w:val="auto"/>
        <w:outlineLvl w:val="9"/>
        <w:rPr>
          <w:rFonts w:hint="eastAsia"/>
          <w:b w:val="0"/>
          <w:bCs/>
          <w:lang w:val="en-US" w:eastAsia="zh-CN"/>
        </w:rPr>
      </w:pPr>
      <w:bookmarkStart w:id="1060" w:name="_Toc15132"/>
      <w:bookmarkStart w:id="1061" w:name="_Toc8459"/>
      <w:r>
        <w:rPr>
          <w:rFonts w:hint="eastAsia"/>
          <w:b/>
          <w:bCs w:val="0"/>
          <w:lang w:val="en-US" w:eastAsia="zh-CN"/>
        </w:rPr>
        <w:t>1.开展地下管线基础信息普查成果更新</w:t>
      </w:r>
      <w:bookmarkEnd w:id="1060"/>
      <w:bookmarkEnd w:id="1061"/>
      <w:r>
        <w:rPr>
          <w:rFonts w:hint="eastAsia"/>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eastAsia"/>
          <w:b w:val="0"/>
          <w:bCs/>
          <w:lang w:val="en-US" w:eastAsia="zh-CN"/>
        </w:rPr>
      </w:pPr>
      <w:bookmarkStart w:id="1062" w:name="_Toc6043"/>
      <w:bookmarkStart w:id="1063" w:name="_Toc17726"/>
      <w:r>
        <w:rPr>
          <w:rFonts w:hint="eastAsia"/>
          <w:b w:val="0"/>
          <w:bCs/>
          <w:lang w:val="en-US" w:eastAsia="zh-CN"/>
        </w:rPr>
        <w:t>利用现有地下管线普查数据成果，在普查更新范围内采用全野外探测及内外业结合核实探测的方式摸清地下管线类型、管线属性等基本情况，收集地下管线隐患信息资料并入库。</w:t>
      </w:r>
      <w:bookmarkEnd w:id="1062"/>
      <w:bookmarkEnd w:id="1063"/>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eastAsia"/>
          <w:b w:val="0"/>
          <w:bCs/>
          <w:lang w:val="en-US" w:eastAsia="zh-CN"/>
        </w:rPr>
      </w:pPr>
      <w:bookmarkStart w:id="1064" w:name="_Toc9742"/>
      <w:bookmarkStart w:id="1065" w:name="_Toc2395"/>
      <w:r>
        <w:rPr>
          <w:rFonts w:hint="eastAsia"/>
          <w:b w:val="0"/>
          <w:bCs/>
          <w:lang w:val="en-US" w:eastAsia="zh-CN"/>
        </w:rPr>
        <w:t>1.1管线类型：包括给水、排水、燃气、热力、电力、通信、广播电视、工业（不包括油气管线）等管线及其附属设施。</w:t>
      </w:r>
      <w:bookmarkEnd w:id="1064"/>
      <w:bookmarkEnd w:id="1065"/>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eastAsia"/>
          <w:b w:val="0"/>
          <w:bCs/>
          <w:lang w:val="en-US" w:eastAsia="zh-CN"/>
        </w:rPr>
      </w:pPr>
      <w:bookmarkStart w:id="1066" w:name="_Toc22075"/>
      <w:bookmarkStart w:id="1067" w:name="_Toc2217"/>
      <w:r>
        <w:rPr>
          <w:rFonts w:hint="eastAsia"/>
          <w:b w:val="0"/>
          <w:bCs/>
          <w:lang w:val="en-US" w:eastAsia="zh-CN"/>
        </w:rPr>
        <w:t>1.2管线属性：包括种类、数量、功能、材质、管径、埋设方式、平面位置、埋深、高程、走向、连接方式、权属单位、建设时间、运行时间、管线特征以及相关场站等信息，建立地下管线基础信息普查成果数据库。</w:t>
      </w:r>
      <w:bookmarkEnd w:id="1066"/>
      <w:bookmarkEnd w:id="1067"/>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eastAsia"/>
          <w:b w:val="0"/>
          <w:bCs/>
          <w:lang w:val="en-US" w:eastAsia="zh-CN"/>
        </w:rPr>
      </w:pPr>
      <w:bookmarkStart w:id="1068" w:name="_Toc23894"/>
      <w:bookmarkStart w:id="1069" w:name="_Toc3643"/>
      <w:r>
        <w:rPr>
          <w:rFonts w:hint="eastAsia"/>
          <w:b w:val="0"/>
          <w:bCs/>
          <w:lang w:val="en-US" w:eastAsia="zh-CN"/>
        </w:rPr>
        <w:t>1.3隐患信息：收集地下管线存在的隐患信息。</w:t>
      </w:r>
      <w:bookmarkEnd w:id="1068"/>
      <w:bookmarkEnd w:id="1069"/>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2" w:firstLineChars="200"/>
        <w:textAlignment w:val="auto"/>
        <w:outlineLvl w:val="9"/>
        <w:rPr>
          <w:rFonts w:hint="eastAsia"/>
          <w:b w:val="0"/>
          <w:bCs/>
          <w:lang w:val="en-US" w:eastAsia="zh-CN"/>
        </w:rPr>
      </w:pPr>
      <w:bookmarkStart w:id="1070" w:name="_Toc17040"/>
      <w:bookmarkStart w:id="1071" w:name="_Toc32708"/>
      <w:r>
        <w:rPr>
          <w:rFonts w:hint="eastAsia"/>
          <w:b/>
          <w:bCs w:val="0"/>
          <w:lang w:val="en-US" w:eastAsia="zh-CN"/>
        </w:rPr>
        <w:t>2.建立地下管线基础信息系统</w:t>
      </w:r>
      <w:bookmarkEnd w:id="1070"/>
      <w:bookmarkEnd w:id="1071"/>
      <w:r>
        <w:rPr>
          <w:rFonts w:hint="eastAsia"/>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eastAsia"/>
          <w:b w:val="0"/>
          <w:bCs/>
          <w:lang w:val="en-US" w:eastAsia="zh-CN"/>
        </w:rPr>
      </w:pPr>
      <w:bookmarkStart w:id="1072" w:name="_Toc15968"/>
      <w:bookmarkStart w:id="1073" w:name="_Toc7920"/>
      <w:r>
        <w:rPr>
          <w:rFonts w:hint="eastAsia"/>
          <w:b w:val="0"/>
          <w:bCs/>
          <w:lang w:val="en-US" w:eastAsia="zh-CN"/>
        </w:rPr>
        <w:t>按照“标准统一、互联互通、资源整合、综合利用”原则，统一坐标系统和技术标准，制定地下管线信息数据的交换标准，建立信息共享机制，建成地下管线基础信息系统，实现地下管线基础信息汇交、入库、更新、查询和综合分析等功能，并预留安全通用接口，与专业管线信息系统数据交换，提高管线成果管理的信息化、科学化水平。</w:t>
      </w:r>
      <w:bookmarkEnd w:id="1072"/>
      <w:bookmarkEnd w:id="1073"/>
      <w:r>
        <w:rPr>
          <w:rFonts w:hint="eastAsia"/>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2" w:firstLineChars="200"/>
        <w:textAlignment w:val="auto"/>
        <w:outlineLvl w:val="9"/>
        <w:rPr>
          <w:rFonts w:hint="eastAsia"/>
          <w:b w:val="0"/>
          <w:bCs/>
          <w:lang w:val="en-US" w:eastAsia="zh-CN"/>
        </w:rPr>
      </w:pPr>
      <w:bookmarkStart w:id="1074" w:name="_Toc15127"/>
      <w:bookmarkStart w:id="1075" w:name="_Toc12950"/>
      <w:r>
        <w:rPr>
          <w:rFonts w:hint="eastAsia"/>
          <w:b/>
          <w:bCs w:val="0"/>
          <w:lang w:val="en-US" w:eastAsia="zh-CN"/>
        </w:rPr>
        <w:t>3.建立地下管线动态更新长效管理机制</w:t>
      </w:r>
      <w:bookmarkEnd w:id="1074"/>
      <w:bookmarkEnd w:id="1075"/>
      <w:r>
        <w:rPr>
          <w:rFonts w:hint="eastAsia"/>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eastAsia"/>
          <w:b w:val="0"/>
          <w:bCs/>
          <w:lang w:val="en-US" w:eastAsia="zh-CN"/>
        </w:rPr>
      </w:pPr>
      <w:bookmarkStart w:id="1076" w:name="_Toc22150"/>
      <w:bookmarkStart w:id="1077" w:name="_Toc1214"/>
      <w:r>
        <w:rPr>
          <w:rFonts w:hint="eastAsia"/>
          <w:b w:val="0"/>
          <w:bCs/>
          <w:lang w:val="en-US" w:eastAsia="zh-CN"/>
        </w:rPr>
        <w:t>规范城市地下管线建设和维护，研究制定城市地下管线建设综合管理办法，建立健全地下管线动态更新长效管理机制，实现地下管线数据的动态更新维护，服务城市规划、建设管理、运营维护和应急处置等。</w:t>
      </w:r>
      <w:bookmarkEnd w:id="1076"/>
      <w:bookmarkEnd w:id="1077"/>
    </w:p>
    <w:p>
      <w:pPr>
        <w:pStyle w:val="55"/>
        <w:shd w:val="clear"/>
        <w:ind w:firstLine="482"/>
        <w:rPr>
          <w:highlight w:val="none"/>
        </w:rPr>
      </w:pPr>
      <w:bookmarkStart w:id="1078" w:name="_Toc640"/>
      <w:r>
        <w:rPr>
          <w:rFonts w:hint="eastAsia"/>
          <w:lang w:eastAsia="zh-CN"/>
        </w:rPr>
        <w:t>普查更新范围</w:t>
      </w:r>
      <w:bookmarkEnd w:id="1078"/>
    </w:p>
    <w:p>
      <w:pPr>
        <w:pStyle w:val="55"/>
        <w:numPr>
          <w:ilvl w:val="2"/>
          <w:numId w:val="0"/>
        </w:numPr>
        <w:shd w:val="clear"/>
        <w:ind w:leftChars="200"/>
        <w:outlineLvl w:val="9"/>
        <w:rPr>
          <w:rFonts w:hint="default"/>
          <w:b w:val="0"/>
          <w:bCs/>
          <w:highlight w:val="none"/>
          <w:lang w:val="en-US"/>
        </w:rPr>
      </w:pPr>
      <w:bookmarkStart w:id="1079" w:name="_Toc23015"/>
      <w:bookmarkStart w:id="1080" w:name="_Toc7727"/>
      <w:r>
        <w:rPr>
          <w:rFonts w:hint="eastAsia"/>
          <w:b w:val="0"/>
          <w:bCs/>
          <w:highlight w:val="none"/>
          <w:lang w:eastAsia="zh-CN"/>
        </w:rPr>
        <w:t>简阳市政府所在地（城区范围），面积约</w:t>
      </w:r>
      <w:r>
        <w:rPr>
          <w:rFonts w:hint="eastAsia"/>
          <w:b w:val="0"/>
          <w:bCs/>
          <w:highlight w:val="none"/>
          <w:lang w:val="en-US" w:eastAsia="zh-CN"/>
        </w:rPr>
        <w:t>91.51平方公里。</w:t>
      </w:r>
      <w:bookmarkEnd w:id="1079"/>
      <w:bookmarkEnd w:id="1080"/>
    </w:p>
    <w:p>
      <w:pPr>
        <w:pStyle w:val="55"/>
        <w:shd w:val="clear"/>
        <w:ind w:firstLine="482"/>
        <w:rPr>
          <w:highlight w:val="none"/>
        </w:rPr>
      </w:pPr>
      <w:bookmarkStart w:id="1081" w:name="_Toc6561"/>
      <w:r>
        <w:rPr>
          <w:rFonts w:hint="eastAsia"/>
          <w:highlight w:val="none"/>
          <w:lang w:eastAsia="zh-CN"/>
        </w:rPr>
        <w:t>普查更新对象及方式</w:t>
      </w:r>
      <w:bookmarkEnd w:id="1081"/>
    </w:p>
    <w:p>
      <w:pPr>
        <w:pStyle w:val="69"/>
        <w:keepNext w:val="0"/>
        <w:keepLines w:val="0"/>
        <w:pageBreakBefore w:val="0"/>
        <w:widowControl w:val="0"/>
        <w:numPr>
          <w:ilvl w:val="0"/>
          <w:numId w:val="30"/>
        </w:numPr>
        <w:tabs>
          <w:tab w:val="clear" w:pos="312"/>
        </w:tabs>
        <w:kinsoku/>
        <w:wordWrap w:val="0"/>
        <w:overflowPunct/>
        <w:topLinePunct/>
        <w:autoSpaceDE/>
        <w:autoSpaceDN/>
        <w:bidi w:val="0"/>
        <w:adjustRightInd w:val="0"/>
        <w:snapToGrid w:val="0"/>
        <w:ind w:leftChars="0" w:firstLine="480" w:firstLineChars="200"/>
        <w:textAlignment w:val="auto"/>
        <w:rPr>
          <w:rFonts w:hint="eastAsia" w:cs="宋体"/>
          <w:highlight w:val="none"/>
          <w:lang w:val="en-US" w:eastAsia="zh-CN"/>
        </w:rPr>
      </w:pPr>
      <w:r>
        <w:rPr>
          <w:rFonts w:hint="eastAsia" w:cs="宋体"/>
          <w:highlight w:val="none"/>
          <w:lang w:val="en-US" w:eastAsia="zh-CN"/>
        </w:rPr>
        <w:t>普查更新对象：普查更新范围内现状市政道路及两侧绿化带（含滨河道路及其临河绿化带）的地下管线及其附属设施，非市政道路配套的市政干管及专业长输管线。</w:t>
      </w:r>
    </w:p>
    <w:p>
      <w:pPr>
        <w:pStyle w:val="69"/>
        <w:keepNext w:val="0"/>
        <w:keepLines w:val="0"/>
        <w:pageBreakBefore w:val="0"/>
        <w:widowControl w:val="0"/>
        <w:numPr>
          <w:ilvl w:val="0"/>
          <w:numId w:val="30"/>
        </w:numPr>
        <w:tabs>
          <w:tab w:val="clear" w:pos="312"/>
        </w:tabs>
        <w:kinsoku/>
        <w:wordWrap w:val="0"/>
        <w:overflowPunct/>
        <w:topLinePunct/>
        <w:autoSpaceDE/>
        <w:autoSpaceDN/>
        <w:bidi w:val="0"/>
        <w:adjustRightInd w:val="0"/>
        <w:snapToGrid w:val="0"/>
        <w:ind w:leftChars="0" w:firstLine="480" w:firstLineChars="200"/>
        <w:textAlignment w:val="auto"/>
        <w:rPr>
          <w:rFonts w:hint="eastAsia" w:cs="宋体"/>
          <w:highlight w:val="none"/>
          <w:lang w:val="en-US" w:eastAsia="zh-CN"/>
        </w:rPr>
      </w:pPr>
      <w:r>
        <w:rPr>
          <w:rFonts w:hint="eastAsia" w:cs="宋体"/>
          <w:highlight w:val="none"/>
          <w:lang w:val="en-US" w:eastAsia="zh-CN"/>
        </w:rPr>
        <w:t>普查更新方式</w:t>
      </w:r>
    </w:p>
    <w:p>
      <w:pPr>
        <w:pStyle w:val="69"/>
        <w:keepNext w:val="0"/>
        <w:keepLines w:val="0"/>
        <w:pageBreakBefore w:val="0"/>
        <w:widowControl w:val="0"/>
        <w:numPr>
          <w:ilvl w:val="3"/>
          <w:numId w:val="0"/>
        </w:numPr>
        <w:kinsoku/>
        <w:wordWrap w:val="0"/>
        <w:overflowPunct/>
        <w:topLinePunct/>
        <w:autoSpaceDE/>
        <w:autoSpaceDN/>
        <w:bidi w:val="0"/>
        <w:adjustRightInd w:val="0"/>
        <w:snapToGrid w:val="0"/>
        <w:ind w:leftChars="0" w:firstLine="480" w:firstLineChars="200"/>
        <w:textAlignment w:val="auto"/>
        <w:rPr>
          <w:rFonts w:hint="eastAsia" w:ascii="宋体" w:hAnsi="宋体" w:eastAsia="宋体" w:cs="宋体"/>
          <w:highlight w:val="none"/>
        </w:rPr>
      </w:pPr>
      <w:r>
        <w:rPr>
          <w:rFonts w:hint="eastAsia" w:cs="宋体"/>
          <w:highlight w:val="none"/>
          <w:lang w:val="en-US" w:eastAsia="zh-CN"/>
        </w:rPr>
        <w:t>2.1</w:t>
      </w:r>
      <w:r>
        <w:rPr>
          <w:rFonts w:hint="eastAsia" w:ascii="宋体" w:hAnsi="宋体" w:eastAsia="宋体" w:cs="宋体"/>
          <w:highlight w:val="none"/>
          <w:lang w:val="en-US" w:eastAsia="zh-CN"/>
        </w:rPr>
        <w:t xml:space="preserve">全野外探测 </w:t>
      </w:r>
    </w:p>
    <w:p>
      <w:pPr>
        <w:pStyle w:val="69"/>
        <w:keepNext w:val="0"/>
        <w:keepLines w:val="0"/>
        <w:pageBreakBefore w:val="0"/>
        <w:widowControl w:val="0"/>
        <w:numPr>
          <w:ilvl w:val="3"/>
          <w:numId w:val="0"/>
        </w:numPr>
        <w:kinsoku/>
        <w:wordWrap w:val="0"/>
        <w:overflowPunct/>
        <w:topLinePunct/>
        <w:autoSpaceDE/>
        <w:autoSpaceDN/>
        <w:bidi w:val="0"/>
        <w:adjustRightInd w:val="0"/>
        <w:snapToGrid w:val="0"/>
        <w:ind w:leftChars="0" w:firstLine="480" w:firstLineChars="200"/>
        <w:textAlignment w:val="auto"/>
        <w:rPr>
          <w:rFonts w:hint="eastAsia" w:ascii="宋体" w:hAnsi="宋体" w:eastAsia="宋体" w:cs="宋体"/>
          <w:highlight w:val="none"/>
        </w:rPr>
      </w:pPr>
      <w:r>
        <w:rPr>
          <w:rFonts w:hint="eastAsia" w:ascii="宋体" w:hAnsi="宋体" w:eastAsia="宋体" w:cs="宋体"/>
          <w:highlight w:val="none"/>
          <w:lang w:val="en-US" w:eastAsia="zh-CN"/>
        </w:rPr>
        <w:t>（1）无地下管线普查数据成果的，应采用全野外探测方式进行普查更新。</w:t>
      </w:r>
    </w:p>
    <w:p>
      <w:pPr>
        <w:pStyle w:val="69"/>
        <w:keepNext w:val="0"/>
        <w:keepLines w:val="0"/>
        <w:pageBreakBefore w:val="0"/>
        <w:widowControl w:val="0"/>
        <w:numPr>
          <w:ilvl w:val="3"/>
          <w:numId w:val="0"/>
        </w:numPr>
        <w:kinsoku/>
        <w:wordWrap w:val="0"/>
        <w:overflowPunct/>
        <w:topLinePunct/>
        <w:autoSpaceDE/>
        <w:autoSpaceDN/>
        <w:bidi w:val="0"/>
        <w:adjustRightInd w:val="0"/>
        <w:snapToGrid w:val="0"/>
        <w:ind w:leftChars="0" w:firstLine="480" w:firstLineChars="200"/>
        <w:textAlignment w:val="auto"/>
        <w:rPr>
          <w:rFonts w:hint="eastAsia" w:ascii="宋体" w:hAnsi="宋体" w:eastAsia="宋体" w:cs="宋体"/>
          <w:highlight w:val="none"/>
        </w:rPr>
      </w:pPr>
      <w:r>
        <w:rPr>
          <w:rFonts w:hint="eastAsia" w:ascii="宋体" w:hAnsi="宋体" w:eastAsia="宋体" w:cs="宋体"/>
          <w:highlight w:val="none"/>
          <w:lang w:val="en-US" w:eastAsia="zh-CN"/>
        </w:rPr>
        <w:t xml:space="preserve">（2）现有地下管线普查数据成果年代久远，不满足本次地下管线普查成果更新技术方案规定要求的，应采用全野外探测方式进行普查更新。 </w:t>
      </w:r>
    </w:p>
    <w:p>
      <w:pPr>
        <w:pStyle w:val="69"/>
        <w:keepNext w:val="0"/>
        <w:keepLines w:val="0"/>
        <w:pageBreakBefore w:val="0"/>
        <w:widowControl w:val="0"/>
        <w:numPr>
          <w:ilvl w:val="3"/>
          <w:numId w:val="0"/>
        </w:numPr>
        <w:kinsoku/>
        <w:wordWrap w:val="0"/>
        <w:overflowPunct/>
        <w:topLinePunct/>
        <w:autoSpaceDE/>
        <w:autoSpaceDN/>
        <w:bidi w:val="0"/>
        <w:adjustRightInd w:val="0"/>
        <w:snapToGrid w:val="0"/>
        <w:ind w:leftChars="0" w:firstLine="480" w:firstLineChars="200"/>
        <w:textAlignment w:val="auto"/>
        <w:rPr>
          <w:rFonts w:hint="eastAsia" w:ascii="宋体" w:hAnsi="宋体" w:eastAsia="宋体" w:cs="宋体"/>
          <w:highlight w:val="none"/>
        </w:rPr>
      </w:pPr>
      <w:r>
        <w:rPr>
          <w:rFonts w:hint="eastAsia" w:ascii="宋体" w:hAnsi="宋体" w:eastAsia="宋体" w:cs="宋体"/>
          <w:highlight w:val="none"/>
          <w:lang w:val="en-US" w:eastAsia="zh-CN"/>
        </w:rPr>
        <w:t>2.</w:t>
      </w:r>
      <w:r>
        <w:rPr>
          <w:rFonts w:hint="eastAsia" w:cs="宋体"/>
          <w:highlight w:val="none"/>
          <w:lang w:val="en-US" w:eastAsia="zh-CN"/>
        </w:rPr>
        <w:t>2</w:t>
      </w:r>
      <w:r>
        <w:rPr>
          <w:rFonts w:hint="eastAsia" w:ascii="宋体" w:hAnsi="宋体" w:eastAsia="宋体" w:cs="宋体"/>
          <w:highlight w:val="none"/>
          <w:lang w:val="en-US" w:eastAsia="zh-CN"/>
        </w:rPr>
        <w:t xml:space="preserve">内外业结合核实探测 </w:t>
      </w:r>
    </w:p>
    <w:p>
      <w:pPr>
        <w:pStyle w:val="69"/>
        <w:keepNext w:val="0"/>
        <w:keepLines w:val="0"/>
        <w:pageBreakBefore w:val="0"/>
        <w:widowControl w:val="0"/>
        <w:numPr>
          <w:ilvl w:val="3"/>
          <w:numId w:val="0"/>
        </w:numPr>
        <w:kinsoku/>
        <w:wordWrap w:val="0"/>
        <w:overflowPunct/>
        <w:topLinePunct/>
        <w:autoSpaceDE/>
        <w:autoSpaceDN/>
        <w:bidi w:val="0"/>
        <w:adjustRightInd w:val="0"/>
        <w:snapToGrid w:val="0"/>
        <w:ind w:leftChars="0" w:firstLine="48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现有地下管线普查数据成果基本满足本次普查成果更新技术方案规定要求的，应当充分利用现有管线普查成果，采用内外业结合核实探测的方式进行普查更新。</w:t>
      </w:r>
    </w:p>
    <w:p>
      <w:pPr>
        <w:pStyle w:val="55"/>
        <w:ind w:firstLine="482"/>
        <w:rPr>
          <w:highlight w:val="none"/>
        </w:rPr>
      </w:pPr>
      <w:bookmarkStart w:id="1082" w:name="_Toc16593"/>
      <w:bookmarkStart w:id="1083" w:name="_Toc2389"/>
      <w:bookmarkStart w:id="1084" w:name="_Toc192"/>
      <w:bookmarkStart w:id="1085" w:name="_Toc1318"/>
      <w:r>
        <w:rPr>
          <w:rFonts w:hint="eastAsia"/>
          <w:highlight w:val="none"/>
          <w:lang w:eastAsia="zh-CN"/>
        </w:rPr>
        <w:t>预估工作量</w:t>
      </w:r>
      <w:bookmarkEnd w:id="1082"/>
    </w:p>
    <w:p>
      <w:pPr>
        <w:pStyle w:val="55"/>
        <w:numPr>
          <w:ilvl w:val="2"/>
          <w:numId w:val="0"/>
        </w:numPr>
        <w:ind w:leftChars="200"/>
        <w:outlineLvl w:val="9"/>
        <w:rPr>
          <w:rFonts w:hint="eastAsia" w:ascii="宋体" w:hAnsi="宋体" w:cs="宋体"/>
          <w:b w:val="0"/>
          <w:bCs/>
          <w:sz w:val="24"/>
          <w:highlight w:val="none"/>
          <w:lang w:eastAsia="zh-CN"/>
        </w:rPr>
      </w:pPr>
      <w:bookmarkStart w:id="1086" w:name="_Toc12181"/>
      <w:bookmarkStart w:id="1087" w:name="_Toc25241"/>
      <w:r>
        <w:rPr>
          <w:rFonts w:hint="eastAsia" w:ascii="宋体" w:hAnsi="宋体" w:cs="宋体"/>
          <w:b w:val="0"/>
          <w:bCs/>
          <w:sz w:val="24"/>
          <w:highlight w:val="none"/>
        </w:rPr>
        <w:t>根据项目范围内已有管线资料情况统计，预估本项目工作量</w:t>
      </w:r>
      <w:r>
        <w:rPr>
          <w:rFonts w:hint="eastAsia" w:ascii="宋体" w:hAnsi="宋体" w:cs="宋体"/>
          <w:b w:val="0"/>
          <w:bCs/>
          <w:sz w:val="24"/>
          <w:highlight w:val="none"/>
          <w:lang w:eastAsia="zh-CN"/>
        </w:rPr>
        <w:t>如下：</w:t>
      </w:r>
      <w:bookmarkEnd w:id="1086"/>
      <w:bookmarkEnd w:id="1087"/>
    </w:p>
    <w:tbl>
      <w:tblPr>
        <w:tblStyle w:val="26"/>
        <w:tblW w:w="8897" w:type="dxa"/>
        <w:tblInd w:w="7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23"/>
        <w:gridCol w:w="3318"/>
        <w:gridCol w:w="2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2923" w:type="dxa"/>
            <w:vAlign w:val="center"/>
          </w:tcPr>
          <w:p>
            <w:pPr>
              <w:pStyle w:val="2"/>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全野外探测（公里）</w:t>
            </w:r>
          </w:p>
        </w:tc>
        <w:tc>
          <w:tcPr>
            <w:tcW w:w="3318" w:type="dxa"/>
            <w:vAlign w:val="center"/>
          </w:tcPr>
          <w:p>
            <w:pPr>
              <w:pStyle w:val="2"/>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内外业结合核实探测（公里）</w:t>
            </w:r>
          </w:p>
        </w:tc>
        <w:tc>
          <w:tcPr>
            <w:tcW w:w="2656" w:type="dxa"/>
            <w:vAlign w:val="center"/>
          </w:tcPr>
          <w:p>
            <w:pPr>
              <w:pStyle w:val="2"/>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合计（公里）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923" w:type="dxa"/>
            <w:vAlign w:val="center"/>
          </w:tcPr>
          <w:p>
            <w:pPr>
              <w:pStyle w:val="2"/>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4"/>
                <w:highlight w:val="none"/>
                <w:lang w:val="en-US" w:eastAsia="zh-CN"/>
              </w:rPr>
            </w:pPr>
            <w:r>
              <w:rPr>
                <w:rFonts w:hint="eastAsia" w:ascii="宋体" w:cs="宋体"/>
                <w:color w:val="auto"/>
                <w:sz w:val="24"/>
                <w:highlight w:val="none"/>
                <w:lang w:val="en-US" w:eastAsia="zh-CN"/>
              </w:rPr>
              <w:t>1777</w:t>
            </w:r>
          </w:p>
        </w:tc>
        <w:tc>
          <w:tcPr>
            <w:tcW w:w="3318" w:type="dxa"/>
            <w:vAlign w:val="center"/>
          </w:tcPr>
          <w:p>
            <w:pPr>
              <w:pStyle w:val="2"/>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4"/>
                <w:highlight w:val="none"/>
                <w:lang w:val="en-US" w:eastAsia="zh-CN"/>
              </w:rPr>
            </w:pPr>
            <w:r>
              <w:rPr>
                <w:rFonts w:hint="eastAsia" w:ascii="宋体" w:cs="宋体"/>
                <w:color w:val="auto"/>
                <w:sz w:val="24"/>
                <w:highlight w:val="none"/>
                <w:lang w:val="en-US" w:eastAsia="zh-CN"/>
              </w:rPr>
              <w:t>223</w:t>
            </w:r>
          </w:p>
        </w:tc>
        <w:tc>
          <w:tcPr>
            <w:tcW w:w="2656" w:type="dxa"/>
            <w:vAlign w:val="center"/>
          </w:tcPr>
          <w:p>
            <w:pPr>
              <w:pStyle w:val="2"/>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4"/>
                <w:highlight w:val="none"/>
                <w:lang w:val="en-US" w:eastAsia="zh-CN"/>
              </w:rPr>
            </w:pPr>
            <w:r>
              <w:rPr>
                <w:rFonts w:hint="eastAsia" w:ascii="宋体" w:cs="宋体"/>
                <w:color w:val="auto"/>
                <w:sz w:val="24"/>
                <w:highlight w:val="none"/>
                <w:lang w:val="en-US" w:eastAsia="zh-CN"/>
              </w:rPr>
              <w:t>2000</w:t>
            </w:r>
          </w:p>
        </w:tc>
      </w:tr>
    </w:tbl>
    <w:p>
      <w:pPr>
        <w:pStyle w:val="55"/>
        <w:ind w:firstLine="482"/>
        <w:rPr>
          <w:highlight w:val="none"/>
        </w:rPr>
      </w:pPr>
      <w:bookmarkStart w:id="1088" w:name="_Toc12290"/>
      <w:r>
        <w:rPr>
          <w:rFonts w:hint="eastAsia"/>
          <w:highlight w:val="none"/>
          <w:lang w:eastAsia="zh-CN"/>
        </w:rPr>
        <w:t>已有资料情况</w:t>
      </w:r>
      <w:bookmarkEnd w:id="1088"/>
    </w:p>
    <w:p>
      <w:pPr>
        <w:pStyle w:val="34"/>
        <w:pageBreakBefore w:val="0"/>
        <w:widowControl w:val="0"/>
        <w:numPr>
          <w:ilvl w:val="0"/>
          <w:numId w:val="0"/>
        </w:numPr>
        <w:kinsoku/>
        <w:overflowPunct/>
        <w:autoSpaceDE/>
        <w:autoSpaceDN/>
        <w:bidi w:val="0"/>
        <w:adjustRightInd w:val="0"/>
        <w:snapToGrid w:val="0"/>
        <w:spacing w:before="0" w:after="0" w:line="440" w:lineRule="exact"/>
        <w:ind w:leftChars="0" w:firstLine="482" w:firstLineChars="200"/>
        <w:textAlignment w:val="auto"/>
        <w:outlineLvl w:val="9"/>
        <w:rPr>
          <w:rFonts w:hint="eastAsia" w:ascii="宋体" w:hAnsi="宋体" w:eastAsia="宋体" w:cs="宋体"/>
          <w:highlight w:val="none"/>
        </w:rPr>
      </w:pPr>
      <w:r>
        <w:rPr>
          <w:rFonts w:hint="eastAsia" w:ascii="宋体" w:hAnsi="宋体" w:eastAsia="宋体" w:cs="宋体"/>
          <w:highlight w:val="none"/>
          <w:lang w:val="en-US" w:eastAsia="zh-CN"/>
        </w:rPr>
        <w:t>1.</w:t>
      </w:r>
      <w:r>
        <w:rPr>
          <w:rFonts w:hint="eastAsia" w:ascii="宋体" w:hAnsi="宋体" w:eastAsia="宋体" w:cs="宋体"/>
          <w:highlight w:val="none"/>
        </w:rPr>
        <w:t xml:space="preserve"> 已有控制点成果</w:t>
      </w:r>
    </w:p>
    <w:p>
      <w:pPr>
        <w:pageBreakBefore w:val="0"/>
        <w:widowControl w:val="0"/>
        <w:kinsoku/>
        <w:overflowPunct/>
        <w:autoSpaceDE/>
        <w:autoSpaceDN/>
        <w:bidi w:val="0"/>
        <w:adjustRightInd w:val="0"/>
        <w:snapToGrid w:val="0"/>
        <w:spacing w:line="440" w:lineRule="exact"/>
        <w:ind w:leftChars="0" w:firstLine="480" w:firstLineChars="200"/>
        <w:textAlignment w:val="auto"/>
        <w:outlineLvl w:val="9"/>
        <w:rPr>
          <w:rFonts w:hint="eastAsia" w:ascii="宋体" w:hAnsi="宋体" w:eastAsia="宋体" w:cs="宋体"/>
          <w:sz w:val="24"/>
          <w:highlight w:val="none"/>
        </w:rPr>
      </w:pPr>
      <w:r>
        <w:rPr>
          <w:rFonts w:hint="eastAsia" w:ascii="宋体" w:hAnsi="宋体" w:eastAsia="宋体" w:cs="宋体"/>
          <w:sz w:val="24"/>
          <w:highlight w:val="none"/>
        </w:rPr>
        <w:t>控制点加密工作由成都市规划和自然资源局组织实施，控制点平面按GNSS RTK二级，高程按四等水准测量要求施测。控制点经加密后成果统一提供给普查作业单位使用。</w:t>
      </w:r>
    </w:p>
    <w:p>
      <w:pPr>
        <w:pStyle w:val="34"/>
        <w:pageBreakBefore w:val="0"/>
        <w:widowControl w:val="0"/>
        <w:numPr>
          <w:ilvl w:val="0"/>
          <w:numId w:val="0"/>
        </w:numPr>
        <w:kinsoku/>
        <w:overflowPunct/>
        <w:autoSpaceDE/>
        <w:autoSpaceDN/>
        <w:bidi w:val="0"/>
        <w:adjustRightInd w:val="0"/>
        <w:snapToGrid w:val="0"/>
        <w:spacing w:before="0" w:after="0" w:line="440" w:lineRule="exact"/>
        <w:ind w:leftChars="0" w:firstLine="482" w:firstLineChars="200"/>
        <w:textAlignment w:val="auto"/>
        <w:outlineLvl w:val="9"/>
        <w:rPr>
          <w:rFonts w:hint="eastAsia" w:ascii="宋体" w:hAnsi="宋体" w:eastAsia="宋体" w:cs="宋体"/>
          <w:b w:val="0"/>
          <w:bCs w:val="0"/>
          <w:highlight w:val="none"/>
        </w:rPr>
      </w:pPr>
      <w:r>
        <w:rPr>
          <w:rFonts w:hint="eastAsia" w:ascii="宋体" w:hAnsi="宋体" w:eastAsia="宋体" w:cs="宋体"/>
          <w:highlight w:val="none"/>
          <w:lang w:val="en-US" w:eastAsia="zh-CN"/>
        </w:rPr>
        <w:t>2.</w:t>
      </w:r>
      <w:r>
        <w:rPr>
          <w:rFonts w:hint="eastAsia" w:ascii="宋体" w:hAnsi="宋体" w:eastAsia="宋体" w:cs="宋体"/>
          <w:highlight w:val="none"/>
        </w:rPr>
        <w:t xml:space="preserve"> 已有地形图资料</w:t>
      </w:r>
    </w:p>
    <w:p>
      <w:pPr>
        <w:pageBreakBefore w:val="0"/>
        <w:widowControl w:val="0"/>
        <w:kinsoku/>
        <w:overflowPunct/>
        <w:autoSpaceDE/>
        <w:autoSpaceDN/>
        <w:bidi w:val="0"/>
        <w:adjustRightInd w:val="0"/>
        <w:snapToGrid w:val="0"/>
        <w:spacing w:line="440" w:lineRule="exact"/>
        <w:ind w:leftChars="0" w:firstLine="480" w:firstLineChars="200"/>
        <w:textAlignment w:val="auto"/>
        <w:outlineLvl w:val="9"/>
        <w:rPr>
          <w:rFonts w:hint="eastAsia" w:ascii="宋体" w:hAnsi="宋体" w:eastAsia="宋体" w:cs="宋体"/>
          <w:iCs/>
          <w:color w:val="auto"/>
          <w:sz w:val="24"/>
          <w:highlight w:val="none"/>
        </w:rPr>
      </w:pPr>
      <w:r>
        <w:rPr>
          <w:rFonts w:hint="eastAsia" w:ascii="宋体" w:hAnsi="宋体" w:eastAsia="宋体" w:cs="宋体"/>
          <w:iCs/>
          <w:color w:val="auto"/>
          <w:sz w:val="24"/>
          <w:highlight w:val="none"/>
        </w:rPr>
        <w:t>辖区内有1:</w:t>
      </w:r>
      <w:r>
        <w:rPr>
          <w:rFonts w:hint="eastAsia" w:cs="宋体"/>
          <w:iCs/>
          <w:color w:val="auto"/>
          <w:sz w:val="24"/>
          <w:highlight w:val="none"/>
          <w:lang w:val="en-US" w:eastAsia="zh-CN"/>
        </w:rPr>
        <w:t>20</w:t>
      </w:r>
      <w:r>
        <w:rPr>
          <w:rFonts w:hint="eastAsia" w:ascii="宋体" w:hAnsi="宋体" w:eastAsia="宋体" w:cs="宋体"/>
          <w:iCs/>
          <w:color w:val="auto"/>
          <w:sz w:val="24"/>
          <w:highlight w:val="none"/>
        </w:rPr>
        <w:t>00数字线划图（dwg格式）,</w:t>
      </w:r>
      <w:r>
        <w:rPr>
          <w:rFonts w:hint="eastAsia"/>
          <w:highlight w:val="none"/>
          <w:lang w:val="en-US" w:eastAsia="zh-CN"/>
        </w:rPr>
        <w:t>时效2016年</w:t>
      </w:r>
      <w:r>
        <w:rPr>
          <w:rFonts w:hint="eastAsia" w:ascii="宋体" w:hAnsi="宋体" w:eastAsia="宋体" w:cs="宋体"/>
          <w:iCs/>
          <w:color w:val="auto"/>
          <w:sz w:val="24"/>
          <w:highlight w:val="none"/>
        </w:rPr>
        <w:t>。</w:t>
      </w:r>
    </w:p>
    <w:p>
      <w:pPr>
        <w:pStyle w:val="34"/>
        <w:pageBreakBefore w:val="0"/>
        <w:widowControl w:val="0"/>
        <w:numPr>
          <w:ilvl w:val="0"/>
          <w:numId w:val="0"/>
        </w:numPr>
        <w:kinsoku/>
        <w:overflowPunct/>
        <w:autoSpaceDE/>
        <w:autoSpaceDN/>
        <w:bidi w:val="0"/>
        <w:adjustRightInd w:val="0"/>
        <w:snapToGrid w:val="0"/>
        <w:spacing w:before="0" w:after="0" w:line="440" w:lineRule="exact"/>
        <w:ind w:leftChars="0" w:firstLine="482"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 xml:space="preserve"> 已有管线成果</w:t>
      </w:r>
    </w:p>
    <w:p>
      <w:pPr>
        <w:pageBreakBefore w:val="0"/>
        <w:widowControl w:val="0"/>
        <w:kinsoku/>
        <w:overflowPunct/>
        <w:autoSpaceDE/>
        <w:autoSpaceDN/>
        <w:bidi w:val="0"/>
        <w:adjustRightInd w:val="0"/>
        <w:snapToGrid w:val="0"/>
        <w:spacing w:line="440" w:lineRule="exact"/>
        <w:ind w:leftChars="0" w:firstLine="480" w:firstLineChars="200"/>
        <w:textAlignment w:val="auto"/>
        <w:outlineLvl w:val="9"/>
        <w:rPr>
          <w:rFonts w:hint="eastAsia" w:ascii="宋体" w:hAnsi="宋体" w:eastAsia="宋体" w:cs="宋体"/>
          <w:i/>
          <w:color w:val="auto"/>
          <w:sz w:val="24"/>
          <w:highlight w:val="none"/>
        </w:rPr>
      </w:pPr>
      <w:r>
        <w:rPr>
          <w:rFonts w:hint="default" w:eastAsia="宋体"/>
          <w:highlight w:val="none"/>
          <w:lang w:val="en-US" w:eastAsia="zh-CN"/>
        </w:rPr>
        <w:t>平面坐标系统采用1980西安坐标系；高程系统采用1985国家高程基准</w:t>
      </w:r>
      <w:r>
        <w:rPr>
          <w:rFonts w:hint="eastAsia"/>
          <w:highlight w:val="none"/>
          <w:lang w:val="en-US" w:eastAsia="zh-CN"/>
        </w:rPr>
        <w:t>，2014年完成的地下管线普查，约223公里的排水管线</w:t>
      </w:r>
      <w:r>
        <w:rPr>
          <w:rFonts w:hint="eastAsia" w:ascii="宋体" w:hAnsi="宋体" w:eastAsia="宋体" w:cs="宋体"/>
          <w:iCs/>
          <w:color w:val="auto"/>
          <w:sz w:val="24"/>
          <w:highlight w:val="none"/>
        </w:rPr>
        <w:t>。</w:t>
      </w:r>
    </w:p>
    <w:p>
      <w:pPr>
        <w:pStyle w:val="55"/>
        <w:ind w:firstLine="482"/>
        <w:rPr>
          <w:highlight w:val="none"/>
        </w:rPr>
      </w:pPr>
      <w:bookmarkStart w:id="1089" w:name="_Toc7041"/>
      <w:r>
        <w:rPr>
          <w:rFonts w:hint="eastAsia"/>
          <w:highlight w:val="none"/>
          <w:lang w:eastAsia="zh-CN"/>
        </w:rPr>
        <w:t>可利用管线资料要求</w:t>
      </w:r>
      <w:bookmarkEnd w:id="1089"/>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1.可直接利用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1.1近年已完成的地下管线普查成果，满足本采购文件及</w:t>
      </w:r>
      <w:r>
        <w:rPr>
          <w:rFonts w:hint="eastAsia" w:ascii="宋体" w:hAnsi="宋体" w:eastAsia="宋体" w:cs="宋体"/>
          <w:b w:val="0"/>
          <w:bCs/>
          <w:sz w:val="24"/>
          <w:szCs w:val="24"/>
          <w:lang w:eastAsia="zh-CN"/>
        </w:rPr>
        <w:t>《成都市地下管线普查成果更新技术方案》（成管普领〔</w:t>
      </w:r>
      <w:r>
        <w:rPr>
          <w:rFonts w:hint="eastAsia" w:ascii="宋体" w:hAnsi="宋体" w:eastAsia="宋体" w:cs="宋体"/>
          <w:b w:val="0"/>
          <w:bCs/>
          <w:sz w:val="24"/>
          <w:szCs w:val="24"/>
          <w:lang w:val="en-US" w:eastAsia="zh-CN"/>
        </w:rPr>
        <w:t>2020</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7号</w:t>
      </w:r>
      <w:r>
        <w:rPr>
          <w:rFonts w:hint="eastAsia" w:ascii="宋体" w:hAnsi="宋体" w:eastAsia="宋体" w:cs="宋体"/>
          <w:b w:val="0"/>
          <w:bCs/>
          <w:sz w:val="24"/>
          <w:szCs w:val="24"/>
          <w:lang w:eastAsia="zh-CN"/>
        </w:rPr>
        <w:t>）</w:t>
      </w:r>
      <w:r>
        <w:rPr>
          <w:rFonts w:hint="eastAsia" w:ascii="宋体" w:hAnsi="宋体" w:eastAsia="宋体" w:cs="宋体"/>
          <w:color w:val="000000"/>
          <w:kern w:val="0"/>
          <w:sz w:val="24"/>
          <w:szCs w:val="24"/>
          <w:lang w:val="en-US" w:eastAsia="zh-CN" w:bidi="ar"/>
        </w:rPr>
        <w:t xml:space="preserve">规定要求，且无需进行外业核实探测的，可直接利用。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1.2可直接利用的普查成果采用内业数据转换的方式进行普查更新，不再进行普查探测，普查作业单位应根据可直接利用成果对新改（扩）建的管线进行补充探测，完成数据接边、汇总后统一提交成果。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1.3可直接利用的地下管线普查成果不纳入总工作量经费计算。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2.基本可利用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已有地下管线数据成果基本满足本方案规定要求的，应当充分利用已有管线数据成果，采用内外业结合核实探测的方式进行普查更新。 </w:t>
      </w:r>
    </w:p>
    <w:p>
      <w:pPr>
        <w:keepNext w:val="0"/>
        <w:keepLines w:val="0"/>
        <w:pageBreakBefore w:val="0"/>
        <w:widowControl/>
        <w:numPr>
          <w:ilvl w:val="0"/>
          <w:numId w:val="30"/>
        </w:numPr>
        <w:suppressLineNumbers w:val="0"/>
        <w:kinsoku/>
        <w:wordWrap/>
        <w:overflowPunct/>
        <w:topLinePunct w:val="0"/>
        <w:autoSpaceDE/>
        <w:autoSpaceDN/>
        <w:bidi w:val="0"/>
        <w:adjustRightInd w:val="0"/>
        <w:snapToGrid w:val="0"/>
        <w:ind w:left="0" w:leftChars="0"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可参考利用</w:t>
      </w:r>
    </w:p>
    <w:p>
      <w:pPr>
        <w:keepNext w:val="0"/>
        <w:keepLines w:val="0"/>
        <w:pageBreakBefore w:val="0"/>
        <w:widowControl w:val="0"/>
        <w:numPr>
          <w:ilvl w:val="0"/>
          <w:numId w:val="0"/>
        </w:numPr>
        <w:suppressLineNumbers w:val="0"/>
        <w:kinsoku w:val="0"/>
        <w:wordWrap/>
        <w:overflowPunct w:val="0"/>
        <w:topLinePunct w:val="0"/>
        <w:autoSpaceDE w:val="0"/>
        <w:autoSpaceDN w:val="0"/>
        <w:bidi w:val="0"/>
        <w:adjustRightInd w:val="0"/>
        <w:snapToGrid w:val="0"/>
        <w:ind w:leftChars="0"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3.1已有地下管线普查数据成果年代久远，数据成果不满足本采购文件及</w:t>
      </w:r>
      <w:r>
        <w:rPr>
          <w:rFonts w:hint="eastAsia" w:ascii="宋体" w:hAnsi="宋体" w:eastAsia="宋体" w:cs="宋体"/>
          <w:b w:val="0"/>
          <w:bCs/>
          <w:sz w:val="24"/>
          <w:szCs w:val="24"/>
          <w:lang w:eastAsia="zh-CN"/>
        </w:rPr>
        <w:t>《成都市地下管线普查成果更新技术方案》</w:t>
      </w:r>
      <w:r>
        <w:rPr>
          <w:rFonts w:hint="eastAsia" w:ascii="宋体" w:hAnsi="宋体" w:eastAsia="宋体" w:cs="宋体"/>
          <w:b w:val="0"/>
          <w:bCs/>
          <w:sz w:val="24"/>
          <w:szCs w:val="24"/>
          <w:lang w:val="en-US" w:eastAsia="zh-CN"/>
        </w:rPr>
        <w:t>(</w:t>
      </w:r>
      <w:r>
        <w:rPr>
          <w:rFonts w:hint="eastAsia" w:ascii="宋体" w:hAnsi="宋体" w:eastAsia="宋体" w:cs="宋体"/>
          <w:b w:val="0"/>
          <w:bCs/>
          <w:sz w:val="24"/>
          <w:szCs w:val="24"/>
          <w:lang w:eastAsia="zh-CN"/>
        </w:rPr>
        <w:t>成管普领〔</w:t>
      </w:r>
      <w:r>
        <w:rPr>
          <w:rFonts w:hint="eastAsia" w:ascii="宋体" w:hAnsi="宋体" w:eastAsia="宋体" w:cs="宋体"/>
          <w:b w:val="0"/>
          <w:bCs/>
          <w:sz w:val="24"/>
          <w:szCs w:val="24"/>
          <w:lang w:val="en-US" w:eastAsia="zh-CN"/>
        </w:rPr>
        <w:t>2020</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7号)</w:t>
      </w:r>
      <w:r>
        <w:rPr>
          <w:rFonts w:hint="eastAsia" w:ascii="宋体" w:hAnsi="宋体" w:eastAsia="宋体" w:cs="宋体"/>
          <w:color w:val="000000"/>
          <w:kern w:val="0"/>
          <w:sz w:val="24"/>
          <w:szCs w:val="24"/>
          <w:lang w:val="en-US" w:eastAsia="zh-CN" w:bidi="ar"/>
        </w:rPr>
        <w:t xml:space="preserve">规定要求的，仅可作为示意性资料参考使用，采用全野外探测的方式进行普查更新。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3.2纸质资料及示意性资料仅可作为工作底图参考使用。</w:t>
      </w:r>
    </w:p>
    <w:p>
      <w:pPr>
        <w:pStyle w:val="55"/>
        <w:keepNext w:val="0"/>
        <w:keepLines w:val="0"/>
        <w:pageBreakBefore w:val="0"/>
        <w:widowControl w:val="0"/>
        <w:kinsoku/>
        <w:wordWrap w:val="0"/>
        <w:overflowPunct/>
        <w:topLinePunct/>
        <w:autoSpaceDE/>
        <w:autoSpaceDN/>
        <w:bidi w:val="0"/>
        <w:adjustRightInd w:val="0"/>
        <w:snapToGrid w:val="0"/>
        <w:ind w:firstLine="482" w:firstLineChars="200"/>
        <w:textAlignment w:val="auto"/>
      </w:pPr>
      <w:bookmarkStart w:id="1090" w:name="_Toc23004"/>
      <w:r>
        <w:rPr>
          <w:rFonts w:hint="eastAsia"/>
          <w:lang w:eastAsia="zh-CN"/>
        </w:rPr>
        <w:t>技术路线</w:t>
      </w:r>
      <w:bookmarkEnd w:id="1090"/>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eastAsia"/>
          <w:b w:val="0"/>
          <w:bCs/>
          <w:lang w:val="en-US" w:eastAsia="zh-CN"/>
        </w:rPr>
      </w:pPr>
      <w:bookmarkStart w:id="1091" w:name="_Toc1718"/>
      <w:bookmarkStart w:id="1092" w:name="_Toc17863"/>
      <w:r>
        <w:rPr>
          <w:b w:val="0"/>
          <w:bCs/>
          <w:lang w:val="en-US" w:eastAsia="zh-CN"/>
        </w:rPr>
        <w:t>地下管线普查成果更新技术路线主要分为资料收集分析、基础</w:t>
      </w:r>
      <w:r>
        <w:rPr>
          <w:rFonts w:hint="eastAsia"/>
          <w:b w:val="0"/>
          <w:bCs/>
          <w:lang w:val="en-US" w:eastAsia="zh-CN"/>
        </w:rPr>
        <w:t>工作准备、探测技术准备、地下管线全野外探测、地下管线内外业结合核实探测、地下管线数据处理、地下管线图编绘、普查作业单位质量检查、普查工程监理、普查更新成果核验、测绘成果质量检验、成果汇交、数据整合检查、数据入库、地下管线基础信息系统建设和成果验收与归档等过程。具体路线图见图1成都市地下管线普查成果更新技术路线图。</w:t>
      </w:r>
      <w:bookmarkEnd w:id="1091"/>
      <w:bookmarkEnd w:id="1092"/>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eastAsia"/>
          <w:b w:val="0"/>
          <w:bCs/>
          <w:lang w:val="en-US" w:eastAsia="zh-CN"/>
        </w:rPr>
      </w:pP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eastAsia"/>
          <w:b w:val="0"/>
          <w:bCs/>
          <w:lang w:val="en-US" w:eastAsia="zh-CN"/>
        </w:rPr>
      </w:pP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eastAsia"/>
          <w:b w:val="0"/>
          <w:bCs/>
          <w:lang w:val="en-US" w:eastAsia="zh-CN"/>
        </w:rPr>
      </w:pP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eastAsia"/>
          <w:b w:val="0"/>
          <w:bCs/>
          <w:lang w:val="en-US" w:eastAsia="zh-CN"/>
        </w:rPr>
      </w:pP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eastAsia"/>
          <w:b w:val="0"/>
          <w:bCs/>
          <w:lang w:val="en-US" w:eastAsia="zh-CN"/>
        </w:rPr>
      </w:pP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eastAsia"/>
          <w:b w:val="0"/>
          <w:bCs/>
          <w:lang w:val="en-US" w:eastAsia="zh-CN"/>
        </w:rPr>
      </w:pP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eastAsia"/>
          <w:b w:val="0"/>
          <w:bCs/>
          <w:lang w:val="en-US" w:eastAsia="zh-CN"/>
        </w:rPr>
      </w:pP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eastAsia"/>
          <w:b w:val="0"/>
          <w:bCs/>
          <w:lang w:val="en-US" w:eastAsia="zh-CN"/>
        </w:rPr>
      </w:pP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eastAsia"/>
          <w:b w:val="0"/>
          <w:bCs/>
          <w:lang w:val="en-US" w:eastAsia="zh-CN"/>
        </w:rPr>
      </w:pP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eastAsia"/>
          <w:b w:val="0"/>
          <w:bCs/>
          <w:lang w:val="en-US" w:eastAsia="zh-CN"/>
        </w:rPr>
      </w:pP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jc w:val="center"/>
        <w:textAlignment w:val="auto"/>
        <w:outlineLvl w:val="9"/>
        <w:rPr>
          <w:rFonts w:hint="eastAsia"/>
          <w:b w:val="0"/>
          <w:bCs/>
          <w:lang w:val="en-US" w:eastAsia="zh-CN"/>
        </w:rPr>
      </w:pPr>
      <w:bookmarkStart w:id="1093" w:name="_Toc18718"/>
      <w:bookmarkStart w:id="1094" w:name="_Toc15648"/>
      <w:r>
        <w:rPr>
          <w:b w:val="0"/>
          <w:bCs/>
        </w:rPr>
        <w:drawing>
          <wp:anchor distT="0" distB="0" distL="114300" distR="114300" simplePos="0" relativeHeight="251664384" behindDoc="0" locked="0" layoutInCell="1" allowOverlap="1">
            <wp:simplePos x="0" y="0"/>
            <wp:positionH relativeFrom="column">
              <wp:posOffset>90805</wp:posOffset>
            </wp:positionH>
            <wp:positionV relativeFrom="paragraph">
              <wp:posOffset>235585</wp:posOffset>
            </wp:positionV>
            <wp:extent cx="5814060" cy="8162290"/>
            <wp:effectExtent l="0" t="0" r="15240" b="10160"/>
            <wp:wrapTopAndBottom/>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8"/>
                    <a:stretch>
                      <a:fillRect/>
                    </a:stretch>
                  </pic:blipFill>
                  <pic:spPr>
                    <a:xfrm>
                      <a:off x="0" y="0"/>
                      <a:ext cx="5814060" cy="8162290"/>
                    </a:xfrm>
                    <a:prstGeom prst="rect">
                      <a:avLst/>
                    </a:prstGeom>
                    <a:noFill/>
                    <a:ln>
                      <a:noFill/>
                    </a:ln>
                  </pic:spPr>
                </pic:pic>
              </a:graphicData>
            </a:graphic>
          </wp:anchor>
        </w:drawing>
      </w:r>
      <w:r>
        <w:rPr>
          <w:rFonts w:hint="eastAsia"/>
          <w:b w:val="0"/>
          <w:bCs/>
          <w:lang w:eastAsia="zh-CN"/>
        </w:rPr>
        <w:t>图</w:t>
      </w:r>
      <w:r>
        <w:rPr>
          <w:rFonts w:hint="eastAsia"/>
          <w:b w:val="0"/>
          <w:bCs/>
          <w:lang w:val="en-US" w:eastAsia="zh-CN"/>
        </w:rPr>
        <w:t>1 成都市地下管线普查成果更新技术路线图</w:t>
      </w:r>
      <w:bookmarkEnd w:id="1093"/>
      <w:bookmarkEnd w:id="1094"/>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jc w:val="center"/>
        <w:textAlignment w:val="auto"/>
        <w:outlineLvl w:val="9"/>
        <w:rPr>
          <w:rFonts w:hint="eastAsia"/>
          <w:b w:val="0"/>
          <w:bCs/>
          <w:lang w:val="en-US" w:eastAsia="zh-CN"/>
        </w:rPr>
      </w:pPr>
    </w:p>
    <w:bookmarkEnd w:id="1083"/>
    <w:bookmarkEnd w:id="1084"/>
    <w:bookmarkEnd w:id="1085"/>
    <w:p>
      <w:pPr>
        <w:pStyle w:val="55"/>
        <w:ind w:firstLine="482"/>
        <w:rPr>
          <w:rFonts w:hint="eastAsia"/>
        </w:rPr>
      </w:pPr>
      <w:bookmarkStart w:id="1095" w:name="_Toc25840"/>
      <w:bookmarkStart w:id="1096" w:name="_Toc876"/>
      <w:bookmarkStart w:id="1097" w:name="_Toc20959"/>
      <w:bookmarkStart w:id="1098" w:name="_Toc32547"/>
      <w:r>
        <w:rPr>
          <w:rFonts w:hint="eastAsia"/>
          <w:lang w:eastAsia="zh-CN"/>
        </w:rPr>
        <w:t>工作依据</w:t>
      </w:r>
      <w:bookmarkEnd w:id="1095"/>
    </w:p>
    <w:p>
      <w:pPr>
        <w:pStyle w:val="69"/>
        <w:ind w:firstLine="480"/>
        <w:rPr>
          <w:rFonts w:hint="eastAsia"/>
        </w:rPr>
      </w:pPr>
      <w:r>
        <w:rPr>
          <w:rFonts w:hint="eastAsia"/>
          <w:lang w:val="en-US" w:eastAsia="zh-CN"/>
        </w:rPr>
        <w:t xml:space="preserve">《测绘成果质量检查与验收》GB/T 24356； </w:t>
      </w:r>
    </w:p>
    <w:p>
      <w:pPr>
        <w:pStyle w:val="69"/>
        <w:ind w:firstLine="480"/>
        <w:rPr>
          <w:rFonts w:hint="eastAsia"/>
        </w:rPr>
      </w:pPr>
      <w:r>
        <w:rPr>
          <w:rFonts w:hint="eastAsia"/>
          <w:lang w:val="en-US" w:eastAsia="zh-CN"/>
        </w:rPr>
        <w:t xml:space="preserve">《数字测绘成果质量检查与验收》GB/T 18316； </w:t>
      </w:r>
    </w:p>
    <w:p>
      <w:pPr>
        <w:pStyle w:val="69"/>
        <w:ind w:firstLine="480"/>
        <w:rPr>
          <w:rFonts w:hint="eastAsia"/>
        </w:rPr>
      </w:pPr>
      <w:r>
        <w:rPr>
          <w:rFonts w:hint="eastAsia"/>
          <w:lang w:val="en-US" w:eastAsia="zh-CN"/>
        </w:rPr>
        <w:t xml:space="preserve">《全球定位系统（GPS）测量规范》GB/T 18314； </w:t>
      </w:r>
    </w:p>
    <w:p>
      <w:pPr>
        <w:pStyle w:val="69"/>
        <w:ind w:firstLine="480"/>
        <w:rPr>
          <w:rFonts w:hint="eastAsia"/>
        </w:rPr>
      </w:pPr>
      <w:r>
        <w:rPr>
          <w:rFonts w:hint="eastAsia"/>
          <w:lang w:val="en-US" w:eastAsia="zh-CN"/>
        </w:rPr>
        <w:t xml:space="preserve">《国家基本比例尺地图图式第 1 部分 1:500、1:1000、1:2000 地形图图式》GB/T 20257.1； </w:t>
      </w:r>
    </w:p>
    <w:p>
      <w:pPr>
        <w:pStyle w:val="69"/>
        <w:ind w:firstLine="480"/>
        <w:rPr>
          <w:rFonts w:hint="eastAsia"/>
        </w:rPr>
      </w:pPr>
      <w:r>
        <w:rPr>
          <w:rFonts w:hint="eastAsia"/>
          <w:lang w:val="en-US" w:eastAsia="zh-CN"/>
        </w:rPr>
        <w:t xml:space="preserve">《中华人民共和国行政区划代码》GB/T 2260； </w:t>
      </w:r>
    </w:p>
    <w:p>
      <w:pPr>
        <w:pStyle w:val="69"/>
        <w:ind w:firstLine="480"/>
        <w:rPr>
          <w:rFonts w:hint="eastAsia"/>
        </w:rPr>
      </w:pPr>
      <w:r>
        <w:rPr>
          <w:rFonts w:hint="eastAsia"/>
          <w:lang w:val="en-US" w:eastAsia="zh-CN"/>
        </w:rPr>
        <w:t xml:space="preserve">《城市地下管线探测技术规程》CJJ 61； </w:t>
      </w:r>
    </w:p>
    <w:p>
      <w:pPr>
        <w:pStyle w:val="69"/>
        <w:ind w:firstLine="480"/>
        <w:rPr>
          <w:rFonts w:hint="eastAsia"/>
        </w:rPr>
      </w:pPr>
      <w:r>
        <w:rPr>
          <w:rFonts w:hint="eastAsia"/>
          <w:lang w:val="en-US" w:eastAsia="zh-CN"/>
        </w:rPr>
        <w:t xml:space="preserve">《城市测量规范》CJJ/T 8； </w:t>
      </w:r>
    </w:p>
    <w:p>
      <w:pPr>
        <w:pStyle w:val="69"/>
        <w:ind w:firstLine="480"/>
        <w:rPr>
          <w:rFonts w:hint="eastAsia"/>
        </w:rPr>
      </w:pPr>
      <w:r>
        <w:rPr>
          <w:rFonts w:hint="eastAsia"/>
          <w:lang w:val="en-US" w:eastAsia="zh-CN"/>
        </w:rPr>
        <w:t xml:space="preserve">《卫星定位城市测量技术标准》CJJ/T 73； </w:t>
      </w:r>
    </w:p>
    <w:p>
      <w:pPr>
        <w:pStyle w:val="69"/>
        <w:ind w:firstLine="480"/>
        <w:rPr>
          <w:rFonts w:hint="eastAsia"/>
        </w:rPr>
      </w:pPr>
      <w:r>
        <w:rPr>
          <w:rFonts w:hint="eastAsia"/>
          <w:lang w:val="en-US" w:eastAsia="zh-CN"/>
        </w:rPr>
        <w:t xml:space="preserve">《城市地下管线探测工程监理导则》RISN-TG011； </w:t>
      </w:r>
    </w:p>
    <w:p>
      <w:pPr>
        <w:pStyle w:val="69"/>
        <w:ind w:firstLine="480"/>
        <w:rPr>
          <w:rFonts w:hint="eastAsia"/>
        </w:rPr>
      </w:pPr>
      <w:r>
        <w:rPr>
          <w:rFonts w:hint="eastAsia"/>
          <w:lang w:val="en-US" w:eastAsia="zh-CN"/>
        </w:rPr>
        <w:t xml:space="preserve">《管线测量成果质量检验技术规程》CH/T 1033； </w:t>
      </w:r>
    </w:p>
    <w:p>
      <w:pPr>
        <w:pStyle w:val="69"/>
        <w:ind w:firstLine="480"/>
        <w:rPr>
          <w:rFonts w:hint="eastAsia"/>
        </w:rPr>
      </w:pPr>
      <w:r>
        <w:rPr>
          <w:rFonts w:hint="eastAsia"/>
          <w:lang w:val="en-US" w:eastAsia="zh-CN"/>
        </w:rPr>
        <w:t xml:space="preserve">《城镇地下管线普查技术规程》DB51/T 2276-2016； </w:t>
      </w:r>
    </w:p>
    <w:p>
      <w:pPr>
        <w:pStyle w:val="69"/>
        <w:ind w:firstLine="480"/>
        <w:rPr>
          <w:rFonts w:hint="eastAsia"/>
        </w:rPr>
      </w:pPr>
      <w:r>
        <w:rPr>
          <w:rFonts w:hint="eastAsia"/>
          <w:lang w:val="en-US" w:eastAsia="zh-CN"/>
        </w:rPr>
        <w:t xml:space="preserve">《城镇地下管线普查数据规定》DB51/T 2277-2016； </w:t>
      </w:r>
    </w:p>
    <w:p>
      <w:pPr>
        <w:pStyle w:val="69"/>
        <w:ind w:firstLine="480"/>
        <w:rPr>
          <w:rFonts w:hint="eastAsia"/>
        </w:rPr>
      </w:pPr>
      <w:r>
        <w:rPr>
          <w:rFonts w:hint="eastAsia"/>
          <w:lang w:val="en-US" w:eastAsia="zh-CN"/>
        </w:rPr>
        <w:t xml:space="preserve">《城镇地下管线普查成果质量检验技术规定》DB51/T 2449-2018； </w:t>
      </w:r>
    </w:p>
    <w:p>
      <w:pPr>
        <w:pStyle w:val="69"/>
        <w:ind w:firstLine="480"/>
        <w:rPr>
          <w:rFonts w:hint="eastAsia"/>
        </w:rPr>
      </w:pPr>
      <w:r>
        <w:rPr>
          <w:rFonts w:hint="eastAsia"/>
          <w:lang w:val="en-US" w:eastAsia="zh-CN"/>
        </w:rPr>
        <w:t>《电子文件归档光盘技术要求和应用规范》DA/38-2008；</w:t>
      </w:r>
    </w:p>
    <w:p>
      <w:pPr>
        <w:pStyle w:val="69"/>
        <w:ind w:firstLine="480"/>
      </w:pPr>
      <w:r>
        <w:rPr>
          <w:rFonts w:hint="eastAsia" w:ascii="宋体" w:hAnsi="宋体" w:cs="宋体"/>
          <w:sz w:val="24"/>
        </w:rPr>
        <w:t>《成都市地下管线普查成果更新实施方案》；</w:t>
      </w:r>
    </w:p>
    <w:p>
      <w:pPr>
        <w:pStyle w:val="69"/>
        <w:ind w:firstLine="480"/>
      </w:pPr>
      <w:r>
        <w:rPr>
          <w:rFonts w:hint="eastAsia" w:ascii="宋体" w:hAnsi="宋体" w:cs="宋体"/>
          <w:sz w:val="24"/>
        </w:rPr>
        <w:t>《成都市地下管线普查成果更新技术方案》；</w:t>
      </w:r>
    </w:p>
    <w:p>
      <w:pPr>
        <w:pStyle w:val="69"/>
        <w:ind w:firstLine="480"/>
      </w:pPr>
      <w:r>
        <w:rPr>
          <w:rFonts w:hint="eastAsia"/>
        </w:rPr>
        <w:t>本采购文件。</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2" w:firstLineChars="200"/>
        <w:textAlignment w:val="auto"/>
        <w:outlineLvl w:val="9"/>
        <w:rPr>
          <w:rFonts w:hint="eastAsia"/>
        </w:rPr>
      </w:pPr>
      <w:bookmarkStart w:id="1099" w:name="_Toc28296"/>
      <w:bookmarkStart w:id="1100" w:name="_Toc5174"/>
      <w:r>
        <w:rPr>
          <w:rFonts w:hint="eastAsia" w:cs="宋体"/>
          <w:b/>
          <w:bCs/>
        </w:rPr>
        <w:t>注：本采购文件中具体规定与作业依据不一致时，以本采购文件为准，以上标准若有更新则以国家最新行业规定执行。</w:t>
      </w:r>
      <w:bookmarkEnd w:id="1099"/>
      <w:bookmarkEnd w:id="1100"/>
    </w:p>
    <w:p>
      <w:pPr>
        <w:pStyle w:val="55"/>
        <w:ind w:firstLine="482"/>
        <w:rPr>
          <w:rFonts w:hint="eastAsia"/>
        </w:rPr>
      </w:pPr>
      <w:bookmarkStart w:id="1101" w:name="_Toc26632"/>
      <w:r>
        <w:rPr>
          <w:rFonts w:hint="eastAsia"/>
        </w:rPr>
        <w:t>工作要求</w:t>
      </w:r>
      <w:bookmarkEnd w:id="1096"/>
      <w:bookmarkEnd w:id="1097"/>
      <w:bookmarkEnd w:id="1098"/>
      <w:bookmarkEnd w:id="1101"/>
    </w:p>
    <w:p>
      <w:pPr>
        <w:pStyle w:val="69"/>
        <w:ind w:firstLine="482"/>
        <w:rPr>
          <w:b/>
          <w:bCs/>
        </w:rPr>
      </w:pPr>
      <w:r>
        <w:rPr>
          <w:rFonts w:hint="eastAsia"/>
          <w:b/>
          <w:bCs/>
        </w:rPr>
        <w:t>数学基础</w:t>
      </w:r>
    </w:p>
    <w:p>
      <w:pPr>
        <w:pStyle w:val="71"/>
        <w:ind w:firstLine="480"/>
      </w:pPr>
      <w:r>
        <w:rPr>
          <w:rFonts w:hint="eastAsia"/>
        </w:rPr>
        <w:t>坐标系统采用成都市平面坐标系统</w:t>
      </w:r>
      <w:r>
        <w:rPr>
          <w:rFonts w:hint="eastAsia"/>
          <w:lang w:eastAsia="zh-CN"/>
        </w:rPr>
        <w:t>（东带）</w:t>
      </w:r>
      <w:r>
        <w:rPr>
          <w:rFonts w:hint="eastAsia"/>
        </w:rPr>
        <w:t>；</w:t>
      </w:r>
    </w:p>
    <w:p>
      <w:pPr>
        <w:pStyle w:val="71"/>
        <w:ind w:firstLine="480"/>
      </w:pPr>
      <w:r>
        <w:rPr>
          <w:rFonts w:hint="eastAsia"/>
        </w:rPr>
        <w:t>高程系统采用1985国家高程基准，正常高系统；</w:t>
      </w:r>
    </w:p>
    <w:p>
      <w:pPr>
        <w:pStyle w:val="69"/>
        <w:ind w:firstLine="482"/>
        <w:rPr>
          <w:rFonts w:hint="eastAsia"/>
          <w:b/>
          <w:bCs/>
        </w:rPr>
      </w:pPr>
      <w:bookmarkStart w:id="1102" w:name="_Toc17415"/>
      <w:bookmarkStart w:id="1103" w:name="_Toc3466"/>
      <w:bookmarkStart w:id="1104" w:name="_Toc7014"/>
      <w:r>
        <w:rPr>
          <w:rFonts w:hint="eastAsia"/>
          <w:b/>
          <w:bCs/>
          <w:lang w:val="en-US" w:eastAsia="zh-CN"/>
        </w:rPr>
        <w:t xml:space="preserve">数据格式 </w:t>
      </w:r>
    </w:p>
    <w:p>
      <w:pPr>
        <w:pStyle w:val="69"/>
        <w:numPr>
          <w:ilvl w:val="3"/>
          <w:numId w:val="0"/>
        </w:numPr>
        <w:ind w:leftChars="200"/>
        <w:rPr>
          <w:rFonts w:hint="eastAsia"/>
          <w:lang w:val="en-US" w:eastAsia="zh-CN"/>
        </w:rPr>
      </w:pPr>
      <w:r>
        <w:rPr>
          <w:rFonts w:hint="eastAsia"/>
          <w:lang w:val="en-US" w:eastAsia="zh-CN"/>
        </w:rPr>
        <w:t xml:space="preserve">（1）管线数据文件采用 Access 的 MDB 数据库格式。 </w:t>
      </w:r>
    </w:p>
    <w:p>
      <w:pPr>
        <w:pStyle w:val="69"/>
        <w:numPr>
          <w:ilvl w:val="3"/>
          <w:numId w:val="0"/>
        </w:numPr>
        <w:ind w:leftChars="200"/>
        <w:rPr>
          <w:rFonts w:hint="eastAsia"/>
        </w:rPr>
      </w:pPr>
      <w:r>
        <w:rPr>
          <w:rFonts w:hint="eastAsia"/>
          <w:lang w:val="en-US" w:eastAsia="zh-CN"/>
        </w:rPr>
        <w:t xml:space="preserve">（2）管线图形文件采用 DWG 格式。 </w:t>
      </w:r>
    </w:p>
    <w:p>
      <w:pPr>
        <w:pStyle w:val="69"/>
        <w:ind w:firstLine="482"/>
        <w:rPr>
          <w:rFonts w:hint="eastAsia"/>
          <w:b/>
          <w:bCs/>
          <w:lang w:val="en-US" w:eastAsia="zh-CN"/>
        </w:rPr>
      </w:pPr>
      <w:r>
        <w:rPr>
          <w:rFonts w:hint="eastAsia"/>
          <w:b/>
          <w:bCs/>
          <w:lang w:val="en-US" w:eastAsia="zh-CN"/>
        </w:rPr>
        <w:t xml:space="preserve">成果单元 </w:t>
      </w:r>
    </w:p>
    <w:p>
      <w:pPr>
        <w:pStyle w:val="55"/>
        <w:numPr>
          <w:ilvl w:val="2"/>
          <w:numId w:val="0"/>
        </w:numPr>
        <w:ind w:leftChars="200"/>
        <w:outlineLvl w:val="9"/>
        <w:rPr>
          <w:rFonts w:hint="eastAsia"/>
          <w:b w:val="0"/>
          <w:bCs/>
        </w:rPr>
      </w:pPr>
      <w:bookmarkStart w:id="1105" w:name="_Toc28763"/>
      <w:r>
        <w:rPr>
          <w:rFonts w:hint="eastAsia"/>
          <w:b w:val="0"/>
          <w:bCs/>
          <w:lang w:val="en-US" w:eastAsia="zh-CN"/>
        </w:rPr>
        <w:t>（1）管线数据文件以标段为成果单元。</w:t>
      </w:r>
      <w:bookmarkEnd w:id="1105"/>
      <w:r>
        <w:rPr>
          <w:rFonts w:hint="eastAsia"/>
          <w:b w:val="0"/>
          <w:bCs/>
          <w:lang w:val="en-US" w:eastAsia="zh-CN"/>
        </w:rPr>
        <w:t xml:space="preserve"> </w:t>
      </w:r>
    </w:p>
    <w:p>
      <w:pPr>
        <w:pStyle w:val="55"/>
        <w:numPr>
          <w:ilvl w:val="2"/>
          <w:numId w:val="0"/>
        </w:numPr>
        <w:ind w:leftChars="200"/>
        <w:outlineLvl w:val="9"/>
        <w:rPr>
          <w:rFonts w:hint="eastAsia"/>
          <w:b w:val="0"/>
          <w:bCs/>
        </w:rPr>
      </w:pPr>
      <w:bookmarkStart w:id="1106" w:name="_Toc4575"/>
      <w:r>
        <w:rPr>
          <w:rFonts w:hint="eastAsia"/>
          <w:b w:val="0"/>
          <w:bCs/>
          <w:lang w:val="en-US" w:eastAsia="zh-CN"/>
        </w:rPr>
        <w:t>（2）管线图形文件以 1:500 分幅为成果单元。</w:t>
      </w:r>
      <w:bookmarkEnd w:id="1106"/>
    </w:p>
    <w:p>
      <w:pPr>
        <w:pStyle w:val="55"/>
        <w:ind w:firstLine="482"/>
      </w:pPr>
      <w:bookmarkStart w:id="1107" w:name="_Toc29455"/>
      <w:r>
        <w:rPr>
          <w:rFonts w:hint="eastAsia"/>
          <w:lang w:eastAsia="zh-CN"/>
        </w:rPr>
        <w:t>地下管线探测技术准备</w:t>
      </w:r>
      <w:bookmarkEnd w:id="1107"/>
    </w:p>
    <w:p>
      <w:pPr>
        <w:pStyle w:val="55"/>
        <w:numPr>
          <w:ilvl w:val="2"/>
          <w:numId w:val="0"/>
        </w:numPr>
        <w:ind w:leftChars="200"/>
        <w:outlineLvl w:val="9"/>
        <w:rPr>
          <w:rFonts w:hint="eastAsia" w:eastAsia="宋体"/>
          <w:b/>
          <w:bCs w:val="0"/>
          <w:lang w:val="en-US" w:eastAsia="zh-CN"/>
        </w:rPr>
      </w:pPr>
      <w:bookmarkStart w:id="1108" w:name="_Toc24245"/>
      <w:bookmarkStart w:id="1109" w:name="_Toc31327"/>
      <w:r>
        <w:rPr>
          <w:rFonts w:hint="eastAsia"/>
          <w:b/>
          <w:bCs w:val="0"/>
          <w:lang w:val="en-US" w:eastAsia="zh-CN"/>
        </w:rPr>
        <w:t>1.一般规定</w:t>
      </w:r>
      <w:bookmarkEnd w:id="1108"/>
      <w:bookmarkEnd w:id="1109"/>
    </w:p>
    <w:p>
      <w:pPr>
        <w:pStyle w:val="55"/>
        <w:numPr>
          <w:ilvl w:val="2"/>
          <w:numId w:val="0"/>
        </w:numPr>
        <w:ind w:leftChars="200"/>
        <w:outlineLvl w:val="9"/>
        <w:rPr>
          <w:b w:val="0"/>
          <w:bCs/>
        </w:rPr>
      </w:pPr>
      <w:bookmarkStart w:id="1110" w:name="_Toc1269"/>
      <w:bookmarkStart w:id="1111" w:name="_Toc3276"/>
      <w:r>
        <w:rPr>
          <w:rFonts w:hint="eastAsia"/>
          <w:b w:val="0"/>
          <w:bCs/>
          <w:lang w:val="en-US" w:eastAsia="zh-CN"/>
        </w:rPr>
        <w:t>1.1</w:t>
      </w:r>
      <w:r>
        <w:rPr>
          <w:b w:val="0"/>
          <w:bCs/>
          <w:lang w:val="en-US" w:eastAsia="zh-CN"/>
        </w:rPr>
        <w:t>地下管线普查的管线类别和取舍标准按</w:t>
      </w:r>
      <w:r>
        <w:rPr>
          <w:rFonts w:hint="eastAsia"/>
          <w:b w:val="0"/>
          <w:bCs/>
          <w:lang w:val="en-US" w:eastAsia="zh-CN"/>
        </w:rPr>
        <w:t xml:space="preserve"> </w:t>
      </w:r>
      <w:r>
        <w:rPr>
          <w:b w:val="0"/>
          <w:bCs/>
          <w:lang w:val="en-US" w:eastAsia="zh-CN"/>
        </w:rPr>
        <w:t>表</w:t>
      </w:r>
      <w:r>
        <w:rPr>
          <w:rFonts w:hint="default"/>
          <w:b w:val="0"/>
          <w:bCs/>
          <w:lang w:val="en-US" w:eastAsia="zh-CN"/>
        </w:rPr>
        <w:t xml:space="preserve">2 </w:t>
      </w:r>
      <w:r>
        <w:rPr>
          <w:rFonts w:hint="eastAsia"/>
          <w:b w:val="0"/>
          <w:bCs/>
          <w:lang w:val="en-US" w:eastAsia="zh-CN"/>
        </w:rPr>
        <w:t>执行</w:t>
      </w:r>
      <w:bookmarkEnd w:id="1110"/>
      <w:bookmarkEnd w:id="1111"/>
    </w:p>
    <w:tbl>
      <w:tblPr>
        <w:tblStyle w:val="26"/>
        <w:tblW w:w="7819" w:type="dxa"/>
        <w:jc w:val="center"/>
        <w:shd w:val="clear" w:color="auto" w:fill="auto"/>
        <w:tblLayout w:type="fixed"/>
        <w:tblCellMar>
          <w:top w:w="0" w:type="dxa"/>
          <w:left w:w="0" w:type="dxa"/>
          <w:bottom w:w="0" w:type="dxa"/>
          <w:right w:w="0" w:type="dxa"/>
        </w:tblCellMar>
      </w:tblPr>
      <w:tblGrid>
        <w:gridCol w:w="3445"/>
        <w:gridCol w:w="4374"/>
      </w:tblGrid>
      <w:tr>
        <w:tblPrEx>
          <w:shd w:val="clear" w:color="auto" w:fill="auto"/>
          <w:tblCellMar>
            <w:top w:w="0" w:type="dxa"/>
            <w:left w:w="0" w:type="dxa"/>
            <w:bottom w:w="0" w:type="dxa"/>
            <w:right w:w="0" w:type="dxa"/>
          </w:tblCellMar>
        </w:tblPrEx>
        <w:trPr>
          <w:trHeight w:val="450" w:hRule="atLeast"/>
          <w:jc w:val="center"/>
        </w:trPr>
        <w:tc>
          <w:tcPr>
            <w:tcW w:w="3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1"/>
                <w:szCs w:val="21"/>
                <w:u w:val="none"/>
              </w:rPr>
            </w:pPr>
            <w:r>
              <w:rPr>
                <w:rFonts w:hint="eastAsia" w:ascii="宋体" w:hAnsi="宋体" w:eastAsia="宋体" w:cs="宋体"/>
                <w:b/>
                <w:bCs/>
                <w:i w:val="0"/>
                <w:color w:val="000000"/>
                <w:kern w:val="0"/>
                <w:sz w:val="21"/>
                <w:szCs w:val="21"/>
                <w:u w:val="none"/>
                <w:lang w:val="en-US" w:eastAsia="zh-CN" w:bidi="ar"/>
              </w:rPr>
              <w:t>管线类型</w:t>
            </w:r>
          </w:p>
        </w:tc>
        <w:tc>
          <w:tcPr>
            <w:tcW w:w="4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1"/>
                <w:szCs w:val="21"/>
                <w:u w:val="none"/>
              </w:rPr>
            </w:pPr>
            <w:r>
              <w:rPr>
                <w:rFonts w:hint="eastAsia" w:ascii="宋体" w:hAnsi="宋体" w:eastAsia="宋体" w:cs="宋体"/>
                <w:b/>
                <w:bCs/>
                <w:i w:val="0"/>
                <w:color w:val="000000"/>
                <w:kern w:val="0"/>
                <w:sz w:val="21"/>
                <w:szCs w:val="21"/>
                <w:u w:val="none"/>
                <w:lang w:val="en-US" w:eastAsia="zh-CN" w:bidi="ar"/>
              </w:rPr>
              <w:t>取舍标准</w:t>
            </w:r>
          </w:p>
        </w:tc>
      </w:tr>
      <w:tr>
        <w:tblPrEx>
          <w:tblCellMar>
            <w:top w:w="0" w:type="dxa"/>
            <w:left w:w="0" w:type="dxa"/>
            <w:bottom w:w="0" w:type="dxa"/>
            <w:right w:w="0" w:type="dxa"/>
          </w:tblCellMar>
        </w:tblPrEx>
        <w:trPr>
          <w:trHeight w:val="450" w:hRule="atLeast"/>
          <w:jc w:val="center"/>
        </w:trPr>
        <w:tc>
          <w:tcPr>
            <w:tcW w:w="3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给水</w:t>
            </w:r>
          </w:p>
        </w:tc>
        <w:tc>
          <w:tcPr>
            <w:tcW w:w="4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管径≥50mm</w:t>
            </w:r>
          </w:p>
        </w:tc>
      </w:tr>
      <w:tr>
        <w:tblPrEx>
          <w:tblCellMar>
            <w:top w:w="0" w:type="dxa"/>
            <w:left w:w="0" w:type="dxa"/>
            <w:bottom w:w="0" w:type="dxa"/>
            <w:right w:w="0" w:type="dxa"/>
          </w:tblCellMar>
        </w:tblPrEx>
        <w:trPr>
          <w:trHeight w:val="450" w:hRule="atLeast"/>
          <w:jc w:val="center"/>
        </w:trPr>
        <w:tc>
          <w:tcPr>
            <w:tcW w:w="3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排水（雨水、污水、雨污合流）</w:t>
            </w:r>
          </w:p>
        </w:tc>
        <w:tc>
          <w:tcPr>
            <w:tcW w:w="4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管径≥200mm或方沟≥400㎜×400mm</w:t>
            </w:r>
          </w:p>
        </w:tc>
      </w:tr>
      <w:tr>
        <w:tblPrEx>
          <w:shd w:val="clear" w:color="auto" w:fill="auto"/>
          <w:tblCellMar>
            <w:top w:w="0" w:type="dxa"/>
            <w:left w:w="0" w:type="dxa"/>
            <w:bottom w:w="0" w:type="dxa"/>
            <w:right w:w="0" w:type="dxa"/>
          </w:tblCellMar>
        </w:tblPrEx>
        <w:trPr>
          <w:trHeight w:val="450" w:hRule="atLeast"/>
          <w:jc w:val="center"/>
        </w:trPr>
        <w:tc>
          <w:tcPr>
            <w:tcW w:w="3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燃气</w:t>
            </w:r>
          </w:p>
        </w:tc>
        <w:tc>
          <w:tcPr>
            <w:tcW w:w="4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全测</w:t>
            </w:r>
          </w:p>
        </w:tc>
      </w:tr>
      <w:tr>
        <w:tblPrEx>
          <w:tblCellMar>
            <w:top w:w="0" w:type="dxa"/>
            <w:left w:w="0" w:type="dxa"/>
            <w:bottom w:w="0" w:type="dxa"/>
            <w:right w:w="0" w:type="dxa"/>
          </w:tblCellMar>
        </w:tblPrEx>
        <w:trPr>
          <w:trHeight w:val="450" w:hRule="atLeast"/>
          <w:jc w:val="center"/>
        </w:trPr>
        <w:tc>
          <w:tcPr>
            <w:tcW w:w="3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热力</w:t>
            </w:r>
          </w:p>
        </w:tc>
        <w:tc>
          <w:tcPr>
            <w:tcW w:w="4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全测</w:t>
            </w:r>
          </w:p>
        </w:tc>
      </w:tr>
      <w:tr>
        <w:tblPrEx>
          <w:tblCellMar>
            <w:top w:w="0" w:type="dxa"/>
            <w:left w:w="0" w:type="dxa"/>
            <w:bottom w:w="0" w:type="dxa"/>
            <w:right w:w="0" w:type="dxa"/>
          </w:tblCellMar>
        </w:tblPrEx>
        <w:trPr>
          <w:trHeight w:val="450" w:hRule="atLeast"/>
          <w:jc w:val="center"/>
        </w:trPr>
        <w:tc>
          <w:tcPr>
            <w:tcW w:w="3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电力（含路灯、交通信号）</w:t>
            </w:r>
          </w:p>
        </w:tc>
        <w:tc>
          <w:tcPr>
            <w:tcW w:w="4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全测</w:t>
            </w:r>
          </w:p>
        </w:tc>
      </w:tr>
      <w:tr>
        <w:tblPrEx>
          <w:tblCellMar>
            <w:top w:w="0" w:type="dxa"/>
            <w:left w:w="0" w:type="dxa"/>
            <w:bottom w:w="0" w:type="dxa"/>
            <w:right w:w="0" w:type="dxa"/>
          </w:tblCellMar>
        </w:tblPrEx>
        <w:trPr>
          <w:trHeight w:val="450" w:hRule="atLeast"/>
          <w:jc w:val="center"/>
        </w:trPr>
        <w:tc>
          <w:tcPr>
            <w:tcW w:w="3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通信（含广播电视）</w:t>
            </w:r>
          </w:p>
        </w:tc>
        <w:tc>
          <w:tcPr>
            <w:tcW w:w="4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全测</w:t>
            </w:r>
          </w:p>
        </w:tc>
      </w:tr>
      <w:tr>
        <w:tblPrEx>
          <w:tblCellMar>
            <w:top w:w="0" w:type="dxa"/>
            <w:left w:w="0" w:type="dxa"/>
            <w:bottom w:w="0" w:type="dxa"/>
            <w:right w:w="0" w:type="dxa"/>
          </w:tblCellMar>
        </w:tblPrEx>
        <w:trPr>
          <w:trHeight w:val="450" w:hRule="atLeast"/>
          <w:jc w:val="center"/>
        </w:trPr>
        <w:tc>
          <w:tcPr>
            <w:tcW w:w="3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工业（不含油气管线）</w:t>
            </w:r>
          </w:p>
        </w:tc>
        <w:tc>
          <w:tcPr>
            <w:tcW w:w="4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全测</w:t>
            </w:r>
          </w:p>
        </w:tc>
      </w:tr>
      <w:tr>
        <w:tblPrEx>
          <w:tblCellMar>
            <w:top w:w="0" w:type="dxa"/>
            <w:left w:w="0" w:type="dxa"/>
            <w:bottom w:w="0" w:type="dxa"/>
            <w:right w:w="0" w:type="dxa"/>
          </w:tblCellMar>
        </w:tblPrEx>
        <w:trPr>
          <w:trHeight w:val="450" w:hRule="atLeast"/>
          <w:jc w:val="center"/>
        </w:trPr>
        <w:tc>
          <w:tcPr>
            <w:tcW w:w="3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综合管廊（沟）</w:t>
            </w:r>
          </w:p>
        </w:tc>
        <w:tc>
          <w:tcPr>
            <w:tcW w:w="4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全测</w:t>
            </w:r>
          </w:p>
        </w:tc>
      </w:tr>
      <w:tr>
        <w:tblPrEx>
          <w:tblCellMar>
            <w:top w:w="0" w:type="dxa"/>
            <w:left w:w="0" w:type="dxa"/>
            <w:bottom w:w="0" w:type="dxa"/>
            <w:right w:w="0" w:type="dxa"/>
          </w:tblCellMar>
        </w:tblPrEx>
        <w:trPr>
          <w:trHeight w:val="392" w:hRule="atLeast"/>
          <w:jc w:val="center"/>
        </w:trPr>
        <w:tc>
          <w:tcPr>
            <w:tcW w:w="3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其他</w:t>
            </w:r>
          </w:p>
        </w:tc>
        <w:tc>
          <w:tcPr>
            <w:tcW w:w="4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全测</w:t>
            </w:r>
          </w:p>
        </w:tc>
      </w:tr>
    </w:tbl>
    <w:p>
      <w:pPr>
        <w:keepNext w:val="0"/>
        <w:keepLines w:val="0"/>
        <w:widowControl/>
        <w:suppressLineNumbers w:val="0"/>
        <w:jc w:val="center"/>
        <w:rPr>
          <w:rFonts w:hint="eastAsia" w:ascii="宋体" w:hAnsi="宋体" w:eastAsia="宋体" w:cs="宋体"/>
          <w:b w:val="0"/>
          <w:bCs w:val="0"/>
        </w:rPr>
      </w:pPr>
      <w:r>
        <w:rPr>
          <w:rFonts w:hint="eastAsia" w:ascii="宋体" w:hAnsi="宋体" w:eastAsia="宋体" w:cs="宋体"/>
          <w:b w:val="0"/>
          <w:bCs w:val="0"/>
          <w:lang w:eastAsia="zh-CN"/>
        </w:rPr>
        <w:t>表</w:t>
      </w:r>
      <w:r>
        <w:rPr>
          <w:rFonts w:hint="eastAsia" w:ascii="宋体" w:hAnsi="宋体" w:eastAsia="宋体" w:cs="宋体"/>
          <w:b w:val="0"/>
          <w:bCs w:val="0"/>
          <w:lang w:val="en-US" w:eastAsia="zh-CN"/>
        </w:rPr>
        <w:t>2</w:t>
      </w:r>
      <w:r>
        <w:rPr>
          <w:rFonts w:hint="eastAsia" w:ascii="宋体" w:hAnsi="宋体" w:eastAsia="宋体" w:cs="宋体"/>
          <w:b w:val="0"/>
          <w:bCs w:val="0"/>
          <w:color w:val="000000"/>
          <w:kern w:val="0"/>
          <w:sz w:val="24"/>
          <w:szCs w:val="24"/>
          <w:lang w:val="en-US" w:eastAsia="zh-CN" w:bidi="ar"/>
        </w:rPr>
        <w:t>地下管线普查取舍标准</w:t>
      </w:r>
    </w:p>
    <w:p>
      <w:pPr>
        <w:pStyle w:val="55"/>
        <w:numPr>
          <w:ilvl w:val="2"/>
          <w:numId w:val="0"/>
        </w:numPr>
        <w:ind w:leftChars="200"/>
        <w:outlineLvl w:val="9"/>
        <w:rPr>
          <w:rFonts w:hint="eastAsia"/>
          <w:b w:val="0"/>
          <w:bCs/>
          <w:lang w:val="en-US" w:eastAsia="zh-CN"/>
        </w:rPr>
      </w:pPr>
      <w:bookmarkStart w:id="1112" w:name="_Toc4959"/>
      <w:bookmarkStart w:id="1113" w:name="_Toc17615"/>
      <w:r>
        <w:rPr>
          <w:rFonts w:hint="eastAsia"/>
          <w:b w:val="0"/>
          <w:bCs/>
          <w:lang w:val="en-US" w:eastAsia="zh-CN"/>
        </w:rPr>
        <w:t>1.2精度要求</w:t>
      </w:r>
      <w:bookmarkEnd w:id="1112"/>
      <w:bookmarkEnd w:id="1113"/>
    </w:p>
    <w:p>
      <w:pPr>
        <w:pStyle w:val="55"/>
        <w:numPr>
          <w:ilvl w:val="2"/>
          <w:numId w:val="0"/>
        </w:numPr>
        <w:ind w:leftChars="200"/>
        <w:outlineLvl w:val="9"/>
        <w:rPr>
          <w:rFonts w:hint="default"/>
          <w:b w:val="0"/>
          <w:bCs/>
          <w:lang w:val="en-US" w:eastAsia="zh-CN"/>
        </w:rPr>
      </w:pPr>
      <w:bookmarkStart w:id="1114" w:name="_Toc3364"/>
      <w:bookmarkStart w:id="1115" w:name="_Toc21997"/>
      <w:r>
        <w:rPr>
          <w:rFonts w:hint="eastAsia"/>
          <w:b w:val="0"/>
          <w:bCs/>
          <w:lang w:val="en-US" w:eastAsia="zh-CN"/>
        </w:rPr>
        <w:t>1.2.1</w:t>
      </w:r>
      <w:r>
        <w:rPr>
          <w:rFonts w:hint="default"/>
          <w:b w:val="0"/>
          <w:bCs/>
          <w:lang w:val="en-US" w:eastAsia="zh-CN"/>
        </w:rPr>
        <w:t>地下管线普查探测应以中误差作为衡量探测精度的标准，且以二倍中误差作为极限误差。</w:t>
      </w:r>
      <w:bookmarkEnd w:id="1114"/>
      <w:bookmarkEnd w:id="1115"/>
    </w:p>
    <w:p>
      <w:pPr>
        <w:pStyle w:val="55"/>
        <w:numPr>
          <w:ilvl w:val="2"/>
          <w:numId w:val="0"/>
        </w:numPr>
        <w:ind w:leftChars="200"/>
        <w:outlineLvl w:val="9"/>
        <w:rPr>
          <w:rFonts w:hint="default"/>
          <w:b w:val="0"/>
          <w:bCs/>
          <w:lang w:val="en-US" w:eastAsia="zh-CN"/>
        </w:rPr>
      </w:pPr>
      <w:bookmarkStart w:id="1116" w:name="_Toc4723"/>
      <w:bookmarkStart w:id="1117" w:name="_Toc26734"/>
      <w:r>
        <w:rPr>
          <w:rFonts w:hint="eastAsia"/>
          <w:b w:val="0"/>
          <w:bCs/>
          <w:lang w:val="en-US" w:eastAsia="zh-CN"/>
        </w:rPr>
        <w:t>1.2.2</w:t>
      </w:r>
      <w:r>
        <w:rPr>
          <w:rFonts w:hint="default"/>
          <w:b w:val="0"/>
          <w:bCs/>
          <w:lang w:val="en-US" w:eastAsia="zh-CN"/>
        </w:rPr>
        <w:t>地下管线探测精度应符合下列规定：</w:t>
      </w:r>
      <w:bookmarkEnd w:id="1116"/>
      <w:bookmarkEnd w:id="1117"/>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118" w:name="_Toc5603"/>
      <w:bookmarkStart w:id="1119" w:name="_Toc11457"/>
      <w:r>
        <w:rPr>
          <w:rFonts w:hint="eastAsia"/>
          <w:b w:val="0"/>
          <w:bCs/>
          <w:lang w:val="en-US" w:eastAsia="zh-CN"/>
        </w:rPr>
        <w:t>(</w:t>
      </w:r>
      <w:r>
        <w:rPr>
          <w:rFonts w:hint="default"/>
          <w:b w:val="0"/>
          <w:bCs/>
          <w:lang w:val="en-US" w:eastAsia="zh-CN"/>
        </w:rPr>
        <w:t>1</w:t>
      </w:r>
      <w:r>
        <w:rPr>
          <w:rFonts w:hint="eastAsia"/>
          <w:b w:val="0"/>
          <w:bCs/>
          <w:lang w:val="en-US" w:eastAsia="zh-CN"/>
        </w:rPr>
        <w:t>)</w:t>
      </w:r>
      <w:r>
        <w:rPr>
          <w:rFonts w:hint="default"/>
          <w:b w:val="0"/>
          <w:bCs/>
          <w:lang w:val="en-US" w:eastAsia="zh-CN"/>
        </w:rPr>
        <w:t>明显管线点埋深≤2.5m 时，埋深量测中误差不应大于25mm； 明显管线点埋深＞2.5m时，埋深量测中误差不应大于0.01h，其中h为管线中心埋深，单位为毫米；</w:t>
      </w:r>
      <w:bookmarkEnd w:id="1118"/>
      <w:bookmarkEnd w:id="1119"/>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120" w:name="_Toc31478"/>
      <w:bookmarkStart w:id="1121" w:name="_Toc20840"/>
      <w:r>
        <w:rPr>
          <w:rFonts w:hint="eastAsia"/>
          <w:b w:val="0"/>
          <w:bCs/>
          <w:lang w:val="en-US" w:eastAsia="zh-CN"/>
        </w:rPr>
        <w:t>(</w:t>
      </w:r>
      <w:r>
        <w:rPr>
          <w:rFonts w:hint="default"/>
          <w:b w:val="0"/>
          <w:bCs/>
          <w:lang w:val="en-US" w:eastAsia="zh-CN"/>
        </w:rPr>
        <w:t>2</w:t>
      </w:r>
      <w:r>
        <w:rPr>
          <w:rFonts w:hint="eastAsia"/>
          <w:b w:val="0"/>
          <w:bCs/>
          <w:lang w:val="en-US" w:eastAsia="zh-CN"/>
        </w:rPr>
        <w:t>)</w:t>
      </w:r>
      <w:r>
        <w:rPr>
          <w:rFonts w:hint="default"/>
          <w:b w:val="0"/>
          <w:bCs/>
          <w:lang w:val="en-US" w:eastAsia="zh-CN"/>
        </w:rPr>
        <w:t>隐蔽管线点的平面位置探查中误差和埋深探查中误差分别不应大于0.05h和0.075h，其中h为管线中心埋深，单位为毫米，当 h&lt;1000mm时以1000mm代入计算；</w:t>
      </w:r>
      <w:bookmarkEnd w:id="1120"/>
      <w:bookmarkEnd w:id="1121"/>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122" w:name="_Toc7979"/>
      <w:bookmarkStart w:id="1123" w:name="_Toc16658"/>
      <w:r>
        <w:rPr>
          <w:rFonts w:hint="eastAsia"/>
          <w:b w:val="0"/>
          <w:bCs/>
          <w:lang w:val="en-US" w:eastAsia="zh-CN"/>
        </w:rPr>
        <w:t>(</w:t>
      </w:r>
      <w:r>
        <w:rPr>
          <w:rFonts w:hint="default"/>
          <w:b w:val="0"/>
          <w:bCs/>
          <w:lang w:val="en-US" w:eastAsia="zh-CN"/>
        </w:rPr>
        <w:t>3</w:t>
      </w:r>
      <w:r>
        <w:rPr>
          <w:rFonts w:hint="eastAsia"/>
          <w:b w:val="0"/>
          <w:bCs/>
          <w:lang w:val="en-US" w:eastAsia="zh-CN"/>
        </w:rPr>
        <w:t>)</w:t>
      </w:r>
      <w:r>
        <w:rPr>
          <w:rFonts w:hint="default"/>
          <w:b w:val="0"/>
          <w:bCs/>
          <w:lang w:val="en-US" w:eastAsia="zh-CN"/>
        </w:rPr>
        <w:t>地下管线点的平面位置测量中误差不应大于50mm</w:t>
      </w:r>
      <w:r>
        <w:rPr>
          <w:rFonts w:hint="eastAsia"/>
          <w:b w:val="0"/>
          <w:bCs/>
          <w:lang w:val="en-US" w:eastAsia="zh-CN"/>
        </w:rPr>
        <w:t>(</w:t>
      </w:r>
      <w:r>
        <w:rPr>
          <w:rFonts w:hint="default"/>
          <w:b w:val="0"/>
          <w:bCs/>
          <w:lang w:val="en-US" w:eastAsia="zh-CN"/>
        </w:rPr>
        <w:t>相对于该管线点起算点</w:t>
      </w:r>
      <w:r>
        <w:rPr>
          <w:rFonts w:hint="eastAsia"/>
          <w:b w:val="0"/>
          <w:bCs/>
          <w:lang w:val="en-US" w:eastAsia="zh-CN"/>
        </w:rPr>
        <w:t>)</w:t>
      </w:r>
      <w:r>
        <w:rPr>
          <w:rFonts w:hint="default"/>
          <w:b w:val="0"/>
          <w:bCs/>
          <w:lang w:val="en-US" w:eastAsia="zh-CN"/>
        </w:rPr>
        <w:t>，高程测量中误差不应大于30mm</w:t>
      </w:r>
      <w:r>
        <w:rPr>
          <w:rFonts w:hint="eastAsia"/>
          <w:b w:val="0"/>
          <w:bCs/>
          <w:lang w:val="en-US" w:eastAsia="zh-CN"/>
        </w:rPr>
        <w:t>(</w:t>
      </w:r>
      <w:r>
        <w:rPr>
          <w:rFonts w:hint="default"/>
          <w:b w:val="0"/>
          <w:bCs/>
          <w:lang w:val="en-US" w:eastAsia="zh-CN"/>
        </w:rPr>
        <w:t>相对于该管线点起算点</w:t>
      </w:r>
      <w:r>
        <w:rPr>
          <w:rFonts w:hint="eastAsia"/>
          <w:b w:val="0"/>
          <w:bCs/>
          <w:lang w:val="en-US" w:eastAsia="zh-CN"/>
        </w:rPr>
        <w:t>)</w:t>
      </w:r>
      <w:r>
        <w:rPr>
          <w:rFonts w:hint="default"/>
          <w:b w:val="0"/>
          <w:bCs/>
          <w:lang w:val="en-US" w:eastAsia="zh-CN"/>
        </w:rPr>
        <w:t>。</w:t>
      </w:r>
      <w:bookmarkEnd w:id="1122"/>
      <w:bookmarkEnd w:id="1123"/>
    </w:p>
    <w:p>
      <w:pPr>
        <w:pStyle w:val="55"/>
        <w:numPr>
          <w:ilvl w:val="2"/>
          <w:numId w:val="0"/>
        </w:numPr>
        <w:ind w:leftChars="200"/>
        <w:outlineLvl w:val="9"/>
        <w:rPr>
          <w:rFonts w:hint="eastAsia"/>
          <w:b w:val="0"/>
          <w:bCs/>
          <w:lang w:val="en-US" w:eastAsia="zh-CN"/>
        </w:rPr>
      </w:pPr>
      <w:bookmarkStart w:id="1124" w:name="_Toc5551"/>
      <w:bookmarkStart w:id="1125" w:name="_Toc32620"/>
      <w:r>
        <w:rPr>
          <w:rFonts w:hint="eastAsia"/>
          <w:b w:val="0"/>
          <w:bCs/>
          <w:lang w:val="en-US" w:eastAsia="zh-CN"/>
        </w:rPr>
        <w:t>1.3分幅标准及编号</w:t>
      </w:r>
      <w:bookmarkEnd w:id="1124"/>
      <w:bookmarkEnd w:id="1125"/>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126" w:name="_Toc20022"/>
      <w:bookmarkStart w:id="1127" w:name="_Toc19452"/>
      <w:r>
        <w:rPr>
          <w:rFonts w:hint="default"/>
          <w:b w:val="0"/>
          <w:bCs/>
          <w:lang w:val="en-US" w:eastAsia="zh-CN"/>
        </w:rPr>
        <w:t>地下管线成图比例尺为 1:500，分幅按附录 K《成都市 1:500 1:1000 1:2000 地形图分幅技术规定（2020）》规定执行。</w:t>
      </w:r>
      <w:bookmarkEnd w:id="1126"/>
      <w:bookmarkEnd w:id="1127"/>
    </w:p>
    <w:p>
      <w:pPr>
        <w:pStyle w:val="55"/>
        <w:numPr>
          <w:ilvl w:val="2"/>
          <w:numId w:val="0"/>
        </w:numPr>
        <w:ind w:leftChars="200"/>
        <w:outlineLvl w:val="9"/>
        <w:rPr>
          <w:rFonts w:hint="eastAsia"/>
          <w:b w:val="0"/>
          <w:bCs/>
          <w:lang w:val="en-US" w:eastAsia="zh-CN"/>
        </w:rPr>
      </w:pPr>
      <w:bookmarkStart w:id="1128" w:name="_Toc130"/>
      <w:bookmarkStart w:id="1129" w:name="_Toc16380"/>
      <w:r>
        <w:rPr>
          <w:rFonts w:hint="eastAsia"/>
          <w:b/>
          <w:bCs w:val="0"/>
          <w:lang w:val="en-US" w:eastAsia="zh-CN"/>
        </w:rPr>
        <w:t>2.地下管线现况调绘</w:t>
      </w:r>
      <w:bookmarkEnd w:id="1128"/>
      <w:bookmarkEnd w:id="1129"/>
      <w:r>
        <w:rPr>
          <w:rFonts w:hint="eastAsia"/>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eastAsia"/>
          <w:b w:val="0"/>
          <w:bCs/>
          <w:lang w:val="en-US" w:eastAsia="zh-CN"/>
        </w:rPr>
      </w:pPr>
      <w:bookmarkStart w:id="1130" w:name="_Toc7500"/>
      <w:bookmarkStart w:id="1131" w:name="_Toc11706"/>
      <w:r>
        <w:rPr>
          <w:rFonts w:hint="eastAsia"/>
          <w:b w:val="0"/>
          <w:bCs/>
          <w:lang w:val="en-US" w:eastAsia="zh-CN"/>
        </w:rPr>
        <w:t>普查作业单位应以已分发工作底图为基础，补充和完善其他已有地下管线资料的收集及整理，编绘地下管线现状调绘图。地下管线现状调绘应在地下管线普查工作开展前完成。</w:t>
      </w:r>
      <w:bookmarkEnd w:id="1130"/>
      <w:bookmarkEnd w:id="1131"/>
    </w:p>
    <w:p>
      <w:pPr>
        <w:pStyle w:val="55"/>
        <w:numPr>
          <w:ilvl w:val="2"/>
          <w:numId w:val="0"/>
        </w:numPr>
        <w:ind w:leftChars="200"/>
        <w:outlineLvl w:val="9"/>
        <w:rPr>
          <w:rFonts w:hint="eastAsia"/>
          <w:b/>
          <w:bCs w:val="0"/>
          <w:lang w:val="en-US" w:eastAsia="zh-CN"/>
        </w:rPr>
      </w:pPr>
      <w:bookmarkStart w:id="1132" w:name="_Toc8032"/>
      <w:bookmarkStart w:id="1133" w:name="_Toc14696"/>
      <w:r>
        <w:rPr>
          <w:rFonts w:hint="eastAsia"/>
          <w:b/>
          <w:bCs w:val="0"/>
          <w:lang w:val="en-US" w:eastAsia="zh-CN"/>
        </w:rPr>
        <w:t>3.现场踏勘</w:t>
      </w:r>
      <w:bookmarkEnd w:id="1132"/>
      <w:bookmarkEnd w:id="1133"/>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eastAsia"/>
          <w:b w:val="0"/>
          <w:bCs/>
          <w:lang w:val="en-US" w:eastAsia="zh-CN"/>
        </w:rPr>
      </w:pPr>
      <w:bookmarkStart w:id="1134" w:name="_Toc16720"/>
      <w:bookmarkStart w:id="1135" w:name="_Toc30022"/>
      <w:r>
        <w:rPr>
          <w:rFonts w:hint="eastAsia"/>
          <w:b w:val="0"/>
          <w:bCs/>
          <w:lang w:val="en-US" w:eastAsia="zh-CN"/>
        </w:rPr>
        <w:t>普查作业单位在开展地下管线普查更新工作前，应组织主要技术人员对项目进行现场踏勘。主要核查收集地下管线资料、地形图的现势性、可信度及可利用程度，并核查测区内测量控制点的位置和保存情况，现场观察测区地物、地貌、交通情况、气候条件、地球物理特征及可能的干扰因素。</w:t>
      </w:r>
      <w:bookmarkEnd w:id="1134"/>
      <w:bookmarkEnd w:id="1135"/>
    </w:p>
    <w:p>
      <w:pPr>
        <w:pStyle w:val="55"/>
        <w:numPr>
          <w:ilvl w:val="2"/>
          <w:numId w:val="0"/>
        </w:numPr>
        <w:ind w:leftChars="200"/>
        <w:outlineLvl w:val="9"/>
        <w:rPr>
          <w:rFonts w:hint="eastAsia"/>
          <w:b/>
          <w:bCs w:val="0"/>
          <w:lang w:val="en-US" w:eastAsia="zh-CN"/>
        </w:rPr>
      </w:pPr>
      <w:bookmarkStart w:id="1136" w:name="_Toc14832"/>
      <w:bookmarkStart w:id="1137" w:name="_Toc8352"/>
      <w:r>
        <w:rPr>
          <w:rFonts w:hint="eastAsia"/>
          <w:b/>
          <w:bCs w:val="0"/>
          <w:lang w:val="en-US" w:eastAsia="zh-CN"/>
        </w:rPr>
        <w:t>4.仪器校验及方法试验</w:t>
      </w:r>
      <w:bookmarkEnd w:id="1136"/>
      <w:bookmarkEnd w:id="1137"/>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138" w:name="_Toc11127"/>
      <w:bookmarkStart w:id="1139" w:name="_Toc4895"/>
      <w:r>
        <w:rPr>
          <w:rFonts w:hint="eastAsia"/>
          <w:b w:val="0"/>
          <w:bCs/>
          <w:lang w:val="en-US" w:eastAsia="zh-CN"/>
        </w:rPr>
        <w:t>4.1</w:t>
      </w:r>
      <w:r>
        <w:rPr>
          <w:rFonts w:hint="default"/>
          <w:b w:val="0"/>
          <w:bCs/>
          <w:lang w:val="en-US" w:eastAsia="zh-CN"/>
        </w:rPr>
        <w:t>探查仪器在投入使用前应进行仪器校验及方法试验，仪器的校验包括稳定性校验及精度校验。仪器校验和方法试验应符合下列规定：</w:t>
      </w:r>
      <w:bookmarkEnd w:id="1138"/>
      <w:bookmarkEnd w:id="1139"/>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140" w:name="_Toc28403"/>
      <w:bookmarkStart w:id="1141" w:name="_Toc24413"/>
      <w:r>
        <w:rPr>
          <w:rFonts w:hint="eastAsia"/>
          <w:b w:val="0"/>
          <w:bCs/>
          <w:lang w:val="en-US" w:eastAsia="zh-CN"/>
        </w:rPr>
        <w:t>（1）</w:t>
      </w:r>
      <w:r>
        <w:rPr>
          <w:rFonts w:hint="default"/>
          <w:b w:val="0"/>
          <w:bCs/>
          <w:lang w:val="en-US" w:eastAsia="zh-CN"/>
        </w:rPr>
        <w:t>试验场地和试验条件应具有代表性和针对性；</w:t>
      </w:r>
      <w:bookmarkEnd w:id="1140"/>
      <w:bookmarkEnd w:id="1141"/>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142" w:name="_Toc6697"/>
      <w:bookmarkStart w:id="1143" w:name="_Toc13591"/>
      <w:r>
        <w:rPr>
          <w:rFonts w:hint="eastAsia"/>
          <w:b w:val="0"/>
          <w:bCs/>
          <w:lang w:val="en-US" w:eastAsia="zh-CN"/>
        </w:rPr>
        <w:t>（2）</w:t>
      </w:r>
      <w:r>
        <w:rPr>
          <w:rFonts w:hint="default"/>
          <w:b w:val="0"/>
          <w:bCs/>
          <w:lang w:val="en-US" w:eastAsia="zh-CN"/>
        </w:rPr>
        <w:t>试验应在测区范围内的已知管线上进行；</w:t>
      </w:r>
      <w:bookmarkEnd w:id="1142"/>
      <w:bookmarkEnd w:id="1143"/>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144" w:name="_Toc20096"/>
      <w:bookmarkStart w:id="1145" w:name="_Toc22138"/>
      <w:r>
        <w:rPr>
          <w:rFonts w:hint="eastAsia"/>
          <w:b w:val="0"/>
          <w:bCs/>
          <w:lang w:val="en-US" w:eastAsia="zh-CN"/>
        </w:rPr>
        <w:t>（3）</w:t>
      </w:r>
      <w:r>
        <w:rPr>
          <w:rFonts w:hint="default"/>
          <w:b w:val="0"/>
          <w:bCs/>
          <w:lang w:val="en-US" w:eastAsia="zh-CN"/>
        </w:rPr>
        <w:t>试验应针对不同类型、不同埋深的管线和不同地球物理条件分别进行；</w:t>
      </w:r>
      <w:bookmarkEnd w:id="1144"/>
      <w:bookmarkEnd w:id="1145"/>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146" w:name="_Toc19160"/>
      <w:bookmarkStart w:id="1147" w:name="_Toc5814"/>
      <w:r>
        <w:rPr>
          <w:rFonts w:hint="eastAsia"/>
          <w:b w:val="0"/>
          <w:bCs/>
          <w:lang w:val="en-US" w:eastAsia="zh-CN"/>
        </w:rPr>
        <w:t>（4）</w:t>
      </w:r>
      <w:r>
        <w:rPr>
          <w:rFonts w:hint="default"/>
          <w:b w:val="0"/>
          <w:bCs/>
          <w:lang w:val="en-US" w:eastAsia="zh-CN"/>
        </w:rPr>
        <w:t>拟投入使用的不同类型、不同型号的探查仪器均应参与试验。</w:t>
      </w:r>
      <w:bookmarkEnd w:id="1146"/>
      <w:bookmarkEnd w:id="1147"/>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148" w:name="_Toc25468"/>
      <w:bookmarkStart w:id="1149" w:name="_Toc14580"/>
      <w:r>
        <w:rPr>
          <w:rFonts w:hint="eastAsia"/>
          <w:b w:val="0"/>
          <w:bCs/>
          <w:lang w:val="en-US" w:eastAsia="zh-CN"/>
        </w:rPr>
        <w:t>4.2</w:t>
      </w:r>
      <w:r>
        <w:rPr>
          <w:rFonts w:hint="default"/>
          <w:b w:val="0"/>
          <w:bCs/>
          <w:lang w:val="en-US" w:eastAsia="zh-CN"/>
        </w:rPr>
        <w:t>通过试验结果的验证和校核，评价、确定有效的探查方法和技术参数，并编写方法试验报告。</w:t>
      </w:r>
      <w:bookmarkEnd w:id="1148"/>
      <w:bookmarkEnd w:id="1149"/>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150" w:name="_Toc9030"/>
      <w:bookmarkStart w:id="1151" w:name="_Toc30988"/>
      <w:r>
        <w:rPr>
          <w:rFonts w:hint="eastAsia"/>
          <w:b w:val="0"/>
          <w:bCs/>
          <w:lang w:val="en-US" w:eastAsia="zh-CN"/>
        </w:rPr>
        <w:t>4.3</w:t>
      </w:r>
      <w:r>
        <w:rPr>
          <w:rFonts w:hint="default"/>
          <w:b w:val="0"/>
          <w:bCs/>
          <w:lang w:val="en-US" w:eastAsia="zh-CN"/>
        </w:rPr>
        <w:t>经校验不合格的探查仪器不得投入使用。</w:t>
      </w:r>
      <w:bookmarkEnd w:id="1150"/>
      <w:bookmarkEnd w:id="1151"/>
    </w:p>
    <w:p>
      <w:pPr>
        <w:pStyle w:val="55"/>
        <w:numPr>
          <w:ilvl w:val="2"/>
          <w:numId w:val="0"/>
        </w:numPr>
        <w:ind w:leftChars="200"/>
        <w:outlineLvl w:val="9"/>
        <w:rPr>
          <w:rFonts w:hint="default"/>
          <w:b/>
          <w:bCs w:val="0"/>
          <w:lang w:val="en-US" w:eastAsia="zh-CN"/>
        </w:rPr>
      </w:pPr>
      <w:bookmarkStart w:id="1152" w:name="_Toc15869"/>
      <w:bookmarkStart w:id="1153" w:name="_Toc17910"/>
      <w:r>
        <w:rPr>
          <w:rFonts w:hint="eastAsia"/>
          <w:b/>
          <w:bCs w:val="0"/>
          <w:lang w:val="en-US" w:eastAsia="zh-CN"/>
        </w:rPr>
        <w:t>5.技术设计书编制</w:t>
      </w:r>
      <w:bookmarkEnd w:id="1152"/>
      <w:bookmarkEnd w:id="1153"/>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154" w:name="_Toc31277"/>
      <w:bookmarkStart w:id="1155" w:name="_Toc12913"/>
      <w:r>
        <w:rPr>
          <w:rFonts w:hint="eastAsia"/>
          <w:b w:val="0"/>
          <w:bCs/>
          <w:lang w:val="en-US" w:eastAsia="zh-CN"/>
        </w:rPr>
        <w:t>5.1</w:t>
      </w:r>
      <w:r>
        <w:rPr>
          <w:rFonts w:hint="default"/>
          <w:b w:val="0"/>
          <w:bCs/>
          <w:lang w:val="en-US" w:eastAsia="zh-CN"/>
        </w:rPr>
        <w:t>普查作业单位应在资料收集与分析、现场踏勘、仪器校验与方法试验的基础上编制技术设计书。技术设计书内容应包括：</w:t>
      </w:r>
      <w:bookmarkEnd w:id="1154"/>
      <w:bookmarkEnd w:id="1155"/>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156" w:name="_Toc356"/>
      <w:bookmarkStart w:id="1157" w:name="_Toc21100"/>
      <w:r>
        <w:rPr>
          <w:rFonts w:hint="eastAsia"/>
          <w:b w:val="0"/>
          <w:bCs/>
          <w:lang w:val="en-US" w:eastAsia="zh-CN"/>
        </w:rPr>
        <w:t>（1）</w:t>
      </w:r>
      <w:r>
        <w:rPr>
          <w:rFonts w:hint="default"/>
          <w:b w:val="0"/>
          <w:bCs/>
          <w:lang w:val="en-US" w:eastAsia="zh-CN"/>
        </w:rPr>
        <w:t>工程概述：任务来源、工作目的与任务、工作量、作业范围、作业内容和完成期限等情况；</w:t>
      </w:r>
      <w:bookmarkEnd w:id="1156"/>
      <w:bookmarkEnd w:id="1157"/>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158" w:name="_Toc22042"/>
      <w:bookmarkStart w:id="1159" w:name="_Toc25828"/>
      <w:r>
        <w:rPr>
          <w:rFonts w:hint="eastAsia"/>
          <w:b w:val="0"/>
          <w:bCs/>
          <w:lang w:val="en-US" w:eastAsia="zh-CN"/>
        </w:rPr>
        <w:t>（2）</w:t>
      </w:r>
      <w:r>
        <w:rPr>
          <w:rFonts w:hint="default"/>
          <w:b w:val="0"/>
          <w:bCs/>
          <w:lang w:val="en-US" w:eastAsia="zh-CN"/>
        </w:rPr>
        <w:t>测区概况：说明工作环境条件及地球物理条件等情况；</w:t>
      </w:r>
      <w:bookmarkEnd w:id="1158"/>
      <w:bookmarkEnd w:id="1159"/>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160" w:name="_Toc22259"/>
      <w:bookmarkStart w:id="1161" w:name="_Toc22297"/>
      <w:r>
        <w:rPr>
          <w:rFonts w:hint="eastAsia"/>
          <w:b w:val="0"/>
          <w:bCs/>
          <w:lang w:val="en-US" w:eastAsia="zh-CN"/>
        </w:rPr>
        <w:t>（3）</w:t>
      </w:r>
      <w:r>
        <w:rPr>
          <w:rFonts w:hint="default"/>
          <w:b w:val="0"/>
          <w:bCs/>
          <w:lang w:val="en-US" w:eastAsia="zh-CN"/>
        </w:rPr>
        <w:t>已有资料收集与利用情况；</w:t>
      </w:r>
      <w:bookmarkEnd w:id="1160"/>
      <w:bookmarkEnd w:id="1161"/>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162" w:name="_Toc16979"/>
      <w:bookmarkStart w:id="1163" w:name="_Toc23590"/>
      <w:r>
        <w:rPr>
          <w:rFonts w:hint="eastAsia"/>
          <w:b w:val="0"/>
          <w:bCs/>
          <w:lang w:val="en-US" w:eastAsia="zh-CN"/>
        </w:rPr>
        <w:t>（4）</w:t>
      </w:r>
      <w:r>
        <w:rPr>
          <w:rFonts w:hint="default"/>
          <w:b w:val="0"/>
          <w:bCs/>
          <w:lang w:val="en-US" w:eastAsia="zh-CN"/>
        </w:rPr>
        <w:t>执行的标准、规范或其他技术文件；</w:t>
      </w:r>
      <w:bookmarkEnd w:id="1162"/>
      <w:bookmarkEnd w:id="1163"/>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164" w:name="_Toc25749"/>
      <w:bookmarkStart w:id="1165" w:name="_Toc16830"/>
      <w:r>
        <w:rPr>
          <w:rFonts w:hint="eastAsia"/>
          <w:b w:val="0"/>
          <w:bCs/>
          <w:lang w:val="en-US" w:eastAsia="zh-CN"/>
        </w:rPr>
        <w:t>（5）</w:t>
      </w:r>
      <w:r>
        <w:rPr>
          <w:rFonts w:hint="default"/>
          <w:b w:val="0"/>
          <w:bCs/>
          <w:lang w:val="en-US" w:eastAsia="zh-CN"/>
        </w:rPr>
        <w:t>作业方法与技术措施要求；</w:t>
      </w:r>
      <w:bookmarkEnd w:id="1164"/>
      <w:bookmarkEnd w:id="1165"/>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166" w:name="_Toc11334"/>
      <w:bookmarkStart w:id="1167" w:name="_Toc13683"/>
      <w:r>
        <w:rPr>
          <w:rFonts w:hint="eastAsia"/>
          <w:b w:val="0"/>
          <w:bCs/>
          <w:lang w:val="en-US" w:eastAsia="zh-CN"/>
        </w:rPr>
        <w:t>（6）</w:t>
      </w:r>
      <w:r>
        <w:rPr>
          <w:rFonts w:hint="default"/>
          <w:b w:val="0"/>
          <w:bCs/>
          <w:lang w:val="en-US" w:eastAsia="zh-CN"/>
        </w:rPr>
        <w:t>施工组织与进度计划；</w:t>
      </w:r>
      <w:bookmarkEnd w:id="1166"/>
      <w:bookmarkEnd w:id="1167"/>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168" w:name="_Toc27136"/>
      <w:bookmarkStart w:id="1169" w:name="_Toc12684"/>
      <w:r>
        <w:rPr>
          <w:rFonts w:hint="eastAsia"/>
          <w:b w:val="0"/>
          <w:bCs/>
          <w:lang w:val="en-US" w:eastAsia="zh-CN"/>
        </w:rPr>
        <w:t>（7）</w:t>
      </w:r>
      <w:r>
        <w:rPr>
          <w:rFonts w:hint="default"/>
          <w:b w:val="0"/>
          <w:bCs/>
          <w:lang w:val="en-US" w:eastAsia="zh-CN"/>
        </w:rPr>
        <w:t>质量、安全和保密措施；</w:t>
      </w:r>
      <w:bookmarkEnd w:id="1168"/>
      <w:bookmarkEnd w:id="1169"/>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170" w:name="_Toc20942"/>
      <w:bookmarkStart w:id="1171" w:name="_Toc10646"/>
      <w:r>
        <w:rPr>
          <w:rFonts w:hint="eastAsia"/>
          <w:b w:val="0"/>
          <w:bCs/>
          <w:lang w:val="en-US" w:eastAsia="zh-CN"/>
        </w:rPr>
        <w:t>（8）</w:t>
      </w:r>
      <w:r>
        <w:rPr>
          <w:rFonts w:hint="default"/>
          <w:b w:val="0"/>
          <w:bCs/>
          <w:lang w:val="en-US" w:eastAsia="zh-CN"/>
        </w:rPr>
        <w:t>拟提交的成果资料；</w:t>
      </w:r>
      <w:bookmarkEnd w:id="1170"/>
      <w:bookmarkEnd w:id="1171"/>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172" w:name="_Toc11427"/>
      <w:bookmarkStart w:id="1173" w:name="_Toc4903"/>
      <w:r>
        <w:rPr>
          <w:rFonts w:hint="eastAsia"/>
          <w:b w:val="0"/>
          <w:bCs/>
          <w:lang w:val="en-US" w:eastAsia="zh-CN"/>
        </w:rPr>
        <w:t>（9）</w:t>
      </w:r>
      <w:r>
        <w:rPr>
          <w:rFonts w:hint="default"/>
          <w:b w:val="0"/>
          <w:bCs/>
          <w:lang w:val="en-US" w:eastAsia="zh-CN"/>
        </w:rPr>
        <w:t>有关的设计图表。</w:t>
      </w:r>
      <w:bookmarkEnd w:id="1172"/>
      <w:bookmarkEnd w:id="1173"/>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174" w:name="_Toc17883"/>
      <w:bookmarkStart w:id="1175" w:name="_Toc23897"/>
      <w:r>
        <w:rPr>
          <w:rFonts w:hint="eastAsia"/>
          <w:b w:val="0"/>
          <w:bCs/>
          <w:lang w:val="en-US" w:eastAsia="zh-CN"/>
        </w:rPr>
        <w:t>5.2</w:t>
      </w:r>
      <w:r>
        <w:rPr>
          <w:rFonts w:hint="default"/>
          <w:b w:val="0"/>
          <w:bCs/>
          <w:lang w:val="en-US" w:eastAsia="zh-CN"/>
        </w:rPr>
        <w:t>技术设计书编制完成后由监理单位和区（市）县审批后实施。</w:t>
      </w:r>
      <w:bookmarkEnd w:id="1174"/>
      <w:bookmarkEnd w:id="1175"/>
    </w:p>
    <w:p>
      <w:pPr>
        <w:pStyle w:val="55"/>
        <w:ind w:firstLine="482"/>
        <w:rPr>
          <w:rFonts w:hint="default"/>
          <w:lang w:val="en-US" w:eastAsia="zh-CN"/>
        </w:rPr>
      </w:pPr>
      <w:bookmarkStart w:id="1176" w:name="_Toc13890"/>
      <w:r>
        <w:rPr>
          <w:rFonts w:hint="default"/>
          <w:lang w:val="en-US" w:eastAsia="zh-CN"/>
        </w:rPr>
        <w:t>地下管线普查探测</w:t>
      </w:r>
      <w:bookmarkEnd w:id="1176"/>
      <w:r>
        <w:rPr>
          <w:rFonts w:hint="default"/>
          <w:lang w:val="en-US" w:eastAsia="zh-CN"/>
        </w:rPr>
        <w:t xml:space="preserve"> </w:t>
      </w:r>
    </w:p>
    <w:p>
      <w:pPr>
        <w:pStyle w:val="55"/>
        <w:numPr>
          <w:ilvl w:val="2"/>
          <w:numId w:val="0"/>
        </w:numPr>
        <w:ind w:leftChars="200"/>
        <w:outlineLvl w:val="9"/>
        <w:rPr>
          <w:rFonts w:hint="default"/>
          <w:b w:val="0"/>
          <w:bCs/>
          <w:lang w:val="en-US" w:eastAsia="zh-CN"/>
        </w:rPr>
      </w:pPr>
      <w:bookmarkStart w:id="1177" w:name="_Toc6513"/>
      <w:bookmarkStart w:id="1178" w:name="_Toc24694"/>
      <w:r>
        <w:rPr>
          <w:rFonts w:hint="eastAsia"/>
          <w:b/>
          <w:bCs w:val="0"/>
          <w:lang w:val="en-US" w:eastAsia="zh-CN"/>
        </w:rPr>
        <w:t>1.</w:t>
      </w:r>
      <w:r>
        <w:rPr>
          <w:rFonts w:hint="default"/>
          <w:b/>
          <w:bCs w:val="0"/>
          <w:lang w:val="en-US" w:eastAsia="zh-CN"/>
        </w:rPr>
        <w:t>一般规定</w:t>
      </w:r>
      <w:bookmarkEnd w:id="1177"/>
      <w:bookmarkEnd w:id="1178"/>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179" w:name="_Toc13946"/>
      <w:bookmarkStart w:id="1180" w:name="_Toc28860"/>
      <w:r>
        <w:rPr>
          <w:rFonts w:hint="eastAsia"/>
          <w:b w:val="0"/>
          <w:bCs/>
          <w:lang w:val="en-US" w:eastAsia="zh-CN"/>
        </w:rPr>
        <w:t>1.1</w:t>
      </w:r>
      <w:r>
        <w:rPr>
          <w:rFonts w:hint="default"/>
          <w:b w:val="0"/>
          <w:bCs/>
          <w:lang w:val="en-US" w:eastAsia="zh-CN"/>
        </w:rPr>
        <w:t>地下管线普查探测相关工作由普查作业单位负责实施，普查探测方式包括全野外探测和内外业结合核实探测两种，主要工作内容包括地下管线探查和地下管线测量。</w:t>
      </w:r>
      <w:bookmarkEnd w:id="1179"/>
      <w:bookmarkEnd w:id="1180"/>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181" w:name="_Toc8274"/>
      <w:bookmarkStart w:id="1182" w:name="_Toc19001"/>
      <w:r>
        <w:rPr>
          <w:rFonts w:hint="eastAsia"/>
          <w:b w:val="0"/>
          <w:bCs/>
          <w:lang w:val="en-US" w:eastAsia="zh-CN"/>
        </w:rPr>
        <w:t>1.2</w:t>
      </w:r>
      <w:r>
        <w:rPr>
          <w:rFonts w:hint="default"/>
          <w:b w:val="0"/>
          <w:bCs/>
          <w:lang w:val="en-US" w:eastAsia="zh-CN"/>
        </w:rPr>
        <w:t xml:space="preserve"> 地下管线探查是在充分收集、分析已有相关资料的基础上，采用实地调查和仪器探查相结合的方式，查明各种专业管线的敷设状况、平面位置、埋深和相关属性，在地面上设置管线点标志，绘制探查草图。</w:t>
      </w:r>
      <w:bookmarkEnd w:id="1181"/>
      <w:bookmarkEnd w:id="1182"/>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183" w:name="_Toc14858"/>
      <w:bookmarkStart w:id="1184" w:name="_Toc21923"/>
      <w:r>
        <w:rPr>
          <w:rFonts w:hint="eastAsia"/>
          <w:b w:val="0"/>
          <w:bCs/>
          <w:lang w:val="en-US" w:eastAsia="zh-CN"/>
        </w:rPr>
        <w:t>1.3</w:t>
      </w:r>
      <w:r>
        <w:rPr>
          <w:rFonts w:hint="default"/>
          <w:b w:val="0"/>
          <w:bCs/>
          <w:lang w:val="en-US" w:eastAsia="zh-CN"/>
        </w:rPr>
        <w:t>地下管线探查应查清各种地下管线的敷设状况、在地面上的投影位置和埋深，同时应查明管线种类、性质、规格、材质、载体、流向、电缆根数和附属设施、管径、埋设方式、平面位置、埋深、高程、走向、连接方式、所属道路、权属单位、建设时间、运行时间、管线特征、地面附属设施以及相关场站等信息。</w:t>
      </w:r>
      <w:bookmarkEnd w:id="1183"/>
      <w:bookmarkEnd w:id="1184"/>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185" w:name="_Toc25645"/>
      <w:bookmarkStart w:id="1186" w:name="_Toc31759"/>
      <w:r>
        <w:rPr>
          <w:rFonts w:hint="eastAsia"/>
          <w:b w:val="0"/>
          <w:bCs/>
          <w:lang w:val="en-US" w:eastAsia="zh-CN"/>
        </w:rPr>
        <w:t>1.4</w:t>
      </w:r>
      <w:r>
        <w:rPr>
          <w:rFonts w:hint="default"/>
          <w:b w:val="0"/>
          <w:bCs/>
          <w:lang w:val="en-US" w:eastAsia="zh-CN"/>
        </w:rPr>
        <w:t>管线点应设置在管线特征点对应地面的投影位置上或附属设施中心点上。管线点编号应以不影响市容市貌的原则标注于点位附近。在平面位置相同的变深点处，应定测为两个点。</w:t>
      </w:r>
      <w:bookmarkEnd w:id="1185"/>
      <w:bookmarkEnd w:id="1186"/>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187" w:name="_Toc6367"/>
      <w:bookmarkStart w:id="1188" w:name="_Toc28083"/>
      <w:r>
        <w:rPr>
          <w:rFonts w:hint="eastAsia"/>
          <w:b w:val="0"/>
          <w:bCs/>
          <w:lang w:val="en-US" w:eastAsia="zh-CN"/>
        </w:rPr>
        <w:t>1.5</w:t>
      </w:r>
      <w:r>
        <w:rPr>
          <w:rFonts w:hint="default"/>
          <w:b w:val="0"/>
          <w:bCs/>
          <w:lang w:val="en-US" w:eastAsia="zh-CN"/>
        </w:rPr>
        <w:t>管线点分为明显管线点和隐蔽管线点。明显管线点采用实地调查、量测的方式获取管线数据，隐蔽管线点则采用仪器探查获取管线点地面投影位置和埋深。</w:t>
      </w:r>
      <w:bookmarkEnd w:id="1187"/>
      <w:bookmarkEnd w:id="1188"/>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189" w:name="_Toc6979"/>
      <w:bookmarkStart w:id="1190" w:name="_Toc10408"/>
      <w:r>
        <w:rPr>
          <w:rFonts w:hint="eastAsia"/>
          <w:b w:val="0"/>
          <w:bCs/>
          <w:lang w:val="en-US" w:eastAsia="zh-CN"/>
        </w:rPr>
        <w:t>1.6</w:t>
      </w:r>
      <w:r>
        <w:rPr>
          <w:rFonts w:hint="default"/>
          <w:b w:val="0"/>
          <w:bCs/>
          <w:lang w:val="en-US" w:eastAsia="zh-CN"/>
        </w:rPr>
        <w:t>检查井应实地采集井盖形状、井盖材质、井盖尺寸、井脖深、井室类型、井室材质、井室规格等属性信息。</w:t>
      </w:r>
      <w:bookmarkEnd w:id="1189"/>
      <w:bookmarkEnd w:id="1190"/>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191" w:name="_Toc17238"/>
      <w:bookmarkStart w:id="1192" w:name="_Toc20064"/>
      <w:r>
        <w:rPr>
          <w:rFonts w:hint="eastAsia"/>
          <w:b w:val="0"/>
          <w:bCs/>
          <w:lang w:val="en-US" w:eastAsia="zh-CN"/>
        </w:rPr>
        <w:t>1.7</w:t>
      </w:r>
      <w:r>
        <w:rPr>
          <w:rFonts w:hint="default"/>
          <w:b w:val="0"/>
          <w:bCs/>
          <w:lang w:val="en-US" w:eastAsia="zh-CN"/>
        </w:rPr>
        <w:t>管线直线段上，管线点间距不应大于图上 15cm，在管线弧形段上，管点连线偏离管线实际位置 0.2 米时应适当增加管线点的设置，以能反映管线弯曲特征。</w:t>
      </w:r>
      <w:bookmarkEnd w:id="1191"/>
      <w:bookmarkEnd w:id="1192"/>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193" w:name="_Toc24350"/>
      <w:bookmarkStart w:id="1194" w:name="_Toc13982"/>
      <w:r>
        <w:rPr>
          <w:rFonts w:hint="eastAsia"/>
          <w:b w:val="0"/>
          <w:bCs/>
          <w:lang w:val="en-US" w:eastAsia="zh-CN"/>
        </w:rPr>
        <w:t>1.8</w:t>
      </w:r>
      <w:r>
        <w:rPr>
          <w:rFonts w:hint="default"/>
          <w:b w:val="0"/>
          <w:bCs/>
          <w:lang w:val="en-US" w:eastAsia="zh-CN"/>
        </w:rPr>
        <w:t>检修井应在其中心设置管线点，其他附属设施的管线点应设置在其地面投影的几何中心；综合管廊（沟）应在其几何中心线上设置管线点。</w:t>
      </w:r>
      <w:bookmarkEnd w:id="1193"/>
      <w:bookmarkEnd w:id="1194"/>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195" w:name="_Toc10878"/>
      <w:bookmarkStart w:id="1196" w:name="_Toc21520"/>
      <w:r>
        <w:rPr>
          <w:rFonts w:hint="eastAsia"/>
          <w:b w:val="0"/>
          <w:bCs/>
          <w:lang w:val="en-US" w:eastAsia="zh-CN"/>
        </w:rPr>
        <w:t>1.9</w:t>
      </w:r>
      <w:r>
        <w:rPr>
          <w:rFonts w:hint="default"/>
          <w:b w:val="0"/>
          <w:bCs/>
          <w:lang w:val="en-US" w:eastAsia="zh-CN"/>
        </w:rPr>
        <w:t>当管线附属设施的管线点偏离管线中心线在地面的投影位置，偏距大于或等于 0.2m时，应量测和记录偏距，并分别设置管线点，此时，检查井应备注为“偏心井”。</w:t>
      </w:r>
      <w:bookmarkEnd w:id="1195"/>
      <w:bookmarkEnd w:id="1196"/>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197" w:name="_Toc1446"/>
      <w:bookmarkStart w:id="1198" w:name="_Toc3209"/>
      <w:r>
        <w:rPr>
          <w:rFonts w:hint="eastAsia"/>
          <w:b w:val="0"/>
          <w:bCs/>
          <w:lang w:val="en-US" w:eastAsia="zh-CN"/>
        </w:rPr>
        <w:t>1.10</w:t>
      </w:r>
      <w:r>
        <w:rPr>
          <w:rFonts w:hint="default"/>
          <w:b w:val="0"/>
          <w:bCs/>
          <w:lang w:val="en-US" w:eastAsia="zh-CN"/>
        </w:rPr>
        <w:t>井室面积大于 2</w:t>
      </w:r>
      <w:r>
        <w:rPr>
          <w:rFonts w:hint="eastAsia"/>
          <w:b w:val="0"/>
          <w:bCs/>
          <w:lang w:val="en-US" w:eastAsia="zh-CN"/>
        </w:rPr>
        <w:t>m</w:t>
      </w:r>
      <w:r>
        <w:rPr>
          <w:rFonts w:hint="eastAsia"/>
          <w:b w:val="0"/>
          <w:bCs/>
          <w:vertAlign w:val="superscript"/>
          <w:lang w:val="en-US" w:eastAsia="zh-CN"/>
        </w:rPr>
        <w:t>2</w:t>
      </w:r>
      <w:r>
        <w:rPr>
          <w:rFonts w:hint="default"/>
          <w:b w:val="0"/>
          <w:bCs/>
          <w:lang w:val="en-US" w:eastAsia="zh-CN"/>
        </w:rPr>
        <w:t>时应实测检查井室的实际范围，线缆类和排水类管线应在进出检查井的实际位置设置管线点。</w:t>
      </w:r>
      <w:bookmarkEnd w:id="1197"/>
      <w:bookmarkEnd w:id="1198"/>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199" w:name="_Toc5411"/>
      <w:bookmarkStart w:id="1200" w:name="_Toc12292"/>
      <w:r>
        <w:rPr>
          <w:rFonts w:hint="eastAsia"/>
          <w:b w:val="0"/>
          <w:bCs/>
          <w:lang w:val="en-US" w:eastAsia="zh-CN"/>
        </w:rPr>
        <w:t>1.11</w:t>
      </w:r>
      <w:r>
        <w:rPr>
          <w:rFonts w:hint="default"/>
          <w:b w:val="0"/>
          <w:bCs/>
          <w:lang w:val="en-US" w:eastAsia="zh-CN"/>
        </w:rPr>
        <w:t>当各类可开启的地下管线检查井、阀门、手孔、凝水缸等附属设施内部淤积掩埋或覆盖地下管线，导致无法直接量测时，应采用其他方法查明其埋深，并在记录上注明量测方法。</w:t>
      </w:r>
      <w:bookmarkEnd w:id="1199"/>
      <w:bookmarkEnd w:id="1200"/>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201" w:name="_Toc25181"/>
      <w:bookmarkStart w:id="1202" w:name="_Toc30710"/>
      <w:r>
        <w:rPr>
          <w:rFonts w:hint="eastAsia"/>
          <w:b w:val="0"/>
          <w:bCs/>
          <w:lang w:val="en-US" w:eastAsia="zh-CN"/>
        </w:rPr>
        <w:t>1.12</w:t>
      </w:r>
      <w:r>
        <w:rPr>
          <w:rFonts w:hint="default"/>
          <w:b w:val="0"/>
          <w:bCs/>
          <w:lang w:val="en-US" w:eastAsia="zh-CN"/>
        </w:rPr>
        <w:t>综合管廊调查</w:t>
      </w:r>
      <w:bookmarkEnd w:id="1201"/>
      <w:bookmarkEnd w:id="1202"/>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203" w:name="_Toc18473"/>
      <w:bookmarkStart w:id="1204" w:name="_Toc24968"/>
      <w:r>
        <w:rPr>
          <w:rFonts w:hint="eastAsia"/>
          <w:b w:val="0"/>
          <w:bCs/>
          <w:lang w:val="en-US" w:eastAsia="zh-CN"/>
        </w:rPr>
        <w:t>(1)</w:t>
      </w:r>
      <w:r>
        <w:rPr>
          <w:rFonts w:hint="default"/>
          <w:b w:val="0"/>
          <w:bCs/>
          <w:lang w:val="en-US" w:eastAsia="zh-CN"/>
        </w:rPr>
        <w:t>矩形管廊（沟、管块）量测断面内壁的宽和高；</w:t>
      </w:r>
      <w:bookmarkEnd w:id="1203"/>
      <w:bookmarkEnd w:id="1204"/>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205" w:name="_Toc11435"/>
      <w:bookmarkStart w:id="1206" w:name="_Toc5855"/>
      <w:r>
        <w:rPr>
          <w:rFonts w:hint="eastAsia"/>
          <w:b w:val="0"/>
          <w:bCs/>
          <w:lang w:val="en-US" w:eastAsia="zh-CN"/>
        </w:rPr>
        <w:t>(2)</w:t>
      </w:r>
      <w:r>
        <w:rPr>
          <w:rFonts w:hint="default"/>
          <w:b w:val="0"/>
          <w:bCs/>
          <w:lang w:val="en-US" w:eastAsia="zh-CN"/>
        </w:rPr>
        <w:t>综合管廊（沟、管块）应在其几何中心线上设置管线点；</w:t>
      </w:r>
      <w:bookmarkEnd w:id="1205"/>
      <w:bookmarkEnd w:id="1206"/>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207" w:name="_Toc22562"/>
      <w:bookmarkStart w:id="1208" w:name="_Toc26665"/>
      <w:r>
        <w:rPr>
          <w:rFonts w:hint="eastAsia"/>
          <w:b w:val="0"/>
          <w:bCs/>
          <w:lang w:val="en-US" w:eastAsia="zh-CN"/>
        </w:rPr>
        <w:t>(3)</w:t>
      </w:r>
      <w:r>
        <w:rPr>
          <w:rFonts w:hint="default"/>
          <w:b w:val="0"/>
          <w:bCs/>
          <w:lang w:val="en-US" w:eastAsia="zh-CN"/>
        </w:rPr>
        <w:t>综合管廊（沟、管块）内铺设的地下管线分类进行探查。</w:t>
      </w:r>
      <w:bookmarkEnd w:id="1207"/>
      <w:bookmarkEnd w:id="1208"/>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209" w:name="_Toc15034"/>
      <w:bookmarkStart w:id="1210" w:name="_Toc2574"/>
      <w:r>
        <w:rPr>
          <w:rFonts w:hint="eastAsia"/>
          <w:b w:val="0"/>
          <w:bCs/>
          <w:lang w:val="en-US" w:eastAsia="zh-CN"/>
        </w:rPr>
        <w:t>1.13</w:t>
      </w:r>
      <w:r>
        <w:rPr>
          <w:rFonts w:hint="default"/>
          <w:b w:val="0"/>
          <w:bCs/>
          <w:lang w:val="en-US" w:eastAsia="zh-CN"/>
        </w:rPr>
        <w:t>地下管线测量主要包括控制测量、管线点测量。</w:t>
      </w:r>
      <w:bookmarkEnd w:id="1209"/>
      <w:bookmarkEnd w:id="1210"/>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211" w:name="_Toc26115"/>
      <w:bookmarkStart w:id="1212" w:name="_Toc21545"/>
      <w:r>
        <w:rPr>
          <w:rFonts w:hint="eastAsia"/>
          <w:b w:val="0"/>
          <w:bCs/>
          <w:lang w:val="en-US" w:eastAsia="zh-CN"/>
        </w:rPr>
        <w:t>1.14</w:t>
      </w:r>
      <w:r>
        <w:rPr>
          <w:rFonts w:hint="default"/>
          <w:b w:val="0"/>
          <w:bCs/>
          <w:lang w:val="en-US" w:eastAsia="zh-CN"/>
        </w:rPr>
        <w:t>地下管线普查探测实地测量埋深采用计量器直接量测，以 m 为单位，量测结果精确到小数点后两位。</w:t>
      </w:r>
      <w:bookmarkEnd w:id="1211"/>
      <w:bookmarkEnd w:id="1212"/>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213" w:name="_Toc17513"/>
      <w:bookmarkStart w:id="1214" w:name="_Toc13227"/>
      <w:r>
        <w:rPr>
          <w:rFonts w:hint="eastAsia"/>
          <w:b w:val="0"/>
          <w:bCs/>
          <w:lang w:val="en-US" w:eastAsia="zh-CN"/>
        </w:rPr>
        <w:t>1.15</w:t>
      </w:r>
      <w:r>
        <w:rPr>
          <w:rFonts w:hint="default"/>
          <w:b w:val="0"/>
          <w:bCs/>
          <w:lang w:val="en-US" w:eastAsia="zh-CN"/>
        </w:rPr>
        <w:t>管线探查草图绘制</w:t>
      </w:r>
      <w:bookmarkEnd w:id="1213"/>
      <w:bookmarkEnd w:id="1214"/>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lang w:val="en-US" w:eastAsia="zh-CN"/>
        </w:rPr>
      </w:pPr>
      <w:bookmarkStart w:id="1215" w:name="_Toc27867"/>
      <w:bookmarkStart w:id="1216" w:name="_Toc867"/>
      <w:r>
        <w:rPr>
          <w:rFonts w:hint="eastAsia"/>
          <w:b w:val="0"/>
          <w:bCs/>
          <w:lang w:val="en-US" w:eastAsia="zh-CN"/>
        </w:rPr>
        <w:t>(1)</w:t>
      </w:r>
      <w:r>
        <w:rPr>
          <w:rFonts w:hint="default"/>
          <w:b w:val="0"/>
          <w:bCs/>
          <w:lang w:val="en-US" w:eastAsia="zh-CN"/>
        </w:rPr>
        <w:t>探查草图应根据现场探查的结果在 1:500 地形图上绘制；</w:t>
      </w:r>
      <w:bookmarkEnd w:id="1215"/>
      <w:bookmarkEnd w:id="1216"/>
      <w:r>
        <w:rPr>
          <w:rFonts w:hint="default"/>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highlight w:val="none"/>
          <w:lang w:val="en-US" w:eastAsia="zh-CN"/>
        </w:rPr>
      </w:pPr>
      <w:bookmarkStart w:id="1217" w:name="_Toc13426"/>
      <w:bookmarkStart w:id="1218" w:name="_Toc6470"/>
      <w:r>
        <w:rPr>
          <w:rFonts w:hint="eastAsia"/>
          <w:b w:val="0"/>
          <w:bCs/>
          <w:lang w:val="en-US" w:eastAsia="zh-CN"/>
        </w:rPr>
        <w:t>(2)</w:t>
      </w:r>
      <w:r>
        <w:rPr>
          <w:rFonts w:hint="default"/>
          <w:b w:val="0"/>
          <w:bCs/>
          <w:lang w:val="en-US" w:eastAsia="zh-CN"/>
        </w:rPr>
        <w:t>探查草图的管线图式按本</w:t>
      </w:r>
      <w:r>
        <w:rPr>
          <w:rFonts w:hint="default"/>
          <w:b w:val="0"/>
          <w:bCs/>
          <w:highlight w:val="none"/>
          <w:lang w:val="en-US" w:eastAsia="zh-CN"/>
        </w:rPr>
        <w:t>方案附录 A 规定的要求进行，管线点与周围地物、管线点的相对位置要准确。</w:t>
      </w:r>
      <w:bookmarkEnd w:id="1217"/>
      <w:bookmarkEnd w:id="1218"/>
      <w:r>
        <w:rPr>
          <w:rFonts w:hint="default"/>
          <w:b w:val="0"/>
          <w:bCs/>
          <w:highlight w:val="none"/>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highlight w:val="none"/>
          <w:lang w:val="en-US" w:eastAsia="zh-CN"/>
        </w:rPr>
      </w:pPr>
      <w:bookmarkStart w:id="1219" w:name="_Toc4270"/>
      <w:bookmarkStart w:id="1220" w:name="_Toc16338"/>
      <w:r>
        <w:rPr>
          <w:rFonts w:hint="eastAsia"/>
          <w:b w:val="0"/>
          <w:bCs/>
          <w:highlight w:val="none"/>
          <w:lang w:val="en-US" w:eastAsia="zh-CN"/>
        </w:rPr>
        <w:t>1.16</w:t>
      </w:r>
      <w:r>
        <w:rPr>
          <w:rFonts w:hint="default"/>
          <w:b w:val="0"/>
          <w:bCs/>
          <w:highlight w:val="none"/>
          <w:lang w:val="en-US" w:eastAsia="zh-CN"/>
        </w:rPr>
        <w:t>相邻测区分批提交的数据应做好接边处理，接边内容包括管线空间位置和管线属性。测区间接边采用重复点无缝接边，此点号相关数据由相邻测区提供，接边点在管线点属性库“是否接边点”栏填写“是”。</w:t>
      </w:r>
      <w:bookmarkEnd w:id="1219"/>
      <w:bookmarkEnd w:id="1220"/>
      <w:r>
        <w:rPr>
          <w:rFonts w:hint="default"/>
          <w:b w:val="0"/>
          <w:bCs/>
          <w:highlight w:val="none"/>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highlight w:val="none"/>
          <w:lang w:val="en-US" w:eastAsia="zh-CN"/>
        </w:rPr>
      </w:pPr>
      <w:bookmarkStart w:id="1221" w:name="_Toc10926"/>
      <w:bookmarkStart w:id="1222" w:name="_Toc1144"/>
      <w:r>
        <w:rPr>
          <w:rFonts w:hint="eastAsia"/>
          <w:b w:val="0"/>
          <w:bCs/>
          <w:highlight w:val="none"/>
          <w:lang w:val="en-US" w:eastAsia="zh-CN"/>
        </w:rPr>
        <w:t>1.17</w:t>
      </w:r>
      <w:r>
        <w:rPr>
          <w:rFonts w:hint="default"/>
          <w:b w:val="0"/>
          <w:bCs/>
          <w:highlight w:val="none"/>
          <w:lang w:val="en-US" w:eastAsia="zh-CN"/>
        </w:rPr>
        <w:t>地铁建设区域管线调查应充分收集地下管线设计图、施工图及竣工图等相关资料。</w:t>
      </w:r>
      <w:bookmarkEnd w:id="1221"/>
      <w:bookmarkEnd w:id="1222"/>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highlight w:val="none"/>
          <w:lang w:val="en-US" w:eastAsia="zh-CN"/>
        </w:rPr>
      </w:pPr>
      <w:bookmarkStart w:id="1223" w:name="_Toc31460"/>
      <w:bookmarkStart w:id="1224" w:name="_Toc14708"/>
      <w:r>
        <w:rPr>
          <w:rFonts w:hint="default"/>
          <w:b w:val="0"/>
          <w:bCs/>
          <w:highlight w:val="none"/>
          <w:lang w:val="en-US" w:eastAsia="zh-CN"/>
        </w:rPr>
        <w:t>1.18 质量检查内容包括管线数据几何精度检查、属性质量检查、管线图质量检查及成果资料检查。</w:t>
      </w:r>
      <w:bookmarkEnd w:id="1223"/>
      <w:bookmarkEnd w:id="1224"/>
      <w:r>
        <w:rPr>
          <w:rFonts w:hint="default"/>
          <w:b w:val="0"/>
          <w:bCs/>
          <w:highlight w:val="none"/>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rFonts w:hint="default"/>
          <w:b w:val="0"/>
          <w:bCs/>
          <w:highlight w:val="none"/>
          <w:lang w:val="en-US" w:eastAsia="zh-CN"/>
        </w:rPr>
      </w:pPr>
      <w:bookmarkStart w:id="1225" w:name="_Toc8314"/>
      <w:bookmarkStart w:id="1226" w:name="_Toc7809"/>
      <w:r>
        <w:rPr>
          <w:rFonts w:hint="eastAsia"/>
          <w:b w:val="0"/>
          <w:bCs/>
          <w:highlight w:val="none"/>
          <w:lang w:val="en-US" w:eastAsia="zh-CN"/>
        </w:rPr>
        <w:t>1.19</w:t>
      </w:r>
      <w:r>
        <w:rPr>
          <w:rFonts w:hint="default"/>
          <w:b w:val="0"/>
          <w:bCs/>
          <w:highlight w:val="none"/>
          <w:lang w:val="en-US" w:eastAsia="zh-CN"/>
        </w:rPr>
        <w:t>参与地下管线探测工作的人员，应按方案附录E的要求，做好20安全保障工作，确保管线探测工作安全、高效有序进行。</w:t>
      </w:r>
      <w:bookmarkEnd w:id="1225"/>
      <w:bookmarkEnd w:id="1226"/>
    </w:p>
    <w:p>
      <w:pPr>
        <w:pStyle w:val="55"/>
        <w:numPr>
          <w:ilvl w:val="2"/>
          <w:numId w:val="0"/>
        </w:numPr>
        <w:ind w:leftChars="200"/>
        <w:outlineLvl w:val="9"/>
        <w:rPr>
          <w:rFonts w:hint="eastAsia"/>
          <w:b/>
          <w:bCs w:val="0"/>
          <w:lang w:val="en-US" w:eastAsia="zh-CN"/>
        </w:rPr>
      </w:pPr>
      <w:bookmarkStart w:id="1227" w:name="_Toc1073"/>
      <w:bookmarkStart w:id="1228" w:name="_Toc21339"/>
      <w:r>
        <w:rPr>
          <w:rFonts w:hint="eastAsia"/>
          <w:b/>
          <w:bCs w:val="0"/>
          <w:lang w:val="en-US" w:eastAsia="zh-CN"/>
        </w:rPr>
        <w:t>2.全野外探测</w:t>
      </w:r>
      <w:bookmarkEnd w:id="1227"/>
      <w:bookmarkEnd w:id="1228"/>
    </w:p>
    <w:p>
      <w:pPr>
        <w:pStyle w:val="55"/>
        <w:numPr>
          <w:ilvl w:val="2"/>
          <w:numId w:val="0"/>
        </w:numPr>
        <w:ind w:leftChars="200"/>
        <w:outlineLvl w:val="9"/>
        <w:rPr>
          <w:rFonts w:hint="eastAsia" w:eastAsia="宋体"/>
          <w:b/>
          <w:bCs w:val="0"/>
          <w:lang w:val="en-US" w:eastAsia="zh-CN"/>
        </w:rPr>
      </w:pPr>
      <w:bookmarkStart w:id="1229" w:name="_Toc21824"/>
      <w:bookmarkStart w:id="1230" w:name="_Toc31179"/>
      <w:r>
        <w:rPr>
          <w:rFonts w:hint="eastAsia"/>
          <w:b/>
          <w:bCs w:val="0"/>
          <w:lang w:val="en-US" w:eastAsia="zh-CN"/>
        </w:rPr>
        <w:t>2.1实地调查</w:t>
      </w:r>
      <w:bookmarkEnd w:id="1229"/>
      <w:bookmarkEnd w:id="1230"/>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2.1.1实地调查应详细调查所出露的管线及其附属设施，按本方案附录B在调查现场及时进行量测和记录相关管线属性信息。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2.1.2管线明显点应实地量测地下管线的埋深，以m为单位，量测取至小数点后2位。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2.1.3实地调查应按地下管线类别分别调查其相应的属性项目。各类地下管线实地调查的属性项目可按表3选择。</w:t>
      </w:r>
    </w:p>
    <w:p>
      <w:pPr>
        <w:keepNext w:val="0"/>
        <w:keepLines w:val="0"/>
        <w:widowControl/>
        <w:suppressLineNumbers w:val="0"/>
        <w:jc w:val="center"/>
        <w:rPr>
          <w:rFonts w:hint="eastAsia"/>
          <w:b/>
          <w:bCs w:val="0"/>
        </w:rPr>
      </w:pPr>
      <w:r>
        <w:rPr>
          <w:rFonts w:hint="eastAsia" w:ascii="宋体" w:hAnsi="宋体" w:eastAsia="宋体" w:cs="宋体"/>
          <w:b/>
          <w:bCs w:val="0"/>
          <w:lang w:val="en-US" w:eastAsia="zh-CN"/>
        </w:rPr>
        <w:t xml:space="preserve">表3 </w:t>
      </w:r>
      <w:r>
        <w:rPr>
          <w:rFonts w:hint="eastAsia" w:ascii="宋体" w:hAnsi="宋体" w:eastAsia="宋体" w:cs="宋体"/>
          <w:b/>
          <w:bCs w:val="0"/>
          <w:color w:val="000000"/>
          <w:kern w:val="0"/>
          <w:sz w:val="24"/>
          <w:szCs w:val="24"/>
          <w:lang w:val="en-US" w:eastAsia="zh-CN" w:bidi="ar"/>
        </w:rPr>
        <w:t>管线实地调查项目</w:t>
      </w:r>
    </w:p>
    <w:tbl>
      <w:tblPr>
        <w:tblStyle w:val="26"/>
        <w:tblW w:w="9894" w:type="dxa"/>
        <w:tblInd w:w="0" w:type="dxa"/>
        <w:shd w:val="clear" w:color="auto" w:fill="auto"/>
        <w:tblLayout w:type="fixed"/>
        <w:tblCellMar>
          <w:top w:w="0" w:type="dxa"/>
          <w:left w:w="0" w:type="dxa"/>
          <w:bottom w:w="0" w:type="dxa"/>
          <w:right w:w="0" w:type="dxa"/>
        </w:tblCellMar>
      </w:tblPr>
      <w:tblGrid>
        <w:gridCol w:w="839"/>
        <w:gridCol w:w="781"/>
        <w:gridCol w:w="625"/>
        <w:gridCol w:w="626"/>
        <w:gridCol w:w="625"/>
        <w:gridCol w:w="869"/>
        <w:gridCol w:w="682"/>
        <w:gridCol w:w="682"/>
        <w:gridCol w:w="625"/>
        <w:gridCol w:w="597"/>
        <w:gridCol w:w="597"/>
        <w:gridCol w:w="597"/>
        <w:gridCol w:w="597"/>
        <w:gridCol w:w="598"/>
        <w:gridCol w:w="554"/>
      </w:tblGrid>
      <w:tr>
        <w:tblPrEx>
          <w:shd w:val="clear" w:color="auto" w:fill="auto"/>
          <w:tblCellMar>
            <w:top w:w="0" w:type="dxa"/>
            <w:left w:w="0" w:type="dxa"/>
            <w:bottom w:w="0" w:type="dxa"/>
            <w:right w:w="0" w:type="dxa"/>
          </w:tblCellMar>
        </w:tblPrEx>
        <w:trPr>
          <w:trHeight w:val="515" w:hRule="atLeast"/>
          <w:tblHeader/>
        </w:trPr>
        <w:tc>
          <w:tcPr>
            <w:tcW w:w="8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管线</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类别</w:t>
            </w:r>
          </w:p>
        </w:tc>
        <w:tc>
          <w:tcPr>
            <w:tcW w:w="78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埋设</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方式</w:t>
            </w:r>
          </w:p>
        </w:tc>
        <w:tc>
          <w:tcPr>
            <w:tcW w:w="125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埋深</w:t>
            </w:r>
          </w:p>
        </w:tc>
        <w:tc>
          <w:tcPr>
            <w:tcW w:w="149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断面尺寸</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总孔数/已用孔数</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线缆</w:t>
            </w:r>
          </w:p>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条数</w:t>
            </w:r>
          </w:p>
        </w:tc>
        <w:tc>
          <w:tcPr>
            <w:tcW w:w="6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材质</w:t>
            </w:r>
          </w:p>
        </w:tc>
        <w:tc>
          <w:tcPr>
            <w:tcW w:w="59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保护材质</w:t>
            </w:r>
          </w:p>
        </w:tc>
        <w:tc>
          <w:tcPr>
            <w:tcW w:w="59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附属设施</w:t>
            </w:r>
          </w:p>
        </w:tc>
        <w:tc>
          <w:tcPr>
            <w:tcW w:w="179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载体特征</w:t>
            </w:r>
          </w:p>
        </w:tc>
        <w:tc>
          <w:tcPr>
            <w:tcW w:w="5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权属单位</w:t>
            </w:r>
          </w:p>
        </w:tc>
      </w:tr>
      <w:tr>
        <w:tblPrEx>
          <w:tblCellMar>
            <w:top w:w="0" w:type="dxa"/>
            <w:left w:w="0" w:type="dxa"/>
            <w:bottom w:w="0" w:type="dxa"/>
            <w:right w:w="0" w:type="dxa"/>
          </w:tblCellMar>
        </w:tblPrEx>
        <w:trPr>
          <w:trHeight w:val="525" w:hRule="atLeast"/>
          <w:tblHeader/>
        </w:trPr>
        <w:tc>
          <w:tcPr>
            <w:tcW w:w="8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外顶</w:t>
            </w:r>
          </w:p>
        </w:tc>
        <w:tc>
          <w:tcPr>
            <w:tcW w:w="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内底</w:t>
            </w: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管径</w:t>
            </w: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宽×高</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压力</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流向</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电压</w:t>
            </w:r>
          </w:p>
        </w:tc>
        <w:tc>
          <w:tcPr>
            <w:tcW w:w="5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287"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给水</w:t>
            </w:r>
          </w:p>
        </w:tc>
        <w:tc>
          <w:tcPr>
            <w:tcW w:w="7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管道</w:t>
            </w: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r>
      <w:tr>
        <w:tblPrEx>
          <w:tblCellMar>
            <w:top w:w="0" w:type="dxa"/>
            <w:left w:w="0" w:type="dxa"/>
            <w:bottom w:w="0" w:type="dxa"/>
            <w:right w:w="0" w:type="dxa"/>
          </w:tblCellMar>
        </w:tblPrEx>
        <w:trPr>
          <w:trHeight w:val="250" w:hRule="atLeast"/>
        </w:trPr>
        <w:tc>
          <w:tcPr>
            <w:tcW w:w="8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排水</w:t>
            </w:r>
          </w:p>
        </w:tc>
        <w:tc>
          <w:tcPr>
            <w:tcW w:w="7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管道</w:t>
            </w: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r>
      <w:tr>
        <w:tblPrEx>
          <w:tblCellMar>
            <w:top w:w="0" w:type="dxa"/>
            <w:left w:w="0" w:type="dxa"/>
            <w:bottom w:w="0" w:type="dxa"/>
            <w:right w:w="0" w:type="dxa"/>
          </w:tblCellMar>
        </w:tblPrEx>
        <w:trPr>
          <w:trHeight w:val="186" w:hRule="atLeast"/>
        </w:trPr>
        <w:tc>
          <w:tcPr>
            <w:tcW w:w="8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沟道</w:t>
            </w: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r>
      <w:tr>
        <w:tblPrEx>
          <w:tblCellMar>
            <w:top w:w="0" w:type="dxa"/>
            <w:left w:w="0" w:type="dxa"/>
            <w:bottom w:w="0" w:type="dxa"/>
            <w:right w:w="0" w:type="dxa"/>
          </w:tblCellMar>
        </w:tblPrEx>
        <w:trPr>
          <w:trHeight w:val="274"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燃气</w:t>
            </w:r>
          </w:p>
        </w:tc>
        <w:tc>
          <w:tcPr>
            <w:tcW w:w="7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管道</w:t>
            </w: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r>
      <w:tr>
        <w:tblPrEx>
          <w:tblCellMar>
            <w:top w:w="0" w:type="dxa"/>
            <w:left w:w="0" w:type="dxa"/>
            <w:bottom w:w="0" w:type="dxa"/>
            <w:right w:w="0" w:type="dxa"/>
          </w:tblCellMar>
        </w:tblPrEx>
        <w:trPr>
          <w:trHeight w:val="9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热力</w:t>
            </w:r>
          </w:p>
        </w:tc>
        <w:tc>
          <w:tcPr>
            <w:tcW w:w="7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管道</w:t>
            </w: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r>
      <w:tr>
        <w:tblPrEx>
          <w:tblCellMar>
            <w:top w:w="0" w:type="dxa"/>
            <w:left w:w="0" w:type="dxa"/>
            <w:bottom w:w="0" w:type="dxa"/>
            <w:right w:w="0" w:type="dxa"/>
          </w:tblCellMar>
        </w:tblPrEx>
        <w:trPr>
          <w:trHeight w:val="250" w:hRule="atLeast"/>
        </w:trPr>
        <w:tc>
          <w:tcPr>
            <w:tcW w:w="8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电力</w:t>
            </w:r>
          </w:p>
        </w:tc>
        <w:tc>
          <w:tcPr>
            <w:tcW w:w="7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管块</w:t>
            </w: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r>
      <w:tr>
        <w:tblPrEx>
          <w:tblCellMar>
            <w:top w:w="0" w:type="dxa"/>
            <w:left w:w="0" w:type="dxa"/>
            <w:bottom w:w="0" w:type="dxa"/>
            <w:right w:w="0" w:type="dxa"/>
          </w:tblCellMar>
        </w:tblPrEx>
        <w:trPr>
          <w:trHeight w:val="115" w:hRule="atLeast"/>
        </w:trPr>
        <w:tc>
          <w:tcPr>
            <w:tcW w:w="8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沟道</w:t>
            </w: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r>
      <w:tr>
        <w:tblPrEx>
          <w:shd w:val="clear" w:color="auto" w:fill="auto"/>
          <w:tblCellMar>
            <w:top w:w="0" w:type="dxa"/>
            <w:left w:w="0" w:type="dxa"/>
            <w:bottom w:w="0" w:type="dxa"/>
            <w:right w:w="0" w:type="dxa"/>
          </w:tblCellMar>
        </w:tblPrEx>
        <w:trPr>
          <w:trHeight w:val="90" w:hRule="atLeast"/>
        </w:trPr>
        <w:tc>
          <w:tcPr>
            <w:tcW w:w="8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管埋</w:t>
            </w: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r>
      <w:tr>
        <w:tblPrEx>
          <w:tblCellMar>
            <w:top w:w="0" w:type="dxa"/>
            <w:left w:w="0" w:type="dxa"/>
            <w:bottom w:w="0" w:type="dxa"/>
            <w:right w:w="0" w:type="dxa"/>
          </w:tblCellMar>
        </w:tblPrEx>
        <w:trPr>
          <w:trHeight w:val="127" w:hRule="atLeast"/>
        </w:trPr>
        <w:tc>
          <w:tcPr>
            <w:tcW w:w="8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直埋</w:t>
            </w: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r>
      <w:tr>
        <w:tblPrEx>
          <w:shd w:val="clear" w:color="auto" w:fill="auto"/>
          <w:tblCellMar>
            <w:top w:w="0" w:type="dxa"/>
            <w:left w:w="0" w:type="dxa"/>
            <w:bottom w:w="0" w:type="dxa"/>
            <w:right w:w="0" w:type="dxa"/>
          </w:tblCellMar>
        </w:tblPrEx>
        <w:trPr>
          <w:trHeight w:val="95" w:hRule="atLeast"/>
        </w:trPr>
        <w:tc>
          <w:tcPr>
            <w:tcW w:w="8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架空</w:t>
            </w: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r>
      <w:tr>
        <w:tblPrEx>
          <w:tblCellMar>
            <w:top w:w="0" w:type="dxa"/>
            <w:left w:w="0" w:type="dxa"/>
            <w:bottom w:w="0" w:type="dxa"/>
            <w:right w:w="0" w:type="dxa"/>
          </w:tblCellMar>
        </w:tblPrEx>
        <w:trPr>
          <w:trHeight w:val="149" w:hRule="atLeast"/>
        </w:trPr>
        <w:tc>
          <w:tcPr>
            <w:tcW w:w="8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通信</w:t>
            </w:r>
          </w:p>
        </w:tc>
        <w:tc>
          <w:tcPr>
            <w:tcW w:w="7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管块</w:t>
            </w: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r>
      <w:tr>
        <w:tblPrEx>
          <w:tblCellMar>
            <w:top w:w="0" w:type="dxa"/>
            <w:left w:w="0" w:type="dxa"/>
            <w:bottom w:w="0" w:type="dxa"/>
            <w:right w:w="0" w:type="dxa"/>
          </w:tblCellMar>
        </w:tblPrEx>
        <w:trPr>
          <w:trHeight w:val="165" w:hRule="atLeast"/>
        </w:trPr>
        <w:tc>
          <w:tcPr>
            <w:tcW w:w="8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沟道</w:t>
            </w: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r>
      <w:tr>
        <w:tblPrEx>
          <w:tblCellMar>
            <w:top w:w="0" w:type="dxa"/>
            <w:left w:w="0" w:type="dxa"/>
            <w:bottom w:w="0" w:type="dxa"/>
            <w:right w:w="0" w:type="dxa"/>
          </w:tblCellMar>
        </w:tblPrEx>
        <w:trPr>
          <w:trHeight w:val="140" w:hRule="atLeast"/>
        </w:trPr>
        <w:tc>
          <w:tcPr>
            <w:tcW w:w="8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管埋</w:t>
            </w: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r>
      <w:tr>
        <w:tblPrEx>
          <w:tblCellMar>
            <w:top w:w="0" w:type="dxa"/>
            <w:left w:w="0" w:type="dxa"/>
            <w:bottom w:w="0" w:type="dxa"/>
            <w:right w:w="0" w:type="dxa"/>
          </w:tblCellMar>
        </w:tblPrEx>
        <w:trPr>
          <w:trHeight w:val="190" w:hRule="atLeast"/>
        </w:trPr>
        <w:tc>
          <w:tcPr>
            <w:tcW w:w="8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直埋</w:t>
            </w: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r>
      <w:tr>
        <w:tblPrEx>
          <w:tblCellMar>
            <w:top w:w="0" w:type="dxa"/>
            <w:left w:w="0" w:type="dxa"/>
            <w:bottom w:w="0" w:type="dxa"/>
            <w:right w:w="0" w:type="dxa"/>
          </w:tblCellMar>
        </w:tblPrEx>
        <w:trPr>
          <w:trHeight w:val="14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工业</w:t>
            </w:r>
          </w:p>
        </w:tc>
        <w:tc>
          <w:tcPr>
            <w:tcW w:w="7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管道</w:t>
            </w: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r>
      <w:tr>
        <w:tblPrEx>
          <w:tblCellMar>
            <w:top w:w="0" w:type="dxa"/>
            <w:left w:w="0" w:type="dxa"/>
            <w:bottom w:w="0" w:type="dxa"/>
            <w:right w:w="0" w:type="dxa"/>
          </w:tblCellMar>
        </w:tblPrEx>
        <w:trPr>
          <w:trHeight w:val="734"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综合管 廊(沟)</w:t>
            </w:r>
          </w:p>
        </w:tc>
        <w:tc>
          <w:tcPr>
            <w:tcW w:w="7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沟道</w:t>
            </w: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r>
      <w:tr>
        <w:tblPrEx>
          <w:tblCellMar>
            <w:top w:w="0" w:type="dxa"/>
            <w:left w:w="0" w:type="dxa"/>
            <w:bottom w:w="0" w:type="dxa"/>
            <w:right w:w="0" w:type="dxa"/>
          </w:tblCellMar>
        </w:tblPrEx>
        <w:trPr>
          <w:trHeight w:val="60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其他</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管线</w:t>
            </w:r>
          </w:p>
        </w:tc>
        <w:tc>
          <w:tcPr>
            <w:tcW w:w="7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管道</w:t>
            </w: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i w:val="0"/>
                <w:color w:val="000000"/>
                <w:sz w:val="21"/>
                <w:szCs w:val="21"/>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r>
      <w:tr>
        <w:tblPrEx>
          <w:tblCellMar>
            <w:top w:w="0" w:type="dxa"/>
            <w:left w:w="0" w:type="dxa"/>
            <w:bottom w:w="0" w:type="dxa"/>
            <w:right w:w="0" w:type="dxa"/>
          </w:tblCellMar>
        </w:tblPrEx>
        <w:trPr>
          <w:trHeight w:val="2689" w:hRule="atLeast"/>
        </w:trPr>
        <w:tc>
          <w:tcPr>
            <w:tcW w:w="9894" w:type="dxa"/>
            <w:gridSpan w:val="1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exact"/>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注 1：▲表示应查明项目。 </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 xml:space="preserve">注 2：断面尺寸：单位用毫米表示。有压力的圆形地下管道量测外径，其它圆形地下管道量测内21径；电力、通信管块调查外径，其它矩形断面量测内壁的宽高； </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 xml:space="preserve">注 3：保护材质指线缆类管线最外层保护介质的材质； </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 xml:space="preserve">注 4：管线埋深：直埋电缆和管块应量测外顶埋深，电力、通讯沟道量测内底埋深，给水、燃气和工业等有压力的管道量测外顶埋深，排水管沟、地下沟道和自流管道应量测内底埋深。综合管 廊应量测外顶埋深；出露在地面上的管线，实测管顶或管底高程，埋深记为“0”； </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注 5：只有电力、通信管线才需调查线缆条数。</w:t>
            </w:r>
          </w:p>
        </w:tc>
      </w:tr>
    </w:tbl>
    <w:p>
      <w:pPr>
        <w:pStyle w:val="55"/>
        <w:numPr>
          <w:ilvl w:val="2"/>
          <w:numId w:val="0"/>
        </w:numPr>
        <w:ind w:leftChars="200"/>
        <w:outlineLvl w:val="9"/>
        <w:rPr>
          <w:rFonts w:hint="default"/>
          <w:b w:val="0"/>
          <w:bCs/>
          <w:lang w:val="en-US" w:eastAsia="zh-CN"/>
        </w:rPr>
      </w:pPr>
      <w:bookmarkStart w:id="1231" w:name="_Toc13679"/>
      <w:bookmarkStart w:id="1232" w:name="_Toc12198"/>
      <w:r>
        <w:rPr>
          <w:rFonts w:hint="eastAsia"/>
          <w:b w:val="0"/>
          <w:bCs/>
          <w:lang w:val="en-US" w:eastAsia="zh-CN"/>
        </w:rPr>
        <w:t>2.1.4</w:t>
      </w:r>
      <w:r>
        <w:rPr>
          <w:rFonts w:hint="default"/>
          <w:b w:val="0"/>
          <w:bCs/>
          <w:lang w:val="en-US" w:eastAsia="zh-CN"/>
        </w:rPr>
        <w:t>管线特征点和附属设施按表</w:t>
      </w:r>
      <w:r>
        <w:rPr>
          <w:rFonts w:hint="eastAsia"/>
          <w:b w:val="0"/>
          <w:bCs/>
          <w:lang w:val="en-US" w:eastAsia="zh-CN"/>
        </w:rPr>
        <w:t>4</w:t>
      </w:r>
      <w:r>
        <w:rPr>
          <w:rFonts w:hint="default"/>
          <w:b w:val="0"/>
          <w:bCs/>
          <w:lang w:val="en-US" w:eastAsia="zh-CN"/>
        </w:rPr>
        <w:t>执行。</w:t>
      </w:r>
      <w:bookmarkEnd w:id="1231"/>
      <w:bookmarkEnd w:id="1232"/>
    </w:p>
    <w:p>
      <w:pPr>
        <w:pStyle w:val="55"/>
        <w:numPr>
          <w:ilvl w:val="2"/>
          <w:numId w:val="0"/>
        </w:numPr>
        <w:ind w:leftChars="200"/>
        <w:jc w:val="center"/>
        <w:outlineLvl w:val="9"/>
        <w:rPr>
          <w:rFonts w:hint="eastAsia"/>
          <w:b/>
          <w:bCs w:val="0"/>
          <w:lang w:val="en-US" w:eastAsia="zh-CN"/>
        </w:rPr>
      </w:pPr>
      <w:bookmarkStart w:id="1233" w:name="_Toc12574"/>
      <w:bookmarkStart w:id="1234" w:name="_Toc15321"/>
      <w:r>
        <w:rPr>
          <w:rFonts w:hint="eastAsia"/>
          <w:b/>
          <w:bCs w:val="0"/>
          <w:lang w:val="en-US" w:eastAsia="zh-CN"/>
        </w:rPr>
        <w:t>表4 管线特征点和附属设施表</w:t>
      </w:r>
      <w:bookmarkEnd w:id="1233"/>
      <w:bookmarkEnd w:id="1234"/>
    </w:p>
    <w:tbl>
      <w:tblPr>
        <w:tblStyle w:val="26"/>
        <w:tblW w:w="9859" w:type="dxa"/>
        <w:tblInd w:w="0" w:type="dxa"/>
        <w:shd w:val="clear" w:color="auto" w:fill="auto"/>
        <w:tblLayout w:type="fixed"/>
        <w:tblCellMar>
          <w:top w:w="0" w:type="dxa"/>
          <w:left w:w="0" w:type="dxa"/>
          <w:bottom w:w="0" w:type="dxa"/>
          <w:right w:w="0" w:type="dxa"/>
        </w:tblCellMar>
      </w:tblPr>
      <w:tblGrid>
        <w:gridCol w:w="1239"/>
        <w:gridCol w:w="4310"/>
        <w:gridCol w:w="4310"/>
      </w:tblGrid>
      <w:tr>
        <w:tblPrEx>
          <w:tblCellMar>
            <w:top w:w="0" w:type="dxa"/>
            <w:left w:w="0" w:type="dxa"/>
            <w:bottom w:w="0" w:type="dxa"/>
            <w:right w:w="0" w:type="dxa"/>
          </w:tblCellMar>
        </w:tblPrEx>
        <w:trPr>
          <w:trHeight w:val="409" w:hRule="atLeast"/>
          <w:tblHeader/>
        </w:trPr>
        <w:tc>
          <w:tcPr>
            <w:tcW w:w="12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管线种类</w:t>
            </w:r>
          </w:p>
        </w:tc>
        <w:tc>
          <w:tcPr>
            <w:tcW w:w="4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特征点</w:t>
            </w:r>
          </w:p>
        </w:tc>
        <w:tc>
          <w:tcPr>
            <w:tcW w:w="4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附属设施</w:t>
            </w:r>
          </w:p>
        </w:tc>
      </w:tr>
      <w:tr>
        <w:tblPrEx>
          <w:tblCellMar>
            <w:top w:w="0" w:type="dxa"/>
            <w:left w:w="0" w:type="dxa"/>
            <w:bottom w:w="0" w:type="dxa"/>
            <w:right w:w="0" w:type="dxa"/>
          </w:tblCellMar>
        </w:tblPrEx>
        <w:trPr>
          <w:trHeight w:val="1350" w:hRule="atLeast"/>
        </w:trPr>
        <w:tc>
          <w:tcPr>
            <w:tcW w:w="12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给水</w:t>
            </w:r>
          </w:p>
        </w:tc>
        <w:tc>
          <w:tcPr>
            <w:tcW w:w="4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ind w:left="24" w:leftChars="1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测压点、测流点、水质监测点、变径、 出地、盖堵、弯头、直线点、三通、 四通、多通、预留口、非普查、入户、 井边点、井内点等</w:t>
            </w:r>
          </w:p>
        </w:tc>
        <w:tc>
          <w:tcPr>
            <w:tcW w:w="4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ind w:left="24" w:leftChars="1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检修井、阀门井、消防井、水表井、水源井、排气阀、排污阀、水塔、水表、水池、阀门孔、泵站、消防栓、阀门、进水口、出水口、沉淀池等</w:t>
            </w:r>
          </w:p>
        </w:tc>
      </w:tr>
      <w:tr>
        <w:tblPrEx>
          <w:shd w:val="clear" w:color="auto" w:fill="auto"/>
          <w:tblCellMar>
            <w:top w:w="0" w:type="dxa"/>
            <w:left w:w="0" w:type="dxa"/>
            <w:bottom w:w="0" w:type="dxa"/>
            <w:right w:w="0" w:type="dxa"/>
          </w:tblCellMar>
        </w:tblPrEx>
        <w:trPr>
          <w:trHeight w:val="1362" w:hRule="atLeast"/>
        </w:trPr>
        <w:tc>
          <w:tcPr>
            <w:tcW w:w="12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排水</w:t>
            </w:r>
          </w:p>
        </w:tc>
        <w:tc>
          <w:tcPr>
            <w:tcW w:w="4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ind w:left="24" w:leftChars="1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变径、出地、拐点、直线点、三通、 四通、多通、非普查、预留口、井边 点、井内点、进水口、出水口等</w:t>
            </w:r>
          </w:p>
        </w:tc>
        <w:tc>
          <w:tcPr>
            <w:tcW w:w="4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ind w:left="24" w:leftChars="1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污水井、雨水井、雨篦、污篦、溢流井、阀门井、跌水井、通风井、冲洗井、沉泥井、渗水井、出气井、水封 井、排水泵站、化粪池、净化池、阀门等</w:t>
            </w:r>
          </w:p>
        </w:tc>
      </w:tr>
      <w:tr>
        <w:tblPrEx>
          <w:tblCellMar>
            <w:top w:w="0" w:type="dxa"/>
            <w:left w:w="0" w:type="dxa"/>
            <w:bottom w:w="0" w:type="dxa"/>
            <w:right w:w="0" w:type="dxa"/>
          </w:tblCellMar>
        </w:tblPrEx>
        <w:trPr>
          <w:trHeight w:val="1038" w:hRule="atLeast"/>
        </w:trPr>
        <w:tc>
          <w:tcPr>
            <w:tcW w:w="12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燃气</w:t>
            </w:r>
          </w:p>
        </w:tc>
        <w:tc>
          <w:tcPr>
            <w:tcW w:w="4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ind w:left="24" w:leftChars="1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变径、出地、盖堵、弯头、直线点、 三通、四通、多通、预留口、非普查、 入户、井边点、井内点等</w:t>
            </w:r>
          </w:p>
        </w:tc>
        <w:tc>
          <w:tcPr>
            <w:tcW w:w="4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ind w:left="24" w:leftChars="1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阀门井、检修井、阀门、压力表、阴 极测试桩、波形管、凝水缸、调压箱、 调压站、燃气柜、燃气桩、涨缩站等</w:t>
            </w:r>
          </w:p>
        </w:tc>
      </w:tr>
      <w:tr>
        <w:tblPrEx>
          <w:tblCellMar>
            <w:top w:w="0" w:type="dxa"/>
            <w:left w:w="0" w:type="dxa"/>
            <w:bottom w:w="0" w:type="dxa"/>
            <w:right w:w="0" w:type="dxa"/>
          </w:tblCellMar>
        </w:tblPrEx>
        <w:trPr>
          <w:trHeight w:val="875" w:hRule="atLeast"/>
        </w:trPr>
        <w:tc>
          <w:tcPr>
            <w:tcW w:w="12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热力</w:t>
            </w:r>
          </w:p>
        </w:tc>
        <w:tc>
          <w:tcPr>
            <w:tcW w:w="4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ind w:left="24" w:leftChars="1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变径、出地、盖堵、弯头、直线点、 三通、四通、多通、预留口、非普查、 入户、井边点、井内点等</w:t>
            </w:r>
          </w:p>
        </w:tc>
        <w:tc>
          <w:tcPr>
            <w:tcW w:w="4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ind w:left="24" w:leftChars="1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检修井、阀门井、吹扫井、阀门、调 压装置、疏水、真空表、固定节、安 全阀、排潮孔、换热站等</w:t>
            </w:r>
          </w:p>
        </w:tc>
      </w:tr>
      <w:tr>
        <w:tblPrEx>
          <w:tblCellMar>
            <w:top w:w="0" w:type="dxa"/>
            <w:left w:w="0" w:type="dxa"/>
            <w:bottom w:w="0" w:type="dxa"/>
            <w:right w:w="0" w:type="dxa"/>
          </w:tblCellMar>
        </w:tblPrEx>
        <w:trPr>
          <w:trHeight w:val="1237" w:hRule="atLeast"/>
        </w:trPr>
        <w:tc>
          <w:tcPr>
            <w:tcW w:w="12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电力</w:t>
            </w:r>
          </w:p>
        </w:tc>
        <w:tc>
          <w:tcPr>
            <w:tcW w:w="4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ind w:left="24" w:leftChars="1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弯头、直线点、分支点、预留口、非 普查、入户、井边点、井内点等</w:t>
            </w:r>
          </w:p>
        </w:tc>
        <w:tc>
          <w:tcPr>
            <w:tcW w:w="4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ind w:left="24" w:leftChars="1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变电站、配电室、变压器、人孔井、 手孔、通风井、接线箱、路灯控制箱、 路灯、交通信号灯、地灯、线杆、广 告牌、上杆、砼杆、π杆、铁杆、铁 塔等</w:t>
            </w:r>
          </w:p>
        </w:tc>
      </w:tr>
      <w:tr>
        <w:tblPrEx>
          <w:tblCellMar>
            <w:top w:w="0" w:type="dxa"/>
            <w:left w:w="0" w:type="dxa"/>
            <w:bottom w:w="0" w:type="dxa"/>
            <w:right w:w="0" w:type="dxa"/>
          </w:tblCellMar>
        </w:tblPrEx>
        <w:trPr>
          <w:trHeight w:val="796" w:hRule="atLeast"/>
        </w:trPr>
        <w:tc>
          <w:tcPr>
            <w:tcW w:w="12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通信</w:t>
            </w:r>
          </w:p>
        </w:tc>
        <w:tc>
          <w:tcPr>
            <w:tcW w:w="4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ind w:left="24" w:leftChars="1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弯头、直线点、分支点、预留口、非 普查、入户、井边点、井内点等</w:t>
            </w:r>
          </w:p>
        </w:tc>
        <w:tc>
          <w:tcPr>
            <w:tcW w:w="4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ind w:left="24" w:leftChars="1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人孔、手孔、接线箱、电话亭、监控 器、无线电杆、差转台、发射塔、交 换站、上杆等</w:t>
            </w:r>
          </w:p>
        </w:tc>
      </w:tr>
      <w:tr>
        <w:tblPrEx>
          <w:tblCellMar>
            <w:top w:w="0" w:type="dxa"/>
            <w:left w:w="0" w:type="dxa"/>
            <w:bottom w:w="0" w:type="dxa"/>
            <w:right w:w="0" w:type="dxa"/>
          </w:tblCellMar>
        </w:tblPrEx>
        <w:trPr>
          <w:trHeight w:val="947" w:hRule="atLeast"/>
        </w:trPr>
        <w:tc>
          <w:tcPr>
            <w:tcW w:w="12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工业</w:t>
            </w:r>
          </w:p>
        </w:tc>
        <w:tc>
          <w:tcPr>
            <w:tcW w:w="4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ind w:left="24" w:leftChars="1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变径、出地、盖堵、弯头、直线点、 三通、四通、多通、预留口、非普查、 入户、井边点、井内点等</w:t>
            </w:r>
          </w:p>
        </w:tc>
        <w:tc>
          <w:tcPr>
            <w:tcW w:w="4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ind w:left="24" w:leftChars="1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检修井、排污装置、动力站、阀门等</w:t>
            </w:r>
          </w:p>
        </w:tc>
      </w:tr>
      <w:tr>
        <w:tblPrEx>
          <w:tblCellMar>
            <w:top w:w="0" w:type="dxa"/>
            <w:left w:w="0" w:type="dxa"/>
            <w:bottom w:w="0" w:type="dxa"/>
            <w:right w:w="0" w:type="dxa"/>
          </w:tblCellMar>
        </w:tblPrEx>
        <w:trPr>
          <w:trHeight w:val="563" w:hRule="atLeast"/>
        </w:trPr>
        <w:tc>
          <w:tcPr>
            <w:tcW w:w="12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综合管廊 （沟）</w:t>
            </w:r>
          </w:p>
        </w:tc>
        <w:tc>
          <w:tcPr>
            <w:tcW w:w="4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ind w:left="24" w:leftChars="1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弯头、直线点、变径、出地、三通、 四通、多通、预留口、非普查、井边 点、井内点等</w:t>
            </w:r>
          </w:p>
        </w:tc>
        <w:tc>
          <w:tcPr>
            <w:tcW w:w="4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ind w:left="24" w:leftChars="1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检修井、出入口、投料口、通风口、 排气装置等</w:t>
            </w:r>
          </w:p>
        </w:tc>
      </w:tr>
      <w:tr>
        <w:tblPrEx>
          <w:tblCellMar>
            <w:top w:w="0" w:type="dxa"/>
            <w:left w:w="0" w:type="dxa"/>
            <w:bottom w:w="0" w:type="dxa"/>
            <w:right w:w="0" w:type="dxa"/>
          </w:tblCellMar>
        </w:tblPrEx>
        <w:trPr>
          <w:trHeight w:val="713" w:hRule="atLeast"/>
        </w:trPr>
        <w:tc>
          <w:tcPr>
            <w:tcW w:w="12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其他管线</w:t>
            </w:r>
          </w:p>
        </w:tc>
        <w:tc>
          <w:tcPr>
            <w:tcW w:w="4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ind w:left="24" w:leftChars="1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变径、出地、盖堵、弯头、直线点、 三通、四通、多通、预留口、非普查、 入户、井边点、井内点等</w:t>
            </w:r>
          </w:p>
        </w:tc>
        <w:tc>
          <w:tcPr>
            <w:tcW w:w="4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ind w:left="24" w:leftChars="1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检修井、排污装置、动力站、阀门等</w:t>
            </w:r>
          </w:p>
        </w:tc>
      </w:tr>
      <w:tr>
        <w:tblPrEx>
          <w:shd w:val="clear" w:color="auto" w:fill="auto"/>
          <w:tblCellMar>
            <w:top w:w="0" w:type="dxa"/>
            <w:left w:w="0" w:type="dxa"/>
            <w:bottom w:w="0" w:type="dxa"/>
            <w:right w:w="0" w:type="dxa"/>
          </w:tblCellMar>
        </w:tblPrEx>
        <w:trPr>
          <w:trHeight w:val="1308" w:hRule="atLeast"/>
        </w:trPr>
        <w:tc>
          <w:tcPr>
            <w:tcW w:w="985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注 1：军用（国防）、铁路、民航及其它专业管线探测项目参照本表规定执行，但应注明权属单位。 </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 xml:space="preserve">注 2：当管线特征既变径又变材时以变径为主，变材不填； </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注 3：当管径在普查区变径后为小管径未达到本次探测标准时，管线可终止于变径符号，在点表备注栏注“小管径”。</w:t>
            </w:r>
          </w:p>
        </w:tc>
      </w:tr>
    </w:tbl>
    <w:p>
      <w:pPr>
        <w:keepNext w:val="0"/>
        <w:keepLines w:val="0"/>
        <w:pageBreakBefore w:val="0"/>
        <w:widowControl/>
        <w:suppressLineNumbers w:val="0"/>
        <w:kinsoku/>
        <w:wordWrap/>
        <w:overflowPunct/>
        <w:topLinePunct w:val="0"/>
        <w:autoSpaceDE/>
        <w:autoSpaceDN/>
        <w:bidi w:val="0"/>
        <w:adjustRightInd w:val="0"/>
        <w:snapToGrid w:val="0"/>
        <w:ind w:firstLine="482" w:firstLineChars="200"/>
        <w:jc w:val="left"/>
        <w:textAlignment w:val="auto"/>
        <w:rPr>
          <w:rFonts w:hint="eastAsia" w:ascii="宋体" w:hAnsi="宋体" w:eastAsia="宋体" w:cs="宋体"/>
          <w:sz w:val="24"/>
          <w:szCs w:val="24"/>
        </w:rPr>
      </w:pPr>
      <w:r>
        <w:rPr>
          <w:rFonts w:hint="eastAsia" w:cs="宋体"/>
          <w:b/>
          <w:color w:val="000000"/>
          <w:kern w:val="0"/>
          <w:sz w:val="24"/>
          <w:szCs w:val="24"/>
          <w:lang w:val="en-US" w:eastAsia="zh-CN" w:bidi="ar"/>
        </w:rPr>
        <w:t>2.2</w:t>
      </w:r>
      <w:r>
        <w:rPr>
          <w:rFonts w:hint="eastAsia" w:ascii="宋体" w:hAnsi="宋体" w:eastAsia="宋体" w:cs="宋体"/>
          <w:b/>
          <w:color w:val="000000"/>
          <w:kern w:val="0"/>
          <w:sz w:val="24"/>
          <w:szCs w:val="24"/>
          <w:lang w:val="en-US" w:eastAsia="zh-CN" w:bidi="ar"/>
        </w:rPr>
        <w:t xml:space="preserve">仪器探查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sz w:val="24"/>
          <w:szCs w:val="24"/>
          <w:highlight w:val="none"/>
        </w:rPr>
      </w:pPr>
      <w:r>
        <w:rPr>
          <w:rFonts w:hint="eastAsia" w:cs="宋体"/>
          <w:color w:val="000000"/>
          <w:kern w:val="0"/>
          <w:sz w:val="24"/>
          <w:szCs w:val="24"/>
          <w:lang w:val="en-US" w:eastAsia="zh-CN" w:bidi="ar"/>
        </w:rPr>
        <w:t>2.2</w:t>
      </w:r>
      <w:r>
        <w:rPr>
          <w:rFonts w:hint="eastAsia" w:ascii="宋体" w:hAnsi="宋体" w:eastAsia="宋体" w:cs="宋体"/>
          <w:color w:val="000000"/>
          <w:kern w:val="0"/>
          <w:sz w:val="24"/>
          <w:szCs w:val="24"/>
          <w:lang w:val="en-US" w:eastAsia="zh-CN" w:bidi="ar"/>
        </w:rPr>
        <w:t>.1地下管线仪器探查应在作业现场记录探查结果，填写的探查记录表应符合按本方案</w:t>
      </w:r>
      <w:r>
        <w:rPr>
          <w:rFonts w:hint="eastAsia" w:ascii="宋体" w:hAnsi="宋体" w:eastAsia="宋体" w:cs="宋体"/>
          <w:color w:val="000000"/>
          <w:kern w:val="0"/>
          <w:sz w:val="24"/>
          <w:szCs w:val="24"/>
          <w:highlight w:val="none"/>
          <w:lang w:val="en-US" w:eastAsia="zh-CN" w:bidi="ar"/>
        </w:rPr>
        <w:t xml:space="preserve">附录 B的规定。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sz w:val="24"/>
          <w:szCs w:val="24"/>
          <w:highlight w:val="none"/>
        </w:rPr>
      </w:pPr>
      <w:r>
        <w:rPr>
          <w:rFonts w:hint="eastAsia" w:cs="宋体"/>
          <w:color w:val="000000"/>
          <w:kern w:val="0"/>
          <w:sz w:val="24"/>
          <w:szCs w:val="24"/>
          <w:highlight w:val="none"/>
          <w:lang w:val="en-US" w:eastAsia="zh-CN" w:bidi="ar"/>
        </w:rPr>
        <w:t>2.2</w:t>
      </w:r>
      <w:r>
        <w:rPr>
          <w:rFonts w:hint="eastAsia" w:ascii="宋体" w:hAnsi="宋体" w:eastAsia="宋体" w:cs="宋体"/>
          <w:color w:val="000000"/>
          <w:kern w:val="0"/>
          <w:sz w:val="24"/>
          <w:szCs w:val="24"/>
          <w:highlight w:val="none"/>
          <w:lang w:val="en-US" w:eastAsia="zh-CN" w:bidi="ar"/>
        </w:rPr>
        <w:t xml:space="preserve">.2地下管线探查所采用的方法须经过方法试验验证有效，并按相关规定要求进行探查。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sz w:val="24"/>
          <w:szCs w:val="24"/>
          <w:highlight w:val="none"/>
        </w:rPr>
      </w:pPr>
      <w:r>
        <w:rPr>
          <w:rFonts w:hint="eastAsia" w:cs="宋体"/>
          <w:color w:val="000000"/>
          <w:kern w:val="0"/>
          <w:sz w:val="24"/>
          <w:szCs w:val="24"/>
          <w:highlight w:val="none"/>
          <w:lang w:val="en-US" w:eastAsia="zh-CN" w:bidi="ar"/>
        </w:rPr>
        <w:t>2.2</w:t>
      </w:r>
      <w:r>
        <w:rPr>
          <w:rFonts w:hint="eastAsia" w:ascii="宋体" w:hAnsi="宋体" w:eastAsia="宋体" w:cs="宋体"/>
          <w:color w:val="000000"/>
          <w:kern w:val="0"/>
          <w:sz w:val="24"/>
          <w:szCs w:val="24"/>
          <w:highlight w:val="none"/>
          <w:lang w:val="en-US" w:eastAsia="zh-CN" w:bidi="ar"/>
        </w:rPr>
        <w:t xml:space="preserve">.3隐蔽管线点可采用仪器探查或直接开挖的方式进行探查。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sz w:val="24"/>
          <w:szCs w:val="24"/>
          <w:highlight w:val="none"/>
        </w:rPr>
      </w:pPr>
      <w:r>
        <w:rPr>
          <w:rFonts w:hint="eastAsia" w:cs="宋体"/>
          <w:color w:val="000000"/>
          <w:kern w:val="0"/>
          <w:sz w:val="24"/>
          <w:szCs w:val="24"/>
          <w:highlight w:val="none"/>
          <w:lang w:val="en-US" w:eastAsia="zh-CN" w:bidi="ar"/>
        </w:rPr>
        <w:t>2.2</w:t>
      </w:r>
      <w:r>
        <w:rPr>
          <w:rFonts w:hint="eastAsia" w:ascii="宋体" w:hAnsi="宋体" w:eastAsia="宋体" w:cs="宋体"/>
          <w:color w:val="000000"/>
          <w:kern w:val="0"/>
          <w:sz w:val="24"/>
          <w:szCs w:val="24"/>
          <w:highlight w:val="none"/>
          <w:lang w:val="en-US" w:eastAsia="zh-CN" w:bidi="ar"/>
        </w:rPr>
        <w:t>.4地下管线探查应遵循从已知到未知，从简单到复杂，优先采用有效、轻便、快捷、安全和经济的方法，复杂条件下宜采用多种探查方法相互验证。</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sz w:val="24"/>
          <w:szCs w:val="24"/>
        </w:rPr>
      </w:pPr>
      <w:r>
        <w:rPr>
          <w:rFonts w:hint="eastAsia" w:cs="宋体"/>
          <w:color w:val="000000"/>
          <w:kern w:val="0"/>
          <w:sz w:val="24"/>
          <w:szCs w:val="24"/>
          <w:highlight w:val="none"/>
          <w:lang w:val="en-US" w:eastAsia="zh-CN" w:bidi="ar"/>
        </w:rPr>
        <w:t>2.2</w:t>
      </w:r>
      <w:r>
        <w:rPr>
          <w:rFonts w:hint="eastAsia" w:ascii="宋体" w:hAnsi="宋体" w:eastAsia="宋体" w:cs="宋体"/>
          <w:color w:val="000000"/>
          <w:kern w:val="0"/>
          <w:sz w:val="24"/>
          <w:szCs w:val="24"/>
          <w:highlight w:val="none"/>
          <w:lang w:val="en-US" w:eastAsia="zh-CN" w:bidi="ar"/>
        </w:rPr>
        <w:t>.5探查金属管线时宜采用磁偶极感应法或电偶极感应法。探查铁磁性管道可选用磁测法。探查非金属管线宜采用电磁</w:t>
      </w:r>
      <w:r>
        <w:rPr>
          <w:rFonts w:hint="eastAsia" w:ascii="宋体" w:hAnsi="宋体" w:eastAsia="宋体" w:cs="宋体"/>
          <w:color w:val="000000"/>
          <w:kern w:val="0"/>
          <w:sz w:val="24"/>
          <w:szCs w:val="24"/>
          <w:lang w:val="en-US" w:eastAsia="zh-CN" w:bidi="ar"/>
        </w:rPr>
        <w:t xml:space="preserve">波法和示踪电磁法。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sz w:val="24"/>
          <w:szCs w:val="24"/>
        </w:rPr>
      </w:pPr>
      <w:r>
        <w:rPr>
          <w:rFonts w:hint="eastAsia" w:cs="宋体"/>
          <w:color w:val="000000"/>
          <w:kern w:val="0"/>
          <w:sz w:val="24"/>
          <w:szCs w:val="24"/>
          <w:lang w:val="en-US" w:eastAsia="zh-CN" w:bidi="ar"/>
        </w:rPr>
        <w:t>2.2</w:t>
      </w:r>
      <w:r>
        <w:rPr>
          <w:rFonts w:hint="eastAsia" w:ascii="宋体" w:hAnsi="宋体" w:eastAsia="宋体" w:cs="宋体"/>
          <w:color w:val="000000"/>
          <w:kern w:val="0"/>
          <w:sz w:val="24"/>
          <w:szCs w:val="24"/>
          <w:lang w:val="en-US" w:eastAsia="zh-CN" w:bidi="ar"/>
        </w:rPr>
        <w:t xml:space="preserve">.6采用电磁感应方式探查管线平面位置，宜用扫描搜索的方法确定管线的大致位置再进行追踪定位。定位方法宜采用峰值法，在无干扰的情况下可用零值法。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sz w:val="24"/>
          <w:szCs w:val="24"/>
        </w:rPr>
      </w:pPr>
      <w:r>
        <w:rPr>
          <w:rFonts w:hint="eastAsia" w:cs="宋体"/>
          <w:color w:val="000000"/>
          <w:kern w:val="0"/>
          <w:sz w:val="24"/>
          <w:szCs w:val="24"/>
          <w:lang w:val="en-US" w:eastAsia="zh-CN" w:bidi="ar"/>
        </w:rPr>
        <w:t>2.2</w:t>
      </w:r>
      <w:r>
        <w:rPr>
          <w:rFonts w:hint="eastAsia" w:ascii="宋体" w:hAnsi="宋体" w:eastAsia="宋体" w:cs="宋体"/>
          <w:color w:val="000000"/>
          <w:kern w:val="0"/>
          <w:sz w:val="24"/>
          <w:szCs w:val="24"/>
          <w:lang w:val="en-US" w:eastAsia="zh-CN" w:bidi="ar"/>
        </w:rPr>
        <w:t xml:space="preserve">.7采用电磁感应方式探查管线埋深应符合下列要求：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（1）管线走向变化的各方向均应探测埋深。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（2）定深位置选择在被探查管线前后至少四倍管线中心埋深范围内是单一的直管线、中间无分支或弯曲，且相邻平行管线之间的间距应大于被探查管线埋深的1.5倍。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（3）定深方法应根据方法试验结果确定，并根据不同仪器的特定观测系统采用相应的定深方法，不宜采用直读法。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sz w:val="24"/>
          <w:szCs w:val="24"/>
        </w:rPr>
      </w:pPr>
      <w:r>
        <w:rPr>
          <w:rFonts w:hint="eastAsia" w:cs="宋体"/>
          <w:color w:val="000000"/>
          <w:kern w:val="0"/>
          <w:sz w:val="24"/>
          <w:szCs w:val="24"/>
          <w:lang w:val="en-US" w:eastAsia="zh-CN" w:bidi="ar"/>
        </w:rPr>
        <w:t>2.2</w:t>
      </w:r>
      <w:r>
        <w:rPr>
          <w:rFonts w:hint="eastAsia" w:ascii="宋体" w:hAnsi="宋体" w:eastAsia="宋体" w:cs="宋体"/>
          <w:color w:val="000000"/>
          <w:kern w:val="0"/>
          <w:sz w:val="24"/>
          <w:szCs w:val="24"/>
          <w:lang w:val="en-US" w:eastAsia="zh-CN" w:bidi="ar"/>
        </w:rPr>
        <w:t xml:space="preserve">.8金属管线邻近有较多的平行管线或管线分布情况较复杂时，宜采用直接法、夹钳感应法、压线法和选择激发法等方法进行探查。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sz w:val="24"/>
          <w:szCs w:val="24"/>
        </w:rPr>
      </w:pPr>
      <w:r>
        <w:rPr>
          <w:rFonts w:hint="eastAsia" w:cs="宋体"/>
          <w:color w:val="000000"/>
          <w:kern w:val="0"/>
          <w:sz w:val="24"/>
          <w:szCs w:val="24"/>
          <w:lang w:val="en-US" w:eastAsia="zh-CN" w:bidi="ar"/>
        </w:rPr>
        <w:t>2.2</w:t>
      </w:r>
      <w:r>
        <w:rPr>
          <w:rFonts w:hint="eastAsia" w:ascii="宋体" w:hAnsi="宋体" w:eastAsia="宋体" w:cs="宋体"/>
          <w:color w:val="000000"/>
          <w:kern w:val="0"/>
          <w:sz w:val="24"/>
          <w:szCs w:val="24"/>
          <w:lang w:val="en-US" w:eastAsia="zh-CN" w:bidi="ar"/>
        </w:rPr>
        <w:t xml:space="preserve">.9采用地质雷达对非金属管道进行探测时，应选用与探查对象的埋深和管径相匹配的发射频率和合适的接收天线；在一个探测点应作两次以22上的往返测量。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sz w:val="24"/>
          <w:szCs w:val="24"/>
          <w:highlight w:val="none"/>
        </w:rPr>
      </w:pPr>
      <w:r>
        <w:rPr>
          <w:rFonts w:hint="eastAsia" w:cs="宋体"/>
          <w:color w:val="000000"/>
          <w:kern w:val="0"/>
          <w:sz w:val="24"/>
          <w:szCs w:val="24"/>
          <w:lang w:val="en-US" w:eastAsia="zh-CN" w:bidi="ar"/>
        </w:rPr>
        <w:t>2.2</w:t>
      </w:r>
      <w:r>
        <w:rPr>
          <w:rFonts w:hint="eastAsia" w:ascii="宋体" w:hAnsi="宋体" w:eastAsia="宋体" w:cs="宋体"/>
          <w:color w:val="000000"/>
          <w:kern w:val="0"/>
          <w:sz w:val="24"/>
          <w:szCs w:val="24"/>
          <w:lang w:val="en-US" w:eastAsia="zh-CN" w:bidi="ar"/>
        </w:rPr>
        <w:t>.10因探查技术方法的局限性，无法准确探查的管线段或重大属性因无法调查缺失的管线段（如管线</w:t>
      </w:r>
      <w:r>
        <w:rPr>
          <w:rFonts w:hint="eastAsia" w:ascii="宋体" w:hAnsi="宋体" w:eastAsia="宋体" w:cs="宋体"/>
          <w:color w:val="000000"/>
          <w:kern w:val="0"/>
          <w:sz w:val="24"/>
          <w:szCs w:val="24"/>
          <w:highlight w:val="none"/>
          <w:lang w:val="en-US" w:eastAsia="zh-CN" w:bidi="ar"/>
        </w:rPr>
        <w:t xml:space="preserve">埋深、管径、连接关系等），数据文件中“备注栏”应注明“缺失属性管线”，图形文件应使用附录 A（附表 A.11）中“缺失属性管线”线型进行表示，并进行相关的文字说明。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sz w:val="24"/>
          <w:szCs w:val="24"/>
          <w:highlight w:val="none"/>
        </w:rPr>
      </w:pPr>
      <w:r>
        <w:rPr>
          <w:rFonts w:hint="eastAsia" w:cs="宋体"/>
          <w:color w:val="000000"/>
          <w:kern w:val="0"/>
          <w:sz w:val="24"/>
          <w:szCs w:val="24"/>
          <w:highlight w:val="none"/>
          <w:lang w:val="en-US" w:eastAsia="zh-CN" w:bidi="ar"/>
        </w:rPr>
        <w:t>2.2</w:t>
      </w:r>
      <w:r>
        <w:rPr>
          <w:rFonts w:hint="eastAsia" w:ascii="宋体" w:hAnsi="宋体" w:eastAsia="宋体" w:cs="宋体"/>
          <w:color w:val="000000"/>
          <w:kern w:val="0"/>
          <w:sz w:val="24"/>
          <w:szCs w:val="24"/>
          <w:highlight w:val="none"/>
          <w:lang w:val="en-US" w:eastAsia="zh-CN" w:bidi="ar"/>
        </w:rPr>
        <w:t xml:space="preserve">.11确因客观原因管线无法进行探测，根据相关收集资料进行表示的管线，数据文件中应按实际情况填写说明；图形文件应使用附录 A（附表 A.11）中“示意管线”线型进行表示。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sz w:val="24"/>
          <w:szCs w:val="24"/>
          <w:highlight w:val="none"/>
        </w:rPr>
      </w:pPr>
      <w:r>
        <w:rPr>
          <w:rFonts w:hint="eastAsia" w:cs="宋体"/>
          <w:color w:val="000000"/>
          <w:kern w:val="0"/>
          <w:sz w:val="24"/>
          <w:szCs w:val="24"/>
          <w:highlight w:val="none"/>
          <w:lang w:val="en-US" w:eastAsia="zh-CN" w:bidi="ar"/>
        </w:rPr>
        <w:t>2.2</w:t>
      </w:r>
      <w:r>
        <w:rPr>
          <w:rFonts w:hint="eastAsia" w:ascii="宋体" w:hAnsi="宋体" w:eastAsia="宋体" w:cs="宋体"/>
          <w:color w:val="000000"/>
          <w:kern w:val="0"/>
          <w:sz w:val="24"/>
          <w:szCs w:val="24"/>
          <w:highlight w:val="none"/>
          <w:lang w:val="en-US" w:eastAsia="zh-CN" w:bidi="ar"/>
        </w:rPr>
        <w:t>.12隐蔽管线的规格、材质不能确认时，可根据权属单位的调绘资料填写，但应在“地下管线探查记录表”的“备注栏”中注明数据来源。</w:t>
      </w:r>
    </w:p>
    <w:p>
      <w:pPr>
        <w:pStyle w:val="55"/>
        <w:keepNext w:val="0"/>
        <w:keepLines w:val="0"/>
        <w:pageBreakBefore w:val="0"/>
        <w:widowControl w:val="0"/>
        <w:numPr>
          <w:ilvl w:val="2"/>
          <w:numId w:val="0"/>
        </w:numPr>
        <w:kinsoku/>
        <w:overflowPunct/>
        <w:autoSpaceDE/>
        <w:autoSpaceDN/>
        <w:bidi w:val="0"/>
        <w:adjustRightInd w:val="0"/>
        <w:snapToGrid w:val="0"/>
        <w:spacing w:line="440" w:lineRule="exact"/>
        <w:ind w:leftChars="0" w:firstLine="482" w:firstLineChars="200"/>
        <w:textAlignment w:val="auto"/>
        <w:outlineLvl w:val="9"/>
        <w:rPr>
          <w:rFonts w:hint="eastAsia"/>
          <w:b/>
          <w:bCs w:val="0"/>
          <w:lang w:val="en-US" w:eastAsia="zh-CN"/>
        </w:rPr>
      </w:pPr>
      <w:bookmarkStart w:id="1235" w:name="_Toc4238"/>
      <w:bookmarkStart w:id="1236" w:name="_Toc10220"/>
      <w:r>
        <w:rPr>
          <w:rFonts w:hint="eastAsia"/>
          <w:b/>
          <w:bCs w:val="0"/>
          <w:lang w:val="en-US" w:eastAsia="zh-CN"/>
        </w:rPr>
        <w:t>2.3地下管线测量</w:t>
      </w:r>
      <w:bookmarkEnd w:id="1235"/>
      <w:bookmarkEnd w:id="1236"/>
    </w:p>
    <w:p>
      <w:pPr>
        <w:pStyle w:val="93"/>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cs="宋体"/>
        </w:rPr>
      </w:pPr>
      <w:r>
        <w:rPr>
          <w:rFonts w:hint="eastAsia" w:cs="宋体"/>
        </w:rPr>
        <w:t>地下管线探查工作结束后，进入到管线点测量工作环节，管线测量外业要素采集采用网络RTK测量法、全站仪极坐标法等方法。</w:t>
      </w:r>
    </w:p>
    <w:p>
      <w:pPr>
        <w:pStyle w:val="93"/>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cs="宋体"/>
        </w:rPr>
      </w:pPr>
      <w:r>
        <w:rPr>
          <w:rFonts w:hint="eastAsia" w:cs="宋体"/>
          <w:lang w:val="en-US" w:eastAsia="zh-CN"/>
        </w:rPr>
        <w:t>2.3.1</w:t>
      </w:r>
      <w:r>
        <w:rPr>
          <w:rFonts w:hint="eastAsia" w:cs="宋体"/>
        </w:rPr>
        <w:t>图根控制点测量</w:t>
      </w:r>
    </w:p>
    <w:p>
      <w:pPr>
        <w:pStyle w:val="93"/>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cs="宋体"/>
        </w:rPr>
      </w:pPr>
      <w:r>
        <w:rPr>
          <w:rFonts w:hint="eastAsia" w:cs="宋体"/>
        </w:rPr>
        <w:t>以城市等级控制网为基础，采用网络RTK测量方法布设图根控制点，控制点布设要求应符合《城市测量规范》（CJJ/T 8）和《卫星定位城市测量技术标准》（CJJ/T  73）的相关要求。</w:t>
      </w:r>
    </w:p>
    <w:p>
      <w:pPr>
        <w:pStyle w:val="93"/>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cs="宋体"/>
        </w:rPr>
      </w:pPr>
      <w:bookmarkStart w:id="1237" w:name="_Toc414263264"/>
      <w:bookmarkEnd w:id="1237"/>
      <w:bookmarkStart w:id="1238" w:name="_Toc511043217"/>
      <w:bookmarkStart w:id="1239" w:name="_Toc395698749"/>
      <w:r>
        <w:rPr>
          <w:rFonts w:hint="eastAsia" w:cs="宋体"/>
          <w:lang w:val="en-US" w:eastAsia="zh-CN"/>
        </w:rPr>
        <w:t>2.3.2</w:t>
      </w:r>
      <w:r>
        <w:rPr>
          <w:rFonts w:hint="eastAsia" w:cs="宋体"/>
        </w:rPr>
        <w:t>管线点测量</w:t>
      </w:r>
      <w:bookmarkEnd w:id="1238"/>
      <w:bookmarkEnd w:id="1239"/>
    </w:p>
    <w:p>
      <w:pPr>
        <w:pStyle w:val="93"/>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cs="宋体"/>
        </w:rPr>
      </w:pPr>
      <w:r>
        <w:rPr>
          <w:rFonts w:hint="eastAsia" w:cs="宋体"/>
        </w:rPr>
        <w:t>（1）管线点测量内容应包括测定并计算管线点的平面坐标和高程，并提供管线点测量成果。</w:t>
      </w:r>
    </w:p>
    <w:p>
      <w:pPr>
        <w:pStyle w:val="93"/>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cs="宋体"/>
        </w:rPr>
      </w:pPr>
      <w:r>
        <w:rPr>
          <w:rFonts w:hint="eastAsia" w:cs="宋体"/>
        </w:rPr>
        <w:t>（2）管线点的平面坐标、高程测量宜采用网络RTK测量法或极坐标法等方法测定，其测量精度应符合</w:t>
      </w:r>
      <w:r>
        <w:rPr>
          <w:rFonts w:hint="eastAsia" w:cs="宋体"/>
          <w:lang w:eastAsia="zh-CN"/>
        </w:rPr>
        <w:t>本</w:t>
      </w:r>
      <w:r>
        <w:rPr>
          <w:rFonts w:hint="eastAsia" w:cs="宋体"/>
        </w:rPr>
        <w:t>招标文件</w:t>
      </w:r>
      <w:r>
        <w:rPr>
          <w:rFonts w:hint="eastAsia" w:cs="宋体"/>
          <w:highlight w:val="none"/>
          <w:lang w:val="en-US" w:eastAsia="zh-CN"/>
        </w:rPr>
        <w:t>(九)地下管线探测技术准备1.2</w:t>
      </w:r>
      <w:r>
        <w:rPr>
          <w:rFonts w:hint="eastAsia" w:cs="宋体"/>
          <w:highlight w:val="none"/>
        </w:rPr>
        <w:t>条</w:t>
      </w:r>
      <w:r>
        <w:rPr>
          <w:rFonts w:hint="eastAsia" w:cs="宋体"/>
        </w:rPr>
        <w:t>的规定。</w:t>
      </w:r>
    </w:p>
    <w:p>
      <w:pPr>
        <w:pStyle w:val="93"/>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cs="宋体"/>
        </w:rPr>
      </w:pPr>
      <w:r>
        <w:rPr>
          <w:rFonts w:hint="eastAsia" w:cs="宋体"/>
        </w:rPr>
        <w:t>（3）采用全站仪极坐标法测量管线点平面坐标和高程时，水平角和垂直角可观测半测回，测距长度不宜超过150m，定向边宜采用长边，仪器高和觇牌高量至毫米。</w:t>
      </w:r>
    </w:p>
    <w:p>
      <w:pPr>
        <w:pStyle w:val="93"/>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cs="宋体"/>
        </w:rPr>
      </w:pPr>
      <w:r>
        <w:rPr>
          <w:rFonts w:hint="eastAsia" w:cs="宋体"/>
        </w:rPr>
        <w:t>（4）采用水准测量法测定管线点的高程时，管线点可作为转点；管线点密集时可采用中视法观测。</w:t>
      </w:r>
    </w:p>
    <w:p>
      <w:pPr>
        <w:pStyle w:val="93"/>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cs="宋体"/>
        </w:rPr>
      </w:pPr>
      <w:r>
        <w:rPr>
          <w:rFonts w:hint="eastAsia" w:cs="宋体"/>
        </w:rPr>
        <w:t>（5）位于丛林、乡村田野、荒地等区域的穿越管线，可采用网络RTK直接进行测量。</w:t>
      </w:r>
    </w:p>
    <w:p>
      <w:pPr>
        <w:pStyle w:val="93"/>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b/>
          <w:bCs w:val="0"/>
          <w:lang w:val="en-US" w:eastAsia="zh-CN"/>
        </w:rPr>
      </w:pPr>
      <w:r>
        <w:rPr>
          <w:rFonts w:hint="eastAsia" w:cs="宋体"/>
        </w:rPr>
        <w:t>（6）采用网络RTK测量法进行测量时的技术要求按《卫星定位城市测量技术标准》（CJJ/T 73）的规定执行。</w:t>
      </w:r>
    </w:p>
    <w:p>
      <w:pPr>
        <w:pStyle w:val="55"/>
        <w:keepNext w:val="0"/>
        <w:keepLines w:val="0"/>
        <w:pageBreakBefore w:val="0"/>
        <w:widowControl w:val="0"/>
        <w:numPr>
          <w:ilvl w:val="2"/>
          <w:numId w:val="0"/>
        </w:numPr>
        <w:kinsoku/>
        <w:overflowPunct/>
        <w:autoSpaceDE/>
        <w:autoSpaceDN/>
        <w:bidi w:val="0"/>
        <w:adjustRightInd w:val="0"/>
        <w:snapToGrid w:val="0"/>
        <w:spacing w:line="440" w:lineRule="exact"/>
        <w:ind w:leftChars="0" w:firstLine="482" w:firstLineChars="200"/>
        <w:textAlignment w:val="auto"/>
        <w:outlineLvl w:val="9"/>
        <w:rPr>
          <w:rFonts w:hint="eastAsia"/>
          <w:b/>
          <w:bCs w:val="0"/>
          <w:lang w:val="en-US" w:eastAsia="zh-CN"/>
        </w:rPr>
      </w:pPr>
      <w:bookmarkStart w:id="1240" w:name="_Toc2647"/>
      <w:bookmarkStart w:id="1241" w:name="_Toc24260"/>
      <w:r>
        <w:rPr>
          <w:rFonts w:hint="eastAsia" w:ascii="宋体" w:hAnsi="宋体" w:eastAsia="宋体"/>
          <w:lang w:val="en-US" w:eastAsia="zh-CN"/>
        </w:rPr>
        <w:t>2.4</w:t>
      </w:r>
      <w:r>
        <w:rPr>
          <w:rFonts w:hint="eastAsia" w:ascii="宋体" w:hAnsi="宋体" w:eastAsia="宋体"/>
        </w:rPr>
        <w:t>内外业结合核实探测</w:t>
      </w:r>
      <w:bookmarkEnd w:id="1240"/>
      <w:bookmarkEnd w:id="1241"/>
    </w:p>
    <w:p>
      <w:pPr>
        <w:pStyle w:val="93"/>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cs="宋体"/>
        </w:rPr>
      </w:pPr>
      <w:r>
        <w:rPr>
          <w:rFonts w:hint="eastAsia" w:cs="宋体"/>
          <w:lang w:val="en-US" w:eastAsia="zh-CN"/>
        </w:rPr>
        <w:t>2.4.1</w:t>
      </w:r>
      <w:r>
        <w:rPr>
          <w:rFonts w:hint="eastAsia" w:cs="宋体"/>
        </w:rPr>
        <w:t>内业数据处理</w:t>
      </w:r>
    </w:p>
    <w:p>
      <w:pPr>
        <w:pStyle w:val="93"/>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cs="宋体"/>
        </w:rPr>
      </w:pPr>
      <w:r>
        <w:rPr>
          <w:rFonts w:hint="eastAsia" w:cs="宋体"/>
          <w:lang w:val="en-US" w:eastAsia="zh-CN"/>
        </w:rPr>
        <w:t>(1)</w:t>
      </w:r>
      <w:r>
        <w:rPr>
          <w:rFonts w:hint="eastAsia" w:cs="宋体"/>
        </w:rPr>
        <w:t>采用内外业结合核实探测需对可利用地下管线普查成果进行检核和评估，并根据本招标文件规定要求进行数据转换，对已转换数据管线相关属性的完整性进行分析。</w:t>
      </w:r>
    </w:p>
    <w:p>
      <w:pPr>
        <w:pStyle w:val="93"/>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cs="宋体"/>
        </w:rPr>
      </w:pPr>
      <w:r>
        <w:rPr>
          <w:rFonts w:hint="eastAsia" w:cs="宋体"/>
          <w:lang w:val="en-US" w:eastAsia="zh-CN"/>
        </w:rPr>
        <w:t>(2)</w:t>
      </w:r>
      <w:r>
        <w:rPr>
          <w:rFonts w:hint="eastAsia" w:cs="宋体"/>
        </w:rPr>
        <w:t>根据可利用地下管线数据成果生成地下管线图，以备外业核实探查使用。</w:t>
      </w:r>
    </w:p>
    <w:p>
      <w:pPr>
        <w:pStyle w:val="93"/>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cs="宋体"/>
        </w:rPr>
      </w:pPr>
      <w:r>
        <w:rPr>
          <w:rFonts w:hint="eastAsia" w:cs="宋体"/>
          <w:lang w:val="en-US" w:eastAsia="zh-CN"/>
        </w:rPr>
        <w:t>2.4</w:t>
      </w:r>
      <w:r>
        <w:rPr>
          <w:rFonts w:hint="eastAsia" w:cs="宋体"/>
        </w:rPr>
        <w:t>.2外业核实探查</w:t>
      </w:r>
    </w:p>
    <w:p>
      <w:pPr>
        <w:pStyle w:val="93"/>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cs="宋体"/>
        </w:rPr>
      </w:pPr>
      <w:r>
        <w:rPr>
          <w:rFonts w:hint="eastAsia" w:cs="宋体"/>
        </w:rPr>
        <w:t>外业核实探查应以可利用的地下管线普查成果为基础，采用实地调查和仪器探查的方式对现有地下管线普查成果进行全数核实。</w:t>
      </w:r>
    </w:p>
    <w:p>
      <w:pPr>
        <w:pStyle w:val="93"/>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cs="宋体"/>
        </w:rPr>
      </w:pPr>
      <w:r>
        <w:rPr>
          <w:rFonts w:hint="eastAsia" w:cs="宋体"/>
          <w:lang w:val="en-US" w:eastAsia="zh-CN"/>
        </w:rPr>
        <w:t>(1)</w:t>
      </w:r>
      <w:r>
        <w:rPr>
          <w:rFonts w:hint="eastAsia" w:cs="宋体"/>
        </w:rPr>
        <w:t>采用实地调查的方式对出露的管线及其附属设施已有属性的齐全性、正确性进行检查核实，并根据本招标文件规定要求对缺失的管线属性信息进行完善和补充，保证管线的准确性。</w:t>
      </w:r>
    </w:p>
    <w:p>
      <w:pPr>
        <w:pStyle w:val="93"/>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cs="宋体"/>
        </w:rPr>
      </w:pPr>
      <w:r>
        <w:rPr>
          <w:rFonts w:hint="eastAsia" w:cs="宋体"/>
          <w:lang w:val="en-US" w:eastAsia="zh-CN"/>
        </w:rPr>
        <w:t>(2)</w:t>
      </w:r>
      <w:r>
        <w:rPr>
          <w:rFonts w:hint="eastAsia" w:cs="宋体"/>
        </w:rPr>
        <w:t>采用仪器探查的方式对隐蔽管线的平面位置及埋深进行全数核实，并对地下管线的协调性、地下管线连接关系、走向进行核实探查。</w:t>
      </w:r>
    </w:p>
    <w:p>
      <w:pPr>
        <w:pStyle w:val="93"/>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cs="宋体"/>
        </w:rPr>
      </w:pPr>
      <w:r>
        <w:rPr>
          <w:rFonts w:hint="eastAsia" w:cs="宋体"/>
          <w:lang w:val="en-US" w:eastAsia="zh-CN"/>
        </w:rPr>
        <w:t>(3)</w:t>
      </w:r>
      <w:r>
        <w:rPr>
          <w:rFonts w:hint="eastAsia" w:cs="宋体"/>
        </w:rPr>
        <w:t>外业核实探查过程中须对新增管线、错误管线及相关管线属性进行补充探测，保证地下管线普查数据的现势性、完整性。</w:t>
      </w:r>
    </w:p>
    <w:p>
      <w:pPr>
        <w:pStyle w:val="93"/>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cs="宋体"/>
        </w:rPr>
      </w:pPr>
      <w:r>
        <w:rPr>
          <w:rFonts w:hint="eastAsia" w:cs="宋体"/>
          <w:lang w:val="en-US" w:eastAsia="zh-CN"/>
        </w:rPr>
        <w:t>(4)</w:t>
      </w:r>
      <w:r>
        <w:rPr>
          <w:rFonts w:hint="eastAsia" w:cs="宋体"/>
        </w:rPr>
        <w:t>外业核实探查相关技术要求按</w:t>
      </w:r>
      <w:r>
        <w:rPr>
          <w:rFonts w:hint="eastAsia" w:cs="宋体"/>
          <w:lang w:eastAsia="zh-CN"/>
        </w:rPr>
        <w:t>本招标文件（十一）地下管线普查探测第</w:t>
      </w:r>
      <w:r>
        <w:rPr>
          <w:rFonts w:hint="eastAsia" w:cs="宋体"/>
          <w:lang w:val="en-US" w:eastAsia="zh-CN"/>
        </w:rPr>
        <w:t>2.1、2.2、2.3</w:t>
      </w:r>
      <w:r>
        <w:rPr>
          <w:rFonts w:hint="eastAsia" w:cs="宋体"/>
        </w:rPr>
        <w:t>节执行。</w:t>
      </w:r>
    </w:p>
    <w:p>
      <w:pPr>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ascii="宋体" w:hAnsi="宋体" w:cs="宋体"/>
          <w:sz w:val="24"/>
        </w:rPr>
      </w:pPr>
      <w:r>
        <w:rPr>
          <w:rFonts w:hint="eastAsia" w:ascii="宋体" w:hAnsi="宋体" w:cs="宋体"/>
          <w:sz w:val="24"/>
          <w:lang w:val="en-US" w:eastAsia="zh-CN"/>
        </w:rPr>
        <w:t>2.4.3</w:t>
      </w:r>
      <w:r>
        <w:rPr>
          <w:rFonts w:hint="eastAsia" w:ascii="宋体" w:hAnsi="宋体" w:cs="宋体"/>
          <w:sz w:val="24"/>
        </w:rPr>
        <w:t>测量精度核实</w:t>
      </w:r>
    </w:p>
    <w:p>
      <w:pPr>
        <w:pStyle w:val="93"/>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cs="宋体"/>
        </w:rPr>
      </w:pPr>
      <w:r>
        <w:rPr>
          <w:rFonts w:hint="eastAsia" w:cs="宋体"/>
          <w:lang w:val="en-US" w:eastAsia="zh-CN"/>
        </w:rPr>
        <w:t>(1)</w:t>
      </w:r>
      <w:r>
        <w:rPr>
          <w:rFonts w:hint="eastAsia" w:cs="宋体"/>
        </w:rPr>
        <w:t>对可利用地下管线普查成果数据，以单条道路为单位按不少于10%的比例检查管线点平面位置和高程精度，当单条道路测量精度满足规定要求时可直接利用，不满足规定要求时则须全部重新测量。</w:t>
      </w:r>
    </w:p>
    <w:p>
      <w:pPr>
        <w:pStyle w:val="93"/>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cs="宋体"/>
        </w:rPr>
      </w:pPr>
      <w:r>
        <w:rPr>
          <w:rFonts w:hint="eastAsia" w:cs="宋体"/>
          <w:lang w:val="en-US" w:eastAsia="zh-CN"/>
        </w:rPr>
        <w:t>(2)</w:t>
      </w:r>
      <w:r>
        <w:rPr>
          <w:rFonts w:hint="eastAsia" w:cs="宋体"/>
        </w:rPr>
        <w:t>地下管线探查过程中新增管线点按</w:t>
      </w:r>
      <w:r>
        <w:rPr>
          <w:rFonts w:hint="eastAsia" w:cs="宋体"/>
          <w:lang w:eastAsia="zh-CN"/>
        </w:rPr>
        <w:t>本招标文件（十一）地下管线普查探测第</w:t>
      </w:r>
      <w:r>
        <w:rPr>
          <w:rFonts w:hint="eastAsia" w:cs="宋体"/>
          <w:lang w:val="en-US" w:eastAsia="zh-CN"/>
        </w:rPr>
        <w:t>2.3</w:t>
      </w:r>
      <w:r>
        <w:rPr>
          <w:rFonts w:hint="eastAsia" w:cs="宋体"/>
        </w:rPr>
        <w:t>节要求进行补充测量。</w:t>
      </w:r>
    </w:p>
    <w:p>
      <w:pPr>
        <w:pStyle w:val="55"/>
        <w:keepNext w:val="0"/>
        <w:keepLines w:val="0"/>
        <w:pageBreakBefore w:val="0"/>
        <w:widowControl w:val="0"/>
        <w:numPr>
          <w:ilvl w:val="2"/>
          <w:numId w:val="0"/>
        </w:numPr>
        <w:kinsoku/>
        <w:overflowPunct/>
        <w:autoSpaceDE/>
        <w:autoSpaceDN/>
        <w:bidi w:val="0"/>
        <w:adjustRightInd w:val="0"/>
        <w:snapToGrid w:val="0"/>
        <w:spacing w:line="440" w:lineRule="exact"/>
        <w:ind w:leftChars="0" w:firstLine="482" w:firstLineChars="200"/>
        <w:textAlignment w:val="auto"/>
        <w:outlineLvl w:val="9"/>
        <w:rPr>
          <w:rFonts w:hint="eastAsia" w:ascii="宋体" w:hAnsi="宋体" w:eastAsia="宋体" w:cs="宋体"/>
        </w:rPr>
      </w:pPr>
      <w:bookmarkStart w:id="1242" w:name="_Toc17041"/>
      <w:bookmarkStart w:id="1243" w:name="_Toc9538"/>
      <w:r>
        <w:rPr>
          <w:rFonts w:hint="eastAsia" w:ascii="宋体" w:hAnsi="宋体" w:eastAsia="宋体" w:cs="宋体"/>
          <w:b/>
          <w:bCs w:val="0"/>
          <w:lang w:val="en-US" w:eastAsia="zh-CN"/>
        </w:rPr>
        <w:t>2.5</w:t>
      </w:r>
      <w:r>
        <w:rPr>
          <w:rFonts w:hint="eastAsia" w:ascii="宋体" w:hAnsi="宋体" w:eastAsia="宋体" w:cs="宋体"/>
        </w:rPr>
        <w:t>地下管线隐患信息收集</w:t>
      </w:r>
      <w:bookmarkEnd w:id="1242"/>
      <w:bookmarkEnd w:id="1243"/>
    </w:p>
    <w:p>
      <w:pPr>
        <w:pStyle w:val="93"/>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ascii="宋体" w:hAnsi="宋体" w:eastAsia="宋体" w:cs="宋体"/>
        </w:rPr>
      </w:pPr>
      <w:r>
        <w:rPr>
          <w:rFonts w:hint="eastAsia" w:eastAsia="宋体" w:cs="宋体"/>
          <w:lang w:val="en-US" w:eastAsia="zh-CN"/>
        </w:rPr>
        <w:t>2.5.1</w:t>
      </w:r>
      <w:r>
        <w:rPr>
          <w:rFonts w:hint="eastAsia" w:ascii="宋体" w:hAnsi="宋体" w:eastAsia="宋体" w:cs="宋体"/>
        </w:rPr>
        <w:t>收集范围：各区（市）县地下管线普查更新范围。</w:t>
      </w:r>
    </w:p>
    <w:p>
      <w:pPr>
        <w:pStyle w:val="93"/>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ascii="宋体" w:hAnsi="宋体" w:eastAsia="宋体" w:cs="宋体"/>
        </w:rPr>
      </w:pPr>
      <w:r>
        <w:rPr>
          <w:rFonts w:hint="eastAsia" w:eastAsia="宋体" w:cs="宋体"/>
          <w:lang w:val="en-US" w:eastAsia="zh-CN"/>
        </w:rPr>
        <w:t>2.5.2</w:t>
      </w:r>
      <w:r>
        <w:rPr>
          <w:rFonts w:hint="eastAsia" w:ascii="宋体" w:hAnsi="宋体" w:eastAsia="宋体" w:cs="宋体"/>
        </w:rPr>
        <w:t>收集对象：给水、排水、燃气、热力、电力、通信（含广播电视）、工业（不包括油气管线）、综合管廊（沟）及其他等专业管线及其附属设施。</w:t>
      </w:r>
    </w:p>
    <w:p>
      <w:pPr>
        <w:pStyle w:val="93"/>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ascii="宋体" w:hAnsi="宋体" w:eastAsia="宋体" w:cs="宋体"/>
        </w:rPr>
      </w:pPr>
      <w:r>
        <w:rPr>
          <w:rFonts w:hint="eastAsia" w:eastAsia="宋体" w:cs="宋体"/>
          <w:lang w:val="en-US" w:eastAsia="zh-CN"/>
        </w:rPr>
        <w:t>2.5</w:t>
      </w:r>
      <w:r>
        <w:rPr>
          <w:rFonts w:hint="eastAsia" w:ascii="宋体" w:hAnsi="宋体" w:eastAsia="宋体" w:cs="宋体"/>
        </w:rPr>
        <w:t>.3收集内容：包括隐患地点、隐患类别、隐患部位、隐患描述、隐患照片、责任单位、责任人、是否有安全标识、是否采取整改措施等。</w:t>
      </w:r>
    </w:p>
    <w:p>
      <w:pPr>
        <w:pStyle w:val="93"/>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ascii="宋体" w:hAnsi="宋体" w:eastAsia="宋体" w:cs="宋体"/>
          <w:highlight w:val="none"/>
        </w:rPr>
      </w:pPr>
      <w:r>
        <w:rPr>
          <w:rFonts w:hint="eastAsia" w:eastAsia="宋体" w:cs="宋体"/>
          <w:lang w:val="en-US" w:eastAsia="zh-CN"/>
        </w:rPr>
        <w:t>2.5.4</w:t>
      </w:r>
      <w:r>
        <w:rPr>
          <w:rFonts w:hint="eastAsia" w:ascii="宋体" w:hAnsi="宋体" w:eastAsia="宋体" w:cs="宋体"/>
        </w:rPr>
        <w:t>区（市）县管线行业主管部门组织</w:t>
      </w:r>
      <w:r>
        <w:rPr>
          <w:rFonts w:hint="eastAsia" w:ascii="宋体" w:hAnsi="宋体" w:eastAsia="宋体" w:cs="宋体"/>
          <w:kern w:val="0"/>
        </w:rPr>
        <w:t>管线权属单位</w:t>
      </w:r>
      <w:r>
        <w:rPr>
          <w:rFonts w:hint="eastAsia" w:ascii="宋体" w:hAnsi="宋体" w:eastAsia="宋体" w:cs="宋体"/>
        </w:rPr>
        <w:t>实施地下管线隐患信息收集相关工作，</w:t>
      </w:r>
      <w:r>
        <w:rPr>
          <w:rFonts w:hint="eastAsia" w:ascii="宋体" w:hAnsi="宋体" w:eastAsia="宋体" w:cs="宋体"/>
          <w:kern w:val="0"/>
        </w:rPr>
        <w:t>管线权</w:t>
      </w:r>
      <w:r>
        <w:rPr>
          <w:rFonts w:hint="eastAsia" w:ascii="宋体" w:hAnsi="宋体" w:eastAsia="宋体" w:cs="宋体"/>
          <w:kern w:val="0"/>
          <w:highlight w:val="none"/>
        </w:rPr>
        <w:t>属单位负责收集、整理管线隐患信息情况，编制《地下管线隐患信息情况明细表》（见附录L），供给普查作业单位</w:t>
      </w:r>
      <w:r>
        <w:rPr>
          <w:rFonts w:hint="eastAsia" w:ascii="宋体" w:hAnsi="宋体" w:eastAsia="宋体" w:cs="宋体"/>
          <w:highlight w:val="none"/>
        </w:rPr>
        <w:t>。</w:t>
      </w:r>
    </w:p>
    <w:p>
      <w:pPr>
        <w:pStyle w:val="93"/>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ascii="宋体" w:hAnsi="宋体" w:eastAsia="宋体" w:cs="宋体"/>
          <w:highlight w:val="none"/>
        </w:rPr>
      </w:pPr>
      <w:r>
        <w:rPr>
          <w:rFonts w:hint="eastAsia" w:eastAsia="宋体" w:cs="宋体"/>
          <w:highlight w:val="none"/>
          <w:lang w:val="en-US" w:eastAsia="zh-CN"/>
        </w:rPr>
        <w:t>2.5.5</w:t>
      </w:r>
      <w:r>
        <w:rPr>
          <w:rFonts w:hint="eastAsia" w:ascii="宋体" w:hAnsi="宋体" w:eastAsia="宋体" w:cs="宋体"/>
          <w:highlight w:val="none"/>
        </w:rPr>
        <w:t>普查作业单位根据</w:t>
      </w:r>
      <w:r>
        <w:rPr>
          <w:rFonts w:hint="eastAsia" w:ascii="宋体" w:hAnsi="宋体" w:eastAsia="宋体" w:cs="宋体"/>
          <w:kern w:val="0"/>
          <w:highlight w:val="none"/>
        </w:rPr>
        <w:t>《地下管线隐患信息情况明细表》，在相关管线权属单位协同下现场采集管线隐患信息点位坐标信息，与管线数据实现关联，形成地下管线隐患信息数据库</w:t>
      </w:r>
      <w:r>
        <w:rPr>
          <w:rFonts w:hint="eastAsia" w:ascii="宋体" w:hAnsi="宋体" w:eastAsia="宋体" w:cs="宋体"/>
          <w:highlight w:val="none"/>
        </w:rPr>
        <w:t>。</w:t>
      </w:r>
    </w:p>
    <w:p>
      <w:pPr>
        <w:pStyle w:val="93"/>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ascii="宋体" w:hAnsi="宋体" w:eastAsia="宋体" w:cs="宋体"/>
          <w:highlight w:val="none"/>
        </w:rPr>
      </w:pPr>
      <w:r>
        <w:rPr>
          <w:rFonts w:hint="eastAsia" w:eastAsia="宋体" w:cs="宋体"/>
          <w:highlight w:val="none"/>
          <w:lang w:val="en-US" w:eastAsia="zh-CN"/>
        </w:rPr>
        <w:t>2.5.</w:t>
      </w:r>
      <w:r>
        <w:rPr>
          <w:rFonts w:hint="eastAsia" w:ascii="宋体" w:hAnsi="宋体" w:eastAsia="宋体" w:cs="宋体"/>
          <w:highlight w:val="none"/>
        </w:rPr>
        <w:t>6</w:t>
      </w:r>
      <w:r>
        <w:rPr>
          <w:rFonts w:hint="eastAsia" w:ascii="宋体" w:hAnsi="宋体" w:eastAsia="宋体" w:cs="宋体"/>
          <w:kern w:val="0"/>
          <w:highlight w:val="none"/>
        </w:rPr>
        <w:t>现场满足条件的应拍摄隐患部位照片，照片格式为JPG格式，大小不超过2M，照片编号与同点位标识码一致。</w:t>
      </w:r>
    </w:p>
    <w:p>
      <w:pPr>
        <w:pStyle w:val="93"/>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ascii="宋体" w:hAnsi="宋体" w:eastAsia="宋体" w:cs="宋体"/>
          <w:highlight w:val="none"/>
        </w:rPr>
      </w:pPr>
      <w:r>
        <w:rPr>
          <w:rFonts w:hint="eastAsia" w:eastAsia="宋体" w:cs="宋体"/>
          <w:highlight w:val="none"/>
          <w:lang w:val="en-US" w:eastAsia="zh-CN"/>
        </w:rPr>
        <w:t>2.5</w:t>
      </w:r>
      <w:r>
        <w:rPr>
          <w:rFonts w:hint="eastAsia" w:ascii="宋体" w:hAnsi="宋体" w:eastAsia="宋体" w:cs="宋体"/>
          <w:highlight w:val="none"/>
        </w:rPr>
        <w:t>.7地下管线隐患信息属性结构表见附录A(附表A.7)，命名要求为XXxx管线隐患信息表，其中XX为管线大类代号,xx为管线小类代号，详见附录A(附表A.8)。</w:t>
      </w:r>
    </w:p>
    <w:p>
      <w:pPr>
        <w:pStyle w:val="93"/>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ascii="宋体" w:hAnsi="宋体" w:eastAsia="宋体" w:cs="宋体"/>
          <w:highlight w:val="none"/>
        </w:rPr>
      </w:pPr>
      <w:r>
        <w:rPr>
          <w:rFonts w:hint="eastAsia" w:eastAsia="宋体" w:cs="宋体"/>
          <w:highlight w:val="none"/>
          <w:lang w:val="en-US" w:eastAsia="zh-CN"/>
        </w:rPr>
        <w:t>2.5</w:t>
      </w:r>
      <w:r>
        <w:rPr>
          <w:rFonts w:hint="eastAsia" w:ascii="宋体" w:hAnsi="宋体" w:eastAsia="宋体" w:cs="宋体"/>
          <w:highlight w:val="none"/>
        </w:rPr>
        <w:t>.8安全风险隐患类别代码表</w:t>
      </w:r>
    </w:p>
    <w:p>
      <w:pPr>
        <w:pStyle w:val="93"/>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ascii="宋体" w:hAnsi="宋体" w:eastAsia="宋体" w:cs="宋体"/>
          <w:highlight w:val="none"/>
        </w:rPr>
      </w:pPr>
      <w:r>
        <w:rPr>
          <w:rFonts w:hint="eastAsia" w:ascii="宋体" w:hAnsi="宋体" w:eastAsia="宋体" w:cs="宋体"/>
          <w:highlight w:val="none"/>
        </w:rPr>
        <w:t>隐患类别代码编码方法及代码结构共分2层，从左至右的含义是：第1位为第一层，表示隐患一类。第2、3位为第二层，表示隐患二类。使用时根据需要分层采用，如果只需要到隐患一类，则可只采用第一层代码（即采用前1位代码，省略后面的“00”）。隐患类别代码见附录M。</w:t>
      </w:r>
    </w:p>
    <w:p>
      <w:pPr>
        <w:pStyle w:val="55"/>
        <w:ind w:firstLine="482"/>
        <w:rPr>
          <w:highlight w:val="none"/>
        </w:rPr>
      </w:pPr>
      <w:bookmarkStart w:id="1244" w:name="_Toc20881"/>
      <w:r>
        <w:rPr>
          <w:rFonts w:hint="eastAsia"/>
          <w:highlight w:val="none"/>
          <w:lang w:eastAsia="zh-CN"/>
        </w:rPr>
        <w:t>地下管线数据处理</w:t>
      </w:r>
      <w:bookmarkEnd w:id="1244"/>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firstLine="482" w:firstLineChars="200"/>
        <w:textAlignment w:val="auto"/>
        <w:outlineLvl w:val="9"/>
        <w:rPr>
          <w:rFonts w:hint="eastAsia"/>
          <w:b/>
          <w:bCs w:val="0"/>
          <w:lang w:val="en-US" w:eastAsia="zh-CN"/>
        </w:rPr>
      </w:pPr>
      <w:bookmarkStart w:id="1245" w:name="_Toc2039"/>
      <w:bookmarkStart w:id="1246" w:name="_Toc17484"/>
      <w:r>
        <w:rPr>
          <w:rFonts w:hint="eastAsia"/>
          <w:b/>
          <w:bCs w:val="0"/>
          <w:lang w:val="en-US" w:eastAsia="zh-CN"/>
        </w:rPr>
        <w:t>1.一般规定</w:t>
      </w:r>
      <w:bookmarkEnd w:id="1245"/>
      <w:bookmarkEnd w:id="1246"/>
    </w:p>
    <w:p>
      <w:pPr>
        <w:pStyle w:val="93"/>
        <w:rPr>
          <w:rFonts w:hint="eastAsia" w:cs="宋体"/>
        </w:rPr>
      </w:pPr>
      <w:r>
        <w:rPr>
          <w:rFonts w:hint="eastAsia" w:cs="宋体"/>
          <w:lang w:val="en-US" w:eastAsia="zh-CN"/>
        </w:rPr>
        <w:t>1.1</w:t>
      </w:r>
      <w:r>
        <w:rPr>
          <w:rFonts w:hint="eastAsia" w:cs="宋体"/>
        </w:rPr>
        <w:t>地下管线普查数据处理包括管线点平面位置、高程、井深和管线平面位置、埋深等空间数据的处理，管线空间数据与管线种类、材质、规格、埋设方式等属性数据的逻辑关系处理。</w:t>
      </w:r>
    </w:p>
    <w:p>
      <w:pPr>
        <w:pStyle w:val="93"/>
        <w:rPr>
          <w:rFonts w:hint="eastAsia" w:cs="宋体"/>
        </w:rPr>
      </w:pPr>
      <w:r>
        <w:rPr>
          <w:rFonts w:hint="eastAsia" w:cs="宋体"/>
          <w:lang w:val="en-US" w:eastAsia="zh-CN"/>
        </w:rPr>
        <w:t>1.2</w:t>
      </w:r>
      <w:r>
        <w:rPr>
          <w:rFonts w:hint="eastAsia" w:cs="宋体"/>
        </w:rPr>
        <w:t>数据处理宜形成管线图、管线成果表、管线属性数据文件。</w:t>
      </w:r>
    </w:p>
    <w:p>
      <w:pPr>
        <w:pStyle w:val="93"/>
        <w:rPr>
          <w:rFonts w:hint="eastAsia" w:cs="宋体"/>
          <w:highlight w:val="none"/>
        </w:rPr>
      </w:pPr>
      <w:r>
        <w:rPr>
          <w:rFonts w:hint="eastAsia" w:cs="宋体"/>
          <w:lang w:val="en-US" w:eastAsia="zh-CN"/>
        </w:rPr>
        <w:t>1.3</w:t>
      </w:r>
      <w:r>
        <w:rPr>
          <w:rFonts w:hint="eastAsia" w:cs="宋体"/>
        </w:rPr>
        <w:t>地下管线数据处理须由专业的管线数据处理软件进行处理，数据处理使用的软件应具有数据输入、数据查错、图形与</w:t>
      </w:r>
      <w:r>
        <w:rPr>
          <w:rFonts w:hint="eastAsia" w:cs="宋体"/>
          <w:highlight w:val="none"/>
        </w:rPr>
        <w:t>属性数据编辑联动、管线图生成、管线点表和线表自动生成等基本功能。</w:t>
      </w:r>
    </w:p>
    <w:p>
      <w:pPr>
        <w:pStyle w:val="93"/>
        <w:rPr>
          <w:rFonts w:hint="eastAsia" w:cs="宋体"/>
          <w:highlight w:val="none"/>
        </w:rPr>
      </w:pPr>
      <w:r>
        <w:rPr>
          <w:rFonts w:hint="eastAsia" w:cs="宋体"/>
          <w:highlight w:val="none"/>
          <w:lang w:val="en-US" w:eastAsia="zh-CN"/>
        </w:rPr>
        <w:t xml:space="preserve">1.4 </w:t>
      </w:r>
      <w:r>
        <w:rPr>
          <w:rFonts w:hint="eastAsia" w:cs="宋体"/>
          <w:highlight w:val="none"/>
        </w:rPr>
        <w:t>CAD图形文件的管线点与管线段应添加扩展属性，扩展属性结构见附录A中管线点和管线线属性结构表，如检修井扩展属性如下：</w:t>
      </w:r>
    </w:p>
    <w:p>
      <w:pPr>
        <w:pStyle w:val="93"/>
        <w:rPr>
          <w:rFonts w:hint="eastAsia" w:cs="宋体"/>
          <w:highlight w:val="none"/>
        </w:rPr>
      </w:pPr>
      <w:r>
        <w:rPr>
          <w:rFonts w:hint="eastAsia" w:cs="宋体"/>
          <w:highlight w:val="none"/>
        </w:rPr>
        <w:t>* Registered Application Name: cdgxpc2021</w:t>
      </w:r>
    </w:p>
    <w:p>
      <w:pPr>
        <w:pStyle w:val="93"/>
        <w:rPr>
          <w:rFonts w:hint="eastAsia" w:cs="宋体"/>
          <w:highlight w:val="none"/>
        </w:rPr>
      </w:pPr>
      <w:r>
        <w:rPr>
          <w:rFonts w:hint="eastAsia" w:cs="宋体"/>
          <w:highlight w:val="none"/>
        </w:rPr>
        <w:t>* Code 1000, ASCII string: 项目编号:XXXXX</w:t>
      </w:r>
    </w:p>
    <w:p>
      <w:pPr>
        <w:pStyle w:val="93"/>
        <w:rPr>
          <w:rFonts w:hint="eastAsia" w:cs="宋体"/>
          <w:highlight w:val="none"/>
        </w:rPr>
      </w:pPr>
      <w:r>
        <w:rPr>
          <w:rFonts w:hint="eastAsia" w:cs="宋体"/>
          <w:highlight w:val="none"/>
        </w:rPr>
        <w:t>* Code 1000, ASCII string: 工程编号:2020-XXXXX</w:t>
      </w:r>
    </w:p>
    <w:p>
      <w:pPr>
        <w:pStyle w:val="93"/>
        <w:rPr>
          <w:rFonts w:hint="eastAsia" w:cs="宋体"/>
          <w:highlight w:val="none"/>
        </w:rPr>
      </w:pPr>
      <w:r>
        <w:rPr>
          <w:rFonts w:hint="eastAsia" w:cs="宋体"/>
          <w:highlight w:val="none"/>
        </w:rPr>
        <w:t>* Code 1000, ASCII string: 管线点号:XXXXX</w:t>
      </w:r>
    </w:p>
    <w:p>
      <w:pPr>
        <w:pStyle w:val="93"/>
        <w:rPr>
          <w:rFonts w:hint="eastAsia" w:cs="宋体"/>
          <w:highlight w:val="none"/>
        </w:rPr>
      </w:pPr>
      <w:r>
        <w:rPr>
          <w:rFonts w:hint="eastAsia" w:cs="宋体"/>
          <w:highlight w:val="none"/>
        </w:rPr>
        <w:t>......</w:t>
      </w:r>
    </w:p>
    <w:p>
      <w:pPr>
        <w:pStyle w:val="93"/>
        <w:rPr>
          <w:rFonts w:hint="eastAsia" w:cs="宋体"/>
          <w:highlight w:val="none"/>
        </w:rPr>
      </w:pPr>
      <w:r>
        <w:rPr>
          <w:rFonts w:hint="eastAsia" w:cs="宋体"/>
          <w:highlight w:val="none"/>
        </w:rPr>
        <w:t>* Code 1000, ASCII string: 是否接边点号:X</w:t>
      </w:r>
    </w:p>
    <w:p>
      <w:pPr>
        <w:pStyle w:val="93"/>
        <w:rPr>
          <w:rFonts w:hint="eastAsia" w:cs="宋体"/>
          <w:highlight w:val="none"/>
        </w:rPr>
      </w:pPr>
      <w:r>
        <w:rPr>
          <w:rFonts w:hint="eastAsia" w:cs="宋体"/>
          <w:highlight w:val="none"/>
        </w:rPr>
        <w:t>* Code 1000, ASCII string: 备注:XXXXXX</w:t>
      </w:r>
    </w:p>
    <w:p>
      <w:pPr>
        <w:pStyle w:val="93"/>
        <w:rPr>
          <w:rFonts w:hint="eastAsia" w:cs="宋体"/>
          <w:highlight w:val="none"/>
        </w:rPr>
      </w:pPr>
      <w:r>
        <w:rPr>
          <w:rFonts w:hint="eastAsia" w:cs="宋体"/>
          <w:highlight w:val="none"/>
          <w:lang w:val="en-US" w:eastAsia="zh-CN"/>
        </w:rPr>
        <w:t>1.5</w:t>
      </w:r>
      <w:r>
        <w:rPr>
          <w:rFonts w:hint="eastAsia" w:cs="宋体"/>
          <w:highlight w:val="none"/>
        </w:rPr>
        <w:t>图形数据按管线小类分类组织，每类数据按管线数据规定分层存放。</w:t>
      </w:r>
    </w:p>
    <w:p>
      <w:pPr>
        <w:pStyle w:val="93"/>
        <w:rPr>
          <w:rFonts w:hint="eastAsia" w:cs="宋体"/>
          <w:highlight w:val="none"/>
        </w:rPr>
      </w:pPr>
      <w:r>
        <w:rPr>
          <w:rFonts w:hint="eastAsia" w:cs="宋体"/>
          <w:highlight w:val="none"/>
          <w:lang w:val="en-US" w:eastAsia="zh-CN"/>
        </w:rPr>
        <w:t>1.6</w:t>
      </w:r>
      <w:r>
        <w:rPr>
          <w:rFonts w:hint="eastAsia" w:cs="宋体"/>
          <w:highlight w:val="none"/>
        </w:rPr>
        <w:t>属性数据按管线小类分类组织，每类数据按管线数据规定生成管线点表和管线线表数据。</w:t>
      </w:r>
    </w:p>
    <w:p>
      <w:pPr>
        <w:pStyle w:val="93"/>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cs="宋体"/>
          <w:highlight w:val="none"/>
        </w:rPr>
      </w:pPr>
      <w:r>
        <w:rPr>
          <w:rFonts w:hint="eastAsia" w:cs="宋体"/>
          <w:highlight w:val="none"/>
          <w:lang w:val="en-US" w:eastAsia="zh-CN"/>
        </w:rPr>
        <w:t>1.7</w:t>
      </w:r>
      <w:r>
        <w:rPr>
          <w:rFonts w:hint="eastAsia" w:cs="宋体"/>
          <w:highlight w:val="none"/>
        </w:rPr>
        <w:t>管线分类、管线点图例、管线要素代码、管线线型、管线数据及图形分层等要求按附录A管线数据规定执行。</w:t>
      </w:r>
    </w:p>
    <w:p>
      <w:pPr>
        <w:pStyle w:val="55"/>
        <w:keepNext w:val="0"/>
        <w:keepLines w:val="0"/>
        <w:pageBreakBefore w:val="0"/>
        <w:widowControl w:val="0"/>
        <w:numPr>
          <w:ilvl w:val="0"/>
          <w:numId w:val="10"/>
        </w:numPr>
        <w:tabs>
          <w:tab w:val="clear" w:pos="312"/>
        </w:tabs>
        <w:kinsoku/>
        <w:wordWrap w:val="0"/>
        <w:overflowPunct/>
        <w:topLinePunct/>
        <w:autoSpaceDE/>
        <w:autoSpaceDN/>
        <w:bidi w:val="0"/>
        <w:adjustRightInd w:val="0"/>
        <w:snapToGrid w:val="0"/>
        <w:spacing w:line="440" w:lineRule="exact"/>
        <w:ind w:left="0" w:leftChars="0" w:firstLine="482" w:firstLineChars="200"/>
        <w:textAlignment w:val="auto"/>
        <w:outlineLvl w:val="9"/>
        <w:rPr>
          <w:rFonts w:hint="default"/>
          <w:b/>
          <w:bCs w:val="0"/>
          <w:highlight w:val="none"/>
          <w:lang w:val="en-US" w:eastAsia="zh-CN"/>
        </w:rPr>
      </w:pPr>
      <w:bookmarkStart w:id="1247" w:name="_Toc24600"/>
      <w:bookmarkStart w:id="1248" w:name="_Toc25911"/>
      <w:r>
        <w:rPr>
          <w:rFonts w:hint="eastAsia"/>
          <w:b/>
          <w:bCs w:val="0"/>
          <w:highlight w:val="none"/>
          <w:lang w:val="en-US" w:eastAsia="zh-CN"/>
        </w:rPr>
        <w:t>管线图编绘</w:t>
      </w:r>
      <w:bookmarkEnd w:id="1247"/>
      <w:bookmarkEnd w:id="1248"/>
    </w:p>
    <w:p>
      <w:pPr>
        <w:pStyle w:val="93"/>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cs="宋体"/>
          <w:highlight w:val="none"/>
        </w:rPr>
      </w:pPr>
      <w:r>
        <w:rPr>
          <w:rFonts w:hint="eastAsia" w:cs="宋体"/>
          <w:highlight w:val="none"/>
          <w:lang w:val="en-US" w:eastAsia="zh-CN"/>
        </w:rPr>
        <w:t>2.1</w:t>
      </w:r>
      <w:r>
        <w:rPr>
          <w:rFonts w:hint="eastAsia" w:cs="宋体"/>
          <w:highlight w:val="none"/>
        </w:rPr>
        <w:t>地下管线图编绘应以路网图为基础，在属性数据处理完成后采用软件成图结合人工编辑的方式进行。</w:t>
      </w:r>
    </w:p>
    <w:p>
      <w:pPr>
        <w:pStyle w:val="93"/>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cs="宋体"/>
          <w:highlight w:val="none"/>
        </w:rPr>
      </w:pPr>
      <w:r>
        <w:rPr>
          <w:rFonts w:hint="eastAsia" w:cs="宋体"/>
          <w:highlight w:val="none"/>
          <w:lang w:val="en-US" w:eastAsia="zh-CN"/>
        </w:rPr>
        <w:t>2.2</w:t>
      </w:r>
      <w:r>
        <w:rPr>
          <w:rFonts w:hint="eastAsia" w:cs="宋体"/>
          <w:highlight w:val="none"/>
        </w:rPr>
        <w:t>地下管线图的成图比例尺和分幅与地形图一致，成果图件基本比例尺为1:500，图幅规格为50cm×50cm，具体分幅要求按附录K执行。</w:t>
      </w:r>
    </w:p>
    <w:p>
      <w:pPr>
        <w:pStyle w:val="93"/>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cs="宋体"/>
          <w:highlight w:val="none"/>
        </w:rPr>
      </w:pPr>
      <w:r>
        <w:rPr>
          <w:rFonts w:hint="eastAsia" w:cs="宋体"/>
          <w:highlight w:val="none"/>
          <w:lang w:val="en-US" w:eastAsia="zh-CN"/>
        </w:rPr>
        <w:t>2.3</w:t>
      </w:r>
      <w:r>
        <w:rPr>
          <w:rFonts w:hint="eastAsia" w:cs="宋体"/>
          <w:highlight w:val="none"/>
        </w:rPr>
        <w:t>管线图的各种文字、数字注记不应压盖管线及其附属设施的符号，与管线矛盾或重合的地物应进行删除、移位或恰当处理。管线上文字、数字注记应平行于管线走向，字头应朝向图的上方，跨图幅的文字、数字注记应分别注记在两幅图内。注记内容按表</w:t>
      </w:r>
      <w:r>
        <w:rPr>
          <w:rFonts w:hint="eastAsia" w:cs="宋体"/>
          <w:highlight w:val="none"/>
          <w:lang w:val="en-US" w:eastAsia="zh-CN"/>
        </w:rPr>
        <w:t>5</w:t>
      </w:r>
      <w:r>
        <w:rPr>
          <w:rFonts w:hint="eastAsia" w:cs="宋体"/>
          <w:highlight w:val="none"/>
        </w:rPr>
        <w:t>的规定执行。</w:t>
      </w:r>
    </w:p>
    <w:p>
      <w:pPr>
        <w:keepNext w:val="0"/>
        <w:keepLines w:val="0"/>
        <w:pageBreakBefore w:val="0"/>
        <w:widowControl w:val="0"/>
        <w:kinsoku/>
        <w:overflowPunct/>
        <w:autoSpaceDE/>
        <w:autoSpaceDN/>
        <w:bidi w:val="0"/>
        <w:adjustRightInd w:val="0"/>
        <w:snapToGrid w:val="0"/>
        <w:spacing w:line="440" w:lineRule="exact"/>
        <w:ind w:firstLine="480" w:firstLineChars="200"/>
        <w:jc w:val="center"/>
        <w:textAlignment w:val="auto"/>
        <w:rPr>
          <w:rFonts w:hint="eastAsia" w:ascii="宋体" w:hAnsi="宋体" w:cs="宋体"/>
          <w:sz w:val="24"/>
          <w:highlight w:val="none"/>
        </w:rPr>
      </w:pPr>
      <w:r>
        <w:rPr>
          <w:rFonts w:hint="eastAsia" w:ascii="宋体" w:hAnsi="宋体" w:cs="宋体"/>
          <w:sz w:val="24"/>
          <w:highlight w:val="none"/>
        </w:rPr>
        <w:t>表</w:t>
      </w:r>
      <w:r>
        <w:rPr>
          <w:rFonts w:hint="eastAsia" w:ascii="宋体" w:hAnsi="宋体" w:cs="宋体"/>
          <w:sz w:val="24"/>
          <w:highlight w:val="none"/>
          <w:lang w:val="en-US" w:eastAsia="zh-CN"/>
        </w:rPr>
        <w:t xml:space="preserve">5 </w:t>
      </w:r>
      <w:r>
        <w:rPr>
          <w:rFonts w:hint="eastAsia" w:ascii="宋体" w:hAnsi="宋体" w:cs="宋体"/>
          <w:sz w:val="24"/>
          <w:highlight w:val="none"/>
        </w:rPr>
        <w:t>管线图注记要求</w:t>
      </w:r>
    </w:p>
    <w:tbl>
      <w:tblPr>
        <w:tblStyle w:val="26"/>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6"/>
        <w:gridCol w:w="2099"/>
        <w:gridCol w:w="1239"/>
        <w:gridCol w:w="1411"/>
        <w:gridCol w:w="2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203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类型</w:t>
            </w:r>
          </w:p>
        </w:tc>
        <w:tc>
          <w:tcPr>
            <w:tcW w:w="209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方式</w:t>
            </w:r>
          </w:p>
        </w:tc>
        <w:tc>
          <w:tcPr>
            <w:tcW w:w="123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字体</w:t>
            </w:r>
          </w:p>
        </w:tc>
        <w:tc>
          <w:tcPr>
            <w:tcW w:w="1411"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字体大小(mm)</w:t>
            </w:r>
          </w:p>
        </w:tc>
        <w:tc>
          <w:tcPr>
            <w:tcW w:w="2273"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203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管线点号</w:t>
            </w:r>
          </w:p>
        </w:tc>
        <w:tc>
          <w:tcPr>
            <w:tcW w:w="209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字符、数字化混合</w:t>
            </w:r>
          </w:p>
        </w:tc>
        <w:tc>
          <w:tcPr>
            <w:tcW w:w="123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正等线</w:t>
            </w:r>
          </w:p>
        </w:tc>
        <w:tc>
          <w:tcPr>
            <w:tcW w:w="1411"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2</w:t>
            </w:r>
          </w:p>
        </w:tc>
        <w:tc>
          <w:tcPr>
            <w:tcW w:w="2273"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字朝正北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203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线注记</w:t>
            </w:r>
          </w:p>
        </w:tc>
        <w:tc>
          <w:tcPr>
            <w:tcW w:w="209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字符、数字化混合</w:t>
            </w:r>
          </w:p>
        </w:tc>
        <w:tc>
          <w:tcPr>
            <w:tcW w:w="123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正等线</w:t>
            </w:r>
          </w:p>
        </w:tc>
        <w:tc>
          <w:tcPr>
            <w:tcW w:w="1411"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2</w:t>
            </w:r>
          </w:p>
        </w:tc>
        <w:tc>
          <w:tcPr>
            <w:tcW w:w="2273"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平行于管线走向、字头应垂直于管线。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203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扯旗说明</w:t>
            </w:r>
          </w:p>
        </w:tc>
        <w:tc>
          <w:tcPr>
            <w:tcW w:w="209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汉字、数字化混合</w:t>
            </w:r>
          </w:p>
        </w:tc>
        <w:tc>
          <w:tcPr>
            <w:tcW w:w="123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细等线</w:t>
            </w:r>
          </w:p>
        </w:tc>
        <w:tc>
          <w:tcPr>
            <w:tcW w:w="1411"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3</w:t>
            </w:r>
          </w:p>
        </w:tc>
        <w:tc>
          <w:tcPr>
            <w:tcW w:w="2273"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203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主要道路名</w:t>
            </w:r>
          </w:p>
        </w:tc>
        <w:tc>
          <w:tcPr>
            <w:tcW w:w="209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汉字</w:t>
            </w:r>
          </w:p>
        </w:tc>
        <w:tc>
          <w:tcPr>
            <w:tcW w:w="123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细等线</w:t>
            </w:r>
          </w:p>
        </w:tc>
        <w:tc>
          <w:tcPr>
            <w:tcW w:w="1411"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4</w:t>
            </w:r>
          </w:p>
        </w:tc>
        <w:tc>
          <w:tcPr>
            <w:tcW w:w="2273"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路面辅装材料注记2.5mm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203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街巷、单位名</w:t>
            </w:r>
          </w:p>
        </w:tc>
        <w:tc>
          <w:tcPr>
            <w:tcW w:w="209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汉字</w:t>
            </w:r>
          </w:p>
        </w:tc>
        <w:tc>
          <w:tcPr>
            <w:tcW w:w="123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细等线</w:t>
            </w:r>
          </w:p>
        </w:tc>
        <w:tc>
          <w:tcPr>
            <w:tcW w:w="1411"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3</w:t>
            </w:r>
          </w:p>
        </w:tc>
        <w:tc>
          <w:tcPr>
            <w:tcW w:w="22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203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层楼、结构</w:t>
            </w:r>
          </w:p>
        </w:tc>
        <w:tc>
          <w:tcPr>
            <w:tcW w:w="209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字符、数字化混合</w:t>
            </w:r>
          </w:p>
        </w:tc>
        <w:tc>
          <w:tcPr>
            <w:tcW w:w="123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正等线</w:t>
            </w:r>
          </w:p>
        </w:tc>
        <w:tc>
          <w:tcPr>
            <w:tcW w:w="1411"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2.5</w:t>
            </w:r>
          </w:p>
        </w:tc>
        <w:tc>
          <w:tcPr>
            <w:tcW w:w="2273"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分间线长10mm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203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门牌号</w:t>
            </w:r>
          </w:p>
        </w:tc>
        <w:tc>
          <w:tcPr>
            <w:tcW w:w="209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数字化</w:t>
            </w:r>
          </w:p>
        </w:tc>
        <w:tc>
          <w:tcPr>
            <w:tcW w:w="123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正等线</w:t>
            </w:r>
          </w:p>
        </w:tc>
        <w:tc>
          <w:tcPr>
            <w:tcW w:w="1411"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1.5</w:t>
            </w:r>
          </w:p>
        </w:tc>
        <w:tc>
          <w:tcPr>
            <w:tcW w:w="22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203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进房、变径等说明</w:t>
            </w:r>
          </w:p>
        </w:tc>
        <w:tc>
          <w:tcPr>
            <w:tcW w:w="209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汉字</w:t>
            </w:r>
          </w:p>
        </w:tc>
        <w:tc>
          <w:tcPr>
            <w:tcW w:w="123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正等线</w:t>
            </w:r>
          </w:p>
        </w:tc>
        <w:tc>
          <w:tcPr>
            <w:tcW w:w="1411"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2</w:t>
            </w:r>
          </w:p>
        </w:tc>
        <w:tc>
          <w:tcPr>
            <w:tcW w:w="2273"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203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高程点</w:t>
            </w:r>
          </w:p>
        </w:tc>
        <w:tc>
          <w:tcPr>
            <w:tcW w:w="209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数字化</w:t>
            </w:r>
          </w:p>
        </w:tc>
        <w:tc>
          <w:tcPr>
            <w:tcW w:w="123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正等线</w:t>
            </w:r>
          </w:p>
        </w:tc>
        <w:tc>
          <w:tcPr>
            <w:tcW w:w="1411"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2</w:t>
            </w:r>
          </w:p>
        </w:tc>
        <w:tc>
          <w:tcPr>
            <w:tcW w:w="2273"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p>
        </w:tc>
      </w:tr>
    </w:tbl>
    <w:p>
      <w:pPr>
        <w:keepNext w:val="0"/>
        <w:keepLines w:val="0"/>
        <w:pageBreakBefore w:val="0"/>
        <w:widowControl w:val="0"/>
        <w:kinsoku/>
        <w:overflowPunct/>
        <w:autoSpaceDE/>
        <w:autoSpaceDN/>
        <w:bidi w:val="0"/>
        <w:adjustRightInd w:val="0"/>
        <w:snapToGrid w:val="0"/>
        <w:spacing w:line="440" w:lineRule="exact"/>
        <w:ind w:firstLine="480" w:firstLineChars="200"/>
        <w:jc w:val="left"/>
        <w:textAlignment w:val="auto"/>
        <w:rPr>
          <w:rFonts w:hint="eastAsia" w:ascii="宋体" w:hAnsi="宋体" w:cs="宋体"/>
          <w:sz w:val="24"/>
          <w:highlight w:val="none"/>
        </w:rPr>
      </w:pPr>
      <w:r>
        <w:rPr>
          <w:rFonts w:hint="eastAsia" w:ascii="宋体" w:hAnsi="宋体" w:cs="宋体"/>
          <w:sz w:val="24"/>
          <w:highlight w:val="none"/>
          <w:lang w:val="en-US" w:eastAsia="zh-CN"/>
        </w:rPr>
        <w:t>2.4</w:t>
      </w:r>
      <w:r>
        <w:rPr>
          <w:rFonts w:hint="eastAsia" w:ascii="宋体" w:hAnsi="宋体" w:eastAsia="宋体" w:cs="宋体"/>
          <w:sz w:val="24"/>
          <w:highlight w:val="none"/>
        </w:rPr>
        <w:t>管线图线注记内容参照表</w:t>
      </w:r>
      <w:r>
        <w:rPr>
          <w:rFonts w:hint="eastAsia" w:ascii="宋体" w:hAnsi="宋体" w:eastAsia="宋体" w:cs="宋体"/>
          <w:sz w:val="24"/>
          <w:highlight w:val="none"/>
          <w:lang w:val="en-US" w:eastAsia="zh-CN"/>
        </w:rPr>
        <w:t>6</w:t>
      </w:r>
      <w:r>
        <w:rPr>
          <w:rFonts w:hint="eastAsia" w:ascii="宋体" w:hAnsi="宋体" w:eastAsia="宋体" w:cs="宋体"/>
          <w:sz w:val="24"/>
          <w:highlight w:val="none"/>
        </w:rPr>
        <w:t>的规定执行</w:t>
      </w:r>
      <w:r>
        <w:rPr>
          <w:rFonts w:hint="eastAsia" w:ascii="宋体" w:hAnsi="宋体" w:cs="宋体"/>
          <w:sz w:val="24"/>
          <w:highlight w:val="none"/>
        </w:rPr>
        <w:t>。</w:t>
      </w:r>
    </w:p>
    <w:p>
      <w:pPr>
        <w:keepNext w:val="0"/>
        <w:keepLines w:val="0"/>
        <w:pageBreakBefore w:val="0"/>
        <w:widowControl w:val="0"/>
        <w:kinsoku/>
        <w:overflowPunct/>
        <w:autoSpaceDE/>
        <w:autoSpaceDN/>
        <w:bidi w:val="0"/>
        <w:adjustRightInd w:val="0"/>
        <w:snapToGrid w:val="0"/>
        <w:spacing w:line="440" w:lineRule="exact"/>
        <w:ind w:firstLine="480" w:firstLineChars="200"/>
        <w:jc w:val="center"/>
        <w:textAlignment w:val="auto"/>
        <w:rPr>
          <w:rFonts w:hint="eastAsia" w:ascii="宋体" w:hAnsi="宋体" w:cs="宋体"/>
          <w:sz w:val="24"/>
          <w:highlight w:val="none"/>
        </w:rPr>
      </w:pPr>
      <w:r>
        <w:rPr>
          <w:rFonts w:hint="eastAsia" w:ascii="宋体" w:hAnsi="宋体" w:cs="宋体"/>
          <w:sz w:val="24"/>
          <w:highlight w:val="none"/>
        </w:rPr>
        <w:t>表</w:t>
      </w:r>
      <w:r>
        <w:rPr>
          <w:rFonts w:hint="eastAsia" w:ascii="宋体" w:hAnsi="宋体" w:cs="宋体"/>
          <w:sz w:val="24"/>
          <w:highlight w:val="none"/>
          <w:lang w:val="en-US" w:eastAsia="zh-CN"/>
        </w:rPr>
        <w:t>6</w:t>
      </w:r>
      <w:r>
        <w:rPr>
          <w:rFonts w:hint="eastAsia" w:ascii="宋体" w:hAnsi="宋体" w:cs="宋体"/>
          <w:sz w:val="24"/>
          <w:highlight w:val="none"/>
        </w:rPr>
        <w:t>管线图线注记内容</w:t>
      </w:r>
    </w:p>
    <w:tbl>
      <w:tblPr>
        <w:tblStyle w:val="26"/>
        <w:tblW w:w="9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0"/>
        <w:gridCol w:w="7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18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管线类型</w:t>
            </w:r>
          </w:p>
        </w:tc>
        <w:tc>
          <w:tcPr>
            <w:tcW w:w="745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线注记内容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18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电力</w:t>
            </w:r>
          </w:p>
        </w:tc>
        <w:tc>
          <w:tcPr>
            <w:tcW w:w="745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管线代码+ DN管径（断面尺寸）+材质+总孔数/已用孔数 +电压+kV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18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通信</w:t>
            </w:r>
          </w:p>
        </w:tc>
        <w:tc>
          <w:tcPr>
            <w:tcW w:w="745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管线代码+ DN管径（断面尺寸）+材质+总孔数/已用孔数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18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给水</w:t>
            </w:r>
          </w:p>
        </w:tc>
        <w:tc>
          <w:tcPr>
            <w:tcW w:w="745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管线代码+DN+管径+材质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18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排水</w:t>
            </w:r>
          </w:p>
        </w:tc>
        <w:tc>
          <w:tcPr>
            <w:tcW w:w="745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管线代码+DN+管径（断面尺寸）+材质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18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燃气</w:t>
            </w:r>
          </w:p>
        </w:tc>
        <w:tc>
          <w:tcPr>
            <w:tcW w:w="745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管线代码+DN+管径（断面尺寸）+材质+压力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18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热力</w:t>
            </w:r>
          </w:p>
        </w:tc>
        <w:tc>
          <w:tcPr>
            <w:tcW w:w="745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管线代码+DN+管径+材质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18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工业</w:t>
            </w:r>
          </w:p>
        </w:tc>
        <w:tc>
          <w:tcPr>
            <w:tcW w:w="745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管线代码+DN+管径（断面尺寸）+材质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18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综合管廊（沟）</w:t>
            </w:r>
          </w:p>
        </w:tc>
        <w:tc>
          <w:tcPr>
            <w:tcW w:w="745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管线代码+断面尺寸+材质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jc w:val="center"/>
        </w:trPr>
        <w:tc>
          <w:tcPr>
            <w:tcW w:w="18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其他管线</w:t>
            </w:r>
          </w:p>
        </w:tc>
        <w:tc>
          <w:tcPr>
            <w:tcW w:w="745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管线代码+断面尺寸+材质</w:t>
            </w:r>
          </w:p>
        </w:tc>
      </w:tr>
    </w:tbl>
    <w:p>
      <w:pPr>
        <w:pStyle w:val="93"/>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2.5综合管线图应反映各种已有管线及管线附属设施。</w:t>
      </w:r>
    </w:p>
    <w:p>
      <w:pPr>
        <w:pStyle w:val="93"/>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2.6综合管线图应根据管线图形数据文件与地形底图的图形数据文件叠加、编辑成图。</w:t>
      </w:r>
    </w:p>
    <w:p>
      <w:pPr>
        <w:pStyle w:val="93"/>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2.7电力和通讯空管（管块）电力空沟（沟道）用实虚比2：1的虚线表示；综合管廊（沟）用实虚比2：1的虚线绘出边线；宽度大于或等于1米的电力和排水沟道用实虚比2：1的双虚线表示，实际宽度小于1米时，用单实线表示。</w:t>
      </w:r>
    </w:p>
    <w:p>
      <w:pPr>
        <w:pStyle w:val="93"/>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ascii="宋体" w:hAnsi="宋体" w:eastAsia="宋体" w:cs="宋体"/>
        </w:rPr>
      </w:pPr>
      <w:r>
        <w:rPr>
          <w:rFonts w:hint="eastAsia" w:ascii="宋体" w:hAnsi="宋体" w:eastAsia="宋体" w:cs="宋体"/>
          <w:highlight w:val="none"/>
        </w:rPr>
        <w:t>2.8综合管线图预埋且未穿线缆的通信管块、电力管沟除应按附录A.11规定的</w:t>
      </w:r>
      <w:r>
        <w:rPr>
          <w:rFonts w:hint="eastAsia" w:ascii="宋体" w:hAnsi="宋体" w:eastAsia="宋体" w:cs="宋体"/>
        </w:rPr>
        <w:t>虚线标绘外，还应加注“空管”。</w:t>
      </w:r>
    </w:p>
    <w:p>
      <w:pPr>
        <w:pStyle w:val="93"/>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cs="宋体"/>
        </w:rPr>
      </w:pPr>
      <w:r>
        <w:rPr>
          <w:rFonts w:hint="eastAsia" w:cs="宋体"/>
        </w:rPr>
        <w:t>2.9当管线上下重叠或相距较近且不能按比例绘制时，每幅管线图应在管线密集处以1-2处扯旗的方式说明。扯旗应按管线排列注明管线代码、规格、材质、总孔数、压力（或电压）、埋深。扯旗线应垂直管线走向，扯旗内容应放在图内空白处或图面负载较小处。扯旗需加表头，表头颜色为黑色，注记内容颜色与相应管线颜色一致，格式上每列均需左对齐，字头朝北。管线排列：将扯旗引线顶端的管线注记置于扯旗底部，但同一条路有两个以上扯旗时管线排列顺序宜保持一致。扯旗说明的方式、字体及大</w:t>
      </w:r>
      <w:r>
        <w:rPr>
          <w:rFonts w:hint="eastAsia" w:cs="宋体"/>
          <w:highlight w:val="none"/>
        </w:rPr>
        <w:t>小应符合</w:t>
      </w:r>
      <w:r>
        <w:rPr>
          <w:rFonts w:hint="eastAsia" w:cs="宋体"/>
          <w:highlight w:val="none"/>
          <w:lang w:eastAsia="zh-CN"/>
        </w:rPr>
        <w:t>本招标文件</w:t>
      </w:r>
      <w:r>
        <w:rPr>
          <w:rFonts w:hint="eastAsia" w:cs="宋体"/>
          <w:highlight w:val="none"/>
        </w:rPr>
        <w:t>表</w:t>
      </w:r>
      <w:r>
        <w:rPr>
          <w:rFonts w:hint="eastAsia" w:cs="宋体"/>
          <w:highlight w:val="none"/>
          <w:lang w:val="en-US" w:eastAsia="zh-CN"/>
        </w:rPr>
        <w:t>5</w:t>
      </w:r>
      <w:r>
        <w:rPr>
          <w:rFonts w:hint="eastAsia" w:cs="宋体"/>
          <w:highlight w:val="none"/>
        </w:rPr>
        <w:t>的规定</w:t>
      </w:r>
      <w:r>
        <w:rPr>
          <w:rFonts w:hint="eastAsia" w:cs="宋体"/>
        </w:rPr>
        <w:t>。</w:t>
      </w:r>
    </w:p>
    <w:p>
      <w:pPr>
        <w:pStyle w:val="93"/>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cs="宋体"/>
        </w:rPr>
      </w:pPr>
      <w:r>
        <w:rPr>
          <w:rFonts w:hint="eastAsia" w:cs="宋体"/>
        </w:rPr>
        <w:t>2.10管线图应注记管线点编号、规格、材质等相关信息。</w:t>
      </w:r>
    </w:p>
    <w:p>
      <w:pPr>
        <w:pStyle w:val="93"/>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cs="宋体"/>
        </w:rPr>
      </w:pPr>
      <w:r>
        <w:rPr>
          <w:rFonts w:hint="eastAsia" w:cs="宋体"/>
        </w:rPr>
        <w:t>2.11管线图上长度大于或等于10mm的排水管线段应在管线段的中点处标注流向符号。</w:t>
      </w:r>
    </w:p>
    <w:p>
      <w:pPr>
        <w:pStyle w:val="93"/>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cs="宋体"/>
        </w:rPr>
      </w:pPr>
      <w:r>
        <w:rPr>
          <w:rFonts w:hint="eastAsia" w:cs="宋体"/>
        </w:rPr>
        <w:t>2.12专业地下管线图宜按管线小类分类编绘，也可按相近专业组合编绘，编绘要求应符合上述编绘条款有关规定。</w:t>
      </w:r>
    </w:p>
    <w:p>
      <w:pPr>
        <w:pStyle w:val="93"/>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cs="宋体"/>
        </w:rPr>
      </w:pPr>
      <w:r>
        <w:rPr>
          <w:rFonts w:hint="eastAsia" w:cs="宋体"/>
        </w:rPr>
        <w:t>2.13普查作业单位应提供综合管线图和专业管线图。</w:t>
      </w:r>
    </w:p>
    <w:p>
      <w:pPr>
        <w:pStyle w:val="55"/>
        <w:keepNext w:val="0"/>
        <w:keepLines w:val="0"/>
        <w:pageBreakBefore w:val="0"/>
        <w:widowControl w:val="0"/>
        <w:numPr>
          <w:ilvl w:val="0"/>
          <w:numId w:val="10"/>
        </w:numPr>
        <w:tabs>
          <w:tab w:val="clear" w:pos="312"/>
        </w:tabs>
        <w:kinsoku/>
        <w:wordWrap w:val="0"/>
        <w:overflowPunct/>
        <w:topLinePunct/>
        <w:autoSpaceDE/>
        <w:autoSpaceDN/>
        <w:bidi w:val="0"/>
        <w:adjustRightInd w:val="0"/>
        <w:snapToGrid w:val="0"/>
        <w:spacing w:line="440" w:lineRule="exact"/>
        <w:ind w:left="0" w:leftChars="0" w:firstLine="482" w:firstLineChars="200"/>
        <w:textAlignment w:val="auto"/>
        <w:outlineLvl w:val="9"/>
        <w:rPr>
          <w:rFonts w:hint="eastAsia"/>
          <w:b/>
          <w:bCs w:val="0"/>
          <w:lang w:val="en-US" w:eastAsia="zh-CN"/>
        </w:rPr>
      </w:pPr>
      <w:bookmarkStart w:id="1249" w:name="_Toc29912"/>
      <w:bookmarkStart w:id="1250" w:name="_Toc30505"/>
      <w:r>
        <w:rPr>
          <w:rFonts w:hint="eastAsia"/>
          <w:b/>
          <w:bCs w:val="0"/>
          <w:lang w:val="en-US" w:eastAsia="zh-CN"/>
        </w:rPr>
        <w:t>管线成果表编制</w:t>
      </w:r>
      <w:bookmarkEnd w:id="1249"/>
      <w:bookmarkEnd w:id="1250"/>
    </w:p>
    <w:p>
      <w:pPr>
        <w:pStyle w:val="93"/>
        <w:keepNext w:val="0"/>
        <w:keepLines w:val="0"/>
        <w:pageBreakBefore w:val="0"/>
        <w:widowControl w:val="0"/>
        <w:kinsoku/>
        <w:overflowPunct/>
        <w:autoSpaceDE/>
        <w:autoSpaceDN/>
        <w:bidi w:val="0"/>
        <w:adjustRightInd w:val="0"/>
        <w:snapToGrid w:val="0"/>
        <w:spacing w:line="440" w:lineRule="exact"/>
        <w:textAlignment w:val="auto"/>
        <w:rPr>
          <w:rFonts w:hint="eastAsia" w:cs="宋体"/>
          <w:highlight w:val="none"/>
        </w:rPr>
      </w:pPr>
      <w:r>
        <w:rPr>
          <w:rFonts w:hint="eastAsia" w:cs="宋体"/>
        </w:rPr>
        <w:t>3.1管线成果表应依据管线普查成果</w:t>
      </w:r>
      <w:r>
        <w:rPr>
          <w:rFonts w:hint="eastAsia" w:cs="宋体"/>
          <w:highlight w:val="none"/>
        </w:rPr>
        <w:t>和数据处理结果编制，并应保持管线图上点号与管线点号一一对应，管线成果表的编制内容及格式应按</w:t>
      </w:r>
      <w:r>
        <w:rPr>
          <w:rFonts w:hint="eastAsia" w:ascii="宋体" w:hAnsi="宋体" w:eastAsia="宋体" w:cs="宋体"/>
          <w:highlight w:val="none"/>
        </w:rPr>
        <w:t>附录D</w:t>
      </w:r>
      <w:r>
        <w:rPr>
          <w:rFonts w:hint="eastAsia" w:cs="宋体"/>
          <w:highlight w:val="none"/>
        </w:rPr>
        <w:t>的规定执行。</w:t>
      </w:r>
    </w:p>
    <w:p>
      <w:pPr>
        <w:pStyle w:val="93"/>
        <w:keepNext w:val="0"/>
        <w:keepLines w:val="0"/>
        <w:pageBreakBefore w:val="0"/>
        <w:widowControl w:val="0"/>
        <w:kinsoku/>
        <w:overflowPunct/>
        <w:autoSpaceDE/>
        <w:autoSpaceDN/>
        <w:bidi w:val="0"/>
        <w:adjustRightInd w:val="0"/>
        <w:snapToGrid w:val="0"/>
        <w:spacing w:line="440" w:lineRule="exact"/>
        <w:textAlignment w:val="auto"/>
        <w:rPr>
          <w:rFonts w:hint="eastAsia" w:cs="宋体"/>
          <w:highlight w:val="none"/>
        </w:rPr>
      </w:pPr>
      <w:r>
        <w:rPr>
          <w:rFonts w:hint="eastAsia" w:cs="宋体"/>
          <w:highlight w:val="none"/>
        </w:rPr>
        <w:t>3.2成果表应在封面标注图幅号并编写制表说明，管线成果表以基本图幅为单位，按管线小类分表编制。</w:t>
      </w:r>
    </w:p>
    <w:p>
      <w:pPr>
        <w:pStyle w:val="93"/>
        <w:keepNext w:val="0"/>
        <w:keepLines w:val="0"/>
        <w:pageBreakBefore w:val="0"/>
        <w:widowControl w:val="0"/>
        <w:kinsoku/>
        <w:overflowPunct/>
        <w:autoSpaceDE/>
        <w:autoSpaceDN/>
        <w:bidi w:val="0"/>
        <w:adjustRightInd w:val="0"/>
        <w:snapToGrid w:val="0"/>
        <w:spacing w:line="440" w:lineRule="exact"/>
        <w:textAlignment w:val="auto"/>
        <w:rPr>
          <w:rFonts w:hint="eastAsia" w:cs="宋体"/>
        </w:rPr>
      </w:pPr>
      <w:r>
        <w:rPr>
          <w:rFonts w:hint="eastAsia" w:cs="宋体"/>
        </w:rPr>
        <w:t>3.3管线成果表应保证管线成图的逻辑完整性，对跨图幅的管线段以起点点号所在图幅判断管线段所属图幅。</w:t>
      </w:r>
    </w:p>
    <w:p>
      <w:pPr>
        <w:pStyle w:val="93"/>
        <w:keepNext w:val="0"/>
        <w:keepLines w:val="0"/>
        <w:pageBreakBefore w:val="0"/>
        <w:widowControl w:val="0"/>
        <w:kinsoku/>
        <w:overflowPunct/>
        <w:autoSpaceDE/>
        <w:autoSpaceDN/>
        <w:bidi w:val="0"/>
        <w:adjustRightInd w:val="0"/>
        <w:snapToGrid w:val="0"/>
        <w:spacing w:line="440" w:lineRule="exact"/>
        <w:textAlignment w:val="auto"/>
        <w:rPr>
          <w:rFonts w:hint="default"/>
          <w:b/>
          <w:bCs w:val="0"/>
          <w:lang w:val="en-US" w:eastAsia="zh-CN"/>
        </w:rPr>
      </w:pPr>
      <w:r>
        <w:rPr>
          <w:rFonts w:hint="eastAsia" w:cs="宋体"/>
        </w:rPr>
        <w:t>3.4管线成果表应经过100%检查合格，相关信息应与探测原始记录相一致，管线成果表各项属性应与管线图保持一致。</w:t>
      </w:r>
    </w:p>
    <w:p>
      <w:pPr>
        <w:pStyle w:val="55"/>
        <w:ind w:firstLine="482"/>
      </w:pPr>
      <w:bookmarkStart w:id="1251" w:name="_Toc24394"/>
      <w:r>
        <w:rPr>
          <w:rFonts w:hint="eastAsia"/>
          <w:lang w:eastAsia="zh-CN"/>
        </w:rPr>
        <w:t>普查作业单位质量检查</w:t>
      </w:r>
      <w:bookmarkEnd w:id="1251"/>
    </w:p>
    <w:p>
      <w:pPr>
        <w:pStyle w:val="55"/>
        <w:keepNext w:val="0"/>
        <w:keepLines w:val="0"/>
        <w:pageBreakBefore w:val="0"/>
        <w:widowControl w:val="0"/>
        <w:numPr>
          <w:ilvl w:val="0"/>
          <w:numId w:val="31"/>
        </w:numPr>
        <w:tabs>
          <w:tab w:val="clear" w:pos="312"/>
        </w:tabs>
        <w:kinsoku/>
        <w:overflowPunct/>
        <w:autoSpaceDE/>
        <w:autoSpaceDN/>
        <w:bidi w:val="0"/>
        <w:adjustRightInd w:val="0"/>
        <w:snapToGrid w:val="0"/>
        <w:spacing w:line="440" w:lineRule="exact"/>
        <w:ind w:left="0" w:leftChars="0" w:firstLine="482" w:firstLineChars="200"/>
        <w:textAlignment w:val="auto"/>
        <w:outlineLvl w:val="9"/>
        <w:rPr>
          <w:rFonts w:hint="default"/>
          <w:lang w:val="en-US" w:eastAsia="zh-CN"/>
        </w:rPr>
      </w:pPr>
      <w:bookmarkStart w:id="1252" w:name="_Toc6358"/>
      <w:bookmarkStart w:id="1253" w:name="_Toc10700"/>
      <w:r>
        <w:rPr>
          <w:rFonts w:hint="eastAsia"/>
          <w:lang w:val="en-US" w:eastAsia="zh-CN"/>
        </w:rPr>
        <w:t>一般规定</w:t>
      </w:r>
      <w:bookmarkEnd w:id="1252"/>
      <w:bookmarkEnd w:id="1253"/>
    </w:p>
    <w:p>
      <w:pPr>
        <w:pStyle w:val="93"/>
        <w:keepNext w:val="0"/>
        <w:keepLines w:val="0"/>
        <w:pageBreakBefore w:val="0"/>
        <w:widowControl w:val="0"/>
        <w:kinsoku/>
        <w:overflowPunct/>
        <w:autoSpaceDE/>
        <w:autoSpaceDN/>
        <w:bidi w:val="0"/>
        <w:adjustRightInd w:val="0"/>
        <w:snapToGrid w:val="0"/>
        <w:spacing w:line="440" w:lineRule="exact"/>
        <w:ind w:left="0" w:leftChars="0" w:firstLine="480" w:firstLineChars="200"/>
        <w:textAlignment w:val="auto"/>
        <w:rPr>
          <w:rFonts w:hint="eastAsia" w:cs="宋体"/>
        </w:rPr>
      </w:pPr>
      <w:r>
        <w:rPr>
          <w:rFonts w:hint="eastAsia" w:cs="宋体"/>
        </w:rPr>
        <w:t>1.1地下管线普查成果更新自检工作由普查作业单位组织实施，实行二级检查制度。一级检查采用全数检查；二级检查时外业检查采用抽样检查，内业采用全数检查。</w:t>
      </w:r>
    </w:p>
    <w:p>
      <w:pPr>
        <w:pStyle w:val="93"/>
        <w:keepNext w:val="0"/>
        <w:keepLines w:val="0"/>
        <w:pageBreakBefore w:val="0"/>
        <w:widowControl w:val="0"/>
        <w:kinsoku/>
        <w:overflowPunct/>
        <w:autoSpaceDE/>
        <w:autoSpaceDN/>
        <w:bidi w:val="0"/>
        <w:adjustRightInd w:val="0"/>
        <w:snapToGrid w:val="0"/>
        <w:spacing w:line="440" w:lineRule="exact"/>
        <w:ind w:left="0" w:leftChars="0" w:firstLine="480" w:firstLineChars="200"/>
        <w:textAlignment w:val="auto"/>
        <w:rPr>
          <w:rFonts w:hint="eastAsia" w:cs="宋体"/>
        </w:rPr>
      </w:pPr>
      <w:r>
        <w:rPr>
          <w:rFonts w:hint="eastAsia" w:cs="宋体"/>
        </w:rPr>
        <w:t>1.2普查作业单位质量检查包括管线数据位置精度检查、地理精度检查、管线图质量检查和接边检查，位置精度应符合</w:t>
      </w:r>
      <w:r>
        <w:rPr>
          <w:rFonts w:hint="eastAsia" w:cs="宋体"/>
          <w:lang w:eastAsia="zh-CN"/>
        </w:rPr>
        <w:t>本</w:t>
      </w:r>
      <w:r>
        <w:rPr>
          <w:rFonts w:hint="eastAsia" w:cs="宋体"/>
        </w:rPr>
        <w:t>招标文件</w:t>
      </w:r>
      <w:r>
        <w:rPr>
          <w:rFonts w:hint="eastAsia" w:cs="宋体"/>
          <w:highlight w:val="none"/>
          <w:lang w:val="en-US" w:eastAsia="zh-CN"/>
        </w:rPr>
        <w:t>(十)地下管线探测技术准备1.2</w:t>
      </w:r>
      <w:r>
        <w:rPr>
          <w:rFonts w:hint="eastAsia" w:cs="宋体"/>
        </w:rPr>
        <w:t>条款的规定。</w:t>
      </w:r>
    </w:p>
    <w:p>
      <w:pPr>
        <w:pStyle w:val="93"/>
        <w:keepNext w:val="0"/>
        <w:keepLines w:val="0"/>
        <w:pageBreakBefore w:val="0"/>
        <w:widowControl w:val="0"/>
        <w:kinsoku/>
        <w:overflowPunct/>
        <w:autoSpaceDE/>
        <w:autoSpaceDN/>
        <w:bidi w:val="0"/>
        <w:adjustRightInd w:val="0"/>
        <w:snapToGrid w:val="0"/>
        <w:spacing w:line="440" w:lineRule="exact"/>
        <w:ind w:left="0" w:leftChars="0" w:firstLine="480" w:firstLineChars="200"/>
        <w:textAlignment w:val="auto"/>
        <w:rPr>
          <w:rFonts w:hint="eastAsia" w:cs="宋体"/>
        </w:rPr>
      </w:pPr>
      <w:r>
        <w:rPr>
          <w:rFonts w:hint="eastAsia" w:cs="宋体"/>
          <w:lang w:val="en-US" w:eastAsia="zh-CN"/>
        </w:rPr>
        <w:t>1.2.1</w:t>
      </w:r>
      <w:r>
        <w:rPr>
          <w:rFonts w:hint="eastAsia" w:cs="宋体"/>
        </w:rPr>
        <w:t>位置精度检查包括控制点的平面位置精度和高程精度检查、明显管线点重复量测精度、隐蔽管线点平面位置和埋深重复探查精度、管线点平面位置和高程重复测量精度的检查、隐蔽管线点开挖的检查。</w:t>
      </w:r>
    </w:p>
    <w:p>
      <w:pPr>
        <w:pStyle w:val="93"/>
        <w:keepNext w:val="0"/>
        <w:keepLines w:val="0"/>
        <w:pageBreakBefore w:val="0"/>
        <w:widowControl w:val="0"/>
        <w:kinsoku/>
        <w:overflowPunct/>
        <w:autoSpaceDE/>
        <w:autoSpaceDN/>
        <w:bidi w:val="0"/>
        <w:adjustRightInd w:val="0"/>
        <w:snapToGrid w:val="0"/>
        <w:spacing w:line="440" w:lineRule="exact"/>
        <w:ind w:left="0" w:leftChars="0" w:firstLine="480" w:firstLineChars="200"/>
        <w:textAlignment w:val="auto"/>
        <w:rPr>
          <w:rFonts w:hint="eastAsia" w:cs="宋体"/>
        </w:rPr>
      </w:pPr>
      <w:r>
        <w:rPr>
          <w:rFonts w:hint="eastAsia" w:cs="宋体"/>
          <w:lang w:val="en-US" w:eastAsia="zh-CN"/>
        </w:rPr>
        <w:t>1.2.2</w:t>
      </w:r>
      <w:r>
        <w:rPr>
          <w:rFonts w:hint="eastAsia" w:cs="宋体"/>
        </w:rPr>
        <w:t>地理精度检查主要包括管线属性数据的齐全性、正确性、协调性和地下管线连接关系、走向的检查。</w:t>
      </w:r>
    </w:p>
    <w:p>
      <w:pPr>
        <w:pStyle w:val="93"/>
        <w:keepNext w:val="0"/>
        <w:keepLines w:val="0"/>
        <w:pageBreakBefore w:val="0"/>
        <w:widowControl w:val="0"/>
        <w:kinsoku/>
        <w:overflowPunct/>
        <w:autoSpaceDE/>
        <w:autoSpaceDN/>
        <w:bidi w:val="0"/>
        <w:adjustRightInd w:val="0"/>
        <w:snapToGrid w:val="0"/>
        <w:spacing w:line="440" w:lineRule="exact"/>
        <w:ind w:left="0" w:leftChars="0" w:firstLine="480" w:firstLineChars="200"/>
        <w:textAlignment w:val="auto"/>
        <w:rPr>
          <w:rFonts w:hint="eastAsia" w:cs="宋体"/>
        </w:rPr>
      </w:pPr>
      <w:r>
        <w:rPr>
          <w:rFonts w:hint="eastAsia" w:cs="宋体"/>
          <w:lang w:val="en-US" w:eastAsia="zh-CN"/>
        </w:rPr>
        <w:t>1.2.3</w:t>
      </w:r>
      <w:r>
        <w:rPr>
          <w:rFonts w:hint="eastAsia" w:cs="宋体"/>
        </w:rPr>
        <w:t>管线图质量检查主要指图形与属性数据库一致性检查、管线图注记规范性检查和错漏检查。</w:t>
      </w:r>
    </w:p>
    <w:p>
      <w:pPr>
        <w:pStyle w:val="93"/>
        <w:keepNext w:val="0"/>
        <w:keepLines w:val="0"/>
        <w:pageBreakBefore w:val="0"/>
        <w:widowControl w:val="0"/>
        <w:kinsoku/>
        <w:overflowPunct/>
        <w:autoSpaceDE/>
        <w:autoSpaceDN/>
        <w:bidi w:val="0"/>
        <w:adjustRightInd w:val="0"/>
        <w:snapToGrid w:val="0"/>
        <w:spacing w:line="440" w:lineRule="exact"/>
        <w:ind w:left="0" w:leftChars="0" w:firstLine="480" w:firstLineChars="200"/>
        <w:textAlignment w:val="auto"/>
        <w:rPr>
          <w:rFonts w:hint="eastAsia" w:cs="宋体"/>
        </w:rPr>
      </w:pPr>
      <w:r>
        <w:rPr>
          <w:rFonts w:hint="eastAsia" w:cs="宋体"/>
          <w:lang w:val="en-US" w:eastAsia="zh-CN"/>
        </w:rPr>
        <w:t>1.2.4</w:t>
      </w:r>
      <w:r>
        <w:rPr>
          <w:rFonts w:hint="eastAsia" w:cs="宋体"/>
        </w:rPr>
        <w:t>测区间接边检查采取接边点、接边管线段全数检查；检查内容为测区间接边一致性检查、接边点属性一致性检查及接边管线段属性一致性检查。</w:t>
      </w:r>
    </w:p>
    <w:p>
      <w:pPr>
        <w:pStyle w:val="93"/>
        <w:keepNext w:val="0"/>
        <w:keepLines w:val="0"/>
        <w:pageBreakBefore w:val="0"/>
        <w:widowControl w:val="0"/>
        <w:kinsoku/>
        <w:overflowPunct/>
        <w:autoSpaceDE/>
        <w:autoSpaceDN/>
        <w:bidi w:val="0"/>
        <w:adjustRightInd w:val="0"/>
        <w:snapToGrid w:val="0"/>
        <w:spacing w:line="440" w:lineRule="exact"/>
        <w:ind w:left="0" w:leftChars="0" w:firstLine="480" w:firstLineChars="200"/>
        <w:textAlignment w:val="auto"/>
        <w:rPr>
          <w:rFonts w:hint="eastAsia" w:cs="宋体"/>
        </w:rPr>
      </w:pPr>
      <w:r>
        <w:rPr>
          <w:rFonts w:hint="eastAsia" w:cs="宋体"/>
        </w:rPr>
        <w:t>1.3检查取样按图幅总数或管线点数量进行，取样应遵循随机抽取、均匀分布、有代表性的原则。</w:t>
      </w:r>
    </w:p>
    <w:p>
      <w:pPr>
        <w:pStyle w:val="93"/>
        <w:keepNext w:val="0"/>
        <w:keepLines w:val="0"/>
        <w:pageBreakBefore w:val="0"/>
        <w:widowControl w:val="0"/>
        <w:kinsoku/>
        <w:overflowPunct/>
        <w:autoSpaceDE/>
        <w:autoSpaceDN/>
        <w:bidi w:val="0"/>
        <w:adjustRightInd w:val="0"/>
        <w:snapToGrid w:val="0"/>
        <w:spacing w:line="440" w:lineRule="exact"/>
        <w:ind w:left="0" w:leftChars="0" w:firstLine="480" w:firstLineChars="200"/>
        <w:textAlignment w:val="auto"/>
        <w:rPr>
          <w:rFonts w:hint="eastAsia" w:cs="宋体"/>
        </w:rPr>
      </w:pPr>
      <w:r>
        <w:rPr>
          <w:rFonts w:hint="eastAsia" w:cs="宋体"/>
        </w:rPr>
        <w:t>1.4对所抽取的样本进行详查，根据各单位成果的质量元素及检查项，按相关规范、技术指标和招标文件要求逐个检查单位成果并统计各类错漏数量，并按相应的质量元素、质量子元素分类及权重以及错漏分类进行评定单位成果质量。质量元素、质量子元素分类按《城镇地下管线普查成果质量检查技术规定》的规定执行。</w:t>
      </w:r>
    </w:p>
    <w:p>
      <w:pPr>
        <w:pStyle w:val="93"/>
        <w:keepNext w:val="0"/>
        <w:keepLines w:val="0"/>
        <w:pageBreakBefore w:val="0"/>
        <w:widowControl w:val="0"/>
        <w:kinsoku/>
        <w:overflowPunct/>
        <w:autoSpaceDE/>
        <w:autoSpaceDN/>
        <w:bidi w:val="0"/>
        <w:adjustRightInd w:val="0"/>
        <w:snapToGrid w:val="0"/>
        <w:spacing w:line="440" w:lineRule="exact"/>
        <w:ind w:left="0" w:leftChars="0" w:firstLine="480" w:firstLineChars="200"/>
        <w:textAlignment w:val="auto"/>
        <w:rPr>
          <w:rFonts w:hint="eastAsia" w:cs="宋体"/>
        </w:rPr>
      </w:pPr>
      <w:r>
        <w:rPr>
          <w:rFonts w:hint="eastAsia" w:cs="宋体"/>
        </w:rPr>
        <w:t>1.5当任一检查项的粗差比例超过样本点总数的5%，该批单位成果判为不合格。</w:t>
      </w:r>
    </w:p>
    <w:p>
      <w:pPr>
        <w:pStyle w:val="93"/>
        <w:keepNext w:val="0"/>
        <w:keepLines w:val="0"/>
        <w:pageBreakBefore w:val="0"/>
        <w:widowControl w:val="0"/>
        <w:kinsoku/>
        <w:overflowPunct/>
        <w:autoSpaceDE/>
        <w:autoSpaceDN/>
        <w:bidi w:val="0"/>
        <w:adjustRightInd w:val="0"/>
        <w:snapToGrid w:val="0"/>
        <w:spacing w:line="440" w:lineRule="exact"/>
        <w:ind w:left="0" w:leftChars="0" w:firstLine="480" w:firstLineChars="200"/>
        <w:textAlignment w:val="auto"/>
        <w:rPr>
          <w:rFonts w:hint="eastAsia" w:cs="宋体"/>
        </w:rPr>
      </w:pPr>
      <w:r>
        <w:rPr>
          <w:rFonts w:hint="eastAsia" w:cs="宋体"/>
        </w:rPr>
        <w:t>1.6 普查作业单位质量检查还应进行地下管线三维数据碰撞检查、逻辑一致性检查、数据接边检查。</w:t>
      </w:r>
    </w:p>
    <w:p>
      <w:pPr>
        <w:pStyle w:val="93"/>
        <w:keepNext w:val="0"/>
        <w:keepLines w:val="0"/>
        <w:pageBreakBefore w:val="0"/>
        <w:widowControl w:val="0"/>
        <w:kinsoku/>
        <w:overflowPunct/>
        <w:autoSpaceDE/>
        <w:autoSpaceDN/>
        <w:bidi w:val="0"/>
        <w:adjustRightInd w:val="0"/>
        <w:snapToGrid w:val="0"/>
        <w:spacing w:line="440" w:lineRule="exact"/>
        <w:ind w:left="0" w:leftChars="0" w:firstLine="480" w:firstLineChars="200"/>
        <w:textAlignment w:val="auto"/>
        <w:rPr>
          <w:rFonts w:hint="eastAsia" w:cs="宋体"/>
        </w:rPr>
      </w:pPr>
      <w:r>
        <w:rPr>
          <w:rFonts w:hint="eastAsia" w:cs="宋体"/>
        </w:rPr>
        <w:t>1.7各级检查工作应做好记录，普查单位检查完成后应编写质量检查报告。检查报告应包含下列内容：</w:t>
      </w:r>
    </w:p>
    <w:p>
      <w:pPr>
        <w:pStyle w:val="93"/>
        <w:keepNext w:val="0"/>
        <w:keepLines w:val="0"/>
        <w:pageBreakBefore w:val="0"/>
        <w:widowControl w:val="0"/>
        <w:numPr>
          <w:ilvl w:val="0"/>
          <w:numId w:val="0"/>
        </w:numPr>
        <w:kinsoku/>
        <w:overflowPunct/>
        <w:autoSpaceDE/>
        <w:autoSpaceDN/>
        <w:bidi w:val="0"/>
        <w:adjustRightInd w:val="0"/>
        <w:snapToGrid w:val="0"/>
        <w:spacing w:line="440" w:lineRule="exact"/>
        <w:ind w:leftChars="200"/>
        <w:textAlignment w:val="auto"/>
        <w:rPr>
          <w:rFonts w:hint="eastAsia" w:cs="宋体"/>
        </w:rPr>
      </w:pPr>
      <w:r>
        <w:rPr>
          <w:rFonts w:hint="eastAsia" w:cs="宋体"/>
          <w:lang w:eastAsia="zh-CN"/>
        </w:rPr>
        <w:t>（</w:t>
      </w:r>
      <w:r>
        <w:rPr>
          <w:rFonts w:hint="eastAsia" w:cs="宋体"/>
          <w:lang w:val="en-US" w:eastAsia="zh-CN"/>
        </w:rPr>
        <w:t>1</w:t>
      </w:r>
      <w:r>
        <w:rPr>
          <w:rFonts w:hint="eastAsia" w:cs="宋体"/>
          <w:lang w:eastAsia="zh-CN"/>
        </w:rPr>
        <w:t>）</w:t>
      </w:r>
      <w:r>
        <w:rPr>
          <w:rFonts w:hint="eastAsia" w:cs="宋体"/>
        </w:rPr>
        <w:t>工程概况；</w:t>
      </w:r>
    </w:p>
    <w:p>
      <w:pPr>
        <w:pStyle w:val="93"/>
        <w:keepNext w:val="0"/>
        <w:keepLines w:val="0"/>
        <w:pageBreakBefore w:val="0"/>
        <w:widowControl w:val="0"/>
        <w:numPr>
          <w:ilvl w:val="0"/>
          <w:numId w:val="0"/>
        </w:numPr>
        <w:kinsoku/>
        <w:overflowPunct/>
        <w:autoSpaceDE/>
        <w:autoSpaceDN/>
        <w:bidi w:val="0"/>
        <w:adjustRightInd w:val="0"/>
        <w:snapToGrid w:val="0"/>
        <w:spacing w:line="440" w:lineRule="exact"/>
        <w:ind w:leftChars="200"/>
        <w:textAlignment w:val="auto"/>
        <w:rPr>
          <w:rFonts w:hint="eastAsia" w:cs="宋体"/>
        </w:rPr>
      </w:pPr>
      <w:r>
        <w:rPr>
          <w:rFonts w:hint="eastAsia" w:cs="宋体"/>
          <w:lang w:eastAsia="zh-CN"/>
        </w:rPr>
        <w:t>（</w:t>
      </w:r>
      <w:r>
        <w:rPr>
          <w:rFonts w:hint="eastAsia" w:cs="宋体"/>
          <w:lang w:val="en-US" w:eastAsia="zh-CN"/>
        </w:rPr>
        <w:t>2</w:t>
      </w:r>
      <w:r>
        <w:rPr>
          <w:rFonts w:hint="eastAsia" w:cs="宋体"/>
          <w:lang w:eastAsia="zh-CN"/>
        </w:rPr>
        <w:t>）</w:t>
      </w:r>
      <w:r>
        <w:rPr>
          <w:rFonts w:hint="eastAsia" w:cs="宋体"/>
        </w:rPr>
        <w:t>检查工作概况；</w:t>
      </w:r>
    </w:p>
    <w:p>
      <w:pPr>
        <w:pStyle w:val="93"/>
        <w:keepNext w:val="0"/>
        <w:keepLines w:val="0"/>
        <w:pageBreakBefore w:val="0"/>
        <w:widowControl w:val="0"/>
        <w:numPr>
          <w:ilvl w:val="0"/>
          <w:numId w:val="0"/>
        </w:numPr>
        <w:kinsoku/>
        <w:overflowPunct/>
        <w:autoSpaceDE/>
        <w:autoSpaceDN/>
        <w:bidi w:val="0"/>
        <w:adjustRightInd w:val="0"/>
        <w:snapToGrid w:val="0"/>
        <w:spacing w:line="440" w:lineRule="exact"/>
        <w:ind w:leftChars="200"/>
        <w:textAlignment w:val="auto"/>
        <w:rPr>
          <w:rFonts w:hint="eastAsia" w:cs="宋体"/>
        </w:rPr>
      </w:pPr>
      <w:r>
        <w:rPr>
          <w:rFonts w:hint="eastAsia" w:cs="宋体"/>
          <w:lang w:eastAsia="zh-CN"/>
        </w:rPr>
        <w:t>（</w:t>
      </w:r>
      <w:r>
        <w:rPr>
          <w:rFonts w:hint="eastAsia" w:cs="宋体"/>
          <w:lang w:val="en-US" w:eastAsia="zh-CN"/>
        </w:rPr>
        <w:t>3</w:t>
      </w:r>
      <w:r>
        <w:rPr>
          <w:rFonts w:hint="eastAsia" w:cs="宋体"/>
          <w:lang w:eastAsia="zh-CN"/>
        </w:rPr>
        <w:t>）</w:t>
      </w:r>
      <w:r>
        <w:rPr>
          <w:rFonts w:hint="eastAsia" w:cs="宋体"/>
        </w:rPr>
        <w:t>技术依据；</w:t>
      </w:r>
    </w:p>
    <w:p>
      <w:pPr>
        <w:pStyle w:val="93"/>
        <w:keepNext w:val="0"/>
        <w:keepLines w:val="0"/>
        <w:pageBreakBefore w:val="0"/>
        <w:widowControl w:val="0"/>
        <w:numPr>
          <w:ilvl w:val="0"/>
          <w:numId w:val="0"/>
        </w:numPr>
        <w:kinsoku/>
        <w:overflowPunct/>
        <w:autoSpaceDE/>
        <w:autoSpaceDN/>
        <w:bidi w:val="0"/>
        <w:adjustRightInd w:val="0"/>
        <w:snapToGrid w:val="0"/>
        <w:spacing w:line="440" w:lineRule="exact"/>
        <w:ind w:leftChars="200"/>
        <w:textAlignment w:val="auto"/>
        <w:rPr>
          <w:rFonts w:hint="eastAsia" w:cs="宋体"/>
        </w:rPr>
      </w:pPr>
      <w:r>
        <w:rPr>
          <w:rFonts w:hint="eastAsia" w:cs="宋体"/>
          <w:lang w:eastAsia="zh-CN"/>
        </w:rPr>
        <w:t>（</w:t>
      </w:r>
      <w:r>
        <w:rPr>
          <w:rFonts w:hint="eastAsia" w:cs="宋体"/>
          <w:lang w:val="en-US" w:eastAsia="zh-CN"/>
        </w:rPr>
        <w:t>4</w:t>
      </w:r>
      <w:r>
        <w:rPr>
          <w:rFonts w:hint="eastAsia" w:cs="宋体"/>
          <w:lang w:eastAsia="zh-CN"/>
        </w:rPr>
        <w:t>）</w:t>
      </w:r>
      <w:r>
        <w:rPr>
          <w:rFonts w:hint="eastAsia" w:cs="宋体"/>
        </w:rPr>
        <w:t>检查内容及方法；</w:t>
      </w:r>
    </w:p>
    <w:p>
      <w:pPr>
        <w:pStyle w:val="93"/>
        <w:keepNext w:val="0"/>
        <w:keepLines w:val="0"/>
        <w:pageBreakBefore w:val="0"/>
        <w:widowControl w:val="0"/>
        <w:numPr>
          <w:ilvl w:val="0"/>
          <w:numId w:val="0"/>
        </w:numPr>
        <w:kinsoku/>
        <w:overflowPunct/>
        <w:autoSpaceDE/>
        <w:autoSpaceDN/>
        <w:bidi w:val="0"/>
        <w:adjustRightInd w:val="0"/>
        <w:snapToGrid w:val="0"/>
        <w:spacing w:line="440" w:lineRule="exact"/>
        <w:ind w:leftChars="200"/>
        <w:textAlignment w:val="auto"/>
        <w:rPr>
          <w:rFonts w:hint="eastAsia" w:cs="宋体"/>
        </w:rPr>
      </w:pPr>
      <w:r>
        <w:rPr>
          <w:rFonts w:hint="eastAsia" w:cs="宋体"/>
          <w:lang w:eastAsia="zh-CN"/>
        </w:rPr>
        <w:t>（</w:t>
      </w:r>
      <w:r>
        <w:rPr>
          <w:rFonts w:hint="eastAsia" w:cs="宋体"/>
          <w:lang w:val="en-US" w:eastAsia="zh-CN"/>
        </w:rPr>
        <w:t>5</w:t>
      </w:r>
      <w:r>
        <w:rPr>
          <w:rFonts w:hint="eastAsia" w:cs="宋体"/>
          <w:lang w:eastAsia="zh-CN"/>
        </w:rPr>
        <w:t>）</w:t>
      </w:r>
      <w:r>
        <w:rPr>
          <w:rFonts w:hint="eastAsia" w:cs="宋体"/>
        </w:rPr>
        <w:t>抽样情况；</w:t>
      </w:r>
    </w:p>
    <w:p>
      <w:pPr>
        <w:pStyle w:val="93"/>
        <w:keepNext w:val="0"/>
        <w:keepLines w:val="0"/>
        <w:pageBreakBefore w:val="0"/>
        <w:widowControl w:val="0"/>
        <w:numPr>
          <w:ilvl w:val="0"/>
          <w:numId w:val="0"/>
        </w:numPr>
        <w:kinsoku/>
        <w:overflowPunct/>
        <w:autoSpaceDE/>
        <w:autoSpaceDN/>
        <w:bidi w:val="0"/>
        <w:adjustRightInd w:val="0"/>
        <w:snapToGrid w:val="0"/>
        <w:spacing w:line="440" w:lineRule="exact"/>
        <w:ind w:leftChars="200"/>
        <w:textAlignment w:val="auto"/>
        <w:rPr>
          <w:rFonts w:hint="eastAsia" w:cs="宋体"/>
        </w:rPr>
      </w:pPr>
      <w:r>
        <w:rPr>
          <w:rFonts w:hint="eastAsia" w:cs="宋体"/>
          <w:lang w:eastAsia="zh-CN"/>
        </w:rPr>
        <w:t>（</w:t>
      </w:r>
      <w:r>
        <w:rPr>
          <w:rFonts w:hint="eastAsia" w:cs="宋体"/>
          <w:lang w:val="en-US" w:eastAsia="zh-CN"/>
        </w:rPr>
        <w:t>6</w:t>
      </w:r>
      <w:r>
        <w:rPr>
          <w:rFonts w:hint="eastAsia" w:cs="宋体"/>
          <w:lang w:eastAsia="zh-CN"/>
        </w:rPr>
        <w:t>）</w:t>
      </w:r>
      <w:r>
        <w:rPr>
          <w:rFonts w:hint="eastAsia" w:cs="宋体"/>
        </w:rPr>
        <w:t>精度统计、质量统计与质量评价；</w:t>
      </w:r>
    </w:p>
    <w:p>
      <w:pPr>
        <w:pStyle w:val="93"/>
        <w:keepNext w:val="0"/>
        <w:keepLines w:val="0"/>
        <w:pageBreakBefore w:val="0"/>
        <w:widowControl w:val="0"/>
        <w:numPr>
          <w:ilvl w:val="0"/>
          <w:numId w:val="0"/>
        </w:numPr>
        <w:kinsoku/>
        <w:overflowPunct/>
        <w:autoSpaceDE/>
        <w:autoSpaceDN/>
        <w:bidi w:val="0"/>
        <w:adjustRightInd w:val="0"/>
        <w:snapToGrid w:val="0"/>
        <w:spacing w:line="440" w:lineRule="exact"/>
        <w:ind w:leftChars="200"/>
        <w:textAlignment w:val="auto"/>
        <w:rPr>
          <w:rFonts w:hint="eastAsia" w:cs="宋体"/>
        </w:rPr>
      </w:pPr>
      <w:r>
        <w:rPr>
          <w:rFonts w:hint="eastAsia" w:cs="宋体"/>
          <w:lang w:eastAsia="zh-CN"/>
        </w:rPr>
        <w:t>（</w:t>
      </w:r>
      <w:r>
        <w:rPr>
          <w:rFonts w:hint="eastAsia" w:cs="宋体"/>
          <w:lang w:val="en-US" w:eastAsia="zh-CN"/>
        </w:rPr>
        <w:t>7</w:t>
      </w:r>
      <w:r>
        <w:rPr>
          <w:rFonts w:hint="eastAsia" w:cs="宋体"/>
          <w:lang w:eastAsia="zh-CN"/>
        </w:rPr>
        <w:t>）</w:t>
      </w:r>
      <w:r>
        <w:rPr>
          <w:rFonts w:hint="eastAsia" w:cs="宋体"/>
        </w:rPr>
        <w:t>主要质量问题及处理情况。</w:t>
      </w:r>
    </w:p>
    <w:p>
      <w:pPr>
        <w:pStyle w:val="93"/>
        <w:keepNext w:val="0"/>
        <w:keepLines w:val="0"/>
        <w:pageBreakBefore w:val="0"/>
        <w:widowControl w:val="0"/>
        <w:kinsoku/>
        <w:overflowPunct/>
        <w:autoSpaceDE/>
        <w:autoSpaceDN/>
        <w:bidi w:val="0"/>
        <w:adjustRightInd w:val="0"/>
        <w:snapToGrid w:val="0"/>
        <w:spacing w:line="440" w:lineRule="exact"/>
        <w:ind w:left="0" w:leftChars="0" w:firstLine="480" w:firstLineChars="200"/>
        <w:textAlignment w:val="auto"/>
        <w:rPr>
          <w:rFonts w:hint="eastAsia" w:cs="宋体"/>
        </w:rPr>
      </w:pPr>
      <w:r>
        <w:rPr>
          <w:rFonts w:hint="eastAsia" w:cs="宋体"/>
        </w:rPr>
        <w:t>1.8普查作业单位自检合格后方可提交监理单位。提交成果应包含：</w:t>
      </w:r>
    </w:p>
    <w:p>
      <w:pPr>
        <w:pStyle w:val="93"/>
        <w:keepNext w:val="0"/>
        <w:keepLines w:val="0"/>
        <w:pageBreakBefore w:val="0"/>
        <w:widowControl w:val="0"/>
        <w:numPr>
          <w:ilvl w:val="0"/>
          <w:numId w:val="0"/>
        </w:numPr>
        <w:kinsoku/>
        <w:overflowPunct/>
        <w:autoSpaceDE/>
        <w:autoSpaceDN/>
        <w:bidi w:val="0"/>
        <w:adjustRightInd w:val="0"/>
        <w:snapToGrid w:val="0"/>
        <w:spacing w:line="440" w:lineRule="exact"/>
        <w:ind w:leftChars="200"/>
        <w:textAlignment w:val="auto"/>
        <w:rPr>
          <w:rFonts w:hint="eastAsia" w:cs="宋体"/>
        </w:rPr>
      </w:pPr>
      <w:r>
        <w:rPr>
          <w:rFonts w:hint="eastAsia" w:cs="宋体"/>
          <w:lang w:eastAsia="zh-CN"/>
        </w:rPr>
        <w:t>（</w:t>
      </w:r>
      <w:r>
        <w:rPr>
          <w:rFonts w:hint="eastAsia" w:cs="宋体"/>
          <w:lang w:val="en-US" w:eastAsia="zh-CN"/>
        </w:rPr>
        <w:t>1</w:t>
      </w:r>
      <w:r>
        <w:rPr>
          <w:rFonts w:hint="eastAsia" w:cs="宋体"/>
          <w:lang w:eastAsia="zh-CN"/>
        </w:rPr>
        <w:t>）</w:t>
      </w:r>
      <w:r>
        <w:rPr>
          <w:rFonts w:hint="eastAsia" w:cs="宋体"/>
        </w:rPr>
        <w:t>地下管线探查检查记录表；</w:t>
      </w:r>
    </w:p>
    <w:p>
      <w:pPr>
        <w:pStyle w:val="93"/>
        <w:keepNext w:val="0"/>
        <w:keepLines w:val="0"/>
        <w:pageBreakBefore w:val="0"/>
        <w:widowControl w:val="0"/>
        <w:numPr>
          <w:ilvl w:val="0"/>
          <w:numId w:val="0"/>
        </w:numPr>
        <w:kinsoku/>
        <w:overflowPunct/>
        <w:autoSpaceDE/>
        <w:autoSpaceDN/>
        <w:bidi w:val="0"/>
        <w:adjustRightInd w:val="0"/>
        <w:snapToGrid w:val="0"/>
        <w:spacing w:line="440" w:lineRule="exact"/>
        <w:ind w:leftChars="200"/>
        <w:textAlignment w:val="auto"/>
        <w:rPr>
          <w:rFonts w:hint="eastAsia" w:cs="宋体"/>
        </w:rPr>
      </w:pPr>
      <w:r>
        <w:rPr>
          <w:rFonts w:hint="eastAsia" w:cs="宋体"/>
          <w:lang w:eastAsia="zh-CN"/>
        </w:rPr>
        <w:t>（</w:t>
      </w:r>
      <w:r>
        <w:rPr>
          <w:rFonts w:hint="eastAsia" w:cs="宋体"/>
          <w:lang w:val="en-US" w:eastAsia="zh-CN"/>
        </w:rPr>
        <w:t>2</w:t>
      </w:r>
      <w:r>
        <w:rPr>
          <w:rFonts w:hint="eastAsia" w:cs="宋体"/>
          <w:lang w:eastAsia="zh-CN"/>
        </w:rPr>
        <w:t>）</w:t>
      </w:r>
      <w:r>
        <w:rPr>
          <w:rFonts w:hint="eastAsia" w:cs="宋体"/>
        </w:rPr>
        <w:t>质量检查报告；</w:t>
      </w:r>
    </w:p>
    <w:p>
      <w:pPr>
        <w:pStyle w:val="93"/>
        <w:keepNext w:val="0"/>
        <w:keepLines w:val="0"/>
        <w:pageBreakBefore w:val="0"/>
        <w:widowControl w:val="0"/>
        <w:numPr>
          <w:ilvl w:val="0"/>
          <w:numId w:val="0"/>
        </w:numPr>
        <w:kinsoku/>
        <w:overflowPunct/>
        <w:autoSpaceDE/>
        <w:autoSpaceDN/>
        <w:bidi w:val="0"/>
        <w:adjustRightInd w:val="0"/>
        <w:snapToGrid w:val="0"/>
        <w:spacing w:line="440" w:lineRule="exact"/>
        <w:ind w:leftChars="200"/>
        <w:textAlignment w:val="auto"/>
        <w:rPr>
          <w:rFonts w:hint="eastAsia" w:cs="宋体"/>
        </w:rPr>
      </w:pPr>
      <w:r>
        <w:rPr>
          <w:rFonts w:hint="eastAsia" w:cs="宋体"/>
          <w:lang w:eastAsia="zh-CN"/>
        </w:rPr>
        <w:t>（</w:t>
      </w:r>
      <w:r>
        <w:rPr>
          <w:rFonts w:hint="eastAsia" w:cs="宋体"/>
          <w:lang w:val="en-US" w:eastAsia="zh-CN"/>
        </w:rPr>
        <w:t>3</w:t>
      </w:r>
      <w:r>
        <w:rPr>
          <w:rFonts w:hint="eastAsia" w:cs="宋体"/>
          <w:lang w:eastAsia="zh-CN"/>
        </w:rPr>
        <w:t>）</w:t>
      </w:r>
      <w:r>
        <w:rPr>
          <w:rFonts w:hint="eastAsia" w:cs="宋体"/>
        </w:rPr>
        <w:t>测区管线分幅图及相对应的管线成果表；</w:t>
      </w:r>
    </w:p>
    <w:p>
      <w:pPr>
        <w:pStyle w:val="93"/>
        <w:keepNext w:val="0"/>
        <w:keepLines w:val="0"/>
        <w:pageBreakBefore w:val="0"/>
        <w:widowControl w:val="0"/>
        <w:numPr>
          <w:ilvl w:val="0"/>
          <w:numId w:val="0"/>
        </w:numPr>
        <w:kinsoku/>
        <w:overflowPunct/>
        <w:autoSpaceDE/>
        <w:autoSpaceDN/>
        <w:bidi w:val="0"/>
        <w:adjustRightInd w:val="0"/>
        <w:snapToGrid w:val="0"/>
        <w:spacing w:line="440" w:lineRule="exact"/>
        <w:ind w:leftChars="200"/>
        <w:textAlignment w:val="auto"/>
        <w:rPr>
          <w:rFonts w:hint="eastAsia" w:cs="宋体"/>
        </w:rPr>
      </w:pPr>
      <w:r>
        <w:rPr>
          <w:rFonts w:hint="eastAsia" w:cs="宋体"/>
          <w:lang w:eastAsia="zh-CN"/>
        </w:rPr>
        <w:t>（</w:t>
      </w:r>
      <w:r>
        <w:rPr>
          <w:rFonts w:hint="eastAsia" w:cs="宋体"/>
          <w:lang w:val="en-US" w:eastAsia="zh-CN"/>
        </w:rPr>
        <w:t>4</w:t>
      </w:r>
      <w:r>
        <w:rPr>
          <w:rFonts w:hint="eastAsia" w:cs="宋体"/>
          <w:lang w:eastAsia="zh-CN"/>
        </w:rPr>
        <w:t>）</w:t>
      </w:r>
      <w:r>
        <w:rPr>
          <w:rFonts w:hint="eastAsia" w:cs="宋体"/>
        </w:rPr>
        <w:t>测区管线CAD图形文件和相对应的MDB属性数据文件。</w:t>
      </w:r>
    </w:p>
    <w:p>
      <w:pPr>
        <w:pStyle w:val="55"/>
        <w:keepNext w:val="0"/>
        <w:keepLines w:val="0"/>
        <w:pageBreakBefore w:val="0"/>
        <w:widowControl w:val="0"/>
        <w:numPr>
          <w:ilvl w:val="2"/>
          <w:numId w:val="0"/>
        </w:numPr>
        <w:kinsoku/>
        <w:overflowPunct/>
        <w:autoSpaceDE/>
        <w:autoSpaceDN/>
        <w:bidi w:val="0"/>
        <w:adjustRightInd w:val="0"/>
        <w:snapToGrid w:val="0"/>
        <w:spacing w:line="440" w:lineRule="exact"/>
        <w:ind w:firstLine="482" w:firstLineChars="200"/>
        <w:textAlignment w:val="auto"/>
        <w:outlineLvl w:val="9"/>
        <w:rPr>
          <w:rFonts w:hint="eastAsia"/>
          <w:lang w:val="en-US" w:eastAsia="zh-CN"/>
        </w:rPr>
      </w:pPr>
      <w:bookmarkStart w:id="1254" w:name="_Toc26776"/>
      <w:bookmarkStart w:id="1255" w:name="_Toc9414"/>
      <w:r>
        <w:rPr>
          <w:rFonts w:hint="eastAsia"/>
          <w:lang w:val="en-US" w:eastAsia="zh-CN"/>
        </w:rPr>
        <w:t>2.管线探查质量检查</w:t>
      </w:r>
      <w:bookmarkEnd w:id="1254"/>
      <w:bookmarkEnd w:id="1255"/>
    </w:p>
    <w:p>
      <w:pPr>
        <w:pStyle w:val="93"/>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cs="宋体"/>
        </w:rPr>
      </w:pPr>
      <w:r>
        <w:rPr>
          <w:rFonts w:hint="eastAsia" w:cs="宋体"/>
        </w:rPr>
        <w:t>2.1地下管线探查应采用明显管线点重复调查、隐蔽管线点重复探查方式进行质量检查。</w:t>
      </w:r>
    </w:p>
    <w:p>
      <w:pPr>
        <w:pStyle w:val="93"/>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cs="宋体"/>
        </w:rPr>
      </w:pPr>
      <w:r>
        <w:rPr>
          <w:rFonts w:hint="eastAsia" w:cs="宋体"/>
        </w:rPr>
        <w:t>2.2应在不同时间、由不同的作业人员完成，检查内容应包括探查的几何精度检查和属性调查结果检查。</w:t>
      </w:r>
    </w:p>
    <w:p>
      <w:pPr>
        <w:pStyle w:val="93"/>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cs="宋体"/>
        </w:rPr>
      </w:pPr>
      <w:r>
        <w:rPr>
          <w:rFonts w:hint="eastAsia" w:cs="宋体"/>
        </w:rPr>
        <w:t>2.3管线探查质量检查宜按附录C格式填写检查记录表。</w:t>
      </w:r>
    </w:p>
    <w:p>
      <w:pPr>
        <w:pStyle w:val="93"/>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cs="宋体"/>
        </w:rPr>
      </w:pPr>
      <w:r>
        <w:rPr>
          <w:rFonts w:hint="eastAsia" w:cs="宋体"/>
        </w:rPr>
        <w:t>2.4每个测区明显管线点重复量测检查不少于明显管线点总数的5％，每个测区隐蔽管线点重复探查检查不少于隐蔽管线点总数的5％。</w:t>
      </w:r>
    </w:p>
    <w:p>
      <w:pPr>
        <w:pStyle w:val="93"/>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cs="宋体"/>
        </w:rPr>
      </w:pPr>
      <w:r>
        <w:rPr>
          <w:rFonts w:hint="eastAsia" w:cs="宋体"/>
        </w:rPr>
        <w:t>2.5隐蔽管线点开挖检查采取增加重复探查量或开挖等方式进行验证，每个测区验证点数不少于隐蔽管线点总数的0.5%，且不少于2个；验证内容包括几何精度和属性精度。</w:t>
      </w:r>
    </w:p>
    <w:p>
      <w:pPr>
        <w:pStyle w:val="93"/>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textAlignment w:val="auto"/>
        <w:rPr>
          <w:rFonts w:hint="eastAsia" w:cs="宋体"/>
          <w:spacing w:val="20"/>
          <w:kern w:val="0"/>
          <w:szCs w:val="21"/>
        </w:rPr>
      </w:pPr>
      <w:r>
        <w:rPr>
          <w:rFonts w:hint="eastAsia" w:cs="宋体"/>
        </w:rPr>
        <w:t>2.6明显管线点的埋深量测中误差公式：</w:t>
      </w:r>
      <w:r>
        <w:rPr>
          <w:rFonts w:hint="eastAsia" w:cs="宋体"/>
          <w:position w:val="-30"/>
        </w:rPr>
        <w:object>
          <v:shape id="_x0000_i1025" o:spt="75" type="#_x0000_t75" style="height:37.5pt;width:119.95pt;" o:ole="t" filled="f" o:preferrelative="t" stroked="f" coordsize="21600,21600">
            <v:path/>
            <v:fill on="f" focussize="0,0"/>
            <v:stroke on="f"/>
            <v:imagedata r:id="rId20" o:title=""/>
            <o:lock v:ext="edit" aspectratio="t"/>
            <w10:wrap type="none"/>
            <w10:anchorlock/>
          </v:shape>
          <o:OLEObject Type="Embed" ProgID="Equation.3" ShapeID="_x0000_i1025" DrawAspect="Content" ObjectID="_1468075725" r:id="rId19">
            <o:LockedField>false</o:LockedField>
          </o:OLEObject>
        </w:object>
      </w:r>
    </w:p>
    <w:p>
      <w:pPr>
        <w:pStyle w:val="93"/>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cs="宋体"/>
        </w:rPr>
      </w:pPr>
      <w:r>
        <w:rPr>
          <w:rFonts w:hint="eastAsia" w:cs="宋体"/>
        </w:rPr>
        <w:t xml:space="preserve">式中：Δdti—明显管线点的埋深偏差（mm）； </w:t>
      </w:r>
    </w:p>
    <w:p>
      <w:pPr>
        <w:pStyle w:val="93"/>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cs="宋体"/>
        </w:rPr>
      </w:pPr>
      <w:r>
        <w:rPr>
          <w:rFonts w:hint="eastAsia" w:cs="宋体"/>
        </w:rPr>
        <w:t>n1—明显管线点检查点数。</w:t>
      </w:r>
    </w:p>
    <w:p>
      <w:pPr>
        <w:pStyle w:val="93"/>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cs="宋体"/>
        </w:rPr>
      </w:pPr>
      <w:r>
        <w:rPr>
          <w:rFonts w:hint="eastAsia" w:cs="宋体"/>
        </w:rPr>
        <w:t>2.7隐蔽管线点应检查探查平面位置和埋深，隐蔽管线点采用重复探查检查时，应采用同精度探查仪器进行，平面位置中误差Mts和埋深中误差Mth分别按下式计算：</w:t>
      </w:r>
    </w:p>
    <w:p>
      <w:pPr>
        <w:pStyle w:val="93"/>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textAlignment w:val="auto"/>
        <w:rPr>
          <w:rFonts w:hint="eastAsia" w:cs="宋体"/>
        </w:rPr>
      </w:pPr>
      <w:r>
        <w:rPr>
          <w:rFonts w:hint="eastAsia" w:cs="宋体"/>
          <w:lang w:eastAsia="zh-CN"/>
        </w:rPr>
        <w:t>（</w:t>
      </w:r>
      <w:r>
        <w:rPr>
          <w:rFonts w:hint="eastAsia" w:cs="宋体"/>
          <w:lang w:val="en-US" w:eastAsia="zh-CN"/>
        </w:rPr>
        <w:t>1</w:t>
      </w:r>
      <w:r>
        <w:rPr>
          <w:rFonts w:hint="eastAsia" w:cs="宋体"/>
          <w:lang w:eastAsia="zh-CN"/>
        </w:rPr>
        <w:t>）</w:t>
      </w:r>
      <w:r>
        <w:rPr>
          <w:rFonts w:hint="eastAsia" w:cs="宋体"/>
        </w:rPr>
        <w:t>隐蔽管线点平面位置中误差公式:</w:t>
      </w:r>
      <w:r>
        <w:rPr>
          <w:rFonts w:hint="eastAsia" w:cs="宋体"/>
          <w:position w:val="-30"/>
        </w:rPr>
        <w:object>
          <v:shape id="_x0000_i1026" o:spt="75" type="#_x0000_t75" style="height:37.5pt;width:103.5pt;" o:ole="t" filled="f" o:preferrelative="t" stroked="f" coordsize="21600,21600">
            <v:path/>
            <v:fill on="f" focussize="0,0"/>
            <v:stroke on="f"/>
            <v:imagedata r:id="rId22" o:title=""/>
            <o:lock v:ext="edit" aspectratio="t"/>
            <w10:wrap type="none"/>
            <w10:anchorlock/>
          </v:shape>
          <o:OLEObject Type="Embed" ProgID="Equation.3" ShapeID="_x0000_i1026" DrawAspect="Content" ObjectID="_1468075726" r:id="rId21">
            <o:LockedField>false</o:LockedField>
          </o:OLEObject>
        </w:object>
      </w:r>
    </w:p>
    <w:p>
      <w:pPr>
        <w:pStyle w:val="93"/>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textAlignment w:val="auto"/>
        <w:rPr>
          <w:rFonts w:hint="eastAsia" w:cs="宋体"/>
        </w:rPr>
      </w:pPr>
      <w:r>
        <w:rPr>
          <w:rFonts w:hint="eastAsia" w:cs="宋体"/>
          <w:lang w:eastAsia="zh-CN"/>
        </w:rPr>
        <w:t>（</w:t>
      </w:r>
      <w:r>
        <w:rPr>
          <w:rFonts w:hint="eastAsia" w:cs="宋体"/>
          <w:lang w:val="en-US" w:eastAsia="zh-CN"/>
        </w:rPr>
        <w:t>2</w:t>
      </w:r>
      <w:r>
        <w:rPr>
          <w:rFonts w:hint="eastAsia" w:cs="宋体"/>
          <w:lang w:eastAsia="zh-CN"/>
        </w:rPr>
        <w:t>）</w:t>
      </w:r>
      <w:r>
        <w:rPr>
          <w:rFonts w:hint="eastAsia" w:cs="宋体"/>
        </w:rPr>
        <w:t>隐蔽管线点埋深中误差公式:</w:t>
      </w:r>
      <w:r>
        <w:rPr>
          <w:rFonts w:hint="eastAsia" w:cs="宋体"/>
          <w:position w:val="-30"/>
        </w:rPr>
        <w:object>
          <v:shape id="_x0000_i1027" o:spt="75" type="#_x0000_t75" style="height:37.5pt;width:108.7pt;" o:ole="t" filled="f" o:preferrelative="t" stroked="f" coordsize="21600,21600">
            <v:path/>
            <v:fill on="f" focussize="0,0"/>
            <v:stroke on="f"/>
            <v:imagedata r:id="rId24" o:title=""/>
            <o:lock v:ext="edit" aspectratio="t"/>
            <w10:wrap type="none"/>
            <w10:anchorlock/>
          </v:shape>
          <o:OLEObject Type="Embed" ProgID="Equation.3" ShapeID="_x0000_i1027" DrawAspect="Content" ObjectID="_1468075727" r:id="rId23">
            <o:LockedField>false</o:LockedField>
          </o:OLEObject>
        </w:object>
      </w:r>
    </w:p>
    <w:p>
      <w:pPr>
        <w:pStyle w:val="93"/>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textAlignment w:val="auto"/>
        <w:rPr>
          <w:rFonts w:hint="eastAsia" w:cs="宋体"/>
          <w:bCs/>
        </w:rPr>
      </w:pPr>
      <w:r>
        <w:rPr>
          <w:rFonts w:hint="eastAsia" w:cs="宋体"/>
          <w:lang w:eastAsia="zh-CN"/>
        </w:rPr>
        <w:t>（</w:t>
      </w:r>
      <w:r>
        <w:rPr>
          <w:rFonts w:hint="eastAsia" w:cs="宋体"/>
          <w:lang w:val="en-US" w:eastAsia="zh-CN"/>
        </w:rPr>
        <w:t>3</w:t>
      </w:r>
      <w:r>
        <w:rPr>
          <w:rFonts w:hint="eastAsia" w:cs="宋体"/>
          <w:lang w:eastAsia="zh-CN"/>
        </w:rPr>
        <w:t>）</w:t>
      </w:r>
      <w:r>
        <w:rPr>
          <w:rFonts w:hint="eastAsia" w:cs="宋体"/>
        </w:rPr>
        <w:t xml:space="preserve">隐蔽管线点平面位置探查限差公式: </w:t>
      </w:r>
      <w:r>
        <w:rPr>
          <w:rFonts w:hint="eastAsia" w:cs="宋体"/>
          <w:position w:val="-30"/>
        </w:rPr>
        <w:object>
          <v:shape id="_x0000_i1028" o:spt="75" type="#_x0000_t75" style="height:39pt;width:83.95pt;" o:ole="t" filled="f" o:preferrelative="t" stroked="f" coordsize="21600,21600">
            <v:path/>
            <v:fill on="f" focussize="0,0"/>
            <v:stroke on="f"/>
            <v:imagedata r:id="rId26" o:title=""/>
            <o:lock v:ext="edit" aspectratio="t"/>
            <w10:wrap type="none"/>
            <w10:anchorlock/>
          </v:shape>
          <o:OLEObject Type="Embed" ProgID="Equation.3" ShapeID="_x0000_i1028" DrawAspect="Content" ObjectID="_1468075728" r:id="rId25">
            <o:LockedField>false</o:LockedField>
          </o:OLEObject>
        </w:object>
      </w:r>
    </w:p>
    <w:p>
      <w:pPr>
        <w:pStyle w:val="93"/>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textAlignment w:val="auto"/>
        <w:rPr>
          <w:rFonts w:hint="eastAsia" w:cs="宋体"/>
          <w:position w:val="-30"/>
        </w:rPr>
      </w:pPr>
      <w:r>
        <w:rPr>
          <w:rFonts w:hint="eastAsia" w:cs="宋体"/>
          <w:lang w:eastAsia="zh-CN"/>
        </w:rPr>
        <w:t>（</w:t>
      </w:r>
      <w:r>
        <w:rPr>
          <w:rFonts w:hint="eastAsia" w:cs="宋体"/>
          <w:lang w:val="en-US" w:eastAsia="zh-CN"/>
        </w:rPr>
        <w:t>4</w:t>
      </w:r>
      <w:r>
        <w:rPr>
          <w:rFonts w:hint="eastAsia" w:cs="宋体"/>
          <w:lang w:eastAsia="zh-CN"/>
        </w:rPr>
        <w:t>）</w:t>
      </w:r>
      <w:r>
        <w:rPr>
          <w:rFonts w:hint="eastAsia" w:cs="宋体"/>
        </w:rPr>
        <w:t>隐蔽管线点埋深探查限差公式：</w:t>
      </w:r>
      <w:r>
        <w:rPr>
          <w:rFonts w:hint="eastAsia" w:cs="宋体"/>
          <w:position w:val="-30"/>
        </w:rPr>
        <w:object>
          <v:shape id="_x0000_i1029" o:spt="75" type="#_x0000_t75" style="height:34.5pt;width:74.2pt;" o:ole="t" filled="f" o:preferrelative="t" stroked="f" coordsize="21600,21600">
            <v:path/>
            <v:fill on="f" focussize="0,0"/>
            <v:stroke on="f"/>
            <v:imagedata r:id="rId28" o:title=""/>
            <o:lock v:ext="edit" aspectratio="t"/>
            <w10:wrap type="none"/>
            <w10:anchorlock/>
          </v:shape>
          <o:OLEObject Type="Embed" ProgID="Equation.3" ShapeID="_x0000_i1029" DrawAspect="Content" ObjectID="_1468075729" r:id="rId27">
            <o:LockedField>false</o:LockedField>
          </o:OLEObject>
        </w:object>
      </w:r>
    </w:p>
    <w:p>
      <w:pPr>
        <w:pStyle w:val="93"/>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cs="宋体"/>
        </w:rPr>
      </w:pPr>
      <w:r>
        <w:rPr>
          <w:rFonts w:hint="eastAsia" w:cs="宋体"/>
        </w:rPr>
        <w:t>式中：ΔS</w:t>
      </w:r>
      <w:r>
        <w:rPr>
          <w:rFonts w:hint="eastAsia" w:cs="宋体"/>
          <w:vertAlign w:val="subscript"/>
        </w:rPr>
        <w:t>ti</w:t>
      </w:r>
      <w:r>
        <w:rPr>
          <w:rFonts w:hint="eastAsia" w:cs="宋体"/>
        </w:rPr>
        <w:t>—隐蔽管线点的平面位置偏差（mm）；</w:t>
      </w:r>
    </w:p>
    <w:p>
      <w:pPr>
        <w:pStyle w:val="93"/>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cs="宋体"/>
        </w:rPr>
      </w:pPr>
      <w:r>
        <w:rPr>
          <w:rFonts w:hint="eastAsia" w:cs="宋体"/>
        </w:rPr>
        <w:t>Δh</w:t>
      </w:r>
      <w:r>
        <w:rPr>
          <w:rFonts w:hint="eastAsia" w:cs="宋体"/>
          <w:vertAlign w:val="subscript"/>
        </w:rPr>
        <w:t>ti</w:t>
      </w:r>
      <w:r>
        <w:rPr>
          <w:rFonts w:hint="eastAsia" w:cs="宋体"/>
        </w:rPr>
        <w:t>—隐蔽管线点的埋深偏差（mm）；</w:t>
      </w:r>
    </w:p>
    <w:p>
      <w:pPr>
        <w:pStyle w:val="93"/>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cs="宋体"/>
        </w:rPr>
      </w:pPr>
      <w:r>
        <w:rPr>
          <w:rFonts w:hint="eastAsia" w:cs="宋体"/>
        </w:rPr>
        <w:t>δ</w:t>
      </w:r>
      <w:r>
        <w:rPr>
          <w:rFonts w:hint="eastAsia" w:cs="宋体"/>
          <w:vertAlign w:val="subscript"/>
        </w:rPr>
        <w:t>ts</w:t>
      </w:r>
      <w:r>
        <w:rPr>
          <w:rFonts w:hint="eastAsia" w:cs="宋体"/>
        </w:rPr>
        <w:t>—隐蔽管线点重复探查平面位置限差（mm）；</w:t>
      </w:r>
    </w:p>
    <w:p>
      <w:pPr>
        <w:pStyle w:val="93"/>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cs="宋体"/>
        </w:rPr>
      </w:pPr>
      <w:r>
        <w:rPr>
          <w:rFonts w:hint="eastAsia" w:cs="宋体"/>
        </w:rPr>
        <w:t>δ</w:t>
      </w:r>
      <w:r>
        <w:rPr>
          <w:rFonts w:hint="eastAsia" w:cs="宋体"/>
          <w:vertAlign w:val="subscript"/>
        </w:rPr>
        <w:t>th</w:t>
      </w:r>
      <w:r>
        <w:rPr>
          <w:rFonts w:hint="eastAsia" w:cs="宋体"/>
        </w:rPr>
        <w:t>—隐蔽管线点重复探查埋深限差（mm）；</w:t>
      </w:r>
    </w:p>
    <w:p>
      <w:pPr>
        <w:pStyle w:val="93"/>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cs="宋体"/>
        </w:rPr>
      </w:pPr>
      <w:r>
        <w:rPr>
          <w:rFonts w:hint="eastAsia" w:cs="宋体"/>
        </w:rPr>
        <w:t>n</w:t>
      </w:r>
      <w:r>
        <w:rPr>
          <w:rFonts w:hint="eastAsia" w:cs="宋体"/>
          <w:vertAlign w:val="subscript"/>
        </w:rPr>
        <w:t>2</w:t>
      </w:r>
      <w:r>
        <w:rPr>
          <w:rFonts w:hint="eastAsia" w:cs="宋体"/>
        </w:rPr>
        <w:t>—隐蔽管线点检查点数；</w:t>
      </w:r>
    </w:p>
    <w:p>
      <w:pPr>
        <w:pStyle w:val="93"/>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cs="宋体"/>
        </w:rPr>
      </w:pPr>
      <w:r>
        <w:rPr>
          <w:rFonts w:hint="eastAsia" w:cs="宋体"/>
        </w:rPr>
        <w:t>h</w:t>
      </w:r>
      <w:r>
        <w:rPr>
          <w:rFonts w:hint="eastAsia" w:cs="宋体"/>
          <w:vertAlign w:val="subscript"/>
        </w:rPr>
        <w:t>i</w:t>
      </w:r>
      <w:r>
        <w:rPr>
          <w:rFonts w:hint="eastAsia" w:cs="宋体"/>
        </w:rPr>
        <w:t>—各检查点管线中心埋深（mm），当h</w:t>
      </w:r>
      <w:r>
        <w:rPr>
          <w:rFonts w:hint="eastAsia" w:cs="宋体"/>
          <w:vertAlign w:val="subscript"/>
        </w:rPr>
        <w:t>i</w:t>
      </w:r>
      <w:r>
        <w:rPr>
          <w:rFonts w:hint="eastAsia" w:cs="宋体"/>
        </w:rPr>
        <w:t>≤1000mm时，取h</w:t>
      </w:r>
      <w:r>
        <w:rPr>
          <w:rFonts w:hint="eastAsia" w:cs="宋体"/>
          <w:vertAlign w:val="subscript"/>
        </w:rPr>
        <w:t>i</w:t>
      </w:r>
      <w:r>
        <w:rPr>
          <w:rFonts w:hint="eastAsia" w:cs="宋体"/>
        </w:rPr>
        <w:t xml:space="preserve"> =1000mm。</w:t>
      </w:r>
    </w:p>
    <w:p>
      <w:pPr>
        <w:pStyle w:val="93"/>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cs="宋体"/>
        </w:rPr>
      </w:pPr>
      <w:r>
        <w:rPr>
          <w:rFonts w:hint="eastAsia" w:cs="宋体"/>
        </w:rPr>
        <w:t>2.8检查明显管线点的属性调查结果应对照记录表逐项实地核对，并应核对管线点间连接关系，属性调查结果不应出现漏项、错项。发现遗漏、错误应及时进行补充、更正。</w:t>
      </w:r>
    </w:p>
    <w:p>
      <w:pPr>
        <w:pStyle w:val="55"/>
        <w:keepNext w:val="0"/>
        <w:keepLines w:val="0"/>
        <w:pageBreakBefore w:val="0"/>
        <w:widowControl w:val="0"/>
        <w:numPr>
          <w:ilvl w:val="2"/>
          <w:numId w:val="0"/>
        </w:numPr>
        <w:kinsoku/>
        <w:overflowPunct/>
        <w:autoSpaceDE/>
        <w:autoSpaceDN/>
        <w:bidi w:val="0"/>
        <w:adjustRightInd w:val="0"/>
        <w:snapToGrid w:val="0"/>
        <w:spacing w:line="440" w:lineRule="exact"/>
        <w:ind w:leftChars="0" w:firstLine="482" w:firstLineChars="200"/>
        <w:textAlignment w:val="auto"/>
        <w:outlineLvl w:val="9"/>
        <w:rPr>
          <w:rFonts w:hint="eastAsia"/>
          <w:lang w:val="en-US" w:eastAsia="zh-CN"/>
        </w:rPr>
      </w:pPr>
      <w:bookmarkStart w:id="1256" w:name="_Toc19863"/>
      <w:bookmarkStart w:id="1257" w:name="_Toc31817"/>
      <w:r>
        <w:rPr>
          <w:rFonts w:hint="eastAsia"/>
          <w:lang w:val="en-US" w:eastAsia="zh-CN"/>
        </w:rPr>
        <w:t>3.管线测量质量检查</w:t>
      </w:r>
      <w:bookmarkEnd w:id="1256"/>
      <w:bookmarkEnd w:id="1257"/>
    </w:p>
    <w:p>
      <w:pPr>
        <w:pStyle w:val="93"/>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cs="宋体"/>
        </w:rPr>
      </w:pPr>
      <w:r>
        <w:rPr>
          <w:rFonts w:hint="eastAsia" w:cs="宋体"/>
        </w:rPr>
        <w:t>3.1检查点应在测区内均匀分布、随机抽取，数量不得少于测区内管线点总数的5%。</w:t>
      </w:r>
    </w:p>
    <w:p>
      <w:pPr>
        <w:pStyle w:val="93"/>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cs="宋体"/>
        </w:rPr>
      </w:pPr>
      <w:r>
        <w:rPr>
          <w:rFonts w:hint="eastAsia" w:cs="宋体"/>
        </w:rPr>
        <w:t>3.2检查时应复测管线点的平面位置和高程，并按下列公式分别计算管线点的平面位置测量中误差</w:t>
      </w:r>
      <w:r>
        <w:rPr>
          <w:rFonts w:hint="eastAsia" w:cs="宋体"/>
        </w:rPr>
        <w:object>
          <v:shape id="_x0000_i1030" o:spt="75" type="#_x0000_t75" style="height:18.75pt;width:18.75pt;" o:ole="t" filled="f" o:preferrelative="t" stroked="f" coordsize="21600,21600">
            <v:path/>
            <v:fill on="f" focussize="0,0"/>
            <v:stroke on="f"/>
            <v:imagedata r:id="rId30" o:title=""/>
            <o:lock v:ext="edit" aspectratio="t"/>
            <w10:wrap type="none"/>
            <w10:anchorlock/>
          </v:shape>
          <o:OLEObject Type="Embed" ProgID="Equation.3" ShapeID="_x0000_i1030" DrawAspect="Content" ObjectID="_1468075730" r:id="rId29">
            <o:LockedField>false</o:LockedField>
          </o:OLEObject>
        </w:object>
      </w:r>
      <w:r>
        <w:rPr>
          <w:rFonts w:hint="eastAsia" w:cs="宋体"/>
        </w:rPr>
        <w:t>和高程测量中误差</w:t>
      </w:r>
      <w:r>
        <w:rPr>
          <w:rFonts w:hint="eastAsia" w:cs="宋体"/>
        </w:rPr>
        <w:object>
          <v:shape id="_x0000_i1031" o:spt="75" type="#_x0000_t75" style="height:18.75pt;width:18.75pt;" o:ole="t" filled="f" o:preferrelative="t" stroked="f" coordsize="21600,21600">
            <v:path/>
            <v:fill on="f" focussize="0,0"/>
            <v:stroke on="f"/>
            <v:imagedata r:id="rId32" o:title=""/>
            <o:lock v:ext="edit" aspectratio="t"/>
            <w10:wrap type="none"/>
            <w10:anchorlock/>
          </v:shape>
          <o:OLEObject Type="Embed" ProgID="Equation.3" ShapeID="_x0000_i1031" DrawAspect="Content" ObjectID="_1468075731" r:id="rId31">
            <o:LockedField>false</o:LockedField>
          </o:OLEObject>
        </w:object>
      </w:r>
      <w:r>
        <w:rPr>
          <w:rFonts w:hint="eastAsia" w:cs="宋体"/>
        </w:rPr>
        <w:t>：</w:t>
      </w:r>
    </w:p>
    <w:p>
      <w:pPr>
        <w:pStyle w:val="93"/>
        <w:keepNext w:val="0"/>
        <w:keepLines w:val="0"/>
        <w:pageBreakBefore w:val="0"/>
        <w:widowControl w:val="0"/>
        <w:kinsoku/>
        <w:wordWrap/>
        <w:overflowPunct/>
        <w:topLinePunct w:val="0"/>
        <w:autoSpaceDE/>
        <w:autoSpaceDN/>
        <w:bidi w:val="0"/>
        <w:adjustRightInd w:val="0"/>
        <w:snapToGrid w:val="0"/>
        <w:spacing w:line="480" w:lineRule="auto"/>
        <w:ind w:leftChars="0" w:firstLine="480" w:firstLineChars="200"/>
        <w:textAlignment w:val="auto"/>
        <w:rPr>
          <w:rFonts w:hint="eastAsia" w:cs="宋体"/>
        </w:rPr>
      </w:pPr>
      <w:r>
        <w:rPr>
          <w:rFonts w:hint="eastAsia" w:cs="宋体"/>
          <w:lang w:eastAsia="zh-CN"/>
        </w:rPr>
        <w:t>（</w:t>
      </w:r>
      <w:r>
        <w:rPr>
          <w:rFonts w:hint="eastAsia" w:cs="宋体"/>
          <w:lang w:val="en-US" w:eastAsia="zh-CN"/>
        </w:rPr>
        <w:t>1</w:t>
      </w:r>
      <w:r>
        <w:rPr>
          <w:rFonts w:hint="eastAsia" w:cs="宋体"/>
          <w:lang w:eastAsia="zh-CN"/>
        </w:rPr>
        <w:t>）</w:t>
      </w:r>
      <w:r>
        <w:rPr>
          <w:rFonts w:hint="eastAsia" w:cs="宋体"/>
        </w:rPr>
        <w:t>平面位置测量中误差：</w:t>
      </w:r>
      <w:r>
        <w:rPr>
          <w:rFonts w:hint="eastAsia" w:cs="宋体"/>
        </w:rPr>
        <w:object>
          <v:shape id="_x0000_i1032" o:spt="75" type="#_x0000_t75" style="height:39pt;width:102.75pt;" o:ole="t" filled="f" o:preferrelative="t" stroked="f" coordsize="21600,21600">
            <v:path/>
            <v:fill on="f" focussize="0,0"/>
            <v:stroke on="f"/>
            <v:imagedata r:id="rId34" o:title=""/>
            <o:lock v:ext="edit" aspectratio="t"/>
            <w10:wrap type="none"/>
            <w10:anchorlock/>
          </v:shape>
          <o:OLEObject Type="Embed" ProgID="Equation.3" ShapeID="_x0000_i1032" DrawAspect="Content" ObjectID="_1468075732" r:id="rId33">
            <o:LockedField>false</o:LockedField>
          </o:OLEObject>
        </w:object>
      </w:r>
    </w:p>
    <w:p>
      <w:pPr>
        <w:pStyle w:val="93"/>
        <w:keepNext w:val="0"/>
        <w:keepLines w:val="0"/>
        <w:pageBreakBefore w:val="0"/>
        <w:widowControl w:val="0"/>
        <w:kinsoku/>
        <w:wordWrap/>
        <w:overflowPunct/>
        <w:topLinePunct w:val="0"/>
        <w:autoSpaceDE/>
        <w:autoSpaceDN/>
        <w:bidi w:val="0"/>
        <w:adjustRightInd w:val="0"/>
        <w:snapToGrid w:val="0"/>
        <w:spacing w:line="480" w:lineRule="auto"/>
        <w:ind w:leftChars="0" w:firstLine="480" w:firstLineChars="200"/>
        <w:textAlignment w:val="auto"/>
        <w:rPr>
          <w:rFonts w:hint="eastAsia" w:cs="宋体"/>
        </w:rPr>
      </w:pPr>
      <w:r>
        <w:rPr>
          <w:rFonts w:hint="eastAsia" w:cs="宋体"/>
          <w:lang w:eastAsia="zh-CN"/>
        </w:rPr>
        <w:t>（</w:t>
      </w:r>
      <w:r>
        <w:rPr>
          <w:rFonts w:hint="eastAsia" w:cs="宋体"/>
          <w:lang w:val="en-US" w:eastAsia="zh-CN"/>
        </w:rPr>
        <w:t>2</w:t>
      </w:r>
      <w:r>
        <w:rPr>
          <w:rFonts w:hint="eastAsia" w:cs="宋体"/>
          <w:lang w:eastAsia="zh-CN"/>
        </w:rPr>
        <w:t>）</w:t>
      </w:r>
      <w:r>
        <w:rPr>
          <w:rFonts w:hint="eastAsia" w:cs="宋体"/>
        </w:rPr>
        <w:t>高程测量中误差：</w:t>
      </w:r>
      <w:r>
        <w:rPr>
          <w:rFonts w:hint="eastAsia" w:cs="宋体"/>
        </w:rPr>
        <w:object>
          <v:shape id="_x0000_i1033" o:spt="75" type="#_x0000_t75" style="height:39pt;width:107.25pt;" o:ole="t" filled="f" o:preferrelative="t" stroked="f" coordsize="21600,21600">
            <v:path/>
            <v:fill on="f" focussize="0,0"/>
            <v:stroke on="f"/>
            <v:imagedata r:id="rId36" o:title=""/>
            <o:lock v:ext="edit" aspectratio="t"/>
            <w10:wrap type="none"/>
            <w10:anchorlock/>
          </v:shape>
          <o:OLEObject Type="Embed" ProgID="Equation.3" ShapeID="_x0000_i1033" DrawAspect="Content" ObjectID="_1468075733" r:id="rId35">
            <o:LockedField>false</o:LockedField>
          </o:OLEObject>
        </w:object>
      </w:r>
    </w:p>
    <w:p>
      <w:pPr>
        <w:pStyle w:val="93"/>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cs="宋体"/>
        </w:rPr>
      </w:pPr>
      <w:r>
        <w:rPr>
          <w:rFonts w:hint="eastAsia" w:cs="宋体"/>
        </w:rPr>
        <w:tab/>
      </w:r>
      <w:r>
        <w:rPr>
          <w:rFonts w:hint="eastAsia" w:cs="宋体"/>
        </w:rPr>
        <w:tab/>
      </w:r>
      <w:r>
        <w:rPr>
          <w:rFonts w:hint="eastAsia" w:cs="宋体"/>
        </w:rPr>
        <w:t>式中：</w:t>
      </w:r>
      <w:r>
        <w:rPr>
          <w:rFonts w:hint="eastAsia" w:cs="宋体"/>
        </w:rPr>
        <w:object>
          <v:shape id="_x0000_i1034" o:spt="75" type="#_x0000_t75" style="height:18.75pt;width:21pt;" o:ole="t" filled="f" o:preferrelative="t" stroked="f" coordsize="21600,21600">
            <v:path/>
            <v:fill on="f" focussize="0,0"/>
            <v:stroke on="f"/>
            <v:imagedata r:id="rId38" o:title=""/>
            <o:lock v:ext="edit" aspectratio="t"/>
            <w10:wrap type="none"/>
            <w10:anchorlock/>
          </v:shape>
          <o:OLEObject Type="Embed" ProgID="Equation.3" ShapeID="_x0000_i1034" DrawAspect="Content" ObjectID="_1468075734" r:id="rId37">
            <o:LockedField>false</o:LockedField>
          </o:OLEObject>
        </w:object>
      </w:r>
      <w:r>
        <w:rPr>
          <w:rFonts w:hint="eastAsia" w:cs="宋体"/>
        </w:rPr>
        <w:t>为重复测量管线点平面位置较差；</w:t>
      </w:r>
    </w:p>
    <w:p>
      <w:pPr>
        <w:pStyle w:val="93"/>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cs="宋体"/>
        </w:rPr>
      </w:pPr>
      <w:r>
        <w:rPr>
          <w:rFonts w:hint="eastAsia" w:cs="宋体"/>
        </w:rPr>
        <w:object>
          <v:shape id="_x0000_i1035" o:spt="75" type="#_x0000_t75" style="height:18.75pt;width:21pt;" o:ole="t" filled="f" o:preferrelative="t" stroked="f" coordsize="21600,21600">
            <v:path/>
            <v:fill on="f" focussize="0,0"/>
            <v:stroke on="f"/>
            <v:imagedata r:id="rId40" o:title=""/>
            <o:lock v:ext="edit" aspectratio="t"/>
            <w10:wrap type="none"/>
            <w10:anchorlock/>
          </v:shape>
          <o:OLEObject Type="Embed" ProgID="Equation.3" ShapeID="_x0000_i1035" DrawAspect="Content" ObjectID="_1468075735" r:id="rId39">
            <o:LockedField>false</o:LockedField>
          </o:OLEObject>
        </w:object>
      </w:r>
      <w:r>
        <w:rPr>
          <w:rFonts w:hint="eastAsia" w:cs="宋体"/>
        </w:rPr>
        <w:t>为重复测量管线点高程较差；</w:t>
      </w:r>
    </w:p>
    <w:p>
      <w:pPr>
        <w:pStyle w:val="93"/>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cs="宋体"/>
        </w:rPr>
      </w:pPr>
      <w:r>
        <w:rPr>
          <w:rFonts w:hint="eastAsia" w:cs="宋体"/>
        </w:rPr>
        <w:t xml:space="preserve">            n为重复测量点（或边）数。</w:t>
      </w:r>
    </w:p>
    <w:p>
      <w:pPr>
        <w:pStyle w:val="55"/>
        <w:keepNext w:val="0"/>
        <w:keepLines w:val="0"/>
        <w:pageBreakBefore w:val="0"/>
        <w:widowControl w:val="0"/>
        <w:kinsoku/>
        <w:overflowPunct/>
        <w:autoSpaceDE/>
        <w:autoSpaceDN/>
        <w:bidi w:val="0"/>
        <w:adjustRightInd w:val="0"/>
        <w:snapToGrid w:val="0"/>
        <w:spacing w:line="440" w:lineRule="exact"/>
        <w:ind w:firstLine="482"/>
        <w:textAlignment w:val="auto"/>
      </w:pPr>
      <w:bookmarkStart w:id="1258" w:name="_Toc1402"/>
      <w:r>
        <w:rPr>
          <w:rFonts w:hint="eastAsia"/>
          <w:lang w:eastAsia="zh-CN"/>
        </w:rPr>
        <w:t>普查工程监理</w:t>
      </w:r>
      <w:bookmarkEnd w:id="1258"/>
    </w:p>
    <w:p>
      <w:pPr>
        <w:keepNext w:val="0"/>
        <w:keepLines w:val="0"/>
        <w:pageBreakBefore w:val="0"/>
        <w:widowControl w:val="0"/>
        <w:kinsoku/>
        <w:overflowPunct/>
        <w:autoSpaceDE/>
        <w:autoSpaceDN/>
        <w:bidi w:val="0"/>
        <w:adjustRightInd w:val="0"/>
        <w:snapToGrid w:val="0"/>
        <w:spacing w:line="440" w:lineRule="exact"/>
        <w:ind w:firstLine="480" w:firstLineChars="200"/>
        <w:jc w:val="left"/>
        <w:textAlignment w:val="auto"/>
      </w:pPr>
      <w:r>
        <w:rPr>
          <w:rFonts w:hint="eastAsia" w:ascii="宋体" w:hAnsi="宋体" w:cs="宋体"/>
          <w:sz w:val="24"/>
        </w:rPr>
        <w:t>普查作业单位按照《成都市地下管线普查成果更新实施方案》和《成都市地下管线普查成果更新技术方案》的要求接受监理单位的工程监理。</w:t>
      </w:r>
    </w:p>
    <w:p>
      <w:pPr>
        <w:pStyle w:val="55"/>
        <w:keepNext w:val="0"/>
        <w:keepLines w:val="0"/>
        <w:pageBreakBefore w:val="0"/>
        <w:widowControl w:val="0"/>
        <w:kinsoku/>
        <w:overflowPunct/>
        <w:autoSpaceDE/>
        <w:autoSpaceDN/>
        <w:bidi w:val="0"/>
        <w:adjustRightInd w:val="0"/>
        <w:snapToGrid w:val="0"/>
        <w:spacing w:line="440" w:lineRule="exact"/>
        <w:ind w:firstLine="482"/>
        <w:textAlignment w:val="auto"/>
      </w:pPr>
      <w:bookmarkStart w:id="1259" w:name="_Toc15902"/>
      <w:r>
        <w:rPr>
          <w:rFonts w:hint="eastAsia"/>
          <w:lang w:eastAsia="zh-CN"/>
        </w:rPr>
        <w:t>普查更新成果核验</w:t>
      </w:r>
      <w:bookmarkEnd w:id="1259"/>
    </w:p>
    <w:p>
      <w:pPr>
        <w:keepNext w:val="0"/>
        <w:keepLines w:val="0"/>
        <w:pageBreakBefore w:val="0"/>
        <w:widowControl w:val="0"/>
        <w:kinsoku/>
        <w:overflowPunct/>
        <w:autoSpaceDE/>
        <w:autoSpaceDN/>
        <w:bidi w:val="0"/>
        <w:adjustRightInd w:val="0"/>
        <w:snapToGrid w:val="0"/>
        <w:spacing w:line="440" w:lineRule="exact"/>
        <w:ind w:firstLine="480" w:firstLineChars="200"/>
        <w:textAlignment w:val="auto"/>
      </w:pPr>
      <w:r>
        <w:rPr>
          <w:rFonts w:hint="eastAsia" w:ascii="宋体" w:hAnsi="宋体" w:cs="宋体"/>
          <w:sz w:val="24"/>
        </w:rPr>
        <w:t>地下管线普查更新成果经监理单位检查合格后，普查作业单位按照《成都市地下管线普查成果更新实施方案》和《成都市地下管线普查成果更新技术方案》的要求配合管线权属单位对成果进行核验，并对成果核验的相关问题进行核实整改。</w:t>
      </w:r>
    </w:p>
    <w:p>
      <w:pPr>
        <w:pStyle w:val="55"/>
        <w:ind w:firstLine="482"/>
      </w:pPr>
      <w:bookmarkStart w:id="1260" w:name="_Toc29816"/>
      <w:r>
        <w:rPr>
          <w:rFonts w:hint="eastAsia"/>
          <w:lang w:eastAsia="zh-CN"/>
        </w:rPr>
        <w:t>测绘成果质量检验</w:t>
      </w:r>
      <w:bookmarkEnd w:id="1260"/>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outlineLvl w:val="9"/>
        <w:rPr>
          <w:b w:val="0"/>
          <w:bCs/>
        </w:rPr>
      </w:pPr>
      <w:bookmarkStart w:id="1261" w:name="_Toc27915"/>
      <w:bookmarkStart w:id="1262" w:name="_Toc3494"/>
      <w:r>
        <w:rPr>
          <w:rFonts w:hint="eastAsia"/>
          <w:b w:val="0"/>
          <w:bCs/>
        </w:rPr>
        <w:t>普查作业单位按照《成都市地下管线普查成果更新实施方案》和《成都市地下管线普查成果更新技术方案》的要求配合测绘成果质量检验机构对地下管线普查更新成果进行质量检验。</w:t>
      </w:r>
      <w:bookmarkEnd w:id="1261"/>
      <w:bookmarkEnd w:id="1262"/>
    </w:p>
    <w:p>
      <w:pPr>
        <w:pStyle w:val="55"/>
        <w:keepNext w:val="0"/>
        <w:keepLines w:val="0"/>
        <w:pageBreakBefore w:val="0"/>
        <w:widowControl w:val="0"/>
        <w:kinsoku/>
        <w:overflowPunct/>
        <w:autoSpaceDE/>
        <w:autoSpaceDN/>
        <w:bidi w:val="0"/>
        <w:adjustRightInd w:val="0"/>
        <w:snapToGrid w:val="0"/>
        <w:spacing w:line="440" w:lineRule="exact"/>
        <w:ind w:firstLine="482"/>
        <w:textAlignment w:val="auto"/>
      </w:pPr>
      <w:bookmarkStart w:id="1263" w:name="_Toc15131"/>
      <w:r>
        <w:rPr>
          <w:rFonts w:hint="eastAsia"/>
          <w:lang w:eastAsia="zh-CN"/>
        </w:rPr>
        <w:t>数据整合检查</w:t>
      </w:r>
      <w:bookmarkEnd w:id="1263"/>
    </w:p>
    <w:p>
      <w:pPr>
        <w:pStyle w:val="2"/>
        <w:keepNext w:val="0"/>
        <w:keepLines w:val="0"/>
        <w:pageBreakBefore w:val="0"/>
        <w:widowControl w:val="0"/>
        <w:kinsoku/>
        <w:overflowPunct/>
        <w:autoSpaceDE/>
        <w:autoSpaceDN/>
        <w:bidi w:val="0"/>
        <w:adjustRightInd w:val="0"/>
        <w:snapToGrid w:val="0"/>
        <w:spacing w:line="440" w:lineRule="exact"/>
        <w:ind w:firstLine="480" w:firstLineChars="200"/>
        <w:jc w:val="left"/>
        <w:textAlignment w:val="auto"/>
      </w:pPr>
      <w:r>
        <w:rPr>
          <w:rFonts w:hint="eastAsia" w:ascii="宋体" w:hAnsi="宋体" w:cs="宋体"/>
          <w:sz w:val="24"/>
        </w:rPr>
        <w:t>普查作业单位按照《成都市地下管线普查成果更新实施方案》和《成都市地下管线普查成果更新技术方案》的要求配合数据整合检查单位对普查成果进行整合检查，并对整合检查反馈的问题进行核查整改。</w:t>
      </w:r>
    </w:p>
    <w:p>
      <w:pPr>
        <w:pStyle w:val="55"/>
        <w:ind w:firstLine="482"/>
      </w:pPr>
      <w:bookmarkStart w:id="1264" w:name="_Toc18821"/>
      <w:r>
        <w:rPr>
          <w:rFonts w:hint="eastAsia"/>
        </w:rPr>
        <w:t>成果要求</w:t>
      </w:r>
      <w:bookmarkEnd w:id="1102"/>
      <w:bookmarkEnd w:id="1103"/>
      <w:bookmarkEnd w:id="1104"/>
      <w:bookmarkEnd w:id="1264"/>
    </w:p>
    <w:p>
      <w:pPr>
        <w:pStyle w:val="69"/>
        <w:ind w:firstLine="482"/>
        <w:rPr>
          <w:b/>
          <w:bCs/>
        </w:rPr>
      </w:pPr>
      <w:r>
        <w:rPr>
          <w:rFonts w:hint="eastAsia"/>
          <w:b/>
          <w:bCs/>
          <w:lang w:eastAsia="zh-CN"/>
        </w:rPr>
        <w:t>数据成果</w:t>
      </w:r>
    </w:p>
    <w:p>
      <w:pPr>
        <w:adjustRightInd/>
        <w:snapToGrid/>
        <w:ind w:firstLine="480" w:firstLineChars="200"/>
        <w:jc w:val="both"/>
        <w:rPr>
          <w:rFonts w:hint="eastAsia" w:cs="宋体"/>
        </w:rPr>
      </w:pPr>
      <w:r>
        <w:rPr>
          <w:rFonts w:hint="eastAsia" w:cs="宋体"/>
          <w:lang w:val="en-US" w:eastAsia="zh-CN"/>
        </w:rPr>
        <w:t xml:space="preserve">（1）地下管线普查更新数据库（MDB 格式），包括：管线点属性库、管线线属性库、管线面属性库、管线辅助点属性库、管线辅助线属性库、管线注记属性库； </w:t>
      </w:r>
    </w:p>
    <w:p>
      <w:pPr>
        <w:adjustRightInd/>
        <w:snapToGrid/>
        <w:ind w:firstLine="480" w:firstLineChars="200"/>
        <w:jc w:val="both"/>
        <w:rPr>
          <w:rFonts w:hint="eastAsia" w:cs="宋体"/>
        </w:rPr>
      </w:pPr>
      <w:r>
        <w:rPr>
          <w:rFonts w:hint="eastAsia" w:cs="宋体"/>
          <w:lang w:val="en-US" w:eastAsia="zh-CN"/>
        </w:rPr>
        <w:t xml:space="preserve">（2）地下管线隐患信息数据库（MDB 格式）； </w:t>
      </w:r>
    </w:p>
    <w:p>
      <w:pPr>
        <w:adjustRightInd/>
        <w:snapToGrid/>
        <w:ind w:firstLine="480" w:firstLineChars="200"/>
        <w:jc w:val="both"/>
        <w:rPr>
          <w:rFonts w:hint="eastAsia" w:cs="宋体"/>
        </w:rPr>
      </w:pPr>
      <w:r>
        <w:rPr>
          <w:rFonts w:hint="eastAsia" w:cs="宋体"/>
          <w:lang w:val="en-US" w:eastAsia="zh-CN"/>
        </w:rPr>
        <w:t xml:space="preserve">（3）综合地下管线成果图（DWG 格式）； </w:t>
      </w:r>
    </w:p>
    <w:p>
      <w:pPr>
        <w:adjustRightInd/>
        <w:snapToGrid/>
        <w:ind w:firstLine="480" w:firstLineChars="200"/>
        <w:jc w:val="both"/>
        <w:rPr>
          <w:rFonts w:hint="eastAsia" w:cs="宋体"/>
        </w:rPr>
      </w:pPr>
      <w:r>
        <w:rPr>
          <w:rFonts w:hint="eastAsia" w:cs="宋体"/>
          <w:lang w:val="en-US" w:eastAsia="zh-CN"/>
        </w:rPr>
        <w:t xml:space="preserve">（4）管线点探测记录表（电子记录）； </w:t>
      </w:r>
    </w:p>
    <w:p>
      <w:pPr>
        <w:adjustRightInd/>
        <w:snapToGrid/>
        <w:ind w:firstLine="480" w:firstLineChars="200"/>
        <w:jc w:val="both"/>
        <w:rPr>
          <w:rFonts w:hint="eastAsia" w:cs="宋体"/>
        </w:rPr>
      </w:pPr>
      <w:r>
        <w:rPr>
          <w:rFonts w:hint="eastAsia" w:cs="宋体"/>
          <w:lang w:val="en-US" w:eastAsia="zh-CN"/>
        </w:rPr>
        <w:t xml:space="preserve">（5）控制点和管线点的观测记录和计算资料（电子记录）； </w:t>
      </w:r>
    </w:p>
    <w:p>
      <w:pPr>
        <w:adjustRightInd/>
        <w:snapToGrid/>
        <w:ind w:firstLine="480" w:firstLineChars="200"/>
        <w:jc w:val="both"/>
        <w:rPr>
          <w:rFonts w:hint="eastAsia" w:cs="宋体"/>
          <w:lang w:val="en-US" w:eastAsia="zh-CN"/>
        </w:rPr>
      </w:pPr>
      <w:r>
        <w:rPr>
          <w:rFonts w:hint="eastAsia" w:cs="宋体"/>
          <w:lang w:val="en-US" w:eastAsia="zh-CN"/>
        </w:rPr>
        <w:t>（6）管线点成果表（电子记录）。</w:t>
      </w:r>
    </w:p>
    <w:p>
      <w:pPr>
        <w:pStyle w:val="69"/>
        <w:ind w:firstLine="482"/>
        <w:rPr>
          <w:rFonts w:hint="eastAsia"/>
          <w:b/>
          <w:bCs/>
          <w:lang w:val="en-US" w:eastAsia="zh-CN"/>
        </w:rPr>
      </w:pPr>
      <w:r>
        <w:rPr>
          <w:rFonts w:hint="eastAsia"/>
          <w:b/>
          <w:bCs/>
          <w:lang w:val="en-US" w:eastAsia="zh-CN"/>
        </w:rPr>
        <w:t xml:space="preserve">文字成果 </w:t>
      </w:r>
    </w:p>
    <w:p>
      <w:pPr>
        <w:adjustRightInd/>
        <w:snapToGrid/>
        <w:ind w:firstLine="480" w:firstLineChars="200"/>
        <w:jc w:val="both"/>
        <w:rPr>
          <w:rFonts w:hint="eastAsia" w:cs="宋体"/>
          <w:lang w:val="en-US" w:eastAsia="zh-CN"/>
        </w:rPr>
      </w:pPr>
      <w:r>
        <w:rPr>
          <w:rFonts w:hint="eastAsia" w:cs="宋体"/>
          <w:lang w:val="en-US" w:eastAsia="zh-CN"/>
        </w:rPr>
        <w:t xml:space="preserve">（1）地下管线普查成果更新技术设计书； </w:t>
      </w:r>
    </w:p>
    <w:p>
      <w:pPr>
        <w:adjustRightInd/>
        <w:snapToGrid/>
        <w:ind w:firstLine="480" w:firstLineChars="200"/>
        <w:jc w:val="both"/>
        <w:rPr>
          <w:rFonts w:hint="eastAsia" w:cs="宋体"/>
          <w:lang w:val="en-US" w:eastAsia="zh-CN"/>
        </w:rPr>
      </w:pPr>
      <w:r>
        <w:rPr>
          <w:rFonts w:hint="eastAsia" w:cs="宋体"/>
          <w:lang w:val="en-US" w:eastAsia="zh-CN"/>
        </w:rPr>
        <w:t xml:space="preserve">（2）仪器检校资料； </w:t>
      </w:r>
    </w:p>
    <w:p>
      <w:pPr>
        <w:adjustRightInd/>
        <w:snapToGrid/>
        <w:ind w:firstLine="480" w:firstLineChars="200"/>
        <w:jc w:val="both"/>
        <w:rPr>
          <w:rFonts w:hint="eastAsia" w:cs="宋体"/>
          <w:lang w:val="en-US" w:eastAsia="zh-CN"/>
        </w:rPr>
      </w:pPr>
      <w:r>
        <w:rPr>
          <w:rFonts w:hint="eastAsia" w:cs="宋体"/>
          <w:lang w:val="en-US" w:eastAsia="zh-CN"/>
        </w:rPr>
        <w:t xml:space="preserve">（3）图根控制点成果表； </w:t>
      </w:r>
    </w:p>
    <w:p>
      <w:pPr>
        <w:adjustRightInd/>
        <w:snapToGrid/>
        <w:ind w:firstLine="480" w:firstLineChars="200"/>
        <w:jc w:val="both"/>
        <w:rPr>
          <w:rFonts w:hint="eastAsia" w:cs="宋体"/>
          <w:lang w:val="en-US" w:eastAsia="zh-CN"/>
        </w:rPr>
      </w:pPr>
      <w:r>
        <w:rPr>
          <w:rFonts w:hint="eastAsia" w:cs="宋体"/>
          <w:lang w:val="en-US" w:eastAsia="zh-CN"/>
        </w:rPr>
        <w:t xml:space="preserve">（4）各种检查和开挖验证记录； </w:t>
      </w:r>
    </w:p>
    <w:p>
      <w:pPr>
        <w:adjustRightInd/>
        <w:snapToGrid/>
        <w:ind w:firstLine="480" w:firstLineChars="200"/>
        <w:jc w:val="both"/>
        <w:rPr>
          <w:rFonts w:hint="eastAsia" w:cs="宋体"/>
          <w:lang w:val="en-US" w:eastAsia="zh-CN"/>
        </w:rPr>
      </w:pPr>
      <w:r>
        <w:rPr>
          <w:rFonts w:hint="eastAsia" w:cs="宋体"/>
          <w:lang w:val="en-US" w:eastAsia="zh-CN"/>
        </w:rPr>
        <w:t xml:space="preserve">（5）地下管线普查成果更新检查报告； </w:t>
      </w:r>
    </w:p>
    <w:p>
      <w:pPr>
        <w:adjustRightInd/>
        <w:snapToGrid/>
        <w:ind w:firstLine="480" w:firstLineChars="200"/>
        <w:jc w:val="both"/>
        <w:rPr>
          <w:rFonts w:hint="eastAsia" w:cs="宋体"/>
          <w:lang w:val="en-US" w:eastAsia="zh-CN"/>
        </w:rPr>
      </w:pPr>
      <w:r>
        <w:rPr>
          <w:rFonts w:hint="eastAsia" w:cs="宋体"/>
          <w:lang w:val="en-US" w:eastAsia="zh-CN"/>
        </w:rPr>
        <w:t xml:space="preserve">（6）地下管线普查成果更新技术总结报告； </w:t>
      </w:r>
    </w:p>
    <w:p>
      <w:pPr>
        <w:adjustRightInd/>
        <w:snapToGrid/>
        <w:ind w:firstLine="480" w:firstLineChars="200"/>
        <w:jc w:val="both"/>
        <w:rPr>
          <w:rFonts w:hint="eastAsia" w:cs="宋体"/>
          <w:lang w:val="en-US" w:eastAsia="zh-CN"/>
        </w:rPr>
      </w:pPr>
      <w:r>
        <w:rPr>
          <w:rFonts w:hint="eastAsia" w:cs="宋体"/>
          <w:lang w:val="en-US" w:eastAsia="zh-CN"/>
        </w:rPr>
        <w:t xml:space="preserve">（7）普查工程监理成果资料； </w:t>
      </w:r>
    </w:p>
    <w:p>
      <w:pPr>
        <w:adjustRightInd/>
        <w:snapToGrid/>
        <w:ind w:firstLine="480" w:firstLineChars="200"/>
        <w:jc w:val="both"/>
        <w:rPr>
          <w:rFonts w:hint="eastAsia" w:cs="宋体"/>
          <w:lang w:val="en-US" w:eastAsia="zh-CN"/>
        </w:rPr>
      </w:pPr>
      <w:r>
        <w:rPr>
          <w:rFonts w:hint="eastAsia" w:cs="宋体"/>
          <w:lang w:val="en-US" w:eastAsia="zh-CN"/>
        </w:rPr>
        <w:t xml:space="preserve">（8）权属单位核验记录表及核验确认单； </w:t>
      </w:r>
    </w:p>
    <w:p>
      <w:pPr>
        <w:adjustRightInd/>
        <w:snapToGrid/>
        <w:ind w:firstLine="480" w:firstLineChars="200"/>
        <w:jc w:val="both"/>
        <w:rPr>
          <w:rFonts w:hint="eastAsia" w:cs="宋体"/>
          <w:lang w:val="en-US" w:eastAsia="zh-CN"/>
        </w:rPr>
      </w:pPr>
      <w:r>
        <w:rPr>
          <w:rFonts w:hint="eastAsia" w:cs="宋体"/>
          <w:lang w:val="en-US" w:eastAsia="zh-CN"/>
        </w:rPr>
        <w:t xml:space="preserve">（9）成果质量检验报告。 </w:t>
      </w:r>
    </w:p>
    <w:p>
      <w:pPr>
        <w:adjustRightInd/>
        <w:snapToGrid/>
        <w:ind w:firstLine="482" w:firstLineChars="200"/>
        <w:jc w:val="both"/>
        <w:rPr>
          <w:rFonts w:hint="eastAsia" w:cs="宋体"/>
          <w:lang w:val="en-US" w:eastAsia="zh-CN"/>
        </w:rPr>
      </w:pPr>
      <w:r>
        <w:rPr>
          <w:rFonts w:hint="eastAsia" w:cstheme="minorBidi"/>
          <w:b/>
          <w:bCs/>
          <w:kern w:val="2"/>
          <w:sz w:val="24"/>
          <w:szCs w:val="24"/>
          <w:lang w:val="en-US" w:eastAsia="zh-CN" w:bidi="ar-SA"/>
        </w:rPr>
        <w:t>3.其他</w:t>
      </w:r>
      <w:r>
        <w:rPr>
          <w:rFonts w:hint="eastAsia" w:ascii="宋体" w:hAnsi="宋体" w:eastAsia="宋体" w:cstheme="minorBidi"/>
          <w:b/>
          <w:bCs/>
          <w:kern w:val="2"/>
          <w:sz w:val="24"/>
          <w:szCs w:val="24"/>
          <w:lang w:val="en-US" w:eastAsia="zh-CN" w:bidi="ar-SA"/>
        </w:rPr>
        <w:t>成果</w:t>
      </w:r>
      <w:r>
        <w:rPr>
          <w:rFonts w:hint="eastAsia" w:cs="宋体"/>
          <w:lang w:val="en-US" w:eastAsia="zh-CN"/>
        </w:rPr>
        <w:t xml:space="preserve"> </w:t>
      </w:r>
    </w:p>
    <w:p>
      <w:pPr>
        <w:adjustRightInd/>
        <w:snapToGrid/>
        <w:ind w:firstLine="480" w:firstLineChars="200"/>
        <w:jc w:val="both"/>
        <w:rPr>
          <w:rFonts w:hint="eastAsia" w:cs="宋体"/>
          <w:lang w:val="en-US" w:eastAsia="zh-CN"/>
        </w:rPr>
      </w:pPr>
      <w:r>
        <w:rPr>
          <w:rFonts w:hint="eastAsia" w:ascii="宋体" w:hAnsi="宋体" w:cs="宋体"/>
          <w:sz w:val="24"/>
        </w:rPr>
        <w:t>成都市地下管线普查成果更新工作领导小组办公室和甲方规定的其他成果</w:t>
      </w:r>
      <w:r>
        <w:rPr>
          <w:rFonts w:hint="eastAsia" w:cs="宋体"/>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ind w:firstLine="482" w:firstLineChars="200"/>
        <w:jc w:val="left"/>
        <w:textAlignment w:val="auto"/>
        <w:rPr>
          <w:rFonts w:hint="eastAsia" w:ascii="宋体" w:hAnsi="宋体" w:eastAsia="宋体" w:cs="宋体"/>
          <w:b/>
          <w:bCs/>
          <w:color w:val="000000"/>
          <w:kern w:val="0"/>
          <w:sz w:val="24"/>
          <w:szCs w:val="24"/>
          <w:highlight w:val="none"/>
          <w:lang w:val="en-US" w:eastAsia="zh-CN" w:bidi="ar"/>
        </w:rPr>
      </w:pPr>
      <w:bookmarkStart w:id="1265" w:name="_Toc557"/>
      <w:bookmarkStart w:id="1266" w:name="_Toc12174"/>
      <w:r>
        <w:rPr>
          <w:rFonts w:hint="eastAsia" w:ascii="宋体" w:hAnsi="宋体" w:eastAsia="宋体" w:cs="宋体"/>
          <w:b/>
          <w:bCs/>
          <w:color w:val="000000"/>
          <w:kern w:val="0"/>
          <w:sz w:val="24"/>
          <w:szCs w:val="24"/>
          <w:lang w:val="en-US" w:eastAsia="zh-CN" w:bidi="ar"/>
        </w:rPr>
        <w:t>注：数据成果、系统成果统一采用档案级光盘刻录归档（光盘应符合《电子文件归档光盘技术</w:t>
      </w:r>
      <w:r>
        <w:rPr>
          <w:rFonts w:hint="eastAsia" w:ascii="宋体" w:hAnsi="宋体" w:eastAsia="宋体" w:cs="宋体"/>
          <w:b/>
          <w:bCs/>
          <w:color w:val="000000"/>
          <w:kern w:val="0"/>
          <w:sz w:val="24"/>
          <w:szCs w:val="24"/>
          <w:highlight w:val="none"/>
          <w:lang w:val="en-US" w:eastAsia="zh-CN" w:bidi="ar"/>
        </w:rPr>
        <w:t>要求和应用规范》（DA/38-2008）要求）；文字成果采取纸质形式提交。</w:t>
      </w:r>
    </w:p>
    <w:p>
      <w:pPr>
        <w:keepNext w:val="0"/>
        <w:keepLines w:val="0"/>
        <w:pageBreakBefore w:val="0"/>
        <w:widowControl/>
        <w:suppressLineNumbers w:val="0"/>
        <w:kinsoku/>
        <w:wordWrap/>
        <w:overflowPunct/>
        <w:topLinePunct w:val="0"/>
        <w:autoSpaceDE/>
        <w:autoSpaceDN/>
        <w:bidi w:val="0"/>
        <w:adjustRightInd w:val="0"/>
        <w:snapToGrid w:val="0"/>
        <w:ind w:firstLine="482" w:firstLineChars="200"/>
        <w:jc w:val="left"/>
        <w:textAlignment w:val="auto"/>
        <w:rPr>
          <w:rFonts w:hint="default" w:ascii="宋体" w:hAnsi="宋体" w:eastAsia="宋体" w:cs="宋体"/>
          <w:b/>
          <w:bCs/>
          <w:color w:val="000000"/>
          <w:kern w:val="0"/>
          <w:sz w:val="24"/>
          <w:szCs w:val="24"/>
          <w:highlight w:val="none"/>
          <w:lang w:val="en-US" w:eastAsia="zh-CN" w:bidi="ar"/>
        </w:rPr>
      </w:pPr>
      <w:r>
        <w:rPr>
          <w:rFonts w:hint="eastAsia" w:cs="宋体"/>
          <w:b/>
          <w:bCs/>
          <w:color w:val="000000"/>
          <w:kern w:val="0"/>
          <w:sz w:val="24"/>
          <w:szCs w:val="24"/>
          <w:highlight w:val="none"/>
          <w:lang w:val="en-US" w:eastAsia="zh-CN" w:bidi="ar"/>
        </w:rPr>
        <w:t>4.</w:t>
      </w:r>
      <w:r>
        <w:rPr>
          <w:rFonts w:hint="eastAsia" w:cs="宋体"/>
          <w:b/>
          <w:bCs/>
          <w:highlight w:val="none"/>
          <w:lang w:val="en-US" w:eastAsia="zh-CN"/>
        </w:rPr>
        <w:t>第三包中标供应商需对所有数据进行汇总，将资料上交至成都市相关管理部门。</w:t>
      </w:r>
    </w:p>
    <w:p>
      <w:pPr>
        <w:pStyle w:val="55"/>
        <w:ind w:firstLine="482"/>
        <w:rPr>
          <w:color w:val="auto"/>
          <w:highlight w:val="none"/>
        </w:rPr>
      </w:pPr>
      <w:bookmarkStart w:id="1267" w:name="_Toc5287"/>
      <w:bookmarkStart w:id="1268" w:name="_Toc20301"/>
      <w:r>
        <w:rPr>
          <w:rFonts w:hint="eastAsia"/>
          <w:color w:val="auto"/>
          <w:highlight w:val="none"/>
          <w:lang w:eastAsia="zh-CN"/>
        </w:rPr>
        <w:t>工作测区</w:t>
      </w:r>
      <w:r>
        <w:rPr>
          <w:rFonts w:hint="eastAsia"/>
          <w:color w:val="auto"/>
          <w:highlight w:val="none"/>
          <w:lang w:val="en-US" w:eastAsia="zh-CN"/>
        </w:rPr>
        <w:t>预计工作量（包含全野外调查和内外业结合）</w:t>
      </w:r>
      <w:bookmarkEnd w:id="1267"/>
    </w:p>
    <w:tbl>
      <w:tblPr>
        <w:tblStyle w:val="26"/>
        <w:tblW w:w="9692" w:type="dxa"/>
        <w:jc w:val="center"/>
        <w:shd w:val="clear" w:color="auto" w:fill="auto"/>
        <w:tblLayout w:type="fixed"/>
        <w:tblCellMar>
          <w:top w:w="0" w:type="dxa"/>
          <w:left w:w="0" w:type="dxa"/>
          <w:bottom w:w="0" w:type="dxa"/>
          <w:right w:w="0" w:type="dxa"/>
        </w:tblCellMar>
      </w:tblPr>
      <w:tblGrid>
        <w:gridCol w:w="1760"/>
        <w:gridCol w:w="4033"/>
        <w:gridCol w:w="3899"/>
      </w:tblGrid>
      <w:tr>
        <w:tblPrEx>
          <w:tblCellMar>
            <w:top w:w="0" w:type="dxa"/>
            <w:left w:w="0" w:type="dxa"/>
            <w:bottom w:w="0" w:type="dxa"/>
            <w:right w:w="0" w:type="dxa"/>
          </w:tblCellMar>
        </w:tblPrEx>
        <w:trPr>
          <w:trHeight w:val="447" w:hRule="atLeast"/>
          <w:jc w:val="center"/>
        </w:trPr>
        <w:tc>
          <w:tcPr>
            <w:tcW w:w="1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包号</w:t>
            </w:r>
          </w:p>
        </w:tc>
        <w:tc>
          <w:tcPr>
            <w:tcW w:w="4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highlight w:val="none"/>
                <w:u w:val="none"/>
              </w:rPr>
            </w:pPr>
            <w:r>
              <w:rPr>
                <w:rFonts w:hint="eastAsia"/>
                <w:b/>
                <w:bCs/>
                <w:sz w:val="21"/>
                <w:szCs w:val="21"/>
                <w:highlight w:val="none"/>
              </w:rPr>
              <w:t>全野外探测</w:t>
            </w:r>
            <w:r>
              <w:rPr>
                <w:rFonts w:hint="eastAsia" w:ascii="宋体" w:hAnsi="宋体" w:eastAsia="宋体" w:cs="宋体"/>
                <w:b/>
                <w:bCs/>
                <w:i w:val="0"/>
                <w:color w:val="000000"/>
                <w:kern w:val="0"/>
                <w:sz w:val="21"/>
                <w:szCs w:val="21"/>
                <w:highlight w:val="none"/>
                <w:u w:val="none"/>
                <w:lang w:val="en-US" w:eastAsia="zh-CN" w:bidi="ar"/>
              </w:rPr>
              <w:t>工作量（公里）</w:t>
            </w:r>
          </w:p>
        </w:tc>
        <w:tc>
          <w:tcPr>
            <w:tcW w:w="38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highlight w:val="none"/>
                <w:u w:val="none"/>
                <w:lang w:val="en-US" w:eastAsia="zh-CN" w:bidi="ar"/>
              </w:rPr>
              <w:t>内外业结合核实探测工作量（公里）</w:t>
            </w:r>
          </w:p>
        </w:tc>
      </w:tr>
      <w:tr>
        <w:tblPrEx>
          <w:shd w:val="clear" w:color="auto" w:fill="auto"/>
          <w:tblCellMar>
            <w:top w:w="0" w:type="dxa"/>
            <w:left w:w="0" w:type="dxa"/>
            <w:bottom w:w="0" w:type="dxa"/>
            <w:right w:w="0" w:type="dxa"/>
          </w:tblCellMar>
        </w:tblPrEx>
        <w:trPr>
          <w:trHeight w:val="459" w:hRule="atLeast"/>
          <w:jc w:val="center"/>
        </w:trPr>
        <w:tc>
          <w:tcPr>
            <w:tcW w:w="1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第一包</w:t>
            </w:r>
          </w:p>
        </w:tc>
        <w:tc>
          <w:tcPr>
            <w:tcW w:w="4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宋体" w:hAnsi="宋体" w:eastAsia="宋体" w:cs="宋体"/>
                <w:i w:val="0"/>
                <w:color w:val="000000"/>
                <w:sz w:val="22"/>
                <w:szCs w:val="22"/>
                <w:highlight w:val="none"/>
                <w:u w:val="none"/>
                <w:lang w:val="en-US" w:eastAsia="zh-CN"/>
              </w:rPr>
            </w:pPr>
            <w:r>
              <w:rPr>
                <w:rFonts w:hint="eastAsia"/>
                <w:highlight w:val="none"/>
                <w:lang w:val="en-US" w:eastAsia="zh-CN"/>
              </w:rPr>
              <w:t>573.52</w:t>
            </w:r>
          </w:p>
        </w:tc>
        <w:tc>
          <w:tcPr>
            <w:tcW w:w="38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eastAsia="宋体"/>
                <w:highlight w:val="none"/>
                <w:lang w:val="en-US" w:eastAsia="zh-CN"/>
              </w:rPr>
            </w:pPr>
            <w:r>
              <w:rPr>
                <w:rFonts w:hint="eastAsia"/>
                <w:highlight w:val="none"/>
                <w:lang w:val="en-US" w:eastAsia="zh-CN"/>
              </w:rPr>
              <w:t>42.96</w:t>
            </w:r>
          </w:p>
        </w:tc>
      </w:tr>
      <w:tr>
        <w:tblPrEx>
          <w:shd w:val="clear" w:color="auto" w:fill="auto"/>
          <w:tblCellMar>
            <w:top w:w="0" w:type="dxa"/>
            <w:left w:w="0" w:type="dxa"/>
            <w:bottom w:w="0" w:type="dxa"/>
            <w:right w:w="0" w:type="dxa"/>
          </w:tblCellMar>
        </w:tblPrEx>
        <w:trPr>
          <w:trHeight w:val="392" w:hRule="atLeast"/>
          <w:jc w:val="center"/>
        </w:trPr>
        <w:tc>
          <w:tcPr>
            <w:tcW w:w="1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第二包</w:t>
            </w:r>
          </w:p>
        </w:tc>
        <w:tc>
          <w:tcPr>
            <w:tcW w:w="4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宋体" w:hAnsi="宋体" w:eastAsia="宋体" w:cs="宋体"/>
                <w:i w:val="0"/>
                <w:color w:val="000000"/>
                <w:sz w:val="22"/>
                <w:szCs w:val="22"/>
                <w:highlight w:val="none"/>
                <w:u w:val="none"/>
                <w:lang w:val="en-US" w:eastAsia="zh-CN"/>
              </w:rPr>
            </w:pPr>
            <w:r>
              <w:rPr>
                <w:rFonts w:hint="eastAsia" w:cs="宋体"/>
                <w:i w:val="0"/>
                <w:color w:val="000000"/>
                <w:sz w:val="22"/>
                <w:szCs w:val="22"/>
                <w:highlight w:val="none"/>
                <w:u w:val="none"/>
                <w:lang w:val="en-US" w:eastAsia="zh-CN"/>
              </w:rPr>
              <w:t>519.849</w:t>
            </w:r>
          </w:p>
        </w:tc>
        <w:tc>
          <w:tcPr>
            <w:tcW w:w="38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cs="宋体"/>
                <w:i w:val="0"/>
                <w:color w:val="000000"/>
                <w:sz w:val="22"/>
                <w:szCs w:val="22"/>
                <w:highlight w:val="none"/>
                <w:u w:val="none"/>
                <w:lang w:val="en-US" w:eastAsia="zh-CN"/>
              </w:rPr>
            </w:pPr>
            <w:r>
              <w:rPr>
                <w:rFonts w:hint="eastAsia" w:cs="宋体"/>
                <w:i w:val="0"/>
                <w:color w:val="000000"/>
                <w:sz w:val="22"/>
                <w:szCs w:val="22"/>
                <w:highlight w:val="none"/>
                <w:u w:val="none"/>
                <w:lang w:val="en-US" w:eastAsia="zh-CN"/>
              </w:rPr>
              <w:t>96.631</w:t>
            </w:r>
          </w:p>
        </w:tc>
      </w:tr>
      <w:tr>
        <w:tblPrEx>
          <w:shd w:val="clear" w:color="auto" w:fill="auto"/>
          <w:tblCellMar>
            <w:top w:w="0" w:type="dxa"/>
            <w:left w:w="0" w:type="dxa"/>
            <w:bottom w:w="0" w:type="dxa"/>
            <w:right w:w="0" w:type="dxa"/>
          </w:tblCellMar>
        </w:tblPrEx>
        <w:trPr>
          <w:trHeight w:val="410" w:hRule="atLeast"/>
          <w:jc w:val="center"/>
        </w:trPr>
        <w:tc>
          <w:tcPr>
            <w:tcW w:w="1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第三包</w:t>
            </w:r>
          </w:p>
        </w:tc>
        <w:tc>
          <w:tcPr>
            <w:tcW w:w="4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宋体" w:hAnsi="宋体" w:eastAsia="宋体" w:cs="宋体"/>
                <w:i w:val="0"/>
                <w:color w:val="000000"/>
                <w:sz w:val="22"/>
                <w:szCs w:val="22"/>
                <w:highlight w:val="none"/>
                <w:u w:val="none"/>
                <w:lang w:val="en-US" w:eastAsia="zh-CN"/>
              </w:rPr>
            </w:pPr>
            <w:r>
              <w:rPr>
                <w:rFonts w:hint="eastAsia" w:cs="宋体"/>
                <w:i w:val="0"/>
                <w:color w:val="000000"/>
                <w:sz w:val="22"/>
                <w:szCs w:val="22"/>
                <w:highlight w:val="none"/>
                <w:u w:val="none"/>
                <w:lang w:val="en-US" w:eastAsia="zh-CN"/>
              </w:rPr>
              <w:t>684.605</w:t>
            </w:r>
          </w:p>
        </w:tc>
        <w:tc>
          <w:tcPr>
            <w:tcW w:w="38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cs="宋体"/>
                <w:i w:val="0"/>
                <w:color w:val="000000"/>
                <w:sz w:val="22"/>
                <w:szCs w:val="22"/>
                <w:highlight w:val="none"/>
                <w:u w:val="none"/>
                <w:lang w:val="en-US" w:eastAsia="zh-CN"/>
              </w:rPr>
            </w:pPr>
            <w:r>
              <w:rPr>
                <w:rFonts w:hint="eastAsia" w:cs="宋体"/>
                <w:i w:val="0"/>
                <w:color w:val="000000"/>
                <w:sz w:val="22"/>
                <w:szCs w:val="22"/>
                <w:highlight w:val="none"/>
                <w:u w:val="none"/>
                <w:lang w:val="en-US" w:eastAsia="zh-CN"/>
              </w:rPr>
              <w:t>82.445</w:t>
            </w:r>
          </w:p>
        </w:tc>
      </w:tr>
    </w:tbl>
    <w:p>
      <w:pPr>
        <w:pStyle w:val="55"/>
        <w:ind w:firstLine="482"/>
        <w:rPr>
          <w:highlight w:val="none"/>
        </w:rPr>
      </w:pPr>
      <w:bookmarkStart w:id="1269" w:name="_Toc28559"/>
      <w:r>
        <w:rPr>
          <w:rFonts w:hint="eastAsia"/>
          <w:highlight w:val="none"/>
        </w:rPr>
        <w:t>单价最高限价要求</w:t>
      </w:r>
      <w:bookmarkEnd w:id="1268"/>
      <w:bookmarkEnd w:id="1269"/>
    </w:p>
    <w:tbl>
      <w:tblPr>
        <w:tblStyle w:val="27"/>
        <w:tblW w:w="9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3598"/>
        <w:gridCol w:w="4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194" w:type="dxa"/>
            <w:vAlign w:val="center"/>
          </w:tcPr>
          <w:p>
            <w:pPr>
              <w:jc w:val="center"/>
              <w:rPr>
                <w:rFonts w:hint="eastAsia"/>
                <w:b/>
                <w:bCs/>
                <w:sz w:val="21"/>
                <w:szCs w:val="21"/>
                <w:highlight w:val="none"/>
                <w:lang w:eastAsia="zh-CN"/>
              </w:rPr>
            </w:pPr>
            <w:bookmarkStart w:id="1270" w:name="_Toc19576"/>
            <w:r>
              <w:rPr>
                <w:rFonts w:hint="eastAsia"/>
                <w:b/>
                <w:bCs/>
                <w:sz w:val="21"/>
                <w:szCs w:val="21"/>
                <w:highlight w:val="none"/>
                <w:lang w:eastAsia="zh-CN"/>
              </w:rPr>
              <w:t>序号</w:t>
            </w:r>
            <w:bookmarkEnd w:id="1270"/>
          </w:p>
        </w:tc>
        <w:tc>
          <w:tcPr>
            <w:tcW w:w="3598" w:type="dxa"/>
            <w:vAlign w:val="center"/>
          </w:tcPr>
          <w:p>
            <w:pPr>
              <w:jc w:val="center"/>
              <w:rPr>
                <w:rFonts w:hint="eastAsia"/>
                <w:b/>
                <w:bCs/>
                <w:sz w:val="21"/>
                <w:szCs w:val="21"/>
                <w:highlight w:val="none"/>
                <w:lang w:eastAsia="zh-CN"/>
              </w:rPr>
            </w:pPr>
            <w:bookmarkStart w:id="1271" w:name="_Toc22437"/>
            <w:r>
              <w:rPr>
                <w:rFonts w:hint="eastAsia"/>
                <w:b/>
                <w:bCs/>
                <w:sz w:val="21"/>
                <w:szCs w:val="21"/>
                <w:highlight w:val="none"/>
                <w:lang w:eastAsia="zh-CN"/>
              </w:rPr>
              <w:t>工作内容</w:t>
            </w:r>
            <w:bookmarkEnd w:id="1271"/>
          </w:p>
        </w:tc>
        <w:tc>
          <w:tcPr>
            <w:tcW w:w="4867" w:type="dxa"/>
            <w:vAlign w:val="center"/>
          </w:tcPr>
          <w:p>
            <w:pPr>
              <w:jc w:val="center"/>
              <w:rPr>
                <w:rFonts w:hint="eastAsia"/>
                <w:b/>
                <w:bCs/>
                <w:sz w:val="21"/>
                <w:szCs w:val="21"/>
                <w:highlight w:val="none"/>
                <w:lang w:eastAsia="zh-CN"/>
              </w:rPr>
            </w:pPr>
            <w:bookmarkStart w:id="1272" w:name="_Toc1571"/>
            <w:r>
              <w:rPr>
                <w:rFonts w:hint="eastAsia"/>
                <w:b/>
                <w:bCs/>
                <w:sz w:val="21"/>
                <w:szCs w:val="21"/>
                <w:highlight w:val="none"/>
                <w:lang w:eastAsia="zh-CN"/>
              </w:rPr>
              <w:t>单价最高限价</w:t>
            </w:r>
            <w:bookmarkEnd w:id="127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194" w:type="dxa"/>
            <w:vAlign w:val="center"/>
          </w:tcPr>
          <w:p>
            <w:pPr>
              <w:jc w:val="center"/>
              <w:rPr>
                <w:rFonts w:hint="eastAsia"/>
                <w:sz w:val="21"/>
                <w:szCs w:val="21"/>
                <w:highlight w:val="none"/>
                <w:lang w:val="en-US" w:eastAsia="zh-CN"/>
              </w:rPr>
            </w:pPr>
            <w:bookmarkStart w:id="1273" w:name="_Toc25079"/>
            <w:r>
              <w:rPr>
                <w:rFonts w:hint="eastAsia"/>
                <w:sz w:val="21"/>
                <w:szCs w:val="21"/>
                <w:highlight w:val="none"/>
                <w:lang w:val="en-US" w:eastAsia="zh-CN"/>
              </w:rPr>
              <w:t>1</w:t>
            </w:r>
            <w:bookmarkEnd w:id="1273"/>
          </w:p>
        </w:tc>
        <w:tc>
          <w:tcPr>
            <w:tcW w:w="3598" w:type="dxa"/>
            <w:vAlign w:val="center"/>
          </w:tcPr>
          <w:p>
            <w:pPr>
              <w:jc w:val="center"/>
              <w:rPr>
                <w:sz w:val="21"/>
                <w:szCs w:val="21"/>
                <w:highlight w:val="none"/>
              </w:rPr>
            </w:pPr>
            <w:r>
              <w:rPr>
                <w:rFonts w:hint="eastAsia"/>
                <w:sz w:val="21"/>
                <w:szCs w:val="21"/>
                <w:highlight w:val="none"/>
              </w:rPr>
              <w:t>全野外探测</w:t>
            </w:r>
          </w:p>
        </w:tc>
        <w:tc>
          <w:tcPr>
            <w:tcW w:w="4867" w:type="dxa"/>
            <w:vAlign w:val="center"/>
          </w:tcPr>
          <w:p>
            <w:pPr>
              <w:jc w:val="center"/>
              <w:rPr>
                <w:rFonts w:hint="default"/>
                <w:sz w:val="21"/>
                <w:szCs w:val="21"/>
                <w:highlight w:val="none"/>
                <w:lang w:val="en-US" w:eastAsia="zh-CN"/>
              </w:rPr>
            </w:pPr>
            <w:r>
              <w:rPr>
                <w:rFonts w:hint="eastAsia"/>
                <w:sz w:val="21"/>
                <w:szCs w:val="21"/>
                <w:highlight w:val="none"/>
                <w:u w:val="single"/>
                <w:lang w:val="en-US" w:eastAsia="zh-CN"/>
              </w:rPr>
              <w:t xml:space="preserve">  4000   </w:t>
            </w:r>
            <w:r>
              <w:rPr>
                <w:rFonts w:hint="eastAsia"/>
                <w:sz w:val="21"/>
                <w:szCs w:val="21"/>
                <w:highlight w:val="none"/>
                <w:lang w:val="en-US" w:eastAsia="zh-CN"/>
              </w:rPr>
              <w:t>元/公里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194" w:type="dxa"/>
            <w:vAlign w:val="center"/>
          </w:tcPr>
          <w:p>
            <w:pPr>
              <w:jc w:val="center"/>
              <w:rPr>
                <w:rFonts w:hint="eastAsia"/>
                <w:sz w:val="21"/>
                <w:szCs w:val="21"/>
                <w:highlight w:val="none"/>
                <w:lang w:val="en-US" w:eastAsia="zh-CN"/>
              </w:rPr>
            </w:pPr>
            <w:r>
              <w:rPr>
                <w:rFonts w:hint="eastAsia"/>
                <w:sz w:val="21"/>
                <w:szCs w:val="21"/>
                <w:highlight w:val="none"/>
                <w:lang w:val="en-US" w:eastAsia="zh-CN"/>
              </w:rPr>
              <w:t>2</w:t>
            </w:r>
          </w:p>
        </w:tc>
        <w:tc>
          <w:tcPr>
            <w:tcW w:w="3598" w:type="dxa"/>
            <w:vAlign w:val="center"/>
          </w:tcPr>
          <w:p>
            <w:pPr>
              <w:jc w:val="center"/>
              <w:rPr>
                <w:sz w:val="21"/>
                <w:szCs w:val="21"/>
                <w:highlight w:val="none"/>
              </w:rPr>
            </w:pPr>
            <w:r>
              <w:rPr>
                <w:rFonts w:hint="eastAsia"/>
                <w:sz w:val="21"/>
                <w:szCs w:val="21"/>
                <w:highlight w:val="none"/>
              </w:rPr>
              <w:t>内外业结合核实探测</w:t>
            </w:r>
          </w:p>
        </w:tc>
        <w:tc>
          <w:tcPr>
            <w:tcW w:w="4867" w:type="dxa"/>
            <w:vAlign w:val="center"/>
          </w:tcPr>
          <w:p>
            <w:pPr>
              <w:jc w:val="center"/>
              <w:rPr>
                <w:sz w:val="21"/>
                <w:szCs w:val="21"/>
                <w:highlight w:val="none"/>
              </w:rPr>
            </w:pPr>
            <w:r>
              <w:rPr>
                <w:rFonts w:hint="eastAsia"/>
                <w:sz w:val="21"/>
                <w:szCs w:val="21"/>
                <w:highlight w:val="none"/>
                <w:u w:val="single"/>
                <w:lang w:val="en-US" w:eastAsia="zh-CN"/>
              </w:rPr>
              <w:t xml:space="preserve">  3235   </w:t>
            </w:r>
            <w:r>
              <w:rPr>
                <w:rFonts w:hint="eastAsia"/>
                <w:sz w:val="21"/>
                <w:szCs w:val="21"/>
                <w:highlight w:val="none"/>
                <w:lang w:val="en-US" w:eastAsia="zh-CN"/>
              </w:rPr>
              <w:t>元/公里</w:t>
            </w:r>
          </w:p>
        </w:tc>
      </w:tr>
    </w:tbl>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b w:val="0"/>
          <w:bCs w:val="0"/>
          <w:sz w:val="24"/>
          <w:highlight w:val="none"/>
        </w:rPr>
      </w:pPr>
      <w:r>
        <w:rPr>
          <w:rFonts w:hint="eastAsia" w:ascii="宋体" w:hAnsi="宋体" w:eastAsia="宋体" w:cs="宋体"/>
          <w:b w:val="0"/>
          <w:bCs w:val="0"/>
          <w:highlight w:val="none"/>
          <w:lang w:eastAsia="zh-CN"/>
        </w:rPr>
        <w:t>注：</w:t>
      </w:r>
      <w:r>
        <w:rPr>
          <w:rFonts w:hint="eastAsia" w:ascii="宋体" w:hAnsi="宋体" w:eastAsia="宋体" w:cs="宋体"/>
          <w:b w:val="0"/>
          <w:bCs w:val="0"/>
          <w:highlight w:val="none"/>
          <w:lang w:val="en-US" w:eastAsia="zh-CN"/>
        </w:rPr>
        <w:t>1.</w:t>
      </w:r>
      <w:r>
        <w:rPr>
          <w:rFonts w:hint="eastAsia" w:ascii="宋体" w:hAnsi="宋体" w:eastAsia="宋体" w:cs="宋体"/>
          <w:b w:val="0"/>
          <w:bCs w:val="0"/>
          <w:sz w:val="24"/>
          <w:highlight w:val="none"/>
        </w:rPr>
        <w:t>合同为单价合同，工作内容为地下管线普查和更新,投标总金额不得超过预算金额。</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rPr>
      </w:pPr>
      <w:r>
        <w:rPr>
          <w:rFonts w:hint="eastAsia" w:ascii="宋体" w:hAnsi="宋体" w:eastAsia="宋体" w:cs="宋体"/>
          <w:b w:val="0"/>
          <w:bCs w:val="0"/>
          <w:sz w:val="24"/>
          <w:highlight w:val="none"/>
          <w:lang w:val="en-US" w:eastAsia="zh-CN"/>
        </w:rPr>
        <w:t>2.</w:t>
      </w:r>
      <w:r>
        <w:rPr>
          <w:rFonts w:hint="eastAsia" w:ascii="宋体" w:hAnsi="宋体" w:eastAsia="宋体" w:cs="宋体"/>
          <w:b w:val="0"/>
          <w:bCs w:val="0"/>
          <w:sz w:val="24"/>
          <w:highlight w:val="none"/>
        </w:rPr>
        <w:t>结算总金额=（全野外探测单价×全野外探测实际提交长度）</w:t>
      </w:r>
      <w:r>
        <w:rPr>
          <w:rFonts w:hint="eastAsia" w:ascii="宋体" w:hAnsi="宋体" w:eastAsia="宋体" w:cs="宋体"/>
          <w:b w:val="0"/>
          <w:bCs w:val="0"/>
          <w:sz w:val="24"/>
          <w:highlight w:val="none"/>
          <w:lang w:val="en-US" w:eastAsia="zh-CN"/>
        </w:rPr>
        <w:t>＋</w:t>
      </w:r>
      <w:r>
        <w:rPr>
          <w:rFonts w:hint="eastAsia" w:ascii="宋体" w:hAnsi="宋体" w:eastAsia="宋体" w:cs="宋体"/>
          <w:b w:val="0"/>
          <w:bCs w:val="0"/>
          <w:sz w:val="24"/>
          <w:highlight w:val="none"/>
        </w:rPr>
        <w:t>（内外业结合核实探测</w:t>
      </w:r>
      <w:r>
        <w:rPr>
          <w:rFonts w:hint="eastAsia" w:ascii="宋体" w:hAnsi="宋体" w:eastAsia="宋体" w:cs="宋体"/>
          <w:b w:val="0"/>
          <w:bCs w:val="0"/>
          <w:sz w:val="24"/>
        </w:rPr>
        <w:t>单价×内外业结合核实探测实际提交长度），实际提交长度为入库合格后的全野外探测、内外业结合核实探测管线长度。</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b w:val="0"/>
          <w:bCs w:val="0"/>
          <w:lang w:eastAsia="zh-CN"/>
        </w:rPr>
      </w:pPr>
      <w:r>
        <w:rPr>
          <w:rFonts w:hint="eastAsia" w:ascii="宋体" w:hAnsi="宋体" w:eastAsia="宋体" w:cs="宋体"/>
          <w:b w:val="0"/>
          <w:bCs w:val="0"/>
          <w:sz w:val="24"/>
          <w:lang w:val="en-US" w:eastAsia="zh-CN"/>
        </w:rPr>
        <w:t>3.</w:t>
      </w:r>
      <w:r>
        <w:rPr>
          <w:rFonts w:hint="eastAsia" w:ascii="宋体" w:hAnsi="宋体" w:eastAsia="宋体" w:cs="宋体"/>
          <w:b w:val="0"/>
          <w:bCs w:val="0"/>
          <w:sz w:val="24"/>
        </w:rPr>
        <w:t>可直接利用的地下管线普查成果不计入经费计算。</w:t>
      </w:r>
    </w:p>
    <w:bookmarkEnd w:id="1265"/>
    <w:bookmarkEnd w:id="1266"/>
    <w:p>
      <w:pPr>
        <w:pStyle w:val="41"/>
        <w:ind w:firstLine="482"/>
      </w:pPr>
      <w:bookmarkStart w:id="1274" w:name="_Toc25602"/>
      <w:bookmarkStart w:id="1275" w:name="_Toc2976"/>
      <w:bookmarkStart w:id="1276" w:name="_Toc23765"/>
      <w:bookmarkStart w:id="1277" w:name="_Toc25729"/>
      <w:bookmarkStart w:id="1278" w:name="_Toc9862"/>
      <w:bookmarkStart w:id="1279" w:name="_Toc3071"/>
      <w:bookmarkStart w:id="1280" w:name="_Toc25918"/>
      <w:r>
        <w:rPr>
          <w:rFonts w:hint="eastAsia"/>
        </w:rPr>
        <w:t>※第</w:t>
      </w:r>
      <w:r>
        <w:rPr>
          <w:rFonts w:hint="eastAsia"/>
          <w:lang w:eastAsia="zh-CN"/>
        </w:rPr>
        <w:t>四</w:t>
      </w:r>
      <w:r>
        <w:rPr>
          <w:rFonts w:hint="eastAsia"/>
        </w:rPr>
        <w:t>包工作内容及要求</w:t>
      </w:r>
      <w:bookmarkEnd w:id="1274"/>
      <w:bookmarkEnd w:id="1275"/>
    </w:p>
    <w:p>
      <w:pPr>
        <w:pStyle w:val="55"/>
        <w:ind w:firstLine="482"/>
      </w:pPr>
      <w:bookmarkStart w:id="1281" w:name="_Toc12467"/>
      <w:bookmarkStart w:id="1282" w:name="_Toc12441"/>
      <w:bookmarkStart w:id="1283" w:name="_Toc19455"/>
      <w:r>
        <w:rPr>
          <w:rFonts w:hint="eastAsia"/>
        </w:rPr>
        <w:t>工作内容</w:t>
      </w:r>
      <w:bookmarkEnd w:id="1281"/>
      <w:bookmarkEnd w:id="1282"/>
      <w:bookmarkEnd w:id="1283"/>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sz w:val="24"/>
          <w:szCs w:val="24"/>
        </w:rPr>
      </w:pPr>
      <w:bookmarkStart w:id="1284" w:name="_Toc9233"/>
      <w:bookmarkStart w:id="1285" w:name="_Toc21441"/>
      <w:r>
        <w:rPr>
          <w:rFonts w:hint="eastAsia" w:ascii="宋体" w:hAnsi="宋体" w:eastAsia="宋体" w:cs="宋体"/>
          <w:color w:val="000000"/>
          <w:kern w:val="0"/>
          <w:sz w:val="24"/>
          <w:szCs w:val="24"/>
          <w:lang w:val="en-US" w:eastAsia="zh-CN" w:bidi="ar"/>
        </w:rPr>
        <w:t xml:space="preserve">1.监理对象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对普查更新范围内的给水、排水、燃气、热力、电力、通信（含广播电视）、工业（不包括油气管线）、综合管廊(沟)等管线有其附属设施按《成都市地下管线普查成果更新技术方案》要求进行监理。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2.工作内容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工程监理包括合同履行监理、工程进度监理、工程准备监理、普查质量监理、数据监理和普查成果资料监理，同时对施工过程的作业安全和资料保密进行监督，并对地下管线普查工程质量进行评价。</w:t>
      </w:r>
    </w:p>
    <w:p>
      <w:pPr>
        <w:pStyle w:val="55"/>
        <w:ind w:firstLine="482"/>
      </w:pPr>
      <w:bookmarkStart w:id="1286" w:name="_Toc15452"/>
      <w:r>
        <w:rPr>
          <w:rFonts w:hint="eastAsia"/>
          <w:lang w:eastAsia="zh-CN"/>
        </w:rPr>
        <w:t>工作要求</w:t>
      </w:r>
      <w:bookmarkEnd w:id="1286"/>
    </w:p>
    <w:p>
      <w:pPr>
        <w:keepNext w:val="0"/>
        <w:keepLines w:val="0"/>
        <w:pageBreakBefore w:val="0"/>
        <w:widowControl/>
        <w:suppressLineNumbers w:val="0"/>
        <w:kinsoku/>
        <w:wordWrap/>
        <w:overflowPunct/>
        <w:topLinePunct w:val="0"/>
        <w:autoSpaceDE/>
        <w:autoSpaceDN/>
        <w:bidi w:val="0"/>
        <w:adjustRightInd w:val="0"/>
        <w:snapToGrid w:val="0"/>
        <w:ind w:firstLine="482" w:firstLineChars="200"/>
        <w:jc w:val="left"/>
        <w:textAlignment w:val="auto"/>
      </w:pPr>
      <w:r>
        <w:rPr>
          <w:rFonts w:hint="eastAsia" w:ascii="宋体" w:hAnsi="宋体" w:eastAsia="宋体" w:cs="宋体"/>
          <w:b/>
          <w:color w:val="000000"/>
          <w:kern w:val="0"/>
          <w:sz w:val="24"/>
          <w:szCs w:val="24"/>
          <w:lang w:val="en-US" w:eastAsia="zh-CN" w:bidi="ar"/>
        </w:rPr>
        <w:t xml:space="preserve">1.监理依据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地下管线普查工程监理工作开展依据项目相关技术文件及《城市地下管线探测工程监理导则》（RISN-TG011-2010）规定执行。 </w:t>
      </w:r>
    </w:p>
    <w:p>
      <w:pPr>
        <w:keepNext w:val="0"/>
        <w:keepLines w:val="0"/>
        <w:pageBreakBefore w:val="0"/>
        <w:widowControl/>
        <w:suppressLineNumbers w:val="0"/>
        <w:kinsoku/>
        <w:wordWrap/>
        <w:overflowPunct/>
        <w:topLinePunct w:val="0"/>
        <w:autoSpaceDE/>
        <w:autoSpaceDN/>
        <w:bidi w:val="0"/>
        <w:adjustRightInd w:val="0"/>
        <w:snapToGrid w:val="0"/>
        <w:ind w:firstLine="482" w:firstLineChars="200"/>
        <w:jc w:val="left"/>
        <w:textAlignment w:val="auto"/>
      </w:pPr>
      <w:r>
        <w:rPr>
          <w:rFonts w:hint="eastAsia" w:ascii="宋体" w:hAnsi="宋体" w:eastAsia="宋体" w:cs="宋体"/>
          <w:b/>
          <w:color w:val="000000"/>
          <w:kern w:val="0"/>
          <w:sz w:val="24"/>
          <w:szCs w:val="24"/>
          <w:lang w:val="en-US" w:eastAsia="zh-CN" w:bidi="ar"/>
        </w:rPr>
        <w:t xml:space="preserve">2.工程准备监理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了解和掌握项目合同的工作内容，确定合同履行监理的任务和方法。监督普查探测单位合同履行情况，并根据需要及时进行工作协调。 </w:t>
      </w:r>
    </w:p>
    <w:p>
      <w:pPr>
        <w:keepNext w:val="0"/>
        <w:keepLines w:val="0"/>
        <w:pageBreakBefore w:val="0"/>
        <w:widowControl/>
        <w:suppressLineNumbers w:val="0"/>
        <w:kinsoku/>
        <w:wordWrap/>
        <w:overflowPunct/>
        <w:topLinePunct w:val="0"/>
        <w:autoSpaceDE/>
        <w:autoSpaceDN/>
        <w:bidi w:val="0"/>
        <w:adjustRightInd w:val="0"/>
        <w:snapToGrid w:val="0"/>
        <w:ind w:firstLine="482" w:firstLineChars="200"/>
        <w:jc w:val="left"/>
        <w:textAlignment w:val="auto"/>
      </w:pPr>
      <w:r>
        <w:rPr>
          <w:rFonts w:hint="eastAsia" w:ascii="宋体" w:hAnsi="宋体" w:eastAsia="宋体" w:cs="宋体"/>
          <w:b/>
          <w:color w:val="000000"/>
          <w:kern w:val="0"/>
          <w:sz w:val="24"/>
          <w:szCs w:val="24"/>
          <w:lang w:val="en-US" w:eastAsia="zh-CN" w:bidi="ar"/>
        </w:rPr>
        <w:t xml:space="preserve">3.合同履行监理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协助管线行业主管部门做好项目开工前的技术准备工作，监督检查普查作业单位技术准备工作完成情况，并审查开工条件。 </w:t>
      </w:r>
    </w:p>
    <w:p>
      <w:pPr>
        <w:keepNext w:val="0"/>
        <w:keepLines w:val="0"/>
        <w:pageBreakBefore w:val="0"/>
        <w:widowControl/>
        <w:suppressLineNumbers w:val="0"/>
        <w:kinsoku/>
        <w:wordWrap/>
        <w:overflowPunct/>
        <w:topLinePunct w:val="0"/>
        <w:autoSpaceDE/>
        <w:autoSpaceDN/>
        <w:bidi w:val="0"/>
        <w:adjustRightInd w:val="0"/>
        <w:snapToGrid w:val="0"/>
        <w:ind w:firstLine="482" w:firstLineChars="200"/>
        <w:jc w:val="left"/>
        <w:textAlignment w:val="auto"/>
      </w:pPr>
      <w:r>
        <w:rPr>
          <w:rFonts w:hint="eastAsia" w:ascii="宋体" w:hAnsi="宋体" w:eastAsia="宋体" w:cs="宋体"/>
          <w:b/>
          <w:color w:val="000000"/>
          <w:kern w:val="0"/>
          <w:sz w:val="24"/>
          <w:szCs w:val="24"/>
          <w:lang w:val="en-US" w:eastAsia="zh-CN" w:bidi="ar"/>
        </w:rPr>
        <w:t xml:space="preserve">4.工程进度监理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4.1工程进度监理采用过程控制的方法对作业活动实施控制，主要工作为项目进度计划审查、进度监控和进度协调。 </w:t>
      </w:r>
    </w:p>
    <w:p>
      <w:pPr>
        <w:keepNext w:val="0"/>
        <w:keepLines w:val="0"/>
        <w:pageBreakBefore w:val="0"/>
        <w:widowControl/>
        <w:suppressLineNumbers w:val="0"/>
        <w:kinsoku/>
        <w:wordWrap/>
        <w:overflowPunct/>
        <w:topLinePunct w:val="0"/>
        <w:autoSpaceDE/>
        <w:autoSpaceDN/>
        <w:bidi w:val="0"/>
        <w:adjustRightInd w:val="0"/>
        <w:snapToGrid/>
        <w:ind w:firstLine="480" w:firstLineChars="200"/>
        <w:jc w:val="left"/>
        <w:textAlignment w:val="auto"/>
      </w:pPr>
      <w:r>
        <w:rPr>
          <w:rFonts w:hint="eastAsia" w:ascii="宋体" w:hAnsi="宋体" w:eastAsia="宋体" w:cs="宋体"/>
          <w:color w:val="000000"/>
          <w:kern w:val="0"/>
          <w:sz w:val="24"/>
          <w:szCs w:val="24"/>
          <w:lang w:val="en-US" w:eastAsia="zh-CN" w:bidi="ar"/>
        </w:rPr>
        <w:t xml:space="preserve">4.2进度计划审查需对工作分解结构的合理性与完整性、工作活动衔接的正确性、进度计划与工作量、资源配置的合理性进行监督检查。 </w:t>
      </w:r>
    </w:p>
    <w:p>
      <w:pPr>
        <w:keepNext w:val="0"/>
        <w:keepLines w:val="0"/>
        <w:pageBreakBefore w:val="0"/>
        <w:widowControl/>
        <w:suppressLineNumbers w:val="0"/>
        <w:kinsoku/>
        <w:wordWrap/>
        <w:overflowPunct/>
        <w:topLinePunct w:val="0"/>
        <w:autoSpaceDE/>
        <w:autoSpaceDN/>
        <w:bidi w:val="0"/>
        <w:adjustRightInd w:val="0"/>
        <w:snapToGrid/>
        <w:ind w:firstLine="480" w:firstLineChars="200"/>
        <w:jc w:val="left"/>
        <w:textAlignment w:val="auto"/>
      </w:pPr>
      <w:r>
        <w:rPr>
          <w:rFonts w:hint="eastAsia" w:ascii="宋体" w:hAnsi="宋体" w:eastAsia="宋体" w:cs="宋体"/>
          <w:color w:val="000000"/>
          <w:kern w:val="0"/>
          <w:sz w:val="24"/>
          <w:szCs w:val="24"/>
          <w:lang w:val="en-US" w:eastAsia="zh-CN" w:bidi="ar"/>
        </w:rPr>
        <w:t xml:space="preserve">4.3各项工作进程、人员和设备的变动状况、地下管线普查作业情况及普查期间每日天气情况进行监控。 </w:t>
      </w:r>
    </w:p>
    <w:p>
      <w:pPr>
        <w:keepNext w:val="0"/>
        <w:keepLines w:val="0"/>
        <w:pageBreakBefore w:val="0"/>
        <w:widowControl/>
        <w:suppressLineNumbers w:val="0"/>
        <w:kinsoku/>
        <w:wordWrap/>
        <w:overflowPunct/>
        <w:topLinePunct w:val="0"/>
        <w:autoSpaceDE/>
        <w:autoSpaceDN/>
        <w:bidi w:val="0"/>
        <w:adjustRightInd w:val="0"/>
        <w:snapToGrid w:val="0"/>
        <w:ind w:firstLine="482" w:firstLineChars="200"/>
        <w:jc w:val="left"/>
        <w:textAlignment w:val="auto"/>
      </w:pPr>
      <w:r>
        <w:rPr>
          <w:rFonts w:hint="eastAsia" w:ascii="宋体" w:hAnsi="宋体" w:eastAsia="宋体" w:cs="宋体"/>
          <w:b/>
          <w:color w:val="000000"/>
          <w:kern w:val="0"/>
          <w:sz w:val="24"/>
          <w:szCs w:val="24"/>
          <w:lang w:val="en-US" w:eastAsia="zh-CN" w:bidi="ar"/>
        </w:rPr>
        <w:t xml:space="preserve">5.普查质量监理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5.1工作内容包括普查过程监理和成果质量检查。成果质量检查应在普查作业单位自检合格的基础上进行。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5.2普查过程监理主要包括：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（1）监控普查作业单位人员和仪器设备的变动；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（2）监督检查普查范围和管线取舍要求的执行情况；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（3）检查已有控制点资料利用情况，审查控制网布设方案和检查控制点埋设情况；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（4）检查探查、测量仪器操作和技术方法使用的规范性和技术措施应用的有效性；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（5）检查管线点设置与标注、管线点、线属性的完整性、正确性；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（6）监控普查作业进度情况；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（7）监督复杂及疑难管线的探查；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（8）监督普查作业单位的探查质量检查及探查安全作业情况。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5.3 探查成果质量检查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5.3.1探查成果质量检查采用室内审查结合室外重复调查及探查的方式进行。室内审查根据《城市地下管线探测工程监理导则》要求随机抽取样本，对管线图进行室内图面审查，并填写审查记录表。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5.3.2室外重复调查及探查采用同精度的方法进行明显点重复调查和隐蔽点重复探查，按照分布均匀、合理且具有代表性的原则，随机抽取一定比例的样本。样本抽取比例按下例要求执行：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（1）重复调查抽取明显管线点数不少于该类管线总数的 3%；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（2）重复探查抽取隐蔽管线点数不少于该类管线总数的 3%；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（3）开挖验证抽取隐蔽管线点数不少于该类管线总数的 1%；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（4）错探、漏探管线检查抽取的图幅数不少于总图幅数的 5%。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5.4测量成果质量检查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（1）成果质量检查采用同精度重复测量的方法对普查作业单位提交的测量成果进行质量检查。质量检查分为控制点成果检查和管线点测量精度检查。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（2）控制点成果质量检查应随机抽取不少于总量的5%进行重复检查，检查控制点的可靠性，验证测量精度。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（3）管线点测量精度检查采用以图幅为单位进行抽样检查，样本应随机抽取，均匀分布，样本抽取数据应符合《城市地下管线探测工程监理导则》（RISN-TG011）规定要求。</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（4）每幅管线图重复测量检查的点数不少于30 个，当图幅内管线点总数不足30个时，应全部进行重复测量检查。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（5）重复测量的管线点总数量不得少于测区管线点总数的 5%。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5.5成果精度检查按《成都市地下管线普查成果更新技术方案》第 6.1.3 节计算合项中误差和相应限差，粗差点、错误点的剔除和检查相关记录表的填写应符合《城市地下管线探测工程监理导则》（RISN-TG011）规定。 </w:t>
      </w:r>
    </w:p>
    <w:p>
      <w:pPr>
        <w:keepNext w:val="0"/>
        <w:keepLines w:val="0"/>
        <w:pageBreakBefore w:val="0"/>
        <w:widowControl/>
        <w:suppressLineNumbers w:val="0"/>
        <w:kinsoku/>
        <w:wordWrap/>
        <w:overflowPunct/>
        <w:topLinePunct w:val="0"/>
        <w:autoSpaceDE/>
        <w:autoSpaceDN/>
        <w:bidi w:val="0"/>
        <w:adjustRightInd w:val="0"/>
        <w:snapToGrid w:val="0"/>
        <w:ind w:firstLine="482" w:firstLineChars="200"/>
        <w:jc w:val="left"/>
        <w:textAlignment w:val="auto"/>
        <w:rPr>
          <w:rFonts w:hint="eastAsia" w:ascii="宋体" w:hAnsi="宋体" w:eastAsia="宋体" w:cs="宋体"/>
          <w:sz w:val="24"/>
          <w:szCs w:val="24"/>
        </w:rPr>
      </w:pPr>
      <w:r>
        <w:rPr>
          <w:rFonts w:hint="eastAsia" w:ascii="宋体" w:hAnsi="宋体" w:eastAsia="宋体" w:cs="宋体"/>
          <w:b/>
          <w:color w:val="000000"/>
          <w:kern w:val="0"/>
          <w:sz w:val="24"/>
          <w:szCs w:val="24"/>
          <w:lang w:val="en-US" w:eastAsia="zh-CN" w:bidi="ar"/>
        </w:rPr>
        <w:t xml:space="preserve">6.数据成果监理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6.1地下管线普查数据监理工作内容包括数据库文件检查、图形文件检查、成果一致性检查及测区接边检查。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6.2数据库文件检查采用人工检查、软件检查相结合的方法进行，主要检查数据库文件的数据结构、元数据的正确性、数据库属性检查，属性检查包含管线点和管线段属性项缺失检查、管线点逻辑属性检查、管线段属性逻辑检查、管线点和管线段高程逻辑检查。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6.3图形文件检查不少于总图幅数的 10%，检查内容为图形文件的图廓整饰、数据分层、图形注记及管线点符号的合理性。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6.4成果一致性检查内容为图形文件与数据库文件的一致性、数据库文件与管线成果表的一致性检查。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6.5接边检查主要对相邻测区管线图形与属性数据进行接边检查，保证接边管线属性数据完全一致。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6.6监理单位还应进行地下管线三维数据碰撞检查、逻辑一致性检查。</w:t>
      </w:r>
    </w:p>
    <w:p>
      <w:pPr>
        <w:pStyle w:val="55"/>
        <w:ind w:firstLine="482"/>
      </w:pPr>
      <w:bookmarkStart w:id="1287" w:name="_Toc18760"/>
      <w:r>
        <w:rPr>
          <w:rFonts w:hint="eastAsia"/>
        </w:rPr>
        <w:t>成果要求</w:t>
      </w:r>
      <w:bookmarkEnd w:id="1284"/>
      <w:bookmarkEnd w:id="1285"/>
      <w:bookmarkEnd w:id="1287"/>
    </w:p>
    <w:p>
      <w:pPr>
        <w:numPr>
          <w:ilvl w:val="1"/>
          <w:numId w:val="0"/>
        </w:numPr>
        <w:wordWrap w:val="0"/>
        <w:topLinePunct/>
        <w:ind w:firstLine="480" w:firstLineChars="200"/>
        <w:jc w:val="both"/>
        <w:rPr>
          <w:rFonts w:hint="eastAsia" w:cs="宋体"/>
        </w:rPr>
      </w:pPr>
      <w:bookmarkStart w:id="1288" w:name="_Toc25012"/>
      <w:r>
        <w:rPr>
          <w:rFonts w:hint="eastAsia" w:cs="宋体"/>
        </w:rPr>
        <w:t>根据全过程监理检查监督编制出具简阳市地下管线普查成果更新项目监理报告，并按照相关技术要求和标准提出整改意见，配合简阳市规划和自然资源局进行验收。</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cs="宋体"/>
          <w:b/>
          <w:bCs/>
        </w:rPr>
      </w:pPr>
      <w:r>
        <w:rPr>
          <w:rFonts w:hint="eastAsia" w:cs="宋体"/>
          <w:lang w:eastAsia="zh-CN"/>
        </w:rPr>
        <w:t>成果提交应</w:t>
      </w:r>
      <w:r>
        <w:rPr>
          <w:rFonts w:hint="eastAsia" w:cs="宋体"/>
        </w:rPr>
        <w:t>包括</w:t>
      </w:r>
      <w:r>
        <w:rPr>
          <w:rFonts w:hint="eastAsia" w:ascii="宋体" w:hAnsi="宋体" w:eastAsia="宋体" w:cs="宋体"/>
          <w:color w:val="000000"/>
          <w:kern w:val="0"/>
          <w:sz w:val="24"/>
          <w:szCs w:val="24"/>
          <w:lang w:val="en-US" w:eastAsia="zh-CN" w:bidi="ar"/>
        </w:rPr>
        <w:t>监理实施细则、监理检查记录、监理日志、监理月报、监理文档资料（含请示、通知、会议记录、处理意见等）、外业巡查记录、监理总结报告</w:t>
      </w:r>
      <w:r>
        <w:rPr>
          <w:rFonts w:hint="eastAsia" w:cs="宋体"/>
        </w:rPr>
        <w:t>等相关文档纸质和电子版各一套。</w:t>
      </w:r>
      <w:bookmarkEnd w:id="1288"/>
    </w:p>
    <w:p>
      <w:pPr>
        <w:pStyle w:val="55"/>
        <w:ind w:firstLine="482"/>
      </w:pPr>
      <w:bookmarkStart w:id="1289" w:name="_Toc28973"/>
      <w:bookmarkStart w:id="1290" w:name="_Toc2320"/>
      <w:bookmarkStart w:id="1291" w:name="_Toc28394"/>
      <w:r>
        <w:rPr>
          <w:rFonts w:hint="eastAsia"/>
        </w:rPr>
        <w:t>工作依据</w:t>
      </w:r>
      <w:bookmarkEnd w:id="1289"/>
      <w:bookmarkEnd w:id="1290"/>
      <w:bookmarkEnd w:id="1291"/>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bookmarkStart w:id="1292" w:name="_Toc23753"/>
      <w:r>
        <w:rPr>
          <w:rFonts w:hint="eastAsia" w:ascii="宋体" w:hAnsi="宋体" w:eastAsia="宋体" w:cs="宋体"/>
          <w:color w:val="000000"/>
          <w:kern w:val="0"/>
          <w:sz w:val="24"/>
          <w:szCs w:val="24"/>
          <w:lang w:val="en-US" w:eastAsia="zh-CN" w:bidi="ar"/>
        </w:rPr>
        <w:t>1.《测绘成果质量检查与验收》GB/T 24356；</w:t>
      </w:r>
      <w:r>
        <w:rPr>
          <w:rFonts w:ascii="Calibri" w:hAnsi="Calibri" w:eastAsia="宋体" w:cs="Calibri"/>
          <w:color w:val="000000"/>
          <w:kern w:val="0"/>
          <w:sz w:val="1"/>
          <w:szCs w:val="1"/>
          <w:lang w:val="en-US" w:eastAsia="zh-CN" w:bidi="ar"/>
        </w:rPr>
        <w:t xml:space="preserve">p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2.《数字测绘成果质量检查与验收》GB/T 18316；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3.《全球定位系统（GPS）测量规范》GB/T 18314；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4.《国家基本比例尺地图图式第 1 部分 1:500、1:1000、1:2000 地形图图式》GB/T 20257.1；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5.《中华人民共和国行政区划代码》GB/T 2260；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6.《城市地下管线探测技术规程》CJJ61；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7.《城市测量规范》CJJ/T 8；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8.《卫星定位城市测量技术标准》CJJ/T 73；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9.《城市地下管线探测工程监理导则》RISN-TG011；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10.《管线测量成果质量检验技术规程》CH/T 1033；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11.《城镇地下管线普查技术规程》DB51/T 2276-2016；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12.《城镇地下管线普查数据规定》DB51/T 2277-2016；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13.《城镇地下管线普查成果质量检验技术规定》DB51/T 2449-2018；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14.《电子文件归档光盘技术要求和应用规范》DA/38-2008；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15.《成都市地下管线普查成果更新实施方案》；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16.《成都市地下管线普查成果更新技术方案》；</w:t>
      </w:r>
    </w:p>
    <w:p>
      <w:pPr>
        <w:pStyle w:val="69"/>
        <w:numPr>
          <w:ilvl w:val="3"/>
          <w:numId w:val="0"/>
        </w:numPr>
        <w:ind w:leftChars="200"/>
      </w:pPr>
      <w:r>
        <w:rPr>
          <w:rFonts w:hint="eastAsia"/>
          <w:lang w:val="en-US" w:eastAsia="zh-CN"/>
        </w:rPr>
        <w:t>17.</w:t>
      </w:r>
      <w:r>
        <w:rPr>
          <w:rFonts w:hint="eastAsia"/>
        </w:rPr>
        <w:t>本采购文件。</w:t>
      </w:r>
    </w:p>
    <w:p>
      <w:pPr>
        <w:widowControl/>
        <w:shd w:val="clear" w:color="auto"/>
        <w:ind w:firstLine="482" w:firstLineChars="200"/>
        <w:rPr>
          <w:rFonts w:cs="宋体"/>
          <w:b/>
          <w:bCs/>
        </w:rPr>
      </w:pPr>
      <w:r>
        <w:rPr>
          <w:rFonts w:hint="eastAsia" w:cs="宋体"/>
          <w:b/>
          <w:bCs/>
        </w:rPr>
        <w:t>注：本采购文件中具体规定与作业依据不一致时，以本采购文件为准，以上标准若有更新则以国家最新行业规定执行。</w:t>
      </w:r>
    </w:p>
    <w:p>
      <w:pPr>
        <w:pStyle w:val="41"/>
        <w:ind w:firstLine="482"/>
      </w:pPr>
      <w:bookmarkStart w:id="1293" w:name="_Toc4978"/>
      <w:r>
        <w:rPr>
          <w:rFonts w:hint="eastAsia"/>
        </w:rPr>
        <w:t>※第</w:t>
      </w:r>
      <w:r>
        <w:rPr>
          <w:rFonts w:hint="eastAsia"/>
          <w:lang w:eastAsia="zh-CN"/>
        </w:rPr>
        <w:t>五</w:t>
      </w:r>
      <w:r>
        <w:rPr>
          <w:rFonts w:hint="eastAsia"/>
        </w:rPr>
        <w:t>包工作内容及要求</w:t>
      </w:r>
      <w:bookmarkEnd w:id="1292"/>
      <w:bookmarkEnd w:id="1293"/>
    </w:p>
    <w:p>
      <w:pPr>
        <w:pStyle w:val="55"/>
        <w:ind w:firstLine="482"/>
      </w:pPr>
      <w:bookmarkStart w:id="1294" w:name="_Toc25234"/>
      <w:bookmarkStart w:id="1295" w:name="_Toc3314"/>
      <w:bookmarkStart w:id="1296" w:name="_Toc8174"/>
      <w:r>
        <w:rPr>
          <w:rFonts w:hint="eastAsia"/>
        </w:rPr>
        <w:t>工作内容</w:t>
      </w:r>
      <w:bookmarkEnd w:id="1294"/>
      <w:bookmarkEnd w:id="1295"/>
      <w:bookmarkEnd w:id="1296"/>
    </w:p>
    <w:p>
      <w:pPr>
        <w:pStyle w:val="69"/>
        <w:ind w:firstLine="480"/>
      </w:pPr>
      <w:r>
        <w:rPr>
          <w:rFonts w:hint="eastAsia"/>
        </w:rPr>
        <w:t xml:space="preserve">掌握测绘地理信息质量生产管理、测绘地理信息质量管理等工作相关法规文件内容和要求； </w:t>
      </w:r>
    </w:p>
    <w:p>
      <w:pPr>
        <w:pStyle w:val="69"/>
        <w:ind w:firstLine="480"/>
      </w:pPr>
      <w:r>
        <w:rPr>
          <w:rFonts w:hint="eastAsia"/>
        </w:rPr>
        <w:t>掌握测绘地理信息生产标准、规范以及测绘地理信息成果质量检验标准、规范；</w:t>
      </w:r>
    </w:p>
    <w:p>
      <w:pPr>
        <w:pStyle w:val="69"/>
        <w:ind w:firstLine="480"/>
      </w:pPr>
      <w:r>
        <w:rPr>
          <w:rFonts w:hint="eastAsia"/>
        </w:rPr>
        <w:t>能够熟练掌握测绘地理信息产品质量检验流程、内容和方法，能够准确运用相关质检标准、规范进行产品质量评定；</w:t>
      </w:r>
    </w:p>
    <w:p>
      <w:pPr>
        <w:pStyle w:val="69"/>
        <w:ind w:firstLine="480"/>
      </w:pPr>
      <w:r>
        <w:rPr>
          <w:rFonts w:hint="eastAsia"/>
        </w:rPr>
        <w:t>能够针对本项目编制并实施工作内容完整、方法正确、技术说明准确的检验技术方案。</w:t>
      </w:r>
    </w:p>
    <w:p>
      <w:pPr>
        <w:pStyle w:val="69"/>
        <w:ind w:firstLine="480"/>
      </w:pPr>
      <w:r>
        <w:rPr>
          <w:rFonts w:hint="eastAsia"/>
          <w:lang w:val="en-US" w:eastAsia="zh-CN"/>
        </w:rPr>
        <w:t>样本量的确定应符合《管线测量成果质量检验技术规程》（CH/T 1033）附录 A 的规定</w:t>
      </w:r>
      <w:r>
        <w:rPr>
          <w:rFonts w:hint="eastAsia"/>
        </w:rPr>
        <w:t>。</w:t>
      </w:r>
    </w:p>
    <w:p>
      <w:pPr>
        <w:pStyle w:val="69"/>
        <w:ind w:firstLine="480"/>
      </w:pPr>
      <w:r>
        <w:rPr>
          <w:rFonts w:hint="eastAsia"/>
        </w:rPr>
        <w:t>工作人员必须遵循合法、公正、公平、公开的原则，必须遵守法律法规，遵守工作纪律，恪守职业道德。与受检单位或者受检项目有直接利害关系、可能影响检验公正的人员不得参加检验工作。工作人员应当保守受检测绘成果涉及的技术秘密、商业秘密，履行检验过程的保密职责。</w:t>
      </w:r>
    </w:p>
    <w:p>
      <w:pPr>
        <w:pStyle w:val="69"/>
        <w:ind w:firstLine="480"/>
      </w:pPr>
      <w:r>
        <w:rPr>
          <w:rFonts w:hint="eastAsia"/>
        </w:rPr>
        <w:t>按《通知单》要求的工作时限内完成相应检验工作，提交该《通知单》涉及项目的质量检查报告和测绘数据检查意见。</w:t>
      </w:r>
    </w:p>
    <w:p>
      <w:pPr>
        <w:pStyle w:val="55"/>
        <w:ind w:firstLine="482"/>
      </w:pPr>
      <w:bookmarkStart w:id="1297" w:name="_Toc13560"/>
      <w:bookmarkStart w:id="1298" w:name="_Toc1697"/>
      <w:r>
        <w:rPr>
          <w:rFonts w:hint="eastAsia"/>
          <w:lang w:eastAsia="zh-CN"/>
        </w:rPr>
        <w:t>资料要求</w:t>
      </w:r>
      <w:bookmarkEnd w:id="1297"/>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b w:val="0"/>
          <w:bCs/>
        </w:rPr>
      </w:pPr>
      <w:bookmarkStart w:id="1299" w:name="_Toc7943"/>
      <w:bookmarkStart w:id="1300" w:name="_Toc19977"/>
      <w:r>
        <w:rPr>
          <w:rFonts w:hint="eastAsia"/>
          <w:b w:val="0"/>
          <w:bCs/>
          <w:lang w:val="en-US" w:eastAsia="zh-CN"/>
        </w:rPr>
        <w:t>1.</w:t>
      </w:r>
      <w:r>
        <w:rPr>
          <w:b w:val="0"/>
          <w:bCs/>
          <w:lang w:val="en-US" w:eastAsia="zh-CN"/>
        </w:rPr>
        <w:t>检验完成后应编写检验报告，报告的内容、格式按《数字测绘</w:t>
      </w:r>
      <w:r>
        <w:rPr>
          <w:rFonts w:hint="eastAsia"/>
          <w:b w:val="0"/>
          <w:bCs/>
          <w:lang w:val="en-US" w:eastAsia="zh-CN"/>
        </w:rPr>
        <w:t>成果质量检查与验收》（</w:t>
      </w:r>
      <w:r>
        <w:rPr>
          <w:rFonts w:hint="default"/>
          <w:b w:val="0"/>
          <w:bCs/>
          <w:lang w:val="en-US" w:eastAsia="zh-CN"/>
        </w:rPr>
        <w:t>GB/T 18316</w:t>
      </w:r>
      <w:r>
        <w:rPr>
          <w:rFonts w:hint="eastAsia"/>
          <w:b w:val="0"/>
          <w:bCs/>
          <w:lang w:val="en-US" w:eastAsia="zh-CN"/>
        </w:rPr>
        <w:t>）的规定执行。</w:t>
      </w:r>
      <w:bookmarkEnd w:id="1299"/>
      <w:bookmarkEnd w:id="1300"/>
      <w:r>
        <w:rPr>
          <w:rFonts w:hint="eastAsia"/>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b w:val="0"/>
          <w:bCs/>
        </w:rPr>
      </w:pPr>
      <w:bookmarkStart w:id="1301" w:name="_Toc15868"/>
      <w:bookmarkStart w:id="1302" w:name="_Toc7008"/>
      <w:r>
        <w:rPr>
          <w:rFonts w:hint="eastAsia"/>
          <w:b w:val="0"/>
          <w:bCs/>
          <w:lang w:val="en-US" w:eastAsia="zh-CN"/>
        </w:rPr>
        <w:t>2.当检验成果划分为多个检验批次时，可每一批次或统一编制一个检验报告。</w:t>
      </w:r>
      <w:bookmarkEnd w:id="1301"/>
      <w:bookmarkEnd w:id="1302"/>
      <w:r>
        <w:rPr>
          <w:rFonts w:hint="eastAsia"/>
          <w:b w:val="0"/>
          <w:bCs/>
          <w:lang w:val="en-US" w:eastAsia="zh-CN"/>
        </w:rPr>
        <w:t xml:space="preserve"> </w:t>
      </w:r>
    </w:p>
    <w:p>
      <w:pPr>
        <w:pStyle w:val="55"/>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b w:val="0"/>
          <w:bCs/>
        </w:rPr>
      </w:pPr>
      <w:bookmarkStart w:id="1303" w:name="_Toc7530"/>
      <w:bookmarkStart w:id="1304" w:name="_Toc5109"/>
      <w:r>
        <w:rPr>
          <w:rFonts w:hint="eastAsia"/>
          <w:b w:val="0"/>
          <w:bCs/>
          <w:lang w:val="en-US" w:eastAsia="zh-CN"/>
        </w:rPr>
        <w:t>3.质量检验的相关依据、样本及其附件资料、样本清单、检验记录、检测数据、质量检验过程中留下的成果及记录均应进行归档管理。</w:t>
      </w:r>
      <w:bookmarkEnd w:id="1303"/>
      <w:bookmarkEnd w:id="1304"/>
    </w:p>
    <w:p>
      <w:pPr>
        <w:pStyle w:val="55"/>
        <w:ind w:firstLine="482"/>
      </w:pPr>
      <w:bookmarkStart w:id="1305" w:name="_Toc18888"/>
      <w:r>
        <w:rPr>
          <w:rFonts w:hint="eastAsia"/>
        </w:rPr>
        <w:t>工作依据</w:t>
      </w:r>
      <w:bookmarkEnd w:id="1298"/>
      <w:bookmarkEnd w:id="1305"/>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1.《测绘成果质量检查与验收》GB/T 24356；</w:t>
      </w:r>
      <w:r>
        <w:rPr>
          <w:rFonts w:ascii="Calibri" w:hAnsi="Calibri" w:eastAsia="宋体" w:cs="Calibri"/>
          <w:color w:val="000000"/>
          <w:kern w:val="0"/>
          <w:sz w:val="1"/>
          <w:szCs w:val="1"/>
          <w:lang w:val="en-US" w:eastAsia="zh-CN" w:bidi="ar"/>
        </w:rPr>
        <w:t xml:space="preserve">p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2.《数字测绘成果质量检查与验收》GB/T 18316；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3.《全球定位系统（GPS）测量规范》GB/T 18314；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4.《国家基本比例尺地图图式第 1 部分 1:500、1:1000、1:2000 地形图图式》GB/T 20257.1；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5.《中华人民共和国行政区划代码》GB/T 2260；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6.《城市地下管线探测技术规程》CJJ61；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7.《城市测量规范》CJJ/T 8；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8.《卫星定位城市测量技术标准》CJJ/T 73；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9.《城市地下管线探测工程监理导则》RISN-TG011；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10.《管线测量成果质量检验技术规程》CH/T 1033；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11.《城镇地下管线普查技术规程》DB51/T 2276-2016；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12.《城镇地下管线普查数据规定》DB51/T 2277-2016；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13.《城镇地下管线普查成果质量检验技术规定》DB51/T 2449-2018；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14.《电子文件归档光盘技术要求和应用规范》DA/38-2008；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 xml:space="preserve">15.《成都市地下管线普查成果更新实施方案》； </w:t>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16.《成都市地下管线普查成果更新技术方案》；</w:t>
      </w:r>
    </w:p>
    <w:p>
      <w:pPr>
        <w:pStyle w:val="69"/>
        <w:numPr>
          <w:ilvl w:val="3"/>
          <w:numId w:val="0"/>
        </w:numPr>
        <w:ind w:leftChars="200"/>
      </w:pPr>
      <w:r>
        <w:rPr>
          <w:rFonts w:hint="eastAsia"/>
          <w:lang w:val="en-US" w:eastAsia="zh-CN"/>
        </w:rPr>
        <w:t>17.</w:t>
      </w:r>
      <w:r>
        <w:rPr>
          <w:rFonts w:hint="eastAsia"/>
        </w:rPr>
        <w:t>本采购文件。</w:t>
      </w:r>
    </w:p>
    <w:p>
      <w:pPr>
        <w:widowControl/>
        <w:shd w:val="clear" w:color="auto"/>
        <w:ind w:firstLine="482" w:firstLineChars="200"/>
      </w:pPr>
      <w:r>
        <w:rPr>
          <w:rFonts w:hint="eastAsia" w:cs="宋体"/>
          <w:b/>
          <w:bCs/>
        </w:rPr>
        <w:t>注：本采购文件中具体规定与作业依据不一致时，以本采购文件为准，以上标准若有更新则以国家最新行业规定执行。</w:t>
      </w:r>
    </w:p>
    <w:p>
      <w:pPr>
        <w:pStyle w:val="41"/>
        <w:ind w:firstLine="482"/>
        <w:rPr>
          <w:highlight w:val="none"/>
        </w:rPr>
      </w:pPr>
      <w:bookmarkStart w:id="1306" w:name="_Toc12961"/>
      <w:bookmarkStart w:id="1307" w:name="_Toc20554"/>
      <w:bookmarkStart w:id="1308" w:name="_Toc27333"/>
      <w:r>
        <w:rPr>
          <w:rFonts w:hint="eastAsia"/>
          <w:highlight w:val="none"/>
        </w:rPr>
        <w:t>※关系要求</w:t>
      </w:r>
      <w:bookmarkEnd w:id="1306"/>
      <w:bookmarkEnd w:id="1307"/>
      <w:bookmarkEnd w:id="1308"/>
    </w:p>
    <w:p>
      <w:pPr>
        <w:numPr>
          <w:ilvl w:val="1"/>
          <w:numId w:val="0"/>
        </w:numPr>
        <w:wordWrap w:val="0"/>
        <w:topLinePunct/>
        <w:adjustRightInd w:val="0"/>
        <w:snapToGrid w:val="0"/>
        <w:spacing w:line="440" w:lineRule="exact"/>
        <w:ind w:firstLine="480" w:firstLineChars="200"/>
        <w:jc w:val="both"/>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1.</w:t>
      </w:r>
      <w:r>
        <w:rPr>
          <w:rFonts w:hint="eastAsia" w:asciiTheme="minorEastAsia" w:hAnsiTheme="minorEastAsia" w:eastAsiaTheme="minorEastAsia" w:cstheme="minorEastAsia"/>
          <w:bCs/>
          <w:sz w:val="24"/>
          <w:szCs w:val="24"/>
          <w:highlight w:val="none"/>
          <w:lang w:val="zh-CN"/>
        </w:rPr>
        <w:t>为最大限度确保本项目的完成质量</w:t>
      </w:r>
      <w:r>
        <w:rPr>
          <w:rFonts w:hint="eastAsia" w:asciiTheme="minorEastAsia" w:hAnsiTheme="minorEastAsia" w:eastAsiaTheme="minorEastAsia" w:cstheme="minorEastAsia"/>
          <w:bCs/>
          <w:sz w:val="24"/>
          <w:szCs w:val="24"/>
          <w:highlight w:val="none"/>
          <w:lang w:val="en-US" w:eastAsia="zh-CN"/>
        </w:rPr>
        <w:t>及时效性</w:t>
      </w:r>
      <w:r>
        <w:rPr>
          <w:rFonts w:hint="eastAsia" w:asciiTheme="minorEastAsia" w:hAnsiTheme="minorEastAsia" w:eastAsiaTheme="minorEastAsia" w:cstheme="minorEastAsia"/>
          <w:bCs/>
          <w:sz w:val="24"/>
          <w:szCs w:val="24"/>
          <w:highlight w:val="none"/>
          <w:lang w:val="zh-CN"/>
        </w:rPr>
        <w:t>，</w:t>
      </w:r>
      <w:r>
        <w:rPr>
          <w:rFonts w:hint="eastAsia" w:asciiTheme="minorEastAsia" w:hAnsiTheme="minorEastAsia" w:eastAsiaTheme="minorEastAsia" w:cstheme="minorEastAsia"/>
          <w:bCs/>
          <w:sz w:val="24"/>
          <w:szCs w:val="24"/>
          <w:highlight w:val="none"/>
          <w:lang w:val="en-US" w:eastAsia="zh-CN"/>
        </w:rPr>
        <w:t>在本项目的1～5包中，投标人可对其中的任意一个包或多个包同时进行投标，但是最多总共只能在其中一个包中标，若投标人同时在多个包的评审得分排序均为第一，则以包号由小到大的顺序确定其优先中标顺序</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Cs/>
          <w:sz w:val="24"/>
          <w:szCs w:val="24"/>
          <w:highlight w:val="none"/>
          <w:lang w:val="en-US" w:eastAsia="zh-CN"/>
        </w:rPr>
        <w:t>即，若投标人在已评审的包中成为第一中标候选人，同时在其它包中是评审得分排序第一，将自动放弃其在其它包的中标候选人资格，评标委员会将推荐其它包评审得分排序第二的投标人为第一中标候选人，以此类推</w:t>
      </w:r>
      <w:r>
        <w:rPr>
          <w:rFonts w:hint="eastAsia" w:asciiTheme="minorEastAsia" w:hAnsiTheme="minorEastAsia" w:eastAsiaTheme="minorEastAsia" w:cstheme="minorEastAsia"/>
          <w:b/>
          <w:bCs/>
          <w:sz w:val="24"/>
          <w:szCs w:val="24"/>
          <w:highlight w:val="none"/>
          <w:lang w:val="en-US" w:eastAsia="zh-CN"/>
        </w:rPr>
        <w:t>(投标供应商同时参加了本项目多个包</w:t>
      </w:r>
      <w:r>
        <w:rPr>
          <w:rFonts w:hint="eastAsia" w:asciiTheme="minorEastAsia" w:hAnsiTheme="minorEastAsia" w:eastAsiaTheme="minorEastAsia" w:cstheme="minorEastAsia"/>
          <w:b/>
          <w:bCs/>
          <w:sz w:val="24"/>
          <w:szCs w:val="24"/>
          <w:highlight w:val="none"/>
        </w:rPr>
        <w:t>投标时须单独提供承诺函对本条要求进行响应，否则视为不能满足本条要求</w:t>
      </w:r>
      <w:r>
        <w:rPr>
          <w:rFonts w:hint="eastAsia" w:asciiTheme="minorEastAsia" w:hAnsiTheme="minorEastAsia" w:eastAsiaTheme="minorEastAsia" w:cstheme="minorEastAsia"/>
          <w:b/>
          <w:bCs/>
          <w:sz w:val="24"/>
          <w:szCs w:val="24"/>
          <w:highlight w:val="none"/>
          <w:lang w:val="en-US" w:eastAsia="zh-CN"/>
        </w:rPr>
        <w:t>)</w:t>
      </w:r>
      <w:r>
        <w:rPr>
          <w:rFonts w:hint="eastAsia" w:asciiTheme="minorEastAsia" w:hAnsiTheme="minorEastAsia" w:eastAsiaTheme="minorEastAsia" w:cstheme="minorEastAsia"/>
          <w:bCs/>
          <w:sz w:val="24"/>
          <w:szCs w:val="24"/>
          <w:highlight w:val="none"/>
          <w:lang w:eastAsia="zh-CN"/>
        </w:rPr>
        <w:t>。</w:t>
      </w:r>
    </w:p>
    <w:p>
      <w:pPr>
        <w:numPr>
          <w:ilvl w:val="1"/>
          <w:numId w:val="0"/>
        </w:numPr>
        <w:wordWrap w:val="0"/>
        <w:topLinePunct/>
        <w:ind w:firstLine="480" w:firstLineChars="200"/>
        <w:jc w:val="both"/>
        <w:rPr>
          <w:rFonts w:hint="default" w:eastAsia="宋体" w:cs="宋体"/>
          <w:b/>
          <w:bCs/>
          <w:highlight w:val="none"/>
          <w:lang w:val="en-US" w:eastAsia="zh-CN"/>
        </w:rPr>
      </w:pPr>
      <w:r>
        <w:rPr>
          <w:rFonts w:hint="eastAsia" w:asciiTheme="minorEastAsia" w:hAnsiTheme="minorEastAsia" w:eastAsiaTheme="minorEastAsia" w:cstheme="minorEastAsia"/>
          <w:bCs/>
          <w:sz w:val="24"/>
          <w:szCs w:val="24"/>
          <w:highlight w:val="none"/>
          <w:lang w:val="en-US" w:eastAsia="zh-CN"/>
        </w:rPr>
        <w:t>2.</w:t>
      </w:r>
      <w:r>
        <w:rPr>
          <w:rFonts w:hint="eastAsia" w:asciiTheme="minorEastAsia" w:hAnsiTheme="minorEastAsia" w:eastAsiaTheme="minorEastAsia" w:cstheme="minorEastAsia"/>
          <w:bCs/>
          <w:sz w:val="24"/>
          <w:szCs w:val="24"/>
          <w:highlight w:val="none"/>
          <w:lang w:val="zh-CN"/>
        </w:rPr>
        <w:t>为最大限度确保本项目的有效性，如投标供应商参加了</w:t>
      </w:r>
      <w:r>
        <w:rPr>
          <w:rFonts w:hint="eastAsia" w:asciiTheme="minorEastAsia" w:hAnsiTheme="minorEastAsia" w:eastAsiaTheme="minorEastAsia" w:cstheme="minorEastAsia"/>
          <w:bCs/>
          <w:sz w:val="24"/>
          <w:szCs w:val="24"/>
          <w:highlight w:val="none"/>
        </w:rPr>
        <w:t>本项目</w:t>
      </w:r>
      <w:r>
        <w:rPr>
          <w:rFonts w:hint="eastAsia" w:asciiTheme="minorEastAsia" w:hAnsiTheme="minorEastAsia" w:eastAsiaTheme="minorEastAsia" w:cstheme="minorEastAsia"/>
          <w:bCs/>
          <w:sz w:val="24"/>
          <w:szCs w:val="24"/>
          <w:highlight w:val="none"/>
          <w:lang w:eastAsia="zh-CN"/>
        </w:rPr>
        <w:t>第四包或第五包投标时，须承诺</w:t>
      </w:r>
      <w:r>
        <w:rPr>
          <w:rFonts w:hint="eastAsia" w:asciiTheme="minorEastAsia" w:hAnsiTheme="minorEastAsia" w:eastAsiaTheme="minorEastAsia" w:cstheme="minorEastAsia"/>
          <w:bCs/>
          <w:sz w:val="24"/>
          <w:szCs w:val="24"/>
          <w:highlight w:val="none"/>
          <w:lang w:val="zh-CN"/>
        </w:rPr>
        <w:t>如我单位被采购人确定为</w:t>
      </w:r>
      <w:r>
        <w:rPr>
          <w:rFonts w:hint="eastAsia" w:asciiTheme="minorEastAsia" w:hAnsiTheme="minorEastAsia" w:eastAsiaTheme="minorEastAsia" w:cstheme="minorEastAsia"/>
          <w:bCs/>
          <w:sz w:val="24"/>
          <w:szCs w:val="24"/>
          <w:highlight w:val="none"/>
        </w:rPr>
        <w:t>中标供应商</w:t>
      </w:r>
      <w:r>
        <w:rPr>
          <w:rFonts w:hint="eastAsia" w:asciiTheme="minorEastAsia" w:hAnsiTheme="minorEastAsia" w:eastAsiaTheme="minorEastAsia" w:cstheme="minorEastAsia"/>
          <w:bCs/>
          <w:sz w:val="24"/>
          <w:szCs w:val="24"/>
          <w:highlight w:val="none"/>
          <w:lang w:eastAsia="zh-CN"/>
        </w:rPr>
        <w:t>，同时我单位又</w:t>
      </w:r>
      <w:r>
        <w:rPr>
          <w:rFonts w:hint="eastAsia" w:asciiTheme="minorEastAsia" w:hAnsiTheme="minorEastAsia" w:eastAsiaTheme="minorEastAsia" w:cstheme="minorEastAsia"/>
          <w:bCs/>
          <w:sz w:val="24"/>
          <w:szCs w:val="24"/>
          <w:highlight w:val="none"/>
        </w:rPr>
        <w:t>与第一包</w:t>
      </w:r>
      <w:r>
        <w:rPr>
          <w:rFonts w:hint="eastAsia" w:asciiTheme="minorEastAsia" w:hAnsiTheme="minorEastAsia" w:eastAsiaTheme="minorEastAsia" w:cstheme="minorEastAsia"/>
          <w:bCs/>
          <w:sz w:val="24"/>
          <w:szCs w:val="24"/>
          <w:highlight w:val="none"/>
          <w:lang w:eastAsia="zh-CN"/>
        </w:rPr>
        <w:t>、第二包和第三包</w:t>
      </w:r>
      <w:r>
        <w:rPr>
          <w:rFonts w:hint="eastAsia" w:asciiTheme="minorEastAsia" w:hAnsiTheme="minorEastAsia" w:eastAsiaTheme="minorEastAsia" w:cstheme="minorEastAsia"/>
          <w:bCs/>
          <w:sz w:val="24"/>
          <w:szCs w:val="24"/>
          <w:highlight w:val="none"/>
        </w:rPr>
        <w:t>中标供应商存在</w:t>
      </w:r>
      <w:r>
        <w:rPr>
          <w:rFonts w:hint="eastAsia" w:asciiTheme="minorEastAsia" w:hAnsiTheme="minorEastAsia" w:eastAsiaTheme="minorEastAsia" w:cstheme="minorEastAsia"/>
          <w:bCs/>
          <w:sz w:val="24"/>
          <w:szCs w:val="24"/>
          <w:highlight w:val="none"/>
          <w:lang w:val="zh-CN"/>
        </w:rPr>
        <w:t>单位负责人为同一人或存在直接控股、管理关系的，我单位自愿放弃中标资格</w:t>
      </w:r>
      <w:r>
        <w:rPr>
          <w:rFonts w:hint="eastAsia" w:asciiTheme="minorEastAsia" w:hAnsiTheme="minorEastAsia" w:eastAsiaTheme="minorEastAsia" w:cstheme="minorEastAsia"/>
          <w:b/>
          <w:bCs w:val="0"/>
          <w:sz w:val="24"/>
          <w:szCs w:val="24"/>
          <w:highlight w:val="none"/>
          <w:lang w:val="en-US" w:eastAsia="zh-CN"/>
        </w:rPr>
        <w:t>(</w:t>
      </w:r>
      <w:r>
        <w:rPr>
          <w:rFonts w:hint="eastAsia" w:asciiTheme="minorEastAsia" w:hAnsiTheme="minorEastAsia" w:eastAsiaTheme="minorEastAsia" w:cstheme="minorEastAsia"/>
          <w:b/>
          <w:bCs/>
          <w:sz w:val="24"/>
          <w:szCs w:val="24"/>
          <w:highlight w:val="none"/>
          <w:lang w:eastAsia="zh-CN"/>
        </w:rPr>
        <w:t>投标</w:t>
      </w:r>
      <w:r>
        <w:rPr>
          <w:rFonts w:hint="eastAsia" w:asciiTheme="minorEastAsia" w:hAnsiTheme="minorEastAsia" w:eastAsiaTheme="minorEastAsia" w:cstheme="minorEastAsia"/>
          <w:b/>
          <w:bCs/>
          <w:sz w:val="24"/>
          <w:szCs w:val="24"/>
          <w:highlight w:val="none"/>
        </w:rPr>
        <w:t>供应商参加了本项目</w:t>
      </w:r>
      <w:r>
        <w:rPr>
          <w:rFonts w:hint="eastAsia" w:asciiTheme="minorEastAsia" w:hAnsiTheme="minorEastAsia" w:eastAsiaTheme="minorEastAsia" w:cstheme="minorEastAsia"/>
          <w:b/>
          <w:bCs/>
          <w:sz w:val="24"/>
          <w:szCs w:val="24"/>
          <w:highlight w:val="none"/>
          <w:lang w:eastAsia="zh-CN"/>
        </w:rPr>
        <w:t>第四包或第五包</w:t>
      </w:r>
      <w:r>
        <w:rPr>
          <w:rFonts w:hint="eastAsia" w:asciiTheme="minorEastAsia" w:hAnsiTheme="minorEastAsia" w:eastAsiaTheme="minorEastAsia" w:cstheme="minorEastAsia"/>
          <w:b/>
          <w:bCs/>
          <w:sz w:val="24"/>
          <w:szCs w:val="24"/>
          <w:highlight w:val="none"/>
        </w:rPr>
        <w:t>投标时须单独提供承诺函对本条要求进行响应，否则视为不能满足本条要求</w:t>
      </w:r>
      <w:r>
        <w:rPr>
          <w:rFonts w:hint="eastAsia" w:asciiTheme="minorEastAsia" w:hAnsiTheme="minorEastAsia" w:eastAsiaTheme="minorEastAsia" w:cstheme="minorEastAsia"/>
          <w:b/>
          <w:bCs/>
          <w:sz w:val="24"/>
          <w:szCs w:val="24"/>
          <w:highlight w:val="none"/>
          <w:lang w:val="en-US" w:eastAsia="zh-CN"/>
        </w:rPr>
        <w:t>)</w:t>
      </w:r>
      <w:r>
        <w:rPr>
          <w:rFonts w:hint="eastAsia" w:asciiTheme="minorEastAsia" w:hAnsiTheme="minorEastAsia" w:eastAsiaTheme="minorEastAsia" w:cstheme="minorEastAsia"/>
          <w:b/>
          <w:bCs/>
          <w:sz w:val="24"/>
          <w:szCs w:val="24"/>
          <w:highlight w:val="none"/>
          <w:lang w:eastAsia="zh-CN"/>
        </w:rPr>
        <w:t>。</w:t>
      </w:r>
    </w:p>
    <w:bookmarkEnd w:id="1276"/>
    <w:bookmarkEnd w:id="1277"/>
    <w:bookmarkEnd w:id="1278"/>
    <w:p>
      <w:pPr>
        <w:pStyle w:val="41"/>
        <w:ind w:firstLine="482"/>
      </w:pPr>
      <w:bookmarkStart w:id="1309" w:name="_Toc22713"/>
      <w:bookmarkStart w:id="1310" w:name="_Toc28870"/>
      <w:r>
        <w:rPr>
          <w:rFonts w:hint="eastAsia"/>
        </w:rPr>
        <w:t>服务能力要求</w:t>
      </w:r>
      <w:bookmarkEnd w:id="1309"/>
      <w:bookmarkEnd w:id="1310"/>
    </w:p>
    <w:p>
      <w:pPr>
        <w:pStyle w:val="55"/>
        <w:ind w:firstLine="482"/>
      </w:pPr>
      <w:bookmarkStart w:id="1311" w:name="_Toc9293"/>
      <w:bookmarkStart w:id="1312" w:name="_Toc12157"/>
      <w:r>
        <w:rPr>
          <w:rFonts w:hint="eastAsia"/>
        </w:rPr>
        <w:t>服务方案编制要求</w:t>
      </w:r>
      <w:bookmarkEnd w:id="1311"/>
      <w:bookmarkEnd w:id="1312"/>
    </w:p>
    <w:p>
      <w:pPr>
        <w:ind w:firstLine="480" w:firstLineChars="200"/>
        <w:rPr>
          <w:rFonts w:cs="宋体"/>
          <w:b/>
        </w:rPr>
      </w:pPr>
      <w:r>
        <w:rPr>
          <w:rFonts w:hint="eastAsia" w:cs="宋体"/>
          <w:bCs/>
        </w:rPr>
        <w:t>投标人针对本项目提供的服务方案中应具有项目需求分析、实施方案和后续服务方案等内容，</w:t>
      </w:r>
      <w:r>
        <w:rPr>
          <w:rFonts w:hint="eastAsia" w:cs="宋体"/>
          <w:szCs w:val="21"/>
        </w:rPr>
        <w:t>具体详见各包评分明细表</w:t>
      </w:r>
      <w:r>
        <w:rPr>
          <w:rFonts w:hint="eastAsia" w:cs="宋体"/>
          <w:bCs/>
        </w:rPr>
        <w:t>。</w:t>
      </w:r>
    </w:p>
    <w:p>
      <w:pPr>
        <w:pStyle w:val="55"/>
        <w:ind w:firstLine="482"/>
      </w:pPr>
      <w:bookmarkStart w:id="1313" w:name="_Toc25208"/>
      <w:bookmarkStart w:id="1314" w:name="_Toc7749"/>
      <w:r>
        <w:rPr>
          <w:rFonts w:hint="eastAsia"/>
        </w:rPr>
        <w:t>履约能力要求</w:t>
      </w:r>
      <w:bookmarkEnd w:id="1313"/>
      <w:bookmarkEnd w:id="1314"/>
    </w:p>
    <w:p>
      <w:pPr>
        <w:numPr>
          <w:ilvl w:val="1"/>
          <w:numId w:val="0"/>
        </w:numPr>
        <w:wordWrap w:val="0"/>
        <w:topLinePunct/>
        <w:ind w:firstLine="480" w:firstLineChars="200"/>
        <w:jc w:val="both"/>
        <w:rPr>
          <w:rFonts w:cs="宋体"/>
          <w:b/>
        </w:rPr>
      </w:pPr>
      <w:bookmarkStart w:id="1315" w:name="_Toc23224"/>
      <w:bookmarkStart w:id="1316" w:name="_Toc22644"/>
      <w:r>
        <w:rPr>
          <w:rFonts w:hint="eastAsia" w:cs="宋体"/>
        </w:rPr>
        <w:t>投标人针对本项目配备的相关专业人员和设备、具有的相关证书、投标人具有与本项目类似的相关履约经验，具体详见各包评分明细表。</w:t>
      </w:r>
      <w:bookmarkEnd w:id="1315"/>
      <w:bookmarkEnd w:id="1316"/>
    </w:p>
    <w:p>
      <w:pPr>
        <w:pStyle w:val="41"/>
        <w:ind w:firstLine="482"/>
      </w:pPr>
      <w:bookmarkStart w:id="1317" w:name="_Toc562"/>
      <w:bookmarkStart w:id="1318" w:name="_Toc28378"/>
      <w:r>
        <w:rPr>
          <w:rFonts w:hint="eastAsia"/>
        </w:rPr>
        <w:t>※商务要求</w:t>
      </w:r>
      <w:bookmarkEnd w:id="1279"/>
      <w:bookmarkEnd w:id="1280"/>
      <w:bookmarkEnd w:id="1317"/>
      <w:bookmarkEnd w:id="1318"/>
    </w:p>
    <w:p>
      <w:pPr>
        <w:pStyle w:val="55"/>
        <w:ind w:firstLine="482"/>
      </w:pPr>
      <w:bookmarkStart w:id="1319" w:name="_Toc3991"/>
      <w:bookmarkStart w:id="1320" w:name="_Toc690"/>
      <w:bookmarkStart w:id="1321" w:name="_Toc8924"/>
      <w:bookmarkStart w:id="1322" w:name="_Toc3396"/>
      <w:r>
        <w:rPr>
          <w:rFonts w:hint="eastAsia"/>
        </w:rPr>
        <w:t>履约时间和地点</w:t>
      </w:r>
      <w:bookmarkEnd w:id="1319"/>
      <w:bookmarkEnd w:id="1320"/>
      <w:bookmarkEnd w:id="1321"/>
      <w:bookmarkEnd w:id="1322"/>
    </w:p>
    <w:p>
      <w:pPr>
        <w:pStyle w:val="69"/>
        <w:ind w:firstLine="480"/>
      </w:pPr>
      <w:r>
        <w:rPr>
          <w:rFonts w:hint="eastAsia"/>
        </w:rPr>
        <w:t>履约时间：</w:t>
      </w:r>
    </w:p>
    <w:p>
      <w:pPr>
        <w:pStyle w:val="71"/>
        <w:ind w:firstLine="480"/>
      </w:pPr>
      <w:r>
        <w:rPr>
          <w:rFonts w:hint="eastAsia"/>
        </w:rPr>
        <w:t>第一包</w:t>
      </w:r>
      <w:r>
        <w:rPr>
          <w:rFonts w:hint="eastAsia"/>
          <w:lang w:eastAsia="zh-CN"/>
        </w:rPr>
        <w:t>、第二包和第三包</w:t>
      </w:r>
      <w:r>
        <w:rPr>
          <w:rFonts w:hint="eastAsia"/>
        </w:rPr>
        <w:t>履约时间：投标供应商须在2022年12月31日前完成全部工作内容并向采购人提交全部自检合格成果。</w:t>
      </w:r>
    </w:p>
    <w:p>
      <w:pPr>
        <w:pStyle w:val="71"/>
        <w:ind w:firstLine="480"/>
      </w:pPr>
      <w:r>
        <w:rPr>
          <w:rFonts w:hint="eastAsia"/>
        </w:rPr>
        <w:t>第</w:t>
      </w:r>
      <w:r>
        <w:rPr>
          <w:rFonts w:hint="eastAsia"/>
          <w:lang w:eastAsia="zh-CN"/>
        </w:rPr>
        <w:t>四</w:t>
      </w:r>
      <w:r>
        <w:rPr>
          <w:rFonts w:hint="eastAsia"/>
        </w:rPr>
        <w:t>包履约时间：投标供应商须在2022年12月31日前完成全部工作内容并向采购人提交全部</w:t>
      </w:r>
      <w:r>
        <w:rPr>
          <w:rFonts w:hint="eastAsia"/>
          <w:lang w:eastAsia="zh-CN"/>
        </w:rPr>
        <w:t>监理</w:t>
      </w:r>
      <w:r>
        <w:rPr>
          <w:rFonts w:hint="eastAsia"/>
        </w:rPr>
        <w:t>成果。</w:t>
      </w:r>
    </w:p>
    <w:p>
      <w:pPr>
        <w:pStyle w:val="71"/>
        <w:ind w:firstLine="480"/>
      </w:pPr>
      <w:r>
        <w:rPr>
          <w:rFonts w:hint="eastAsia"/>
        </w:rPr>
        <w:t>第</w:t>
      </w:r>
      <w:r>
        <w:rPr>
          <w:rFonts w:hint="eastAsia"/>
          <w:lang w:eastAsia="zh-CN"/>
        </w:rPr>
        <w:t>五</w:t>
      </w:r>
      <w:r>
        <w:rPr>
          <w:rFonts w:hint="eastAsia"/>
        </w:rPr>
        <w:t>包履约时间：项目完成后1个月内完成</w:t>
      </w:r>
      <w:r>
        <w:rPr>
          <w:rFonts w:hint="eastAsia"/>
          <w:lang w:eastAsia="zh-CN"/>
        </w:rPr>
        <w:t>项目质量</w:t>
      </w:r>
      <w:r>
        <w:rPr>
          <w:rFonts w:hint="eastAsia"/>
        </w:rPr>
        <w:t>检查验收工作。</w:t>
      </w:r>
    </w:p>
    <w:p>
      <w:pPr>
        <w:pStyle w:val="69"/>
        <w:ind w:firstLine="480"/>
      </w:pPr>
      <w:r>
        <w:rPr>
          <w:rFonts w:hint="eastAsia"/>
        </w:rPr>
        <w:t>履约地点：采购人指定地点。</w:t>
      </w:r>
    </w:p>
    <w:p>
      <w:pPr>
        <w:pStyle w:val="55"/>
        <w:ind w:firstLine="482"/>
      </w:pPr>
      <w:bookmarkStart w:id="1323" w:name="_Toc3258"/>
      <w:bookmarkStart w:id="1324" w:name="_Toc3776"/>
      <w:bookmarkStart w:id="1325" w:name="_Toc23840"/>
      <w:bookmarkStart w:id="1326" w:name="_Toc11899"/>
      <w:bookmarkStart w:id="1327" w:name="_Toc9450"/>
      <w:r>
        <w:rPr>
          <w:rFonts w:hint="eastAsia"/>
        </w:rPr>
        <w:t>合同价款</w:t>
      </w:r>
      <w:bookmarkEnd w:id="1323"/>
      <w:bookmarkEnd w:id="1324"/>
      <w:bookmarkEnd w:id="1325"/>
      <w:bookmarkEnd w:id="1326"/>
      <w:bookmarkEnd w:id="1327"/>
    </w:p>
    <w:p>
      <w:pPr>
        <w:wordWrap w:val="0"/>
        <w:topLinePunct/>
        <w:ind w:firstLine="480" w:firstLineChars="200"/>
        <w:jc w:val="both"/>
        <w:rPr>
          <w:rFonts w:cs="宋体"/>
        </w:rPr>
      </w:pPr>
      <w:r>
        <w:rPr>
          <w:rFonts w:hint="eastAsia" w:cs="宋体"/>
        </w:rPr>
        <w:t>合同价是供应商响应采购项目要求的全部工作内容的价格体现，</w:t>
      </w:r>
      <w:r>
        <w:rPr>
          <w:rFonts w:hint="eastAsia" w:cs="宋体"/>
          <w:bCs/>
        </w:rPr>
        <w:t>包含完成本项目所涉及人员劳务、差旅、设备投入、调研、保险、风险、税金、利润、招标代理服务费以及招标文件规定的一切费用</w:t>
      </w:r>
      <w:r>
        <w:rPr>
          <w:rFonts w:hint="eastAsia" w:cs="宋体"/>
        </w:rPr>
        <w:t>。</w:t>
      </w:r>
    </w:p>
    <w:p>
      <w:pPr>
        <w:pStyle w:val="55"/>
        <w:ind w:firstLine="482"/>
      </w:pPr>
      <w:bookmarkStart w:id="1328" w:name="_Toc27950"/>
      <w:bookmarkStart w:id="1329" w:name="_Toc12243"/>
      <w:bookmarkStart w:id="1330" w:name="_Toc14269"/>
      <w:bookmarkStart w:id="1331" w:name="_Toc7336"/>
      <w:bookmarkStart w:id="1332" w:name="_Toc19163"/>
      <w:r>
        <w:rPr>
          <w:rFonts w:hint="eastAsia"/>
        </w:rPr>
        <w:t>付款方式</w:t>
      </w:r>
      <w:bookmarkEnd w:id="1328"/>
      <w:bookmarkEnd w:id="1329"/>
      <w:bookmarkEnd w:id="1330"/>
      <w:bookmarkEnd w:id="1331"/>
      <w:bookmarkEnd w:id="1332"/>
    </w:p>
    <w:p>
      <w:pPr>
        <w:pStyle w:val="69"/>
        <w:ind w:firstLine="480"/>
        <w:rPr>
          <w:rFonts w:hint="eastAsia"/>
          <w:highlight w:val="none"/>
        </w:rPr>
      </w:pPr>
      <w:bookmarkStart w:id="1333" w:name="_Toc12568"/>
      <w:bookmarkStart w:id="1334" w:name="_Toc29167"/>
      <w:bookmarkStart w:id="1335" w:name="_Toc22317"/>
      <w:bookmarkStart w:id="1336" w:name="_Toc12613"/>
      <w:bookmarkStart w:id="1337" w:name="_Toc211911353"/>
      <w:bookmarkStart w:id="1338" w:name="_Toc211854454"/>
      <w:bookmarkStart w:id="1339" w:name="_Toc185395254"/>
      <w:bookmarkStart w:id="1340" w:name="_Toc241833908"/>
      <w:bookmarkStart w:id="1341" w:name="_Toc238984980"/>
      <w:bookmarkStart w:id="1342" w:name="_Toc286993792"/>
      <w:bookmarkStart w:id="1343" w:name="_Toc232492933"/>
      <w:bookmarkStart w:id="1344" w:name="_Toc251768867"/>
      <w:bookmarkStart w:id="1345" w:name="_Toc225670756"/>
      <w:bookmarkStart w:id="1346" w:name="_Toc225654649"/>
      <w:bookmarkStart w:id="1347" w:name="_Toc212019599"/>
      <w:bookmarkStart w:id="1348" w:name="_Toc225244857"/>
      <w:bookmarkStart w:id="1349" w:name="_Toc239568423"/>
      <w:bookmarkStart w:id="1350" w:name="_Toc247334846"/>
      <w:bookmarkStart w:id="1351" w:name="_Toc237145411"/>
      <w:bookmarkStart w:id="1352" w:name="_Toc239233919"/>
      <w:r>
        <w:rPr>
          <w:rFonts w:hint="eastAsia"/>
          <w:highlight w:val="none"/>
        </w:rPr>
        <w:t>政府采购合同签订生效后30个工作日内，采购人向中标供应商支付合同总额的30%作为预付款；</w:t>
      </w:r>
    </w:p>
    <w:p>
      <w:pPr>
        <w:pStyle w:val="69"/>
        <w:ind w:firstLine="480"/>
        <w:rPr>
          <w:rFonts w:hint="eastAsia"/>
          <w:highlight w:val="none"/>
        </w:rPr>
      </w:pPr>
      <w:r>
        <w:rPr>
          <w:rFonts w:hint="eastAsia"/>
          <w:highlight w:val="none"/>
        </w:rPr>
        <w:t>中标供应商向采购人提交总工作量的80%成果并经监理单位检查合格后15个工作日内，采购人向中标供应商支付合同总额的40%；</w:t>
      </w:r>
    </w:p>
    <w:p>
      <w:pPr>
        <w:pStyle w:val="69"/>
        <w:ind w:firstLine="480"/>
        <w:rPr>
          <w:rFonts w:hint="eastAsia"/>
          <w:highlight w:val="none"/>
        </w:rPr>
      </w:pPr>
      <w:r>
        <w:rPr>
          <w:rFonts w:hint="eastAsia"/>
          <w:highlight w:val="none"/>
        </w:rPr>
        <w:t>中标供应商完成采购人提交的最终成果并达到成都市规划和自然资源局成果要求后15个工作日内，采购人向中标供应商支付合同总额的30%。</w:t>
      </w:r>
    </w:p>
    <w:p>
      <w:pPr>
        <w:pStyle w:val="69"/>
        <w:ind w:firstLine="480"/>
        <w:rPr>
          <w:highlight w:val="none"/>
        </w:rPr>
      </w:pPr>
      <w:r>
        <w:rPr>
          <w:rFonts w:hint="eastAsia"/>
          <w:highlight w:val="none"/>
        </w:rPr>
        <w:t>支付每笔款项前，中标供应商须向采购人出具合法有效的完整完税发票进行支付结算。</w:t>
      </w:r>
    </w:p>
    <w:p>
      <w:pPr>
        <w:pStyle w:val="69"/>
        <w:ind w:firstLine="480"/>
        <w:rPr>
          <w:highlight w:val="none"/>
        </w:rPr>
      </w:pPr>
      <w:r>
        <w:rPr>
          <w:rFonts w:hint="eastAsia"/>
          <w:highlight w:val="none"/>
          <w:lang w:val="en-US" w:eastAsia="zh-CN"/>
        </w:rPr>
        <w:t>对于满足合同约定支付条件的，采购人应当自收到发票后30日内将资金支付到合同约定的供应商账户，不得以机构变动、人员更替、政策调整等为由延迟付款，不得将招标文件和合同中未规定的义务作为向供应商付款的条件</w:t>
      </w:r>
      <w:r>
        <w:rPr>
          <w:rFonts w:hint="eastAsia"/>
          <w:highlight w:val="none"/>
        </w:rPr>
        <w:t>。</w:t>
      </w:r>
    </w:p>
    <w:p>
      <w:pPr>
        <w:pStyle w:val="55"/>
        <w:ind w:firstLine="482"/>
      </w:pPr>
      <w:bookmarkStart w:id="1353" w:name="_Toc9883"/>
      <w:r>
        <w:rPr>
          <w:rFonts w:hint="eastAsia"/>
        </w:rPr>
        <w:t>违约责任</w:t>
      </w:r>
      <w:bookmarkEnd w:id="1333"/>
      <w:bookmarkEnd w:id="1334"/>
      <w:bookmarkEnd w:id="1335"/>
      <w:bookmarkEnd w:id="1336"/>
      <w:bookmarkEnd w:id="1353"/>
    </w:p>
    <w:p>
      <w:pPr>
        <w:pStyle w:val="69"/>
        <w:ind w:firstLine="480"/>
      </w:pPr>
      <w:r>
        <w:rPr>
          <w:rFonts w:hint="eastAsia"/>
        </w:rPr>
        <w:t>采购人、供应方任何一方不履行本合同义务或者履行本合同义务不符合本合同规定的，应当承担继续履行、采取补救措施或者赔偿损失等违约责任。</w:t>
      </w:r>
    </w:p>
    <w:p>
      <w:pPr>
        <w:pStyle w:val="69"/>
        <w:ind w:firstLine="480"/>
      </w:pPr>
      <w:r>
        <w:rPr>
          <w:rFonts w:hint="eastAsia"/>
        </w:rPr>
        <w:t>在合同签订后，采购人无故要求终止或解除合同，供应方未开始设计工作的，不退还采购人已付的启动费；已开始设计工作的，采购人应根据供应方已进行的实际工作量，不足一半时，按该阶段设计咨询服务费的一半支付；超过一半时，按该阶段设计咨询服务费的全部支付。</w:t>
      </w:r>
    </w:p>
    <w:p>
      <w:pPr>
        <w:pStyle w:val="69"/>
        <w:ind w:firstLine="480"/>
      </w:pPr>
      <w:r>
        <w:rPr>
          <w:rFonts w:hint="eastAsia"/>
        </w:rPr>
        <w:t>由于供应方自身原因延误，按本合同第三条规定的设计资料文件、图纸的交付时间，每延误一天，应按该阶段应收设计费的千分之二承担违约金。</w:t>
      </w:r>
    </w:p>
    <w:p>
      <w:pPr>
        <w:pStyle w:val="69"/>
        <w:ind w:firstLine="480"/>
      </w:pPr>
      <w:r>
        <w:rPr>
          <w:rFonts w:hint="eastAsia"/>
        </w:rPr>
        <w:t>当事人一方不履行合同义务或者履行合同义务不符合约定，给对方造成损失的，损失赔偿额应当相当于因违约所造成的损失，包括诉讼费用(仲裁费用)、律师费用等相关费用。但是损失赔偿金额总额以采购人已向供应方支付的服务费用为限，在任何情况下累计赔偿金额不超过设计咨询服务费金额总额。</w:t>
      </w:r>
    </w:p>
    <w:p>
      <w:pPr>
        <w:pStyle w:val="69"/>
        <w:ind w:firstLine="480"/>
        <w:rPr>
          <w:rStyle w:val="86"/>
        </w:rPr>
      </w:pPr>
      <w:r>
        <w:rPr>
          <w:rFonts w:hint="eastAsia"/>
        </w:rPr>
        <w:t>有下列情形之一的，当事人可以解除合同：</w:t>
      </w:r>
      <w:r>
        <w:rPr>
          <w:rFonts w:hint="eastAsia"/>
        </w:rPr>
        <w:br w:type="textWrapping"/>
      </w:r>
      <w:r>
        <w:rPr>
          <w:rFonts w:hint="eastAsia" w:cs="宋体"/>
        </w:rPr>
        <w:t>　</w:t>
      </w:r>
      <w:r>
        <w:rPr>
          <w:rStyle w:val="86"/>
          <w:rFonts w:hint="eastAsia"/>
        </w:rPr>
        <w:t>　5.1因不可抗力致使不能实现合同目的(由于非供应商或采购人原因，致使合同实质性条款无法实现的)；</w:t>
      </w:r>
      <w:r>
        <w:rPr>
          <w:rStyle w:val="86"/>
          <w:rFonts w:hint="eastAsia"/>
        </w:rPr>
        <w:br w:type="textWrapping"/>
      </w:r>
      <w:r>
        <w:rPr>
          <w:rStyle w:val="86"/>
          <w:rFonts w:hint="eastAsia"/>
        </w:rPr>
        <w:t>　  5.2当事人一方迟延履行主要债务，经催告后在合理期限内仍未履行；</w:t>
      </w:r>
      <w:r>
        <w:rPr>
          <w:rStyle w:val="86"/>
          <w:rFonts w:hint="eastAsia"/>
        </w:rPr>
        <w:br w:type="textWrapping"/>
      </w:r>
      <w:r>
        <w:rPr>
          <w:rStyle w:val="86"/>
          <w:rFonts w:hint="eastAsia"/>
        </w:rPr>
        <w:t>　　5.3当事人一方迟延履行债务或者有其他违约行为致使不能实现合同目的；</w:t>
      </w:r>
      <w:r>
        <w:rPr>
          <w:rStyle w:val="86"/>
          <w:rFonts w:hint="eastAsia"/>
        </w:rPr>
        <w:br w:type="textWrapping"/>
      </w:r>
      <w:r>
        <w:rPr>
          <w:rStyle w:val="86"/>
          <w:rFonts w:hint="eastAsia"/>
        </w:rPr>
        <w:t>　  5.4法律规定的其他情形。</w:t>
      </w:r>
    </w:p>
    <w:p>
      <w:pPr>
        <w:pStyle w:val="55"/>
        <w:ind w:firstLine="482"/>
      </w:pPr>
      <w:bookmarkStart w:id="1354" w:name="_Toc28029"/>
      <w:bookmarkStart w:id="1355" w:name="_Toc31014"/>
      <w:bookmarkStart w:id="1356" w:name="_Toc14514"/>
      <w:bookmarkStart w:id="1357" w:name="_Toc3058"/>
      <w:bookmarkStart w:id="1358" w:name="_Toc21181"/>
      <w:r>
        <w:rPr>
          <w:rFonts w:hint="eastAsia"/>
        </w:rPr>
        <w:t>解决</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r>
        <w:rPr>
          <w:rFonts w:hint="eastAsia"/>
        </w:rPr>
        <w:t>争议的方法</w:t>
      </w:r>
      <w:bookmarkEnd w:id="1354"/>
      <w:bookmarkEnd w:id="1355"/>
      <w:bookmarkEnd w:id="1356"/>
      <w:bookmarkEnd w:id="1357"/>
      <w:bookmarkEnd w:id="1358"/>
    </w:p>
    <w:p>
      <w:pPr>
        <w:pStyle w:val="69"/>
        <w:ind w:firstLine="480"/>
      </w:pPr>
      <w:bookmarkStart w:id="1359" w:name="_Toc16796_WPSOffice_Level2"/>
      <w:r>
        <w:rPr>
          <w:rFonts w:hint="eastAsia"/>
        </w:rPr>
        <w:t>因服务的质量问题发生争议，由甲方或其指定的第三方机构进行质量鉴定。服务符合标准的，鉴定费由甲方承担；服务不符合质量标准的，鉴定费由乙方承担。</w:t>
      </w:r>
    </w:p>
    <w:p>
      <w:pPr>
        <w:pStyle w:val="69"/>
        <w:ind w:firstLine="480"/>
      </w:pPr>
      <w:r>
        <w:rPr>
          <w:rFonts w:hint="eastAsia"/>
        </w:rPr>
        <w:t>合同履行期间，若双方发生争议，可协商或由有关部门调解解决，协商或调解不成的，向采购人所在地人民法院起诉。</w:t>
      </w:r>
    </w:p>
    <w:p>
      <w:pPr>
        <w:pStyle w:val="55"/>
        <w:ind w:firstLine="482"/>
      </w:pPr>
      <w:bookmarkStart w:id="1360" w:name="_Toc13711"/>
      <w:bookmarkStart w:id="1361" w:name="_Toc29905"/>
      <w:bookmarkStart w:id="1362" w:name="_Toc9188"/>
      <w:bookmarkStart w:id="1363" w:name="_Toc27280"/>
      <w:bookmarkStart w:id="1364" w:name="_Toc21901"/>
      <w:r>
        <w:rPr>
          <w:rFonts w:hint="eastAsia"/>
        </w:rPr>
        <w:t>验收方法和标准</w:t>
      </w:r>
      <w:bookmarkEnd w:id="1359"/>
      <w:bookmarkEnd w:id="1360"/>
      <w:bookmarkEnd w:id="1361"/>
      <w:bookmarkEnd w:id="1362"/>
      <w:bookmarkEnd w:id="1363"/>
      <w:bookmarkEnd w:id="1364"/>
    </w:p>
    <w:p>
      <w:pPr>
        <w:pStyle w:val="69"/>
        <w:ind w:firstLine="480"/>
      </w:pPr>
      <w:r>
        <w:rPr>
          <w:rFonts w:hint="eastAsia"/>
        </w:rPr>
        <w:t xml:space="preserve"> 验收方法：中标供应商提交成果文件的评审稿后，由采购人组织相关验收单位或人员围绕工作方案的创新性、先进性、科学性、可操作性等方面，对中标供应商提交的成果文件进行评审。采购人认可项目成果文件内容视为通过终审。如中标供应商提交的资料无法通过审核，则中标供应商须根据采购人反馈的意见，在不少于10个工作日内对项目成果文件进行修改并重新送审，直至正式通过采购人审核，得到采购人认可为止。审核通过后，中标供应商提交正式成果文件。过程中的所有评审费用由中标供应商支付。</w:t>
      </w:r>
    </w:p>
    <w:p>
      <w:pPr>
        <w:pStyle w:val="69"/>
        <w:ind w:firstLine="480"/>
      </w:pPr>
      <w:r>
        <w:rPr>
          <w:rFonts w:hint="eastAsia"/>
        </w:rPr>
        <w:t>验收标准：按照政府采购相关法律法规及</w:t>
      </w:r>
      <w:r>
        <w:rPr>
          <w:rFonts w:hint="eastAsia"/>
          <w:lang w:val="en-US" w:eastAsia="zh-CN"/>
        </w:rPr>
        <w:t>参照</w:t>
      </w:r>
      <w:r>
        <w:rPr>
          <w:rFonts w:hint="eastAsia"/>
        </w:rPr>
        <w:t>《四川省政府采购项目需求论证和履约验收管理办法》〔川财采〔2015〕32 号)的要求、招标文件的要求、中标供应商的投标文件及承诺、合同约定的标准以及采购人提出的修改要求进行验收，最终以达到成都市规划和自然资源局接收入库为准。</w:t>
      </w:r>
    </w:p>
    <w:p>
      <w:pPr>
        <w:pStyle w:val="69"/>
        <w:ind w:firstLine="480"/>
      </w:pPr>
      <w:r>
        <w:rPr>
          <w:rFonts w:hint="eastAsia"/>
        </w:rPr>
        <w:t>设计成果文件的内容、范围等应符合国家相应法规、规范规定及政府采购合同要求，并最终通过</w:t>
      </w:r>
      <w:r>
        <w:rPr>
          <w:rFonts w:hint="eastAsia"/>
          <w:lang w:val="en-US" w:eastAsia="zh-CN"/>
        </w:rPr>
        <w:t>简阳市</w:t>
      </w:r>
      <w:r>
        <w:rPr>
          <w:rFonts w:hint="eastAsia"/>
        </w:rPr>
        <w:t>相关会议审查。</w:t>
      </w:r>
    </w:p>
    <w:p>
      <w:pPr>
        <w:pStyle w:val="69"/>
        <w:ind w:firstLine="480"/>
      </w:pPr>
      <w:r>
        <w:rPr>
          <w:rFonts w:hint="eastAsia"/>
        </w:rPr>
        <w:t>其他未尽事宜</w:t>
      </w:r>
      <w:r>
        <w:rPr>
          <w:rFonts w:hint="eastAsia"/>
          <w:lang w:val="en-US" w:eastAsia="zh-CN"/>
        </w:rPr>
        <w:t>按照</w:t>
      </w:r>
      <w:r>
        <w:rPr>
          <w:rFonts w:hint="eastAsia"/>
        </w:rPr>
        <w:t>《财政部关于进一步加强政府采购需求和履约验收管理的指导意见》(财库〔2016〕205号)、</w:t>
      </w:r>
      <w:r>
        <w:rPr>
          <w:rFonts w:hint="eastAsia"/>
          <w:lang w:val="en-US" w:eastAsia="zh-CN"/>
        </w:rPr>
        <w:t>参照</w:t>
      </w:r>
      <w:r>
        <w:rPr>
          <w:rFonts w:hint="eastAsia"/>
        </w:rPr>
        <w:t>《四川省政府采购项目需求论证和履约验收管理办法》(川财采〔2015〕32号)的要求进行验收。 </w:t>
      </w:r>
    </w:p>
    <w:p>
      <w:pPr>
        <w:pStyle w:val="55"/>
        <w:ind w:firstLine="482"/>
      </w:pPr>
      <w:bookmarkStart w:id="1365" w:name="_Toc28626"/>
      <w:bookmarkStart w:id="1366" w:name="_Toc12027"/>
      <w:bookmarkStart w:id="1367" w:name="_Toc27738"/>
      <w:bookmarkStart w:id="1368" w:name="_Toc32286_WPSOffice_Level2"/>
      <w:bookmarkStart w:id="1369" w:name="_Toc17945"/>
      <w:bookmarkStart w:id="1370" w:name="_Toc31290"/>
      <w:r>
        <w:rPr>
          <w:rFonts w:hint="eastAsia"/>
        </w:rPr>
        <w:t>其他要求</w:t>
      </w:r>
      <w:bookmarkEnd w:id="1365"/>
      <w:bookmarkEnd w:id="1366"/>
      <w:bookmarkEnd w:id="1367"/>
      <w:bookmarkEnd w:id="1368"/>
      <w:bookmarkEnd w:id="1369"/>
      <w:bookmarkEnd w:id="1370"/>
    </w:p>
    <w:p>
      <w:pPr>
        <w:pStyle w:val="69"/>
        <w:ind w:firstLine="480"/>
      </w:pPr>
      <w:r>
        <w:rPr>
          <w:rFonts w:hint="eastAsia"/>
        </w:rPr>
        <w:t>政府采购合同签订时间：供应商中标后，自中标通知书发出之日起30日内与采购单位签定政府采购合同。</w:t>
      </w:r>
    </w:p>
    <w:p>
      <w:pPr>
        <w:pStyle w:val="69"/>
        <w:ind w:firstLine="480"/>
      </w:pPr>
      <w:r>
        <w:rPr>
          <w:rFonts w:hint="eastAsia"/>
        </w:rPr>
        <w:t>供应商应保证所提供的服务或其任何一部分均不会侵犯任何第三方的专利权、商标权、著作权和知识产权。</w:t>
      </w:r>
    </w:p>
    <w:p>
      <w:pPr>
        <w:pStyle w:val="69"/>
        <w:ind w:firstLine="480"/>
      </w:pPr>
      <w:r>
        <w:rPr>
          <w:rFonts w:hint="eastAsia"/>
        </w:rPr>
        <w:t>供应商拟派本项目服务人员一切工伤、财产风险由供应商承担。</w:t>
      </w:r>
    </w:p>
    <w:p>
      <w:pPr>
        <w:pStyle w:val="69"/>
        <w:ind w:firstLine="480"/>
      </w:pPr>
      <w:r>
        <w:rPr>
          <w:rFonts w:hint="eastAsia"/>
        </w:rPr>
        <w:t>采购人定期核对供应商提供服务所配备的人员数量及相关信息，对于未按照采购文件及投标响应要求执行或存在不合理的部分有权下达整改通知书，并要求供应商限期整改。</w:t>
      </w:r>
    </w:p>
    <w:p>
      <w:pPr>
        <w:pStyle w:val="69"/>
        <w:ind w:firstLine="480"/>
      </w:pPr>
      <w:r>
        <w:rPr>
          <w:rFonts w:hint="eastAsia"/>
        </w:rPr>
        <w:t>供应商定期及时向采购人通告本项目服务范围内有关服务的重大事项及其进度。</w:t>
      </w:r>
    </w:p>
    <w:p>
      <w:pPr>
        <w:pStyle w:val="69"/>
        <w:ind w:firstLine="480"/>
      </w:pPr>
      <w:r>
        <w:rPr>
          <w:rFonts w:hint="eastAsia"/>
        </w:rPr>
        <w:t>接受项目行业管理部门及政府有关部门的指导，接受采购人的监督。</w:t>
      </w:r>
    </w:p>
    <w:p>
      <w:pPr>
        <w:wordWrap w:val="0"/>
        <w:topLinePunct/>
        <w:ind w:firstLine="482" w:firstLineChars="200"/>
        <w:jc w:val="both"/>
        <w:rPr>
          <w:rFonts w:cs="宋体"/>
          <w:b/>
          <w:snapToGrid w:val="0"/>
        </w:rPr>
      </w:pPr>
      <w:r>
        <w:rPr>
          <w:rFonts w:hint="eastAsia" w:cs="宋体"/>
          <w:b/>
          <w:snapToGrid w:val="0"/>
        </w:rPr>
        <w:t>注意：①本章带“※”号条款为实质性要求，投标人若未满足的，将被视为无效投标。</w:t>
      </w:r>
    </w:p>
    <w:p>
      <w:pPr>
        <w:adjustRightInd/>
        <w:snapToGrid/>
        <w:ind w:firstLine="482" w:firstLineChars="200"/>
        <w:jc w:val="both"/>
        <w:rPr>
          <w:rFonts w:cs="宋体"/>
        </w:rPr>
      </w:pPr>
      <w:r>
        <w:rPr>
          <w:rFonts w:hint="eastAsia" w:cs="宋体"/>
          <w:b/>
          <w:bCs/>
        </w:rPr>
        <w:t>②本项目涉及企业资质、产品认证、人员执业资格等描述与国家最新要求不一致时以最新要求为准。</w:t>
      </w:r>
    </w:p>
    <w:p>
      <w:r>
        <w:rPr>
          <w:rFonts w:hint="eastAsia"/>
        </w:rPr>
        <w:br w:type="page"/>
      </w:r>
    </w:p>
    <w:p>
      <w:pPr>
        <w:pStyle w:val="54"/>
        <w:numPr>
          <w:ilvl w:val="0"/>
          <w:numId w:val="14"/>
        </w:numPr>
        <w:spacing w:before="120" w:after="120"/>
      </w:pPr>
      <w:bookmarkStart w:id="1371" w:name="_Toc14565"/>
      <w:r>
        <w:rPr>
          <w:rFonts w:hint="eastAsia"/>
        </w:rPr>
        <w:t>评标办法</w:t>
      </w:r>
      <w:bookmarkEnd w:id="1010"/>
      <w:bookmarkEnd w:id="1011"/>
      <w:bookmarkEnd w:id="1371"/>
      <w:bookmarkStart w:id="1372" w:name="_Hlt101846155"/>
      <w:bookmarkEnd w:id="1372"/>
    </w:p>
    <w:p>
      <w:pPr>
        <w:pStyle w:val="41"/>
        <w:numPr>
          <w:ilvl w:val="1"/>
          <w:numId w:val="14"/>
        </w:numPr>
        <w:ind w:firstLine="482"/>
      </w:pPr>
      <w:bookmarkStart w:id="1373" w:name="_Toc26305"/>
      <w:bookmarkStart w:id="1374" w:name="_Toc16563"/>
      <w:r>
        <w:rPr>
          <w:rFonts w:hint="eastAsia"/>
        </w:rPr>
        <w:t>总则</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373"/>
      <w:bookmarkEnd w:id="1374"/>
    </w:p>
    <w:p>
      <w:pPr>
        <w:pStyle w:val="39"/>
        <w:numPr>
          <w:ilvl w:val="1"/>
          <w:numId w:val="32"/>
        </w:numPr>
        <w:ind w:firstLine="480"/>
      </w:pPr>
      <w:r>
        <w:rPr>
          <w:rFonts w:hint="eastAsia"/>
        </w:rPr>
        <w:t>根据《中华人民共和国政府采购法》、《中华人民共和国政府采购法实施条例》和《政府采购货物和服务招标投标管理办法》(财政部令第87号)等法律规章，结合采购项目特点制定本评标办法。</w:t>
      </w:r>
    </w:p>
    <w:p>
      <w:pPr>
        <w:pStyle w:val="39"/>
        <w:numPr>
          <w:ilvl w:val="1"/>
          <w:numId w:val="32"/>
        </w:numPr>
        <w:ind w:firstLine="480"/>
      </w:pPr>
      <w:r>
        <w:rPr>
          <w:rFonts w:hint="eastAsia"/>
        </w:rPr>
        <w:t>评标工作由采购代理机构负责组织，具体评标事务由采购代理机构依法组建的评标委员会负责。评标委员会由采购人代表和有关技术、经济等方面的专家组成。</w:t>
      </w:r>
    </w:p>
    <w:p>
      <w:pPr>
        <w:pStyle w:val="39"/>
        <w:numPr>
          <w:ilvl w:val="1"/>
          <w:numId w:val="32"/>
        </w:numPr>
        <w:ind w:firstLine="480"/>
      </w:pPr>
      <w:r>
        <w:rPr>
          <w:rFonts w:hint="eastAsia"/>
        </w:rPr>
        <w:t>评标工作应遵循公平、公正、科学及择优的原则，并以相同的评标程序和标准对待所有的投标人。</w:t>
      </w:r>
    </w:p>
    <w:p>
      <w:pPr>
        <w:pStyle w:val="39"/>
        <w:numPr>
          <w:ilvl w:val="1"/>
          <w:numId w:val="32"/>
        </w:numPr>
        <w:ind w:firstLine="480"/>
      </w:pPr>
      <w:r>
        <w:rPr>
          <w:rFonts w:hint="eastAsia"/>
        </w:rPr>
        <w:t>评标委员会按照招标文件规定的评标方法和标准进行评标，并独立履行下列职责：</w:t>
      </w:r>
    </w:p>
    <w:p>
      <w:pPr>
        <w:pStyle w:val="42"/>
        <w:ind w:firstLine="480"/>
      </w:pPr>
      <w:bookmarkStart w:id="1375" w:name="_Toc217446098"/>
      <w:r>
        <w:rPr>
          <w:rFonts w:hint="eastAsia"/>
        </w:rPr>
        <w:t>审查、评价投标文件是否符合招标文件的商务、技术等实质性要求；</w:t>
      </w:r>
    </w:p>
    <w:p>
      <w:pPr>
        <w:pStyle w:val="42"/>
        <w:ind w:firstLine="480"/>
      </w:pPr>
      <w:r>
        <w:rPr>
          <w:rFonts w:hint="eastAsia"/>
        </w:rPr>
        <w:t>要求投标人对投标文件有关事项作出澄清或者说明；</w:t>
      </w:r>
    </w:p>
    <w:p>
      <w:pPr>
        <w:pStyle w:val="42"/>
        <w:ind w:firstLine="480"/>
      </w:pPr>
      <w:r>
        <w:rPr>
          <w:rFonts w:hint="eastAsia"/>
        </w:rPr>
        <w:t>对投标文件进行比较和评价；</w:t>
      </w:r>
    </w:p>
    <w:p>
      <w:pPr>
        <w:pStyle w:val="42"/>
        <w:ind w:firstLine="480"/>
      </w:pPr>
      <w:r>
        <w:rPr>
          <w:rFonts w:hint="eastAsia"/>
        </w:rPr>
        <w:t>确定中标候选人名单；</w:t>
      </w:r>
    </w:p>
    <w:p>
      <w:pPr>
        <w:pStyle w:val="42"/>
        <w:ind w:firstLine="480"/>
      </w:pPr>
      <w:r>
        <w:rPr>
          <w:rFonts w:hint="eastAsia"/>
        </w:rPr>
        <w:t>向采购人、采购代理机构或者有关部门报告评标中发现的违法行为。</w:t>
      </w:r>
    </w:p>
    <w:p>
      <w:pPr>
        <w:pStyle w:val="39"/>
        <w:ind w:firstLine="480"/>
      </w:pPr>
      <w:r>
        <w:rPr>
          <w:rFonts w:hint="eastAsia"/>
        </w:rPr>
        <w:t>评标过程独立、保密。投标人非法干预评标过程的行为将导致其投标文件作为无效处理。</w:t>
      </w:r>
    </w:p>
    <w:p>
      <w:pPr>
        <w:pStyle w:val="39"/>
        <w:ind w:firstLine="480"/>
      </w:pPr>
      <w:r>
        <w:rPr>
          <w:rFonts w:hint="eastAsia"/>
        </w:rPr>
        <w:t>评标委员会评价投标文件的响应性，对于投标人而言，除评标委员会要求其澄清、说明或者纠正而提供的资料外，仅依据投标文件本身的内容，不寻求其他外部证据。</w:t>
      </w:r>
    </w:p>
    <w:p>
      <w:pPr>
        <w:pStyle w:val="39"/>
        <w:ind w:firstLine="480"/>
      </w:pPr>
      <w:r>
        <w:rPr>
          <w:rFonts w:hint="eastAsia"/>
        </w:rPr>
        <w:t>评委会发现招标文件表述不明确或需要说明的事项，可提请招标采购单位书面解释说明。发现招标文件违反有关法律、法规和规章的，可以拒绝评标，并向招标采购单位书面说明情况(注明法律法规依据)。</w:t>
      </w:r>
    </w:p>
    <w:p>
      <w:pPr>
        <w:pStyle w:val="41"/>
        <w:numPr>
          <w:ilvl w:val="1"/>
          <w:numId w:val="14"/>
        </w:numPr>
        <w:ind w:firstLine="482"/>
      </w:pPr>
      <w:bookmarkStart w:id="1376" w:name="_Toc23669"/>
      <w:bookmarkStart w:id="1377" w:name="_Toc12975"/>
      <w:bookmarkStart w:id="1378" w:name="_Toc25612"/>
      <w:bookmarkStart w:id="1379" w:name="_Toc8496"/>
      <w:bookmarkStart w:id="1380" w:name="_Toc3915"/>
      <w:bookmarkStart w:id="1381" w:name="_Toc5338"/>
      <w:bookmarkStart w:id="1382" w:name="_Toc10398"/>
      <w:bookmarkStart w:id="1383" w:name="_Toc5152"/>
      <w:bookmarkStart w:id="1384" w:name="_Toc327196340"/>
      <w:bookmarkStart w:id="1385" w:name="_Toc26792"/>
      <w:bookmarkStart w:id="1386" w:name="_Toc3371"/>
      <w:bookmarkStart w:id="1387" w:name="_Toc23526"/>
      <w:bookmarkStart w:id="1388" w:name="_Toc319440189"/>
      <w:bookmarkStart w:id="1389" w:name="_Toc14100"/>
      <w:r>
        <w:rPr>
          <w:rFonts w:hint="eastAsia"/>
        </w:rPr>
        <w:t>评标方法</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p>
    <w:p>
      <w:pPr>
        <w:pStyle w:val="52"/>
      </w:pPr>
      <w:r>
        <w:rPr>
          <w:rFonts w:hint="eastAsia"/>
        </w:rPr>
        <w:t>本项目评标方法为：综合评分法。</w:t>
      </w:r>
    </w:p>
    <w:p>
      <w:pPr>
        <w:pStyle w:val="41"/>
        <w:numPr>
          <w:ilvl w:val="1"/>
          <w:numId w:val="14"/>
        </w:numPr>
        <w:ind w:firstLine="482"/>
      </w:pPr>
      <w:bookmarkStart w:id="1390" w:name="_Toc5303"/>
      <w:bookmarkStart w:id="1391" w:name="_Toc9969"/>
      <w:bookmarkStart w:id="1392" w:name="_Toc17374"/>
      <w:bookmarkStart w:id="1393" w:name="_Toc17613"/>
      <w:bookmarkStart w:id="1394" w:name="_Toc5906"/>
      <w:bookmarkStart w:id="1395" w:name="_Toc27103"/>
      <w:bookmarkStart w:id="1396" w:name="_Toc7390"/>
      <w:bookmarkStart w:id="1397" w:name="_Toc327196341"/>
      <w:bookmarkStart w:id="1398" w:name="_Toc319440190"/>
      <w:bookmarkStart w:id="1399" w:name="_Toc5897"/>
      <w:bookmarkStart w:id="1400" w:name="_Toc31119"/>
      <w:bookmarkStart w:id="1401" w:name="_Toc23322"/>
      <w:bookmarkStart w:id="1402" w:name="_Toc12883"/>
      <w:bookmarkStart w:id="1403" w:name="_Toc19196"/>
      <w:r>
        <w:rPr>
          <w:rFonts w:hint="eastAsia"/>
        </w:rPr>
        <w:t>评标程序</w:t>
      </w:r>
      <w:bookmarkEnd w:id="1375"/>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p>
    <w:p>
      <w:pPr>
        <w:pStyle w:val="39"/>
        <w:numPr>
          <w:ilvl w:val="1"/>
          <w:numId w:val="33"/>
        </w:numPr>
        <w:ind w:firstLine="480"/>
      </w:pPr>
      <w:r>
        <w:rPr>
          <w:rFonts w:hint="eastAsia"/>
        </w:rPr>
        <w:t>熟悉招标文件和停止评标</w:t>
      </w:r>
    </w:p>
    <w:p>
      <w:pPr>
        <w:pStyle w:val="42"/>
        <w:ind w:firstLine="480"/>
      </w:pPr>
      <w:r>
        <w:rPr>
          <w:rFonts w:hint="eastAsia"/>
        </w:rPr>
        <w:t>评标委员会正式评标前，应当熟悉招标文件，主要包括招标文件中符合性审查内容、采购项目技术、服务和商务要求、评标方法和标准以及政府采购合同主要条款等。</w:t>
      </w:r>
    </w:p>
    <w:p>
      <w:pPr>
        <w:pStyle w:val="42"/>
        <w:ind w:firstLine="480"/>
      </w:pPr>
      <w:r>
        <w:rPr>
          <w:rFonts w:hint="eastAsia"/>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pStyle w:val="42"/>
        <w:ind w:firstLine="480"/>
      </w:pPr>
      <w:r>
        <w:rPr>
          <w:rFonts w:hint="eastAsia"/>
        </w:rPr>
        <w:t>评标过程中有下列情形之一的，评标委员会成员可以停止评标：</w:t>
      </w:r>
    </w:p>
    <w:p>
      <w:pPr>
        <w:pStyle w:val="43"/>
        <w:ind w:firstLine="480"/>
      </w:pPr>
      <w:r>
        <w:rPr>
          <w:rFonts w:hint="eastAsia"/>
        </w:rPr>
        <w:t>招标采购单位未提供必要的与采购项目有关的政策制度文件或者招标文件，继续评标将导致违法或者错误评标的；</w:t>
      </w:r>
    </w:p>
    <w:p>
      <w:pPr>
        <w:pStyle w:val="43"/>
        <w:ind w:firstLine="480"/>
      </w:pPr>
      <w:r>
        <w:rPr>
          <w:rFonts w:hint="eastAsia"/>
        </w:rPr>
        <w:t>有关单位和个人非法干预评标委员会依法独立评标的；</w:t>
      </w:r>
    </w:p>
    <w:p>
      <w:pPr>
        <w:pStyle w:val="43"/>
        <w:ind w:firstLine="480"/>
      </w:pPr>
      <w:r>
        <w:rPr>
          <w:rFonts w:hint="eastAsia"/>
        </w:rPr>
        <w:t>其他导致评标委员会无法正常履职的情形。</w:t>
      </w:r>
    </w:p>
    <w:p>
      <w:pPr>
        <w:pStyle w:val="42"/>
        <w:ind w:firstLine="480"/>
      </w:pPr>
      <w:r>
        <w:rPr>
          <w:rFonts w:hint="eastAsia"/>
        </w:rPr>
        <w:t>出现本条规定应当停止评标或者可以停止评标情形的，评标委员会成员应当向招标采购单位书面说明情况。除本条规定的情形外，评标委员会成员不得以任何方式和理由停止评标。</w:t>
      </w:r>
    </w:p>
    <w:p>
      <w:pPr>
        <w:pStyle w:val="39"/>
        <w:ind w:firstLine="480"/>
      </w:pPr>
      <w:r>
        <w:rPr>
          <w:rFonts w:hint="eastAsia"/>
        </w:rPr>
        <w:t>符合性审查</w:t>
      </w:r>
    </w:p>
    <w:p>
      <w:pPr>
        <w:pStyle w:val="52"/>
      </w:pPr>
      <w:r>
        <w:rPr>
          <w:rFonts w:hint="eastAsia"/>
        </w:rPr>
        <w:t>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pStyle w:val="42"/>
        <w:ind w:firstLine="480"/>
      </w:pPr>
      <w:r>
        <w:rPr>
          <w:rFonts w:hint="eastAsia"/>
        </w:rPr>
        <w:t>投标文件(包括单独递交的开标一览表)有下列情形的，本项目不作为实质性要求进行规定，即不作为符合性审查事项，不得作为无效投标处理：</w:t>
      </w:r>
    </w:p>
    <w:p>
      <w:pPr>
        <w:pStyle w:val="43"/>
        <w:ind w:firstLine="480"/>
      </w:pPr>
      <w:r>
        <w:rPr>
          <w:rFonts w:hint="eastAsia"/>
        </w:rPr>
        <w:t>正副本数量齐全，只是未按照招标文件要求进行分装或者统装的；</w:t>
      </w:r>
    </w:p>
    <w:p>
      <w:pPr>
        <w:pStyle w:val="43"/>
        <w:ind w:firstLine="480"/>
      </w:pPr>
      <w:r>
        <w:rPr>
          <w:rFonts w:hint="eastAsia"/>
        </w:rPr>
        <w:t>存在个别地方(不超过2个)没有法定代表人签字，但有法定代表人的私人印章或者有效授权代理人签字的；</w:t>
      </w:r>
    </w:p>
    <w:p>
      <w:pPr>
        <w:pStyle w:val="43"/>
        <w:ind w:firstLine="480"/>
      </w:pPr>
      <w:r>
        <w:rPr>
          <w:rFonts w:hint="eastAsia"/>
        </w:rPr>
        <w:t>除招标文件明确要求加盖单位(法人)公章的以外，其他地方以相关专用章加盖的；</w:t>
      </w:r>
    </w:p>
    <w:p>
      <w:pPr>
        <w:pStyle w:val="43"/>
        <w:ind w:firstLine="480"/>
      </w:pPr>
      <w:r>
        <w:rPr>
          <w:rFonts w:hint="eastAsia"/>
        </w:rPr>
        <w:t>以骑缝章的形式代替投标文件内容逐页盖章的(但是骑缝章模糊不清，印章名称无法辨认的除外)；</w:t>
      </w:r>
    </w:p>
    <w:p>
      <w:pPr>
        <w:pStyle w:val="43"/>
        <w:ind w:firstLine="480"/>
      </w:pPr>
      <w:r>
        <w:rPr>
          <w:rFonts w:hint="eastAsia"/>
        </w:rPr>
        <w:t>其他不影响采购项目实质性要求的情形。</w:t>
      </w:r>
    </w:p>
    <w:p>
      <w:pPr>
        <w:pStyle w:val="42"/>
        <w:ind w:firstLine="480"/>
      </w:pPr>
      <w:r>
        <w:rPr>
          <w:rFonts w:hint="eastAsia"/>
        </w:rPr>
        <w:t>除政府采购法律制度规定的情形外，本项目投标人或者其投标文件有下列情形之一的，作为无效投标处理：</w:t>
      </w:r>
    </w:p>
    <w:p>
      <w:pPr>
        <w:pStyle w:val="43"/>
        <w:ind w:firstLine="480"/>
      </w:pPr>
      <w:r>
        <w:rPr>
          <w:rFonts w:hint="eastAsia"/>
        </w:rPr>
        <w:t>投标文件正副本数量不足的；</w:t>
      </w:r>
    </w:p>
    <w:p>
      <w:pPr>
        <w:pStyle w:val="43"/>
        <w:ind w:firstLine="480"/>
      </w:pPr>
      <w:r>
        <w:rPr>
          <w:rFonts w:hint="eastAsia"/>
        </w:rPr>
        <w:t>投标文件组成明显不符合招标文件的规定要求，影响评标委员会评判的；</w:t>
      </w:r>
    </w:p>
    <w:p>
      <w:pPr>
        <w:pStyle w:val="43"/>
        <w:ind w:firstLine="480"/>
      </w:pPr>
      <w:r>
        <w:rPr>
          <w:rFonts w:hint="eastAsia"/>
        </w:rPr>
        <w:t>投标文件的格式、语言、计量单位、报价货币、知识产权、投标有效期等不符合招标文件的规定，影响评标委员会评判的；</w:t>
      </w:r>
    </w:p>
    <w:p>
      <w:pPr>
        <w:pStyle w:val="43"/>
        <w:ind w:firstLine="480"/>
      </w:pPr>
      <w:r>
        <w:rPr>
          <w:rFonts w:hint="eastAsia"/>
        </w:rPr>
        <w:t>投标报价不符合招标文件规定的价格标底和其他报价规定的；</w:t>
      </w:r>
    </w:p>
    <w:p>
      <w:pPr>
        <w:pStyle w:val="43"/>
        <w:ind w:firstLine="480"/>
      </w:pPr>
      <w:r>
        <w:rPr>
          <w:rFonts w:hint="eastAsia"/>
        </w:rPr>
        <w:t>技术、服务应答内容没有完全响应招标文件的实质性要求的；</w:t>
      </w:r>
    </w:p>
    <w:p>
      <w:pPr>
        <w:pStyle w:val="43"/>
        <w:ind w:firstLine="480"/>
      </w:pPr>
      <w:r>
        <w:rPr>
          <w:rFonts w:hint="eastAsia"/>
        </w:rPr>
        <w:t>招标文件有明确要求，但投标文件未载明或者载明的采购项目履约时间、方式、数量与招标文件要求不一致的；</w:t>
      </w:r>
    </w:p>
    <w:p>
      <w:pPr>
        <w:pStyle w:val="43"/>
        <w:ind w:firstLine="480"/>
      </w:pPr>
      <w:r>
        <w:rPr>
          <w:rFonts w:hint="eastAsia"/>
        </w:rPr>
        <w:t>投标文件含有采购人不能接受的附加条件的。</w:t>
      </w:r>
    </w:p>
    <w:p>
      <w:pPr>
        <w:pStyle w:val="39"/>
        <w:ind w:firstLine="480"/>
      </w:pPr>
      <w:r>
        <w:rPr>
          <w:rFonts w:hint="eastAsia"/>
        </w:rPr>
        <w:t>比较与评价</w:t>
      </w:r>
    </w:p>
    <w:p>
      <w:pPr>
        <w:pStyle w:val="52"/>
      </w:pPr>
      <w:r>
        <w:rPr>
          <w:rFonts w:hint="eastAsia"/>
        </w:rPr>
        <w:t>评标委员会应当按照招标文件中规定的评标方法和标准，对符合性审查合格的投标文件进行商务和技术评估，综合比较与评价。</w:t>
      </w:r>
    </w:p>
    <w:p>
      <w:pPr>
        <w:pStyle w:val="39"/>
        <w:ind w:firstLine="480"/>
      </w:pPr>
      <w:r>
        <w:rPr>
          <w:rFonts w:hint="eastAsia"/>
        </w:rPr>
        <w:t>评标争议处理规则</w:t>
      </w:r>
    </w:p>
    <w:p>
      <w:pPr>
        <w:pStyle w:val="52"/>
      </w:pPr>
      <w:r>
        <w:rPr>
          <w:rFonts w:hint="eastAsia"/>
        </w:rPr>
        <w:t>评标委员会成员在评标过程中，对于符合性审查、对供应商投标文件做无效处理等需要共同认定的事项存在争议的，应当以少数服从多数的原则处理，但不得违背法律法规和招标文件规定。有不同意见的评标委员会成员认为认定过程和结果不符合法律法规或者招标文件规定的，应当及时向招标采购单位书面反映。</w:t>
      </w:r>
    </w:p>
    <w:p>
      <w:pPr>
        <w:pStyle w:val="39"/>
        <w:ind w:firstLine="480"/>
      </w:pPr>
      <w:r>
        <w:rPr>
          <w:rFonts w:hint="eastAsia"/>
        </w:rPr>
        <w:t>供应商应当书面澄清、说明或者纠正</w:t>
      </w:r>
    </w:p>
    <w:p>
      <w:pPr>
        <w:pStyle w:val="42"/>
        <w:ind w:firstLine="480"/>
      </w:pPr>
      <w:r>
        <w:rPr>
          <w:rFonts w:hint="eastAsia"/>
        </w:rPr>
        <w:t>在评标过程中，评标委员会对投标文件中含义不明确、同类问题表述不一致或者有明显文字和计算错误的内容，应当以书面形式(须由评标委员会全体成员签字)要求供应商作出必要的书面澄清、说明或者纠正，并给予供应商必要的反馈时间。</w:t>
      </w:r>
    </w:p>
    <w:p>
      <w:pPr>
        <w:pStyle w:val="42"/>
        <w:ind w:firstLine="480"/>
      </w:pPr>
      <w:r>
        <w:rPr>
          <w:rFonts w:hint="eastAsia"/>
        </w:rPr>
        <w:t>供应商应当书面澄清、说明或者纠正，并加盖公章或签字确认(供应商为法人的，应当由其法定代表人或者代理人签字确认；供应商为其他组织的，应当由其主要负责人或者代理人签字确认；供应商为自然人的，应当由其本人或者代理人签字确认)，否则无效。澄清、说明或者纠正不影响投标文件的效力，有效的澄清、说明或者纠正材料，是投标文件的组成部分。</w:t>
      </w:r>
    </w:p>
    <w:p>
      <w:pPr>
        <w:pStyle w:val="42"/>
        <w:ind w:firstLine="480"/>
      </w:pPr>
      <w:r>
        <w:rPr>
          <w:rFonts w:hint="eastAsia"/>
        </w:rPr>
        <w:t>评标委员会要求供应商澄清、说明或者更正，不得超出招标文件的范围，不得以此让供应商实质改变投标文件的内容，不得影响供应商公平竞争。本项目下列内容不得澄清：</w:t>
      </w:r>
    </w:p>
    <w:p>
      <w:pPr>
        <w:pStyle w:val="43"/>
        <w:ind w:firstLine="480"/>
      </w:pPr>
      <w:r>
        <w:rPr>
          <w:rFonts w:hint="eastAsia"/>
        </w:rPr>
        <w:t>按财政部规定应当在评标时不予承认的投标文件内容事项；</w:t>
      </w:r>
    </w:p>
    <w:p>
      <w:pPr>
        <w:pStyle w:val="43"/>
        <w:ind w:firstLine="480"/>
      </w:pPr>
      <w:r>
        <w:rPr>
          <w:rFonts w:hint="eastAsia"/>
        </w:rPr>
        <w:t>投标文件中已经明确的内容事项；</w:t>
      </w:r>
    </w:p>
    <w:p>
      <w:pPr>
        <w:pStyle w:val="43"/>
        <w:ind w:firstLine="480"/>
      </w:pPr>
      <w:r>
        <w:rPr>
          <w:rFonts w:hint="eastAsia"/>
        </w:rPr>
        <w:t>投标文件未提供的材料。</w:t>
      </w:r>
    </w:p>
    <w:p>
      <w:pPr>
        <w:pStyle w:val="42"/>
        <w:ind w:firstLine="480"/>
      </w:pPr>
      <w:r>
        <w:rPr>
          <w:rFonts w:hint="eastAsia"/>
        </w:rPr>
        <w:t>本项目采购过程中，投标文件出现下列情况的，不需要供应商澄清、说明或者纠正，按照以下原则处理：</w:t>
      </w:r>
    </w:p>
    <w:p>
      <w:pPr>
        <w:pStyle w:val="43"/>
        <w:ind w:firstLine="480"/>
      </w:pPr>
      <w:r>
        <w:rPr>
          <w:rFonts w:hint="eastAsia"/>
        </w:rPr>
        <w:t>投标文件的大写金额和小写金额不一致的，以大写金额为准，但大写金额出现文字错误，导致金额无法判断的除外；</w:t>
      </w:r>
    </w:p>
    <w:p>
      <w:pPr>
        <w:pStyle w:val="43"/>
        <w:ind w:firstLine="480"/>
      </w:pPr>
      <w:r>
        <w:rPr>
          <w:rFonts w:hint="eastAsia"/>
        </w:rPr>
        <w:t>总价金额与按单价汇总金额不一致的，以单价汇总金额计算结果为准，但是单价金额出现计算错误、明显人为工作失误的除外；</w:t>
      </w:r>
    </w:p>
    <w:p>
      <w:pPr>
        <w:pStyle w:val="43"/>
        <w:ind w:firstLine="480"/>
      </w:pPr>
      <w:r>
        <w:rPr>
          <w:rFonts w:hint="eastAsia"/>
        </w:rPr>
        <w:t>单价金额小数点有明显错位的，应以总价为准，并修改单价；</w:t>
      </w:r>
    </w:p>
    <w:p>
      <w:pPr>
        <w:pStyle w:val="43"/>
        <w:ind w:firstLine="480"/>
      </w:pPr>
      <w:r>
        <w:rPr>
          <w:rFonts w:hint="eastAsia"/>
        </w:rPr>
        <w:t>对不同语言文本投标文件的解释发生异议的，以中文文本为准。</w:t>
      </w:r>
    </w:p>
    <w:p>
      <w:pPr>
        <w:pStyle w:val="52"/>
      </w:pPr>
      <w:r>
        <w:rPr>
          <w:rFonts w:hint="eastAsia"/>
        </w:rPr>
        <w:t>出现本条第4.2项规定情形，单价汇总金额比总价金额高，且超过政府采购预算或者本项目最高限价的，供应商投标文件应作为无效投标处理；单价汇总金额比总价金额高，但未超过政府采购预算或者本项目最高限价的，应以单价汇总金额作为价格评分依据。</w:t>
      </w:r>
    </w:p>
    <w:p>
      <w:pPr>
        <w:pStyle w:val="53"/>
        <w:ind w:firstLine="482"/>
      </w:pPr>
      <w:r>
        <w:rPr>
          <w:rFonts w:hint="eastAsia"/>
        </w:rPr>
        <w:t>注：评标委员会成员应当积极履行澄清、说明或者纠正的职责，不得将应当澄清、说明或者纠正的投标文件作无效投标处理。</w:t>
      </w:r>
    </w:p>
    <w:p>
      <w:pPr>
        <w:pStyle w:val="39"/>
        <w:ind w:firstLine="480"/>
      </w:pPr>
      <w:r>
        <w:rPr>
          <w:rFonts w:hint="eastAsia"/>
        </w:rPr>
        <w:t>投标文件报价出现前后不一致的，除招标文件另有规定外，按照下列规定修正：</w:t>
      </w:r>
    </w:p>
    <w:p>
      <w:pPr>
        <w:pStyle w:val="42"/>
        <w:ind w:firstLine="480"/>
      </w:pPr>
      <w:r>
        <w:rPr>
          <w:rFonts w:hint="eastAsia"/>
        </w:rPr>
        <w:t>投标文件中开标一览表(报价表)内容与投标文件中相应内容不一致的，以开标唱标时单独提交的开标一览表(报价表)为准；</w:t>
      </w:r>
    </w:p>
    <w:p>
      <w:pPr>
        <w:pStyle w:val="42"/>
        <w:ind w:firstLine="480"/>
      </w:pPr>
      <w:r>
        <w:rPr>
          <w:rFonts w:hint="eastAsia"/>
        </w:rPr>
        <w:t>大写金额和小写金额不一致的，以大写金额为准；</w:t>
      </w:r>
    </w:p>
    <w:p>
      <w:pPr>
        <w:pStyle w:val="42"/>
        <w:ind w:firstLine="480"/>
      </w:pPr>
      <w:r>
        <w:rPr>
          <w:rFonts w:hint="eastAsia"/>
        </w:rPr>
        <w:t>单价金额小数点或者百分比有明显错位的，以开标一览表的总价为准，并修改单价；</w:t>
      </w:r>
    </w:p>
    <w:p>
      <w:pPr>
        <w:pStyle w:val="42"/>
        <w:ind w:firstLine="480"/>
      </w:pPr>
      <w:r>
        <w:rPr>
          <w:rFonts w:hint="eastAsia"/>
        </w:rPr>
        <w:t>总价金额与按单价汇总金额不一致的，以单价金额计算结果为准。</w:t>
      </w:r>
    </w:p>
    <w:p>
      <w:pPr>
        <w:pStyle w:val="53"/>
        <w:ind w:firstLine="482"/>
      </w:pPr>
      <w:r>
        <w:rPr>
          <w:rFonts w:hint="eastAsia"/>
        </w:rPr>
        <w:t>同时出现两种以上不一致的，按照前款规定的顺序修正。修正后的报价按照《政府采购货物和服务招标投标管理办法》(财政部令第87号)第五十一条第二款的规定经投标人确认后产生约束力，投标人不确认的，其投标无效。</w:t>
      </w:r>
    </w:p>
    <w:p>
      <w:pPr>
        <w:pStyle w:val="39"/>
        <w:ind w:firstLine="480"/>
      </w:pPr>
      <w:r>
        <w:rPr>
          <w:rFonts w:hint="eastAsia"/>
        </w:rPr>
        <w:t>低于成本价投标处理</w:t>
      </w:r>
    </w:p>
    <w:p>
      <w:pPr>
        <w:pStyle w:val="42"/>
        <w:ind w:firstLine="480"/>
      </w:pPr>
      <w:r>
        <w:rPr>
          <w:rFonts w:hint="eastAsia"/>
        </w:rPr>
        <w:t>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供应商书面说明应当按照国家财务会计制度的规定要求，逐项就供应商提供的货物、工程和服务的主营业务成本(应根据供应商企业类型予以区别)、税金及附加、销售费用、管理费用、财务费用等成本构成事项详细陈述[若投标文件未附财务报告的，则还需提供完整的财务状况报告(含三表一附注)]。</w:t>
      </w:r>
    </w:p>
    <w:p>
      <w:pPr>
        <w:pStyle w:val="42"/>
        <w:ind w:firstLine="480"/>
      </w:pPr>
      <w:r>
        <w:rPr>
          <w:rFonts w:hint="eastAsia"/>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42"/>
        <w:ind w:firstLine="480"/>
      </w:pPr>
      <w:r>
        <w:rPr>
          <w:rFonts w:hint="eastAsia"/>
        </w:rPr>
        <w:t>供应商提供书面说明后，评标委员会应当结合采购项目采购需求、专业实际情况、供应商财务状况报告、与其他供应商比较情况等就供应商书面说明进行审查评价。供应商拒绝或者变相拒绝(包括未在规定时间内提供的)提供有效书面说明或者书面说明不能证明其报价合理性的，评标委员会应当将其投标文件作为无效处理。</w:t>
      </w:r>
    </w:p>
    <w:p>
      <w:pPr>
        <w:pStyle w:val="41"/>
        <w:numPr>
          <w:ilvl w:val="1"/>
          <w:numId w:val="14"/>
        </w:numPr>
        <w:ind w:firstLine="482"/>
      </w:pPr>
      <w:bookmarkStart w:id="1404" w:name="_Toc27402"/>
      <w:bookmarkStart w:id="1405" w:name="_Toc308084646"/>
      <w:bookmarkStart w:id="1406" w:name="_Toc1756"/>
      <w:bookmarkStart w:id="1407" w:name="_Toc308188199"/>
      <w:bookmarkStart w:id="1408" w:name="_Toc26213"/>
      <w:bookmarkStart w:id="1409" w:name="_Toc217446103"/>
      <w:bookmarkStart w:id="1410" w:name="_Toc9266"/>
      <w:bookmarkStart w:id="1411" w:name="_Toc309897564"/>
      <w:bookmarkStart w:id="1412" w:name="_Toc307564897"/>
      <w:bookmarkStart w:id="1413" w:name="_Toc319440191"/>
      <w:bookmarkStart w:id="1414" w:name="_Toc21397"/>
      <w:bookmarkStart w:id="1415" w:name="_Toc327196342"/>
      <w:bookmarkStart w:id="1416" w:name="_Toc307501155"/>
      <w:bookmarkStart w:id="1417" w:name="_Toc22389"/>
      <w:bookmarkStart w:id="1418" w:name="_Toc24902"/>
      <w:bookmarkStart w:id="1419" w:name="_Toc319439947"/>
      <w:bookmarkStart w:id="1420" w:name="_Toc23140"/>
      <w:bookmarkStart w:id="1421" w:name="_Toc2106"/>
      <w:bookmarkStart w:id="1422" w:name="_Toc25587"/>
      <w:bookmarkStart w:id="1423" w:name="_Toc23187"/>
      <w:bookmarkStart w:id="1424" w:name="_Toc30417"/>
      <w:r>
        <w:rPr>
          <w:rFonts w:hint="eastAsia"/>
        </w:rPr>
        <w:t>评标细则及标准</w:t>
      </w:r>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p>
    <w:p>
      <w:pPr>
        <w:pStyle w:val="39"/>
        <w:numPr>
          <w:ilvl w:val="1"/>
          <w:numId w:val="34"/>
        </w:numPr>
        <w:ind w:firstLine="480"/>
      </w:pPr>
      <w:r>
        <w:rPr>
          <w:rFonts w:hint="eastAsia"/>
        </w:rPr>
        <w:t>评委会只对通过符合性检查的投标文件，根据招标文件的要求采用相同的评标程序、评分办法及标准进行评价和比较。</w:t>
      </w:r>
    </w:p>
    <w:p>
      <w:pPr>
        <w:pStyle w:val="39"/>
        <w:numPr>
          <w:ilvl w:val="1"/>
          <w:numId w:val="34"/>
        </w:numPr>
        <w:ind w:firstLine="480"/>
      </w:pPr>
      <w:r>
        <w:rPr>
          <w:rFonts w:hint="eastAsia"/>
        </w:rPr>
        <w:t>本次综合评分的因素是：详见“综合评分明细表中的评分因素及权重”。</w:t>
      </w:r>
    </w:p>
    <w:p>
      <w:pPr>
        <w:pStyle w:val="39"/>
        <w:numPr>
          <w:ilvl w:val="1"/>
          <w:numId w:val="34"/>
        </w:numPr>
        <w:ind w:firstLine="480"/>
      </w:pPr>
      <w:r>
        <w:rPr>
          <w:rFonts w:hint="eastAsia"/>
        </w:rPr>
        <w:t>除价格因素外，评标委员会成员应当根据自身专业情况独立对每个有效投标人的投标文件进行评价、打分。采购人代表原则上对技术、与技术有关的服务及其他技术类评分因素独立评分。价格及其他不能明确区分的评分因素由评标委员会成员共同评分。</w:t>
      </w:r>
    </w:p>
    <w:p>
      <w:pPr>
        <w:pStyle w:val="39"/>
        <w:numPr>
          <w:ilvl w:val="1"/>
          <w:numId w:val="34"/>
        </w:numPr>
        <w:ind w:firstLine="480"/>
      </w:pPr>
      <w:r>
        <w:rPr>
          <w:rFonts w:hint="eastAsia"/>
        </w:rPr>
        <w:t>评审得分计算方法</w:t>
      </w:r>
    </w:p>
    <w:p>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评审得分＝(A1＋A2＋……＋An)/NA＋(B1＋B2＋……＋Bn)/ NB＋(C1＋C2＋……＋Cn)/ NC＋(D1＋D2＋……＋Dn)/ND</w:t>
      </w:r>
    </w:p>
    <w:p>
      <w:pPr>
        <w:ind w:firstLine="480" w:firstLineChars="200"/>
      </w:pPr>
      <w:r>
        <w:rPr>
          <w:rFonts w:hint="eastAsia" w:asciiTheme="minorEastAsia" w:hAnsiTheme="minorEastAsia" w:eastAsiaTheme="minorEastAsia" w:cstheme="minorEastAsia"/>
        </w:rPr>
        <w:t>A1、A2……An分别为每个经济类评委(经济类专家)的打分，NA为经济类评委(经济类专家)人数；B1、B2＋……Bn 分别为每个技术类评委(技术类专家和采购人代表)的打分，NB为技术类评委(技术类专家和采购人代表)人数；C1、C2……Cn 分别为每个政策合同类评委(法律类专家)的打分，NC为政策合同类评委(法律类专家)人数；D1、D2……Dn 分别为评审委员会每个成员的打分(共同评分类)，ND为评审委员会人数。</w:t>
      </w:r>
    </w:p>
    <w:p>
      <w:pPr>
        <w:pStyle w:val="39"/>
        <w:ind w:firstLine="480"/>
      </w:pPr>
      <w:r>
        <w:rPr>
          <w:rFonts w:hint="eastAsia"/>
        </w:rPr>
        <w:t>综合评分明细表</w:t>
      </w:r>
    </w:p>
    <w:p>
      <w:pPr>
        <w:pStyle w:val="42"/>
        <w:ind w:firstLine="480"/>
      </w:pPr>
      <w:r>
        <w:rPr>
          <w:rFonts w:hint="eastAsia"/>
        </w:rPr>
        <w:t>综合评分明细表的制定以科学合理、降低评委会自由裁量权为原则。</w:t>
      </w:r>
    </w:p>
    <w:p>
      <w:pPr>
        <w:pStyle w:val="42"/>
        <w:ind w:firstLine="480"/>
      </w:pPr>
      <w:r>
        <w:rPr>
          <w:rFonts w:hint="eastAsia"/>
        </w:rPr>
        <w:t>综合评分明细表</w:t>
      </w:r>
    </w:p>
    <w:p>
      <w:pPr>
        <w:pStyle w:val="41"/>
        <w:numPr>
          <w:ilvl w:val="1"/>
          <w:numId w:val="0"/>
        </w:numPr>
        <w:ind w:left="480" w:leftChars="200"/>
        <w:outlineLvl w:val="2"/>
        <w:rPr>
          <w:rFonts w:hint="eastAsia" w:cs="宋体"/>
          <w:b w:val="0"/>
          <w:bCs/>
        </w:rPr>
      </w:pPr>
      <w:bookmarkStart w:id="1425" w:name="_Toc32746"/>
      <w:bookmarkStart w:id="1426" w:name="_Toc13245"/>
      <w:bookmarkStart w:id="1427" w:name="_Toc21363"/>
      <w:bookmarkStart w:id="1428" w:name="_Toc4648"/>
      <w:bookmarkStart w:id="1429" w:name="_Toc21671"/>
      <w:bookmarkStart w:id="1430" w:name="_Toc13513"/>
      <w:r>
        <w:rPr>
          <w:rFonts w:hint="eastAsia" w:cs="宋体"/>
          <w:b w:val="0"/>
          <w:bCs/>
        </w:rPr>
        <w:t>第一包</w:t>
      </w:r>
      <w:r>
        <w:rPr>
          <w:rFonts w:hint="eastAsia" w:cs="宋体"/>
          <w:b w:val="0"/>
          <w:bCs/>
          <w:lang w:eastAsia="zh-CN"/>
        </w:rPr>
        <w:t>、第二包、第三包</w:t>
      </w:r>
      <w:r>
        <w:rPr>
          <w:rFonts w:hint="eastAsia" w:cs="宋体"/>
          <w:b w:val="0"/>
          <w:bCs/>
        </w:rPr>
        <w:t>：</w:t>
      </w:r>
      <w:bookmarkEnd w:id="1425"/>
    </w:p>
    <w:tbl>
      <w:tblPr>
        <w:tblStyle w:val="26"/>
        <w:tblW w:w="100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083"/>
        <w:gridCol w:w="877"/>
        <w:gridCol w:w="6538"/>
        <w:gridCol w:w="1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68" w:type="dxa"/>
            <w:vAlign w:val="center"/>
          </w:tcPr>
          <w:p>
            <w:pPr>
              <w:pStyle w:val="51"/>
              <w:keepNext w:val="0"/>
              <w:keepLines w:val="0"/>
              <w:pageBreakBefore w:val="0"/>
              <w:widowControl w:val="0"/>
              <w:kinsoku/>
              <w:bidi w:val="0"/>
              <w:adjustRightInd w:val="0"/>
              <w:snapToGrid w:val="0"/>
              <w:textAlignment w:val="auto"/>
              <w:rPr>
                <w:rFonts w:hint="eastAsia" w:ascii="宋体" w:hAnsi="宋体" w:eastAsia="宋体" w:cs="宋体"/>
                <w:b/>
                <w:bCs/>
                <w:sz w:val="21"/>
                <w:szCs w:val="21"/>
              </w:rPr>
            </w:pPr>
            <w:bookmarkStart w:id="1431" w:name="_Toc13533"/>
            <w:bookmarkStart w:id="1432" w:name="_Toc26234"/>
            <w:bookmarkStart w:id="1433" w:name="_Toc10094"/>
            <w:r>
              <w:rPr>
                <w:rFonts w:hint="eastAsia" w:ascii="宋体" w:hAnsi="宋体" w:eastAsia="宋体" w:cs="宋体"/>
                <w:b/>
                <w:bCs/>
                <w:sz w:val="21"/>
                <w:szCs w:val="21"/>
              </w:rPr>
              <w:t>序号</w:t>
            </w:r>
          </w:p>
        </w:tc>
        <w:tc>
          <w:tcPr>
            <w:tcW w:w="1083" w:type="dxa"/>
            <w:vAlign w:val="center"/>
          </w:tcPr>
          <w:p>
            <w:pPr>
              <w:pStyle w:val="51"/>
              <w:keepNext w:val="0"/>
              <w:keepLines w:val="0"/>
              <w:pageBreakBefore w:val="0"/>
              <w:widowControl w:val="0"/>
              <w:kinsoku/>
              <w:bidi w:val="0"/>
              <w:adjustRightInd w:val="0"/>
              <w:snapToGrid w:val="0"/>
              <w:textAlignment w:val="auto"/>
              <w:rPr>
                <w:rFonts w:hint="eastAsia" w:ascii="宋体" w:hAnsi="宋体" w:eastAsia="宋体" w:cs="宋体"/>
                <w:b/>
                <w:bCs/>
                <w:sz w:val="21"/>
                <w:szCs w:val="21"/>
              </w:rPr>
            </w:pPr>
            <w:r>
              <w:rPr>
                <w:rFonts w:hint="eastAsia" w:ascii="宋体" w:hAnsi="宋体" w:eastAsia="宋体" w:cs="宋体"/>
                <w:b/>
                <w:bCs/>
                <w:sz w:val="21"/>
                <w:szCs w:val="21"/>
              </w:rPr>
              <w:t>评分因素</w:t>
            </w:r>
          </w:p>
          <w:p>
            <w:pPr>
              <w:pStyle w:val="51"/>
              <w:keepNext w:val="0"/>
              <w:keepLines w:val="0"/>
              <w:pageBreakBefore w:val="0"/>
              <w:widowControl w:val="0"/>
              <w:kinsoku/>
              <w:bidi w:val="0"/>
              <w:adjustRightInd w:val="0"/>
              <w:snapToGrid w:val="0"/>
              <w:textAlignment w:val="auto"/>
              <w:rPr>
                <w:rFonts w:hint="eastAsia" w:ascii="宋体" w:hAnsi="宋体" w:eastAsia="宋体" w:cs="宋体"/>
                <w:b/>
                <w:bCs/>
                <w:sz w:val="21"/>
                <w:szCs w:val="21"/>
              </w:rPr>
            </w:pPr>
            <w:r>
              <w:rPr>
                <w:rFonts w:hint="eastAsia" w:ascii="宋体" w:hAnsi="宋体" w:eastAsia="宋体" w:cs="宋体"/>
                <w:b/>
                <w:bCs/>
                <w:sz w:val="21"/>
                <w:szCs w:val="21"/>
              </w:rPr>
              <w:t>及权重</w:t>
            </w:r>
          </w:p>
        </w:tc>
        <w:tc>
          <w:tcPr>
            <w:tcW w:w="877" w:type="dxa"/>
            <w:vAlign w:val="center"/>
          </w:tcPr>
          <w:p>
            <w:pPr>
              <w:pStyle w:val="51"/>
              <w:keepNext w:val="0"/>
              <w:keepLines w:val="0"/>
              <w:pageBreakBefore w:val="0"/>
              <w:widowControl w:val="0"/>
              <w:kinsoku/>
              <w:bidi w:val="0"/>
              <w:adjustRightInd w:val="0"/>
              <w:snapToGrid w:val="0"/>
              <w:textAlignment w:val="auto"/>
              <w:rPr>
                <w:rFonts w:hint="eastAsia" w:ascii="宋体" w:hAnsi="宋体" w:eastAsia="宋体" w:cs="宋体"/>
                <w:b/>
                <w:bCs/>
                <w:sz w:val="21"/>
                <w:szCs w:val="21"/>
              </w:rPr>
            </w:pPr>
            <w:r>
              <w:rPr>
                <w:rFonts w:hint="eastAsia" w:ascii="宋体" w:hAnsi="宋体" w:eastAsia="宋体" w:cs="宋体"/>
                <w:b/>
                <w:bCs/>
                <w:sz w:val="21"/>
                <w:szCs w:val="21"/>
              </w:rPr>
              <w:t>分值</w:t>
            </w:r>
          </w:p>
        </w:tc>
        <w:tc>
          <w:tcPr>
            <w:tcW w:w="6538" w:type="dxa"/>
            <w:vAlign w:val="center"/>
          </w:tcPr>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rPr>
            </w:pPr>
            <w:r>
              <w:rPr>
                <w:rFonts w:hint="eastAsia" w:ascii="宋体" w:hAnsi="宋体" w:eastAsia="宋体" w:cs="宋体"/>
                <w:b/>
                <w:bCs/>
                <w:sz w:val="21"/>
                <w:szCs w:val="21"/>
              </w:rPr>
              <w:t>评分标准</w:t>
            </w:r>
          </w:p>
        </w:tc>
        <w:tc>
          <w:tcPr>
            <w:tcW w:w="1022" w:type="dxa"/>
            <w:vAlign w:val="center"/>
          </w:tcPr>
          <w:p>
            <w:pPr>
              <w:pStyle w:val="51"/>
              <w:keepNext w:val="0"/>
              <w:keepLines w:val="0"/>
              <w:pageBreakBefore w:val="0"/>
              <w:widowControl w:val="0"/>
              <w:kinsoku/>
              <w:bidi w:val="0"/>
              <w:adjustRightInd w:val="0"/>
              <w:snapToGrid w:val="0"/>
              <w:textAlignment w:val="auto"/>
              <w:rPr>
                <w:rFonts w:hint="eastAsia" w:ascii="宋体" w:hAnsi="宋体" w:eastAsia="宋体" w:cs="宋体"/>
                <w:b/>
                <w:bCs/>
                <w:sz w:val="21"/>
                <w:szCs w:val="21"/>
              </w:rPr>
            </w:pPr>
            <w:r>
              <w:rPr>
                <w:rFonts w:hint="eastAsia" w:ascii="宋体" w:hAnsi="宋体" w:eastAsia="宋体" w:cs="宋体"/>
                <w:b/>
                <w:bCs/>
                <w:sz w:val="21"/>
                <w:szCs w:val="21"/>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8" w:type="dxa"/>
            <w:vAlign w:val="center"/>
          </w:tcPr>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rPr>
            </w:pPr>
            <w:r>
              <w:rPr>
                <w:rFonts w:hint="eastAsia" w:ascii="宋体" w:hAnsi="宋体" w:eastAsia="宋体" w:cs="宋体"/>
                <w:sz w:val="21"/>
                <w:szCs w:val="21"/>
              </w:rPr>
              <w:t>一</w:t>
            </w:r>
          </w:p>
        </w:tc>
        <w:tc>
          <w:tcPr>
            <w:tcW w:w="1083" w:type="dxa"/>
            <w:vAlign w:val="center"/>
          </w:tcPr>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投标报价</w:t>
            </w:r>
          </w:p>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highlight w:val="none"/>
              </w:rPr>
            </w:pPr>
            <w:r>
              <w:rPr>
                <w:rFonts w:hint="eastAsia" w:cs="宋体"/>
                <w:sz w:val="21"/>
                <w:szCs w:val="21"/>
                <w:highlight w:val="none"/>
                <w:lang w:val="en-US" w:eastAsia="zh-CN"/>
              </w:rPr>
              <w:t>15</w:t>
            </w:r>
            <w:r>
              <w:rPr>
                <w:rFonts w:hint="eastAsia" w:ascii="宋体" w:hAnsi="宋体" w:eastAsia="宋体" w:cs="宋体"/>
                <w:sz w:val="21"/>
                <w:szCs w:val="21"/>
                <w:highlight w:val="none"/>
              </w:rPr>
              <w:t>%</w:t>
            </w:r>
          </w:p>
        </w:tc>
        <w:tc>
          <w:tcPr>
            <w:tcW w:w="877" w:type="dxa"/>
            <w:vAlign w:val="center"/>
          </w:tcPr>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highlight w:val="none"/>
              </w:rPr>
            </w:pPr>
            <w:r>
              <w:rPr>
                <w:rFonts w:hint="eastAsia" w:cs="宋体"/>
                <w:sz w:val="21"/>
                <w:szCs w:val="21"/>
                <w:highlight w:val="none"/>
                <w:lang w:val="en-US" w:eastAsia="zh-CN"/>
              </w:rPr>
              <w:t>15</w:t>
            </w:r>
            <w:r>
              <w:rPr>
                <w:rFonts w:hint="eastAsia" w:ascii="宋体" w:hAnsi="宋体" w:eastAsia="宋体" w:cs="宋体"/>
                <w:sz w:val="21"/>
                <w:szCs w:val="21"/>
                <w:highlight w:val="none"/>
              </w:rPr>
              <w:t>分</w:t>
            </w:r>
          </w:p>
        </w:tc>
        <w:tc>
          <w:tcPr>
            <w:tcW w:w="6538" w:type="dxa"/>
            <w:vAlign w:val="center"/>
          </w:tcPr>
          <w:p>
            <w:pPr>
              <w:pStyle w:val="47"/>
              <w:ind w:left="24" w:leftChars="1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满足招标文件要求且投标价格最低的投标报价为评标基准价，其价格分为满分。其他投标人的价格分统一按照下列公式计算：投标报价得分=(评标基准价／投标报价)×1</w:t>
            </w:r>
            <w:r>
              <w:rPr>
                <w:rFonts w:hint="eastAsia" w:asciiTheme="minorEastAsia" w:hAnsiTheme="minorEastAsia" w:eastAsiaTheme="minorEastAsia" w:cstheme="minorEastAsia"/>
                <w:szCs w:val="21"/>
                <w:lang w:val="en-US" w:eastAsia="zh-CN"/>
              </w:rPr>
              <w:t>5</w:t>
            </w:r>
            <w:r>
              <w:rPr>
                <w:rFonts w:hint="eastAsia" w:asciiTheme="minorEastAsia" w:hAnsiTheme="minorEastAsia" w:eastAsiaTheme="minorEastAsia" w:cstheme="minorEastAsia"/>
                <w:szCs w:val="21"/>
              </w:rPr>
              <w:t>%×100；</w:t>
            </w:r>
          </w:p>
          <w:p>
            <w:pPr>
              <w:pStyle w:val="47"/>
              <w:ind w:left="0" w:leftChars="0"/>
              <w:rPr>
                <w:rFonts w:asciiTheme="minorEastAsia" w:hAnsiTheme="minorEastAsia" w:eastAsiaTheme="minorEastAsia" w:cstheme="minorEastAsia"/>
                <w:b w:val="0"/>
                <w:bCs w:val="0"/>
                <w:szCs w:val="21"/>
              </w:rPr>
            </w:pPr>
            <w:r>
              <w:rPr>
                <w:rFonts w:hint="eastAsia" w:asciiTheme="minorEastAsia" w:hAnsiTheme="minorEastAsia" w:eastAsiaTheme="minorEastAsia" w:cstheme="minorEastAsia"/>
                <w:b w:val="0"/>
                <w:bCs w:val="0"/>
                <w:szCs w:val="21"/>
              </w:rPr>
              <w:t>注：1.小微企业(残疾人福利性单位、监狱企业视同小微企业)价格扣除及失信企业价格惩戒加成按照本招标文件投标人须知前附表规定执行。</w:t>
            </w:r>
          </w:p>
          <w:p>
            <w:pPr>
              <w:pStyle w:val="47"/>
              <w:ind w:left="0" w:leftChars="0"/>
              <w:rPr>
                <w:rFonts w:asciiTheme="minorEastAsia" w:hAnsiTheme="minorEastAsia" w:eastAsiaTheme="minorEastAsia" w:cstheme="minorEastAsia"/>
                <w:b w:val="0"/>
                <w:bCs w:val="0"/>
                <w:szCs w:val="21"/>
              </w:rPr>
            </w:pPr>
            <w:r>
              <w:rPr>
                <w:rFonts w:hint="eastAsia" w:asciiTheme="minorEastAsia" w:hAnsiTheme="minorEastAsia" w:eastAsiaTheme="minorEastAsia" w:cstheme="minorEastAsia"/>
                <w:b w:val="0"/>
                <w:bCs w:val="0"/>
                <w:szCs w:val="21"/>
              </w:rPr>
              <w:t>2.评标过程中，不得去掉报价中的最高报价和最低报价。</w:t>
            </w:r>
          </w:p>
          <w:p>
            <w:pPr>
              <w:pStyle w:val="47"/>
              <w:keepNext w:val="0"/>
              <w:keepLines w:val="0"/>
              <w:pageBreakBefore w:val="0"/>
              <w:widowControl w:val="0"/>
              <w:kinsoku/>
              <w:overflowPunct/>
              <w:autoSpaceDE/>
              <w:autoSpaceDN/>
              <w:bidi w:val="0"/>
              <w:adjustRightInd w:val="0"/>
              <w:snapToGrid w:val="0"/>
              <w:ind w:left="0" w:leftChars="0" w:firstLine="0" w:firstLineChars="0"/>
              <w:textAlignment w:val="auto"/>
              <w:rPr>
                <w:rFonts w:hint="eastAsia" w:ascii="宋体" w:hAnsi="宋体" w:eastAsia="宋体" w:cs="宋体"/>
                <w:sz w:val="21"/>
                <w:szCs w:val="21"/>
                <w:highlight w:val="none"/>
              </w:rPr>
            </w:pPr>
            <w:r>
              <w:rPr>
                <w:rFonts w:hint="eastAsia" w:asciiTheme="minorEastAsia" w:hAnsiTheme="minorEastAsia" w:eastAsiaTheme="minorEastAsia" w:cstheme="minorEastAsia"/>
                <w:b w:val="0"/>
                <w:bCs w:val="0"/>
                <w:szCs w:val="21"/>
              </w:rPr>
              <w:t>3.因落实政府采购政策进行价格调整的，以调整后的价格计算评标基准价和投标报价。</w:t>
            </w:r>
          </w:p>
        </w:tc>
        <w:tc>
          <w:tcPr>
            <w:tcW w:w="1022" w:type="dxa"/>
            <w:vAlign w:val="center"/>
          </w:tcPr>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rPr>
            </w:pPr>
            <w:r>
              <w:rPr>
                <w:rFonts w:hint="eastAsia" w:ascii="宋体" w:hAnsi="宋体" w:eastAsia="宋体" w:cs="宋体"/>
                <w:sz w:val="21"/>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8" w:type="dxa"/>
            <w:vMerge w:val="restart"/>
            <w:vAlign w:val="center"/>
          </w:tcPr>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rPr>
            </w:pPr>
            <w:r>
              <w:rPr>
                <w:rFonts w:hint="eastAsia" w:ascii="宋体" w:hAnsi="宋体" w:eastAsia="宋体" w:cs="宋体"/>
                <w:sz w:val="21"/>
                <w:szCs w:val="21"/>
              </w:rPr>
              <w:t>二</w:t>
            </w:r>
          </w:p>
        </w:tc>
        <w:tc>
          <w:tcPr>
            <w:tcW w:w="1083" w:type="dxa"/>
            <w:vMerge w:val="restart"/>
            <w:vAlign w:val="center"/>
          </w:tcPr>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rPr>
            </w:pPr>
            <w:r>
              <w:rPr>
                <w:rFonts w:hint="eastAsia" w:ascii="宋体" w:hAnsi="宋体" w:eastAsia="宋体" w:cs="宋体"/>
                <w:sz w:val="21"/>
                <w:szCs w:val="21"/>
              </w:rPr>
              <w:t>服务方案</w:t>
            </w:r>
          </w:p>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rPr>
            </w:pPr>
            <w:r>
              <w:rPr>
                <w:rFonts w:hint="eastAsia" w:ascii="宋体" w:hAnsi="宋体" w:eastAsia="宋体" w:cs="宋体"/>
                <w:sz w:val="21"/>
                <w:szCs w:val="21"/>
              </w:rPr>
              <w:t>3</w:t>
            </w:r>
            <w:r>
              <w:rPr>
                <w:rFonts w:hint="eastAsia" w:cs="宋体"/>
                <w:sz w:val="21"/>
                <w:szCs w:val="21"/>
                <w:lang w:val="en-US" w:eastAsia="zh-CN"/>
              </w:rPr>
              <w:t>3</w:t>
            </w:r>
            <w:r>
              <w:rPr>
                <w:rFonts w:hint="eastAsia" w:ascii="宋体" w:hAnsi="宋体" w:eastAsia="宋体" w:cs="宋体"/>
                <w:sz w:val="21"/>
                <w:szCs w:val="21"/>
              </w:rPr>
              <w:t>%</w:t>
            </w:r>
          </w:p>
        </w:tc>
        <w:tc>
          <w:tcPr>
            <w:tcW w:w="877" w:type="dxa"/>
            <w:vAlign w:val="top"/>
          </w:tcPr>
          <w:p>
            <w:pPr>
              <w:pStyle w:val="47"/>
              <w:keepNext w:val="0"/>
              <w:keepLines w:val="0"/>
              <w:pageBreakBefore w:val="0"/>
              <w:widowControl w:val="0"/>
              <w:kinsoku/>
              <w:bidi w:val="0"/>
              <w:adjustRightInd w:val="0"/>
              <w:snapToGrid w:val="0"/>
              <w:ind w:left="0" w:leftChars="0"/>
              <w:textAlignment w:val="auto"/>
              <w:rPr>
                <w:rFonts w:hint="eastAsia"/>
                <w:b w:val="0"/>
                <w:bCs w:val="0"/>
                <w:color w:val="000000" w:themeColor="text1"/>
                <w:highlight w:val="none"/>
                <w:vertAlign w:val="baseline"/>
                <w:lang w:val="en-US" w:eastAsia="zh-CN"/>
                <w14:textFill>
                  <w14:solidFill>
                    <w14:schemeClr w14:val="tx1"/>
                  </w14:solidFill>
                </w14:textFill>
              </w:rPr>
            </w:pPr>
            <w:r>
              <w:rPr>
                <w:rFonts w:hint="eastAsia"/>
                <w:b w:val="0"/>
                <w:bCs w:val="0"/>
                <w:color w:val="000000" w:themeColor="text1"/>
                <w:highlight w:val="none"/>
                <w:vertAlign w:val="baseline"/>
                <w:lang w:val="en-US" w:eastAsia="zh-CN"/>
                <w14:textFill>
                  <w14:solidFill>
                    <w14:schemeClr w14:val="tx1"/>
                  </w14:solidFill>
                </w14:textFill>
              </w:rPr>
              <w:t>项目实施方案（18分）</w:t>
            </w:r>
          </w:p>
        </w:tc>
        <w:tc>
          <w:tcPr>
            <w:tcW w:w="6538" w:type="dxa"/>
            <w:vAlign w:val="center"/>
          </w:tcPr>
          <w:p>
            <w:pPr>
              <w:pStyle w:val="47"/>
              <w:keepNext w:val="0"/>
              <w:keepLines w:val="0"/>
              <w:pageBreakBefore w:val="0"/>
              <w:widowControl w:val="0"/>
              <w:kinsoku/>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t>根据投标人提供的</w:t>
            </w:r>
            <w:r>
              <w:rPr>
                <w:rFonts w:hint="eastAsia"/>
                <w:b w:val="0"/>
                <w:bCs w:val="0"/>
                <w:color w:val="000000" w:themeColor="text1"/>
                <w:highlight w:val="none"/>
                <w:vertAlign w:val="baseline"/>
                <w:lang w:val="en-US" w:eastAsia="zh-CN"/>
                <w14:textFill>
                  <w14:solidFill>
                    <w14:schemeClr w14:val="tx1"/>
                  </w14:solidFill>
                </w14:textFill>
              </w:rPr>
              <w:t>项目实施方案</w:t>
            </w:r>
            <w:r>
              <w:rPr>
                <w:rFonts w:hint="eastAsia"/>
                <w:lang w:eastAsia="zh-CN"/>
              </w:rPr>
              <w:t>（</w:t>
            </w:r>
            <w:r>
              <w:rPr>
                <w:rFonts w:hint="eastAsia" w:ascii="宋体" w:hAnsi="宋体" w:eastAsia="宋体" w:cs="宋体"/>
                <w:sz w:val="21"/>
                <w:szCs w:val="21"/>
              </w:rPr>
              <w:t>①</w:t>
            </w:r>
            <w:r>
              <w:rPr>
                <w:rFonts w:hint="eastAsia" w:cs="宋体"/>
                <w:sz w:val="21"/>
                <w:szCs w:val="21"/>
                <w:lang w:val="en-US" w:eastAsia="zh-CN"/>
              </w:rPr>
              <w:t>项目需求分析</w:t>
            </w:r>
            <w:r>
              <w:rPr>
                <w:rFonts w:hint="eastAsia" w:ascii="宋体" w:hAnsi="宋体" w:eastAsia="宋体" w:cs="宋体"/>
                <w:sz w:val="21"/>
                <w:szCs w:val="21"/>
              </w:rPr>
              <w:t>；②</w:t>
            </w:r>
            <w:r>
              <w:rPr>
                <w:rFonts w:hint="eastAsia" w:cs="宋体"/>
                <w:sz w:val="21"/>
                <w:szCs w:val="21"/>
                <w:lang w:val="en-US" w:eastAsia="zh-CN"/>
              </w:rPr>
              <w:t>项目进度计划</w:t>
            </w:r>
            <w:r>
              <w:rPr>
                <w:rFonts w:hint="eastAsia" w:ascii="宋体" w:hAnsi="宋体" w:eastAsia="宋体" w:cs="宋体"/>
                <w:sz w:val="21"/>
                <w:szCs w:val="21"/>
              </w:rPr>
              <w:t>；③</w:t>
            </w:r>
            <w:r>
              <w:rPr>
                <w:rFonts w:hint="eastAsia"/>
                <w:b w:val="0"/>
                <w:bCs w:val="0"/>
                <w:color w:val="000000" w:themeColor="text1"/>
                <w:sz w:val="21"/>
                <w:szCs w:val="21"/>
                <w:highlight w:val="none"/>
                <w:vertAlign w:val="baseline"/>
                <w:lang w:val="en-US" w:eastAsia="zh-CN"/>
                <w14:textFill>
                  <w14:solidFill>
                    <w14:schemeClr w14:val="tx1"/>
                  </w14:solidFill>
                </w14:textFill>
              </w:rPr>
              <w:t>安全作业方案</w:t>
            </w:r>
            <w:r>
              <w:rPr>
                <w:rFonts w:hint="eastAsia" w:ascii="宋体" w:hAnsi="宋体" w:eastAsia="宋体" w:cs="宋体"/>
                <w:sz w:val="21"/>
                <w:szCs w:val="21"/>
              </w:rPr>
              <w:t>；④</w:t>
            </w:r>
            <w:r>
              <w:rPr>
                <w:rFonts w:hint="eastAsia" w:cs="宋体"/>
                <w:sz w:val="21"/>
                <w:szCs w:val="21"/>
                <w:lang w:eastAsia="zh-CN"/>
              </w:rPr>
              <w:t>重难点分析</w:t>
            </w:r>
            <w:r>
              <w:rPr>
                <w:rFonts w:hint="eastAsia"/>
                <w:lang w:eastAsia="zh-CN"/>
              </w:rPr>
              <w:t>）</w:t>
            </w:r>
            <w:r>
              <w:rPr>
                <w:rFonts w:hint="eastAsia" w:ascii="宋体" w:hAnsi="宋体" w:eastAsia="宋体" w:cs="宋体"/>
                <w:sz w:val="21"/>
                <w:szCs w:val="21"/>
              </w:rPr>
              <w:t>等内容进行评审：上述</w:t>
            </w:r>
            <w:r>
              <w:rPr>
                <w:rFonts w:hint="eastAsia" w:cs="宋体"/>
                <w:sz w:val="21"/>
                <w:szCs w:val="21"/>
                <w:lang w:val="en-US" w:eastAsia="zh-CN"/>
              </w:rPr>
              <w:t>四项</w:t>
            </w:r>
            <w:r>
              <w:rPr>
                <w:rFonts w:hint="eastAsia" w:ascii="宋体" w:hAnsi="宋体" w:eastAsia="宋体" w:cs="宋体"/>
                <w:sz w:val="21"/>
                <w:szCs w:val="21"/>
              </w:rPr>
              <w:t>内容均符合实际情况、内容完善详细、描述准确、完全响应采购要求的得1</w:t>
            </w:r>
            <w:r>
              <w:rPr>
                <w:rFonts w:hint="eastAsia" w:cs="宋体"/>
                <w:sz w:val="21"/>
                <w:szCs w:val="21"/>
                <w:lang w:val="en-US" w:eastAsia="zh-CN"/>
              </w:rPr>
              <w:t>8</w:t>
            </w:r>
            <w:r>
              <w:rPr>
                <w:rFonts w:hint="eastAsia" w:ascii="宋体" w:hAnsi="宋体" w:eastAsia="宋体" w:cs="宋体"/>
                <w:sz w:val="21"/>
                <w:szCs w:val="21"/>
              </w:rPr>
              <w:t>分；每有一</w:t>
            </w:r>
            <w:r>
              <w:rPr>
                <w:rFonts w:hint="eastAsia" w:cs="宋体"/>
                <w:sz w:val="21"/>
                <w:szCs w:val="21"/>
                <w:lang w:val="en-US" w:eastAsia="zh-CN"/>
              </w:rPr>
              <w:t>项</w:t>
            </w:r>
            <w:r>
              <w:rPr>
                <w:rFonts w:hint="eastAsia" w:ascii="宋体" w:hAnsi="宋体" w:eastAsia="宋体" w:cs="宋体"/>
                <w:sz w:val="21"/>
                <w:szCs w:val="21"/>
              </w:rPr>
              <w:t>方案内容</w:t>
            </w:r>
            <w:r>
              <w:rPr>
                <w:rFonts w:hint="eastAsia" w:cs="宋体"/>
                <w:sz w:val="21"/>
                <w:szCs w:val="21"/>
                <w:lang w:val="en-US" w:eastAsia="zh-CN"/>
              </w:rPr>
              <w:t>有一处</w:t>
            </w:r>
            <w:r>
              <w:rPr>
                <w:rFonts w:hint="eastAsia" w:ascii="宋体" w:hAnsi="宋体" w:eastAsia="宋体" w:cs="宋体"/>
                <w:sz w:val="21"/>
                <w:szCs w:val="21"/>
              </w:rPr>
              <w:t>错误(内容错误指：</w:t>
            </w:r>
            <w:r>
              <w:rPr>
                <w:rFonts w:hint="eastAsia" w:ascii="宋体" w:hAnsi="宋体" w:eastAsia="宋体" w:cs="宋体"/>
                <w:sz w:val="21"/>
                <w:szCs w:val="21"/>
                <w:lang w:val="en-US" w:eastAsia="zh-CN"/>
              </w:rPr>
              <w:t>①</w:t>
            </w:r>
            <w:r>
              <w:rPr>
                <w:rFonts w:hint="eastAsia" w:ascii="宋体" w:hAnsi="宋体" w:eastAsia="宋体" w:cs="宋体"/>
                <w:sz w:val="21"/>
                <w:szCs w:val="21"/>
              </w:rPr>
              <w:t>项目名称/履约地点/执行标准与项目不一致</w:t>
            </w:r>
            <w:r>
              <w:rPr>
                <w:rFonts w:hint="eastAsia" w:ascii="宋体" w:hAnsi="宋体" w:eastAsia="宋体" w:cs="宋体"/>
                <w:sz w:val="21"/>
                <w:szCs w:val="21"/>
                <w:lang w:eastAsia="zh-CN"/>
              </w:rPr>
              <w:t>、</w:t>
            </w:r>
            <w:r>
              <w:rPr>
                <w:rFonts w:hint="eastAsia" w:ascii="宋体" w:hAnsi="宋体" w:eastAsia="宋体" w:cs="宋体"/>
                <w:sz w:val="21"/>
                <w:szCs w:val="21"/>
              </w:rPr>
              <w:t>②不符合实际情况、</w:t>
            </w:r>
            <w:r>
              <w:rPr>
                <w:rFonts w:hint="eastAsia" w:ascii="宋体" w:hAnsi="宋体" w:eastAsia="宋体" w:cs="宋体"/>
                <w:sz w:val="21"/>
                <w:szCs w:val="21"/>
                <w:highlight w:val="none"/>
              </w:rPr>
              <w:t>③内容</w:t>
            </w:r>
            <w:r>
              <w:rPr>
                <w:rFonts w:hint="eastAsia" w:cs="宋体"/>
                <w:sz w:val="21"/>
                <w:szCs w:val="21"/>
                <w:highlight w:val="none"/>
                <w:lang w:val="en-US" w:eastAsia="zh-CN"/>
              </w:rPr>
              <w:t>不完整</w:t>
            </w:r>
            <w:r>
              <w:rPr>
                <w:rFonts w:hint="eastAsia" w:ascii="宋体" w:hAnsi="宋体" w:eastAsia="宋体" w:cs="宋体"/>
                <w:sz w:val="21"/>
                <w:szCs w:val="21"/>
                <w:highlight w:val="none"/>
              </w:rPr>
              <w:t>、④描述不准确、⑤未完全响应采购要求)的扣</w:t>
            </w:r>
            <w:r>
              <w:rPr>
                <w:rFonts w:hint="eastAsia" w:cs="宋体"/>
                <w:sz w:val="21"/>
                <w:szCs w:val="21"/>
                <w:highlight w:val="none"/>
                <w:lang w:val="en-US" w:eastAsia="zh-CN"/>
              </w:rPr>
              <w:t>0.9</w:t>
            </w:r>
            <w:r>
              <w:rPr>
                <w:rFonts w:hint="eastAsia" w:ascii="宋体" w:hAnsi="宋体" w:eastAsia="宋体" w:cs="宋体"/>
                <w:sz w:val="21"/>
                <w:szCs w:val="21"/>
                <w:highlight w:val="none"/>
              </w:rPr>
              <w:t>分，每缺少一项内</w:t>
            </w:r>
            <w:r>
              <w:rPr>
                <w:rFonts w:hint="eastAsia" w:ascii="宋体" w:hAnsi="宋体" w:eastAsia="宋体" w:cs="宋体"/>
                <w:sz w:val="21"/>
                <w:szCs w:val="21"/>
              </w:rPr>
              <w:t>容的扣</w:t>
            </w:r>
            <w:r>
              <w:rPr>
                <w:rFonts w:hint="eastAsia" w:cs="宋体"/>
                <w:sz w:val="21"/>
                <w:szCs w:val="21"/>
                <w:lang w:val="en-US" w:eastAsia="zh-CN"/>
              </w:rPr>
              <w:t>4.5</w:t>
            </w:r>
            <w:r>
              <w:rPr>
                <w:rFonts w:hint="eastAsia" w:ascii="宋体" w:hAnsi="宋体" w:eastAsia="宋体" w:cs="宋体"/>
                <w:sz w:val="21"/>
                <w:szCs w:val="21"/>
              </w:rPr>
              <w:t>分，扣完为止。</w:t>
            </w:r>
          </w:p>
          <w:p>
            <w:pPr>
              <w:keepNext w:val="0"/>
              <w:keepLines w:val="0"/>
              <w:pageBreakBefore w:val="0"/>
              <w:widowControl w:val="0"/>
              <w:kinsoku/>
              <w:bidi w:val="0"/>
              <w:adjustRightInd w:val="0"/>
              <w:snapToGrid w:val="0"/>
              <w:spacing w:line="360" w:lineRule="exact"/>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bCs/>
                <w:sz w:val="21"/>
                <w:szCs w:val="21"/>
              </w:rPr>
              <w:t>注：以评审专家结合项目实际情况和投标文件响应独立评审为准。</w:t>
            </w:r>
          </w:p>
        </w:tc>
        <w:tc>
          <w:tcPr>
            <w:tcW w:w="1022" w:type="dxa"/>
            <w:vMerge w:val="restart"/>
            <w:vAlign w:val="center"/>
          </w:tcPr>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rPr>
            </w:pPr>
            <w:r>
              <w:rPr>
                <w:rFonts w:hint="eastAsia" w:ascii="宋体" w:hAnsi="宋体" w:eastAsia="宋体" w:cs="宋体"/>
                <w:sz w:val="21"/>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8" w:type="dxa"/>
            <w:vMerge w:val="continue"/>
            <w:vAlign w:val="center"/>
          </w:tcPr>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rPr>
            </w:pPr>
          </w:p>
        </w:tc>
        <w:tc>
          <w:tcPr>
            <w:tcW w:w="1083" w:type="dxa"/>
            <w:vMerge w:val="continue"/>
            <w:vAlign w:val="center"/>
          </w:tcPr>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rPr>
            </w:pPr>
          </w:p>
        </w:tc>
        <w:tc>
          <w:tcPr>
            <w:tcW w:w="877" w:type="dxa"/>
            <w:vAlign w:val="top"/>
          </w:tcPr>
          <w:p>
            <w:pPr>
              <w:pStyle w:val="47"/>
              <w:keepNext w:val="0"/>
              <w:keepLines w:val="0"/>
              <w:pageBreakBefore w:val="0"/>
              <w:widowControl w:val="0"/>
              <w:kinsoku/>
              <w:bidi w:val="0"/>
              <w:adjustRightInd w:val="0"/>
              <w:snapToGrid w:val="0"/>
              <w:ind w:left="0" w:leftChars="0"/>
              <w:textAlignment w:val="auto"/>
              <w:rPr>
                <w:rFonts w:hint="eastAsia"/>
                <w:b w:val="0"/>
                <w:bCs w:val="0"/>
                <w:color w:val="000000" w:themeColor="text1"/>
                <w:highlight w:val="none"/>
                <w:vertAlign w:val="baseline"/>
                <w:lang w:val="en-US" w:eastAsia="zh-CN"/>
                <w14:textFill>
                  <w14:solidFill>
                    <w14:schemeClr w14:val="tx1"/>
                  </w14:solidFill>
                </w14:textFill>
              </w:rPr>
            </w:pPr>
            <w:r>
              <w:rPr>
                <w:rFonts w:hint="eastAsia"/>
                <w:b w:val="0"/>
                <w:bCs w:val="0"/>
                <w:color w:val="000000" w:themeColor="text1"/>
                <w:highlight w:val="none"/>
                <w:vertAlign w:val="baseline"/>
                <w:lang w:val="en-US" w:eastAsia="zh-CN"/>
                <w14:textFill>
                  <w14:solidFill>
                    <w14:schemeClr w14:val="tx1"/>
                  </w14:solidFill>
                </w14:textFill>
              </w:rPr>
              <w:t>普查技术方案</w:t>
            </w:r>
          </w:p>
          <w:p>
            <w:pPr>
              <w:pStyle w:val="47"/>
              <w:keepNext w:val="0"/>
              <w:keepLines w:val="0"/>
              <w:pageBreakBefore w:val="0"/>
              <w:widowControl w:val="0"/>
              <w:kinsoku/>
              <w:bidi w:val="0"/>
              <w:adjustRightInd w:val="0"/>
              <w:snapToGrid w:val="0"/>
              <w:ind w:left="0" w:leftChars="0"/>
              <w:textAlignment w:val="auto"/>
              <w:rPr>
                <w:rFonts w:hint="eastAsia"/>
                <w:b w:val="0"/>
                <w:bCs w:val="0"/>
                <w:color w:val="000000" w:themeColor="text1"/>
                <w:highlight w:val="none"/>
                <w:vertAlign w:val="baseline"/>
                <w:lang w:val="en-US" w:eastAsia="zh-CN"/>
                <w14:textFill>
                  <w14:solidFill>
                    <w14:schemeClr w14:val="tx1"/>
                  </w14:solidFill>
                </w14:textFill>
              </w:rPr>
            </w:pPr>
            <w:r>
              <w:rPr>
                <w:rFonts w:hint="eastAsia"/>
                <w:b w:val="0"/>
                <w:bCs w:val="0"/>
                <w:color w:val="000000" w:themeColor="text1"/>
                <w:highlight w:val="none"/>
                <w:vertAlign w:val="baseline"/>
                <w:lang w:val="en-US" w:eastAsia="zh-CN"/>
                <w14:textFill>
                  <w14:solidFill>
                    <w14:schemeClr w14:val="tx1"/>
                  </w14:solidFill>
                </w14:textFill>
              </w:rPr>
              <w:t>（15分）</w:t>
            </w:r>
          </w:p>
        </w:tc>
        <w:tc>
          <w:tcPr>
            <w:tcW w:w="6538" w:type="dxa"/>
            <w:vAlign w:val="center"/>
          </w:tcPr>
          <w:p>
            <w:pPr>
              <w:pStyle w:val="47"/>
              <w:keepNext w:val="0"/>
              <w:keepLines w:val="0"/>
              <w:pageBreakBefore w:val="0"/>
              <w:widowControl w:val="0"/>
              <w:kinsoku/>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t>根据投标人提供的</w:t>
            </w:r>
            <w:r>
              <w:rPr>
                <w:rFonts w:hint="eastAsia"/>
                <w:b w:val="0"/>
                <w:bCs w:val="0"/>
                <w:color w:val="000000" w:themeColor="text1"/>
                <w:highlight w:val="none"/>
                <w:vertAlign w:val="baseline"/>
                <w:lang w:val="en-US" w:eastAsia="zh-CN"/>
                <w14:textFill>
                  <w14:solidFill>
                    <w14:schemeClr w14:val="tx1"/>
                  </w14:solidFill>
                </w14:textFill>
              </w:rPr>
              <w:t>普查技术方案</w:t>
            </w:r>
            <w:r>
              <w:rPr>
                <w:rFonts w:hint="eastAsia"/>
                <w:lang w:eastAsia="zh-CN"/>
              </w:rPr>
              <w:t>（</w:t>
            </w:r>
            <w:r>
              <w:rPr>
                <w:rFonts w:hint="eastAsia" w:ascii="宋体" w:hAnsi="宋体" w:eastAsia="宋体" w:cs="宋体"/>
                <w:sz w:val="21"/>
                <w:szCs w:val="21"/>
              </w:rPr>
              <w:t>①地下管线探查方法；②管线测量方法；③内业资料整理制度；④作业质量管控措施；⑤保密措施</w:t>
            </w:r>
            <w:r>
              <w:rPr>
                <w:rFonts w:hint="eastAsia"/>
                <w:lang w:eastAsia="zh-CN"/>
              </w:rPr>
              <w:t>）</w:t>
            </w:r>
            <w:r>
              <w:rPr>
                <w:rFonts w:hint="eastAsia" w:ascii="宋体" w:hAnsi="宋体" w:eastAsia="宋体" w:cs="宋体"/>
                <w:sz w:val="21"/>
                <w:szCs w:val="21"/>
              </w:rPr>
              <w:t>等内容进行评审：上述</w:t>
            </w:r>
            <w:r>
              <w:rPr>
                <w:rFonts w:hint="eastAsia" w:cs="宋体"/>
                <w:sz w:val="21"/>
                <w:szCs w:val="21"/>
                <w:lang w:val="en-US" w:eastAsia="zh-CN"/>
              </w:rPr>
              <w:t>五项</w:t>
            </w:r>
            <w:r>
              <w:rPr>
                <w:rFonts w:hint="eastAsia" w:ascii="宋体" w:hAnsi="宋体" w:eastAsia="宋体" w:cs="宋体"/>
                <w:sz w:val="21"/>
                <w:szCs w:val="21"/>
              </w:rPr>
              <w:t>内容均符合实际情况、内容完善详细、描述准确、完全响应采购要求的得1</w:t>
            </w:r>
            <w:r>
              <w:rPr>
                <w:rFonts w:hint="eastAsia" w:cs="宋体"/>
                <w:sz w:val="21"/>
                <w:szCs w:val="21"/>
                <w:lang w:val="en-US" w:eastAsia="zh-CN"/>
              </w:rPr>
              <w:t>5</w:t>
            </w:r>
            <w:r>
              <w:rPr>
                <w:rFonts w:hint="eastAsia" w:ascii="宋体" w:hAnsi="宋体" w:eastAsia="宋体" w:cs="宋体"/>
                <w:sz w:val="21"/>
                <w:szCs w:val="21"/>
              </w:rPr>
              <w:t>分；每有一</w:t>
            </w:r>
            <w:r>
              <w:rPr>
                <w:rFonts w:hint="eastAsia" w:cs="宋体"/>
                <w:sz w:val="21"/>
                <w:szCs w:val="21"/>
                <w:lang w:val="en-US" w:eastAsia="zh-CN"/>
              </w:rPr>
              <w:t>项</w:t>
            </w:r>
            <w:r>
              <w:rPr>
                <w:rFonts w:hint="eastAsia" w:ascii="宋体" w:hAnsi="宋体" w:eastAsia="宋体" w:cs="宋体"/>
                <w:sz w:val="21"/>
                <w:szCs w:val="21"/>
              </w:rPr>
              <w:t>方案内容</w:t>
            </w:r>
            <w:r>
              <w:rPr>
                <w:rFonts w:hint="eastAsia" w:cs="宋体"/>
                <w:sz w:val="21"/>
                <w:szCs w:val="21"/>
                <w:lang w:val="en-US" w:eastAsia="zh-CN"/>
              </w:rPr>
              <w:t>有一处</w:t>
            </w:r>
            <w:r>
              <w:rPr>
                <w:rFonts w:hint="eastAsia" w:ascii="宋体" w:hAnsi="宋体" w:eastAsia="宋体" w:cs="宋体"/>
                <w:sz w:val="21"/>
                <w:szCs w:val="21"/>
              </w:rPr>
              <w:t>错误(内容错误指：</w:t>
            </w:r>
            <w:r>
              <w:rPr>
                <w:rFonts w:hint="eastAsia" w:ascii="宋体" w:hAnsi="宋体" w:eastAsia="宋体" w:cs="宋体"/>
                <w:sz w:val="21"/>
                <w:szCs w:val="21"/>
                <w:lang w:val="en-US" w:eastAsia="zh-CN"/>
              </w:rPr>
              <w:t>①</w:t>
            </w:r>
            <w:r>
              <w:rPr>
                <w:rFonts w:hint="eastAsia" w:ascii="宋体" w:hAnsi="宋体" w:eastAsia="宋体" w:cs="宋体"/>
                <w:sz w:val="21"/>
                <w:szCs w:val="21"/>
              </w:rPr>
              <w:t>项目名称/履约地点/执行标准与项目不一致</w:t>
            </w:r>
            <w:r>
              <w:rPr>
                <w:rFonts w:hint="eastAsia" w:ascii="宋体" w:hAnsi="宋体" w:eastAsia="宋体" w:cs="宋体"/>
                <w:sz w:val="21"/>
                <w:szCs w:val="21"/>
                <w:lang w:eastAsia="zh-CN"/>
              </w:rPr>
              <w:t>、</w:t>
            </w:r>
            <w:r>
              <w:rPr>
                <w:rFonts w:hint="eastAsia" w:ascii="宋体" w:hAnsi="宋体" w:eastAsia="宋体" w:cs="宋体"/>
                <w:sz w:val="21"/>
                <w:szCs w:val="21"/>
              </w:rPr>
              <w:t>②不符合实际情况、③</w:t>
            </w:r>
            <w:r>
              <w:rPr>
                <w:rFonts w:hint="eastAsia" w:ascii="宋体" w:hAnsi="宋体" w:eastAsia="宋体" w:cs="宋体"/>
                <w:sz w:val="21"/>
                <w:szCs w:val="21"/>
                <w:highlight w:val="none"/>
              </w:rPr>
              <w:t>内容</w:t>
            </w:r>
            <w:r>
              <w:rPr>
                <w:rFonts w:hint="eastAsia" w:cs="宋体"/>
                <w:sz w:val="21"/>
                <w:szCs w:val="21"/>
                <w:highlight w:val="none"/>
                <w:lang w:val="en-US" w:eastAsia="zh-CN"/>
              </w:rPr>
              <w:t>不完整</w:t>
            </w:r>
            <w:r>
              <w:rPr>
                <w:rFonts w:hint="eastAsia" w:ascii="宋体" w:hAnsi="宋体" w:eastAsia="宋体" w:cs="宋体"/>
                <w:sz w:val="21"/>
                <w:szCs w:val="21"/>
              </w:rPr>
              <w:t>、④描述不准确、⑤未完全响应采购要求、</w:t>
            </w:r>
            <w:r>
              <w:rPr>
                <w:rFonts w:hint="eastAsia" w:ascii="宋体" w:hAnsi="宋体" w:eastAsia="宋体" w:cs="宋体"/>
                <w:sz w:val="21"/>
                <w:szCs w:val="21"/>
                <w:lang w:val="en-US" w:eastAsia="zh-CN"/>
              </w:rPr>
              <w:t>⑥</w:t>
            </w:r>
            <w:r>
              <w:rPr>
                <w:rFonts w:hint="eastAsia" w:ascii="宋体" w:hAnsi="宋体" w:eastAsia="宋体" w:cs="宋体"/>
                <w:sz w:val="21"/>
                <w:szCs w:val="21"/>
              </w:rPr>
              <w:t>不能满足项目要求)的扣</w:t>
            </w:r>
            <w:r>
              <w:rPr>
                <w:rFonts w:hint="eastAsia" w:cs="宋体"/>
                <w:sz w:val="21"/>
                <w:szCs w:val="21"/>
                <w:lang w:val="en-US" w:eastAsia="zh-CN"/>
              </w:rPr>
              <w:t>0.5</w:t>
            </w:r>
            <w:r>
              <w:rPr>
                <w:rFonts w:hint="eastAsia" w:ascii="宋体" w:hAnsi="宋体" w:eastAsia="宋体" w:cs="宋体"/>
                <w:sz w:val="21"/>
                <w:szCs w:val="21"/>
              </w:rPr>
              <w:t>分，每缺少一项内容的扣</w:t>
            </w:r>
            <w:r>
              <w:rPr>
                <w:rFonts w:hint="eastAsia" w:cs="宋体"/>
                <w:sz w:val="21"/>
                <w:szCs w:val="21"/>
                <w:lang w:val="en-US" w:eastAsia="zh-CN"/>
              </w:rPr>
              <w:t>3</w:t>
            </w:r>
            <w:r>
              <w:rPr>
                <w:rFonts w:hint="eastAsia" w:ascii="宋体" w:hAnsi="宋体" w:eastAsia="宋体" w:cs="宋体"/>
                <w:sz w:val="21"/>
                <w:szCs w:val="21"/>
              </w:rPr>
              <w:t>分，扣完为止。</w:t>
            </w:r>
          </w:p>
          <w:p>
            <w:pPr>
              <w:pStyle w:val="47"/>
              <w:keepNext w:val="0"/>
              <w:keepLines w:val="0"/>
              <w:pageBreakBefore w:val="0"/>
              <w:widowControl w:val="0"/>
              <w:kinsoku/>
              <w:bidi w:val="0"/>
              <w:adjustRightInd w:val="0"/>
              <w:snapToGrid w:val="0"/>
              <w:ind w:left="0" w:leftChars="0"/>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bCs/>
                <w:sz w:val="21"/>
                <w:szCs w:val="21"/>
              </w:rPr>
              <w:t>注：以评审专家结合项目实际情况和投标文件响应独立评审为准。</w:t>
            </w:r>
          </w:p>
        </w:tc>
        <w:tc>
          <w:tcPr>
            <w:tcW w:w="1022" w:type="dxa"/>
            <w:vMerge w:val="continue"/>
            <w:vAlign w:val="center"/>
          </w:tcPr>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8" w:type="dxa"/>
            <w:vMerge w:val="restart"/>
            <w:vAlign w:val="center"/>
          </w:tcPr>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rPr>
            </w:pPr>
            <w:r>
              <w:rPr>
                <w:rFonts w:hint="eastAsia" w:ascii="宋体" w:hAnsi="宋体" w:eastAsia="宋体" w:cs="宋体"/>
                <w:sz w:val="21"/>
                <w:szCs w:val="21"/>
              </w:rPr>
              <w:t>三</w:t>
            </w:r>
          </w:p>
        </w:tc>
        <w:tc>
          <w:tcPr>
            <w:tcW w:w="1083" w:type="dxa"/>
            <w:vMerge w:val="restart"/>
            <w:vAlign w:val="center"/>
          </w:tcPr>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rPr>
            </w:pPr>
            <w:r>
              <w:rPr>
                <w:rFonts w:hint="eastAsia" w:ascii="宋体" w:hAnsi="宋体" w:eastAsia="宋体" w:cs="宋体"/>
                <w:sz w:val="21"/>
                <w:szCs w:val="21"/>
              </w:rPr>
              <w:t>履约能力</w:t>
            </w:r>
          </w:p>
          <w:p>
            <w:pPr>
              <w:pStyle w:val="51"/>
              <w:keepNext w:val="0"/>
              <w:keepLines w:val="0"/>
              <w:pageBreakBefore w:val="0"/>
              <w:widowControl w:val="0"/>
              <w:kinsoku/>
              <w:bidi w:val="0"/>
              <w:adjustRightInd w:val="0"/>
              <w:snapToGrid w:val="0"/>
              <w:textAlignment w:val="auto"/>
              <w:rPr>
                <w:rFonts w:hint="eastAsia" w:ascii="宋体" w:hAnsi="宋体" w:eastAsia="宋体" w:cs="宋体"/>
                <w:b/>
                <w:bCs/>
                <w:sz w:val="21"/>
                <w:szCs w:val="21"/>
              </w:rPr>
            </w:pPr>
            <w:r>
              <w:rPr>
                <w:rFonts w:hint="eastAsia" w:cs="宋体"/>
                <w:sz w:val="21"/>
                <w:szCs w:val="21"/>
                <w:lang w:val="en-US" w:eastAsia="zh-CN"/>
              </w:rPr>
              <w:t>50</w:t>
            </w:r>
            <w:r>
              <w:rPr>
                <w:rFonts w:hint="eastAsia" w:ascii="宋体" w:hAnsi="宋体" w:eastAsia="宋体" w:cs="宋体"/>
                <w:sz w:val="21"/>
                <w:szCs w:val="21"/>
              </w:rPr>
              <w:t>%</w:t>
            </w:r>
          </w:p>
        </w:tc>
        <w:tc>
          <w:tcPr>
            <w:tcW w:w="877" w:type="dxa"/>
            <w:vAlign w:val="center"/>
          </w:tcPr>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rPr>
            </w:pPr>
            <w:r>
              <w:rPr>
                <w:rFonts w:hint="eastAsia" w:ascii="宋体" w:hAnsi="宋体" w:eastAsia="宋体" w:cs="宋体"/>
                <w:sz w:val="21"/>
                <w:szCs w:val="21"/>
              </w:rPr>
              <w:t>人员</w:t>
            </w:r>
          </w:p>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rPr>
            </w:pPr>
            <w:r>
              <w:rPr>
                <w:rFonts w:hint="eastAsia" w:ascii="宋体" w:hAnsi="宋体" w:eastAsia="宋体" w:cs="宋体"/>
                <w:sz w:val="21"/>
                <w:szCs w:val="21"/>
              </w:rPr>
              <w:t>配置</w:t>
            </w:r>
          </w:p>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cs="宋体"/>
                <w:sz w:val="21"/>
                <w:szCs w:val="21"/>
                <w:lang w:val="en-US" w:eastAsia="zh-CN"/>
              </w:rPr>
              <w:t>1</w:t>
            </w:r>
            <w:r>
              <w:rPr>
                <w:rFonts w:hint="eastAsia" w:ascii="宋体" w:hAnsi="宋体" w:eastAsia="宋体" w:cs="宋体"/>
                <w:sz w:val="21"/>
                <w:szCs w:val="21"/>
              </w:rPr>
              <w:t>分</w:t>
            </w:r>
          </w:p>
        </w:tc>
        <w:tc>
          <w:tcPr>
            <w:tcW w:w="6538" w:type="dxa"/>
            <w:vAlign w:val="center"/>
          </w:tcPr>
          <w:p>
            <w:pPr>
              <w:keepNext w:val="0"/>
              <w:keepLines w:val="0"/>
              <w:pageBreakBefore w:val="0"/>
              <w:widowControl w:val="0"/>
              <w:kinsoku/>
              <w:bidi w:val="0"/>
              <w:adjustRightInd w:val="0"/>
              <w:snapToGrid w:val="0"/>
              <w:spacing w:line="360" w:lineRule="exact"/>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1.拟派本项目的项目负责人具有：</w:t>
            </w:r>
          </w:p>
          <w:p>
            <w:pPr>
              <w:keepNext w:val="0"/>
              <w:keepLines w:val="0"/>
              <w:pageBreakBefore w:val="0"/>
              <w:widowControl w:val="0"/>
              <w:kinsoku/>
              <w:bidi w:val="0"/>
              <w:adjustRightInd w:val="0"/>
              <w:snapToGrid w:val="0"/>
              <w:spacing w:line="36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同时具有测绘类专业高级及以上技术职称和注册测绘师资格证书的得</w:t>
            </w:r>
            <w:r>
              <w:rPr>
                <w:rFonts w:hint="eastAsia" w:cs="宋体"/>
                <w:sz w:val="21"/>
                <w:szCs w:val="21"/>
                <w:highlight w:val="none"/>
                <w:lang w:val="en-US" w:eastAsia="zh-CN"/>
              </w:rPr>
              <w:t>2</w:t>
            </w:r>
            <w:r>
              <w:rPr>
                <w:rFonts w:hint="eastAsia" w:ascii="宋体" w:hAnsi="宋体" w:eastAsia="宋体" w:cs="宋体"/>
                <w:sz w:val="21"/>
                <w:szCs w:val="21"/>
                <w:highlight w:val="none"/>
                <w:lang w:val="en-US" w:eastAsia="zh-CN"/>
              </w:rPr>
              <w:t>分。</w:t>
            </w:r>
          </w:p>
          <w:p>
            <w:pPr>
              <w:pStyle w:val="42"/>
              <w:keepNext w:val="0"/>
              <w:keepLines w:val="0"/>
              <w:pageBreakBefore w:val="0"/>
              <w:widowControl w:val="0"/>
              <w:numPr>
                <w:ilvl w:val="2"/>
                <w:numId w:val="0"/>
              </w:numPr>
              <w:kinsoku/>
              <w:bidi w:val="0"/>
              <w:adjustRightInd w:val="0"/>
              <w:snapToGrid w:val="0"/>
              <w:spacing w:line="360" w:lineRule="exact"/>
              <w:textAlignment w:val="auto"/>
              <w:rPr>
                <w:rFonts w:hint="eastAsia" w:ascii="宋体" w:hAnsi="宋体" w:eastAsia="宋体" w:cs="宋体"/>
                <w:sz w:val="21"/>
                <w:szCs w:val="21"/>
                <w:highlight w:val="none"/>
              </w:rPr>
            </w:pPr>
            <w:r>
              <w:rPr>
                <w:rFonts w:hint="eastAsia" w:ascii="宋体" w:hAnsi="宋体" w:eastAsia="宋体" w:cs="宋体"/>
                <w:b/>
                <w:snapToGrid/>
                <w:sz w:val="21"/>
                <w:szCs w:val="21"/>
                <w:highlight w:val="none"/>
              </w:rPr>
              <w:t>2.拟派本项目的技术负责人具有：</w:t>
            </w:r>
          </w:p>
          <w:p>
            <w:pPr>
              <w:keepNext w:val="0"/>
              <w:keepLines w:val="0"/>
              <w:pageBreakBefore w:val="0"/>
              <w:widowControl w:val="0"/>
              <w:kinsoku/>
              <w:bidi w:val="0"/>
              <w:adjustRightInd w:val="0"/>
              <w:snapToGrid w:val="0"/>
              <w:spacing w:line="36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同时具有测绘类专业高级及以上技术职称和注册测绘师资格证书的得</w:t>
            </w:r>
            <w:r>
              <w:rPr>
                <w:rFonts w:hint="eastAsia" w:cs="宋体"/>
                <w:sz w:val="21"/>
                <w:szCs w:val="21"/>
                <w:highlight w:val="none"/>
                <w:lang w:val="en-US" w:eastAsia="zh-CN"/>
              </w:rPr>
              <w:t>2</w:t>
            </w:r>
            <w:r>
              <w:rPr>
                <w:rFonts w:hint="eastAsia" w:ascii="宋体" w:hAnsi="宋体" w:eastAsia="宋体" w:cs="宋体"/>
                <w:sz w:val="21"/>
                <w:szCs w:val="21"/>
                <w:highlight w:val="none"/>
                <w:lang w:val="en-US" w:eastAsia="zh-CN"/>
              </w:rPr>
              <w:t>分。</w:t>
            </w:r>
          </w:p>
          <w:p>
            <w:pPr>
              <w:keepNext w:val="0"/>
              <w:keepLines w:val="0"/>
              <w:pageBreakBefore w:val="0"/>
              <w:widowControl w:val="0"/>
              <w:kinsoku/>
              <w:bidi w:val="0"/>
              <w:adjustRightInd w:val="0"/>
              <w:snapToGrid w:val="0"/>
              <w:spacing w:line="360" w:lineRule="exact"/>
              <w:textAlignment w:val="auto"/>
              <w:rPr>
                <w:rFonts w:hint="eastAsia" w:ascii="宋体" w:hAnsi="宋体" w:eastAsia="宋体" w:cs="宋体"/>
                <w:b/>
                <w:sz w:val="21"/>
                <w:szCs w:val="21"/>
                <w:highlight w:val="none"/>
              </w:rPr>
            </w:pPr>
            <w:r>
              <w:rPr>
                <w:rFonts w:hint="eastAsia" w:cs="宋体"/>
                <w:b/>
                <w:sz w:val="21"/>
                <w:szCs w:val="21"/>
                <w:highlight w:val="none"/>
                <w:lang w:val="en-US" w:eastAsia="zh-CN"/>
              </w:rPr>
              <w:t>3</w:t>
            </w:r>
            <w:r>
              <w:rPr>
                <w:rFonts w:hint="eastAsia" w:ascii="宋体" w:hAnsi="宋体" w:eastAsia="宋体" w:cs="宋体"/>
                <w:b/>
                <w:sz w:val="21"/>
                <w:szCs w:val="21"/>
                <w:highlight w:val="none"/>
              </w:rPr>
              <w:t>.派本项目</w:t>
            </w:r>
            <w:r>
              <w:rPr>
                <w:rFonts w:hint="eastAsia" w:cs="宋体"/>
                <w:b/>
                <w:sz w:val="21"/>
                <w:szCs w:val="21"/>
                <w:highlight w:val="none"/>
                <w:lang w:eastAsia="zh-CN"/>
              </w:rPr>
              <w:t>的质量</w:t>
            </w:r>
            <w:r>
              <w:rPr>
                <w:rFonts w:hint="eastAsia" w:ascii="宋体" w:hAnsi="宋体" w:eastAsia="宋体" w:cs="宋体"/>
                <w:b/>
                <w:sz w:val="21"/>
                <w:szCs w:val="21"/>
                <w:highlight w:val="none"/>
              </w:rPr>
              <w:t>负责人具有：</w:t>
            </w:r>
          </w:p>
          <w:p>
            <w:pPr>
              <w:keepNext w:val="0"/>
              <w:keepLines w:val="0"/>
              <w:pageBreakBefore w:val="0"/>
              <w:widowControl w:val="0"/>
              <w:kinsoku/>
              <w:bidi w:val="0"/>
              <w:adjustRightInd w:val="0"/>
              <w:snapToGrid w:val="0"/>
              <w:spacing w:line="36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同时具有测绘类专业高级及以上技术职称和注册测绘师资格证书的得</w:t>
            </w:r>
            <w:r>
              <w:rPr>
                <w:rFonts w:hint="eastAsia" w:cs="宋体"/>
                <w:sz w:val="21"/>
                <w:szCs w:val="21"/>
                <w:highlight w:val="none"/>
                <w:lang w:val="en-US" w:eastAsia="zh-CN"/>
              </w:rPr>
              <w:t>2</w:t>
            </w:r>
            <w:r>
              <w:rPr>
                <w:rFonts w:hint="eastAsia" w:ascii="宋体" w:hAnsi="宋体" w:eastAsia="宋体" w:cs="宋体"/>
                <w:sz w:val="21"/>
                <w:szCs w:val="21"/>
                <w:highlight w:val="none"/>
                <w:lang w:val="en-US" w:eastAsia="zh-CN"/>
              </w:rPr>
              <w:t>分。</w:t>
            </w:r>
          </w:p>
          <w:p>
            <w:pPr>
              <w:keepNext w:val="0"/>
              <w:keepLines w:val="0"/>
              <w:pageBreakBefore w:val="0"/>
              <w:widowControl w:val="0"/>
              <w:kinsoku/>
              <w:bidi w:val="0"/>
              <w:adjustRightInd w:val="0"/>
              <w:snapToGrid w:val="0"/>
              <w:spacing w:line="360" w:lineRule="exact"/>
              <w:textAlignment w:val="auto"/>
              <w:rPr>
                <w:rFonts w:hint="eastAsia" w:ascii="宋体" w:hAnsi="宋体" w:eastAsia="宋体" w:cs="宋体"/>
                <w:sz w:val="21"/>
                <w:szCs w:val="21"/>
                <w:highlight w:val="none"/>
              </w:rPr>
            </w:pPr>
            <w:r>
              <w:rPr>
                <w:rFonts w:hint="eastAsia" w:ascii="宋体" w:cs="宋体"/>
                <w:b/>
                <w:sz w:val="21"/>
                <w:szCs w:val="21"/>
                <w:highlight w:val="none"/>
                <w:lang w:val="en-US" w:eastAsia="zh-CN"/>
              </w:rPr>
              <w:t>4.</w:t>
            </w:r>
            <w:r>
              <w:rPr>
                <w:rFonts w:hint="eastAsia" w:ascii="宋体" w:hAnsi="宋体" w:eastAsia="宋体" w:cs="宋体"/>
                <w:sz w:val="21"/>
                <w:szCs w:val="21"/>
                <w:highlight w:val="none"/>
              </w:rPr>
              <w:t>除项目负责人、技术负责人、</w:t>
            </w:r>
            <w:r>
              <w:rPr>
                <w:rFonts w:hint="eastAsia" w:cs="宋体"/>
                <w:sz w:val="21"/>
                <w:szCs w:val="21"/>
                <w:highlight w:val="none"/>
                <w:lang w:eastAsia="zh-CN"/>
              </w:rPr>
              <w:t>质量负责人</w:t>
            </w:r>
            <w:r>
              <w:rPr>
                <w:rFonts w:hint="eastAsia" w:ascii="宋体" w:hAnsi="宋体" w:eastAsia="宋体" w:cs="宋体"/>
                <w:sz w:val="21"/>
                <w:szCs w:val="21"/>
                <w:highlight w:val="none"/>
              </w:rPr>
              <w:t>外，投标人针对本项目提供的</w:t>
            </w:r>
            <w:r>
              <w:rPr>
                <w:rFonts w:hint="eastAsia" w:cs="宋体"/>
                <w:sz w:val="21"/>
                <w:szCs w:val="21"/>
                <w:highlight w:val="none"/>
                <w:lang w:eastAsia="zh-CN"/>
              </w:rPr>
              <w:t>专业</w:t>
            </w:r>
            <w:r>
              <w:rPr>
                <w:rFonts w:hint="eastAsia" w:ascii="宋体" w:hAnsi="宋体" w:eastAsia="宋体" w:cs="宋体"/>
                <w:sz w:val="21"/>
                <w:szCs w:val="21"/>
                <w:highlight w:val="none"/>
              </w:rPr>
              <w:t>技术人员</w:t>
            </w:r>
            <w:r>
              <w:rPr>
                <w:rFonts w:hint="eastAsia" w:cs="宋体"/>
                <w:sz w:val="21"/>
                <w:szCs w:val="21"/>
                <w:highlight w:val="none"/>
                <w:lang w:val="en-US" w:eastAsia="zh-CN"/>
              </w:rPr>
              <w:t>30</w:t>
            </w:r>
            <w:r>
              <w:rPr>
                <w:rFonts w:hint="eastAsia" w:ascii="宋体" w:hAnsi="宋体" w:eastAsia="宋体" w:cs="宋体"/>
                <w:sz w:val="21"/>
                <w:szCs w:val="21"/>
                <w:highlight w:val="none"/>
              </w:rPr>
              <w:t>人</w:t>
            </w:r>
            <w:r>
              <w:rPr>
                <w:rFonts w:hint="eastAsia" w:cs="宋体"/>
                <w:sz w:val="21"/>
                <w:szCs w:val="21"/>
                <w:highlight w:val="none"/>
                <w:lang w:eastAsia="zh-CN"/>
              </w:rPr>
              <w:t>及以上</w:t>
            </w:r>
            <w:r>
              <w:rPr>
                <w:rFonts w:hint="eastAsia" w:ascii="宋体" w:hAnsi="宋体" w:eastAsia="宋体" w:cs="宋体"/>
                <w:sz w:val="21"/>
                <w:szCs w:val="21"/>
                <w:highlight w:val="none"/>
              </w:rPr>
              <w:t>的</w:t>
            </w:r>
            <w:r>
              <w:rPr>
                <w:rFonts w:hint="eastAsia" w:ascii="宋体" w:hAnsi="宋体" w:eastAsia="宋体" w:cs="宋体"/>
                <w:b/>
                <w:sz w:val="21"/>
                <w:szCs w:val="21"/>
                <w:highlight w:val="none"/>
              </w:rPr>
              <w:t>得</w:t>
            </w:r>
            <w:r>
              <w:rPr>
                <w:rFonts w:hint="eastAsia" w:cs="宋体"/>
                <w:b/>
                <w:sz w:val="21"/>
                <w:szCs w:val="21"/>
                <w:highlight w:val="none"/>
                <w:lang w:val="en-US" w:eastAsia="zh-CN"/>
              </w:rPr>
              <w:t>5</w:t>
            </w:r>
            <w:r>
              <w:rPr>
                <w:rFonts w:hint="eastAsia" w:ascii="宋体" w:hAnsi="宋体" w:eastAsia="宋体" w:cs="宋体"/>
                <w:b/>
                <w:sz w:val="21"/>
                <w:szCs w:val="21"/>
                <w:highlight w:val="none"/>
              </w:rPr>
              <w:t>分</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上述</w:t>
            </w:r>
            <w:r>
              <w:rPr>
                <w:rFonts w:hint="eastAsia" w:ascii="宋体" w:hAnsi="宋体" w:eastAsia="宋体" w:cs="宋体"/>
                <w:sz w:val="21"/>
                <w:szCs w:val="21"/>
                <w:highlight w:val="none"/>
              </w:rPr>
              <w:t>人员</w:t>
            </w:r>
            <w:r>
              <w:rPr>
                <w:rFonts w:hint="eastAsia" w:ascii="宋体" w:hAnsi="宋体" w:eastAsia="宋体" w:cs="宋体"/>
                <w:sz w:val="21"/>
                <w:szCs w:val="21"/>
                <w:highlight w:val="none"/>
                <w:lang w:eastAsia="zh-CN"/>
              </w:rPr>
              <w:t>每有一个</w:t>
            </w:r>
            <w:r>
              <w:rPr>
                <w:rFonts w:hint="eastAsia" w:ascii="宋体" w:hAnsi="宋体" w:eastAsia="宋体" w:cs="宋体"/>
                <w:sz w:val="21"/>
                <w:szCs w:val="21"/>
                <w:highlight w:val="none"/>
              </w:rPr>
              <w:t>具有</w:t>
            </w:r>
            <w:r>
              <w:rPr>
                <w:rFonts w:hint="eastAsia" w:ascii="宋体" w:hAnsi="宋体" w:eastAsia="宋体" w:cs="宋体"/>
                <w:sz w:val="21"/>
                <w:szCs w:val="21"/>
                <w:highlight w:val="none"/>
                <w:lang w:val="en-US" w:eastAsia="zh-CN"/>
              </w:rPr>
              <w:t>测绘相关专业</w:t>
            </w:r>
            <w:r>
              <w:rPr>
                <w:rFonts w:hint="eastAsia" w:ascii="宋体" w:hAnsi="宋体" w:eastAsia="宋体" w:cs="宋体"/>
                <w:sz w:val="21"/>
                <w:szCs w:val="21"/>
                <w:highlight w:val="none"/>
              </w:rPr>
              <w:t>中级技术职称的</w:t>
            </w:r>
            <w:r>
              <w:rPr>
                <w:rFonts w:hint="eastAsia" w:ascii="宋体" w:hAnsi="宋体" w:eastAsia="宋体" w:cs="宋体"/>
                <w:b/>
                <w:sz w:val="21"/>
                <w:szCs w:val="21"/>
                <w:highlight w:val="none"/>
              </w:rPr>
              <w:t>加</w:t>
            </w:r>
            <w:r>
              <w:rPr>
                <w:rFonts w:hint="eastAsia" w:cs="宋体"/>
                <w:b/>
                <w:sz w:val="21"/>
                <w:szCs w:val="21"/>
                <w:highlight w:val="none"/>
                <w:lang w:val="en-US" w:eastAsia="zh-CN"/>
              </w:rPr>
              <w:t>0.3</w:t>
            </w:r>
            <w:r>
              <w:rPr>
                <w:rFonts w:hint="eastAsia" w:ascii="宋体" w:hAnsi="宋体" w:eastAsia="宋体" w:cs="宋体"/>
                <w:b/>
                <w:sz w:val="21"/>
                <w:szCs w:val="21"/>
                <w:highlight w:val="none"/>
              </w:rPr>
              <w:t>分</w:t>
            </w:r>
            <w:r>
              <w:rPr>
                <w:rFonts w:hint="eastAsia" w:ascii="宋体" w:hAnsi="宋体" w:eastAsia="宋体" w:cs="宋体"/>
                <w:sz w:val="21"/>
                <w:szCs w:val="21"/>
                <w:highlight w:val="none"/>
              </w:rPr>
              <w:t>，</w:t>
            </w:r>
            <w:r>
              <w:rPr>
                <w:rFonts w:hint="eastAsia" w:ascii="宋体" w:hAnsi="宋体" w:eastAsia="宋体" w:cs="宋体"/>
                <w:sz w:val="21"/>
                <w:szCs w:val="21"/>
                <w:highlight w:val="none"/>
                <w:lang w:eastAsia="zh-CN"/>
              </w:rPr>
              <w:t>每有一个</w:t>
            </w:r>
            <w:r>
              <w:rPr>
                <w:rFonts w:hint="eastAsia" w:ascii="宋体" w:hAnsi="宋体" w:eastAsia="宋体" w:cs="宋体"/>
                <w:sz w:val="21"/>
                <w:szCs w:val="21"/>
                <w:highlight w:val="none"/>
              </w:rPr>
              <w:t>具有</w:t>
            </w:r>
            <w:r>
              <w:rPr>
                <w:rFonts w:hint="eastAsia" w:ascii="宋体" w:hAnsi="宋体" w:eastAsia="宋体" w:cs="宋体"/>
                <w:sz w:val="21"/>
                <w:szCs w:val="21"/>
                <w:highlight w:val="none"/>
                <w:lang w:val="en-US" w:eastAsia="zh-CN"/>
              </w:rPr>
              <w:t>测绘相关专业</w:t>
            </w:r>
            <w:r>
              <w:rPr>
                <w:rFonts w:hint="eastAsia" w:ascii="宋体" w:hAnsi="宋体" w:eastAsia="宋体" w:cs="宋体"/>
                <w:sz w:val="21"/>
                <w:szCs w:val="21"/>
                <w:highlight w:val="none"/>
                <w:lang w:eastAsia="zh-CN"/>
              </w:rPr>
              <w:t>高级</w:t>
            </w:r>
            <w:r>
              <w:rPr>
                <w:rFonts w:hint="eastAsia" w:ascii="宋体" w:hAnsi="宋体" w:eastAsia="宋体" w:cs="宋体"/>
                <w:sz w:val="21"/>
                <w:szCs w:val="21"/>
                <w:highlight w:val="none"/>
              </w:rPr>
              <w:t>及以上技术职称的</w:t>
            </w:r>
            <w:r>
              <w:rPr>
                <w:rFonts w:hint="eastAsia" w:ascii="宋体" w:hAnsi="宋体" w:eastAsia="宋体" w:cs="宋体"/>
                <w:b/>
                <w:sz w:val="21"/>
                <w:szCs w:val="21"/>
                <w:highlight w:val="none"/>
              </w:rPr>
              <w:t>加</w:t>
            </w:r>
            <w:r>
              <w:rPr>
                <w:rFonts w:hint="eastAsia" w:cs="宋体"/>
                <w:b/>
                <w:sz w:val="21"/>
                <w:szCs w:val="21"/>
                <w:highlight w:val="none"/>
                <w:lang w:val="en-US" w:eastAsia="zh-CN"/>
              </w:rPr>
              <w:t>0.5</w:t>
            </w:r>
            <w:r>
              <w:rPr>
                <w:rFonts w:hint="eastAsia" w:ascii="宋体" w:hAnsi="宋体" w:eastAsia="宋体" w:cs="宋体"/>
                <w:b/>
                <w:sz w:val="21"/>
                <w:szCs w:val="21"/>
                <w:highlight w:val="none"/>
              </w:rPr>
              <w:t>分</w:t>
            </w:r>
            <w:r>
              <w:rPr>
                <w:rFonts w:hint="eastAsia" w:ascii="宋体" w:hAnsi="宋体" w:eastAsia="宋体" w:cs="宋体"/>
                <w:sz w:val="21"/>
                <w:szCs w:val="21"/>
                <w:highlight w:val="none"/>
              </w:rPr>
              <w:t>，</w:t>
            </w:r>
            <w:r>
              <w:rPr>
                <w:rFonts w:hint="eastAsia" w:ascii="宋体" w:hAnsi="宋体" w:eastAsia="宋体" w:cs="宋体"/>
                <w:b/>
                <w:bCs/>
                <w:sz w:val="21"/>
                <w:szCs w:val="21"/>
                <w:highlight w:val="none"/>
                <w:lang w:eastAsia="zh-CN"/>
              </w:rPr>
              <w:t>最多加</w:t>
            </w:r>
            <w:r>
              <w:rPr>
                <w:rFonts w:hint="eastAsia" w:cs="宋体"/>
                <w:b/>
                <w:bCs/>
                <w:sz w:val="21"/>
                <w:szCs w:val="21"/>
                <w:highlight w:val="none"/>
                <w:lang w:val="en-US" w:eastAsia="zh-CN"/>
              </w:rPr>
              <w:t>5</w:t>
            </w:r>
            <w:r>
              <w:rPr>
                <w:rFonts w:hint="eastAsia" w:ascii="宋体" w:hAnsi="宋体" w:eastAsia="宋体" w:cs="宋体"/>
                <w:b/>
                <w:bCs/>
                <w:sz w:val="21"/>
                <w:szCs w:val="21"/>
                <w:highlight w:val="none"/>
                <w:lang w:val="en-US" w:eastAsia="zh-CN"/>
              </w:rPr>
              <w:t>分；</w:t>
            </w:r>
            <w:r>
              <w:rPr>
                <w:rFonts w:hint="eastAsia" w:ascii="宋体" w:hAnsi="宋体" w:eastAsia="宋体" w:cs="宋体"/>
                <w:sz w:val="21"/>
                <w:szCs w:val="21"/>
                <w:highlight w:val="none"/>
                <w:lang w:eastAsia="zh-CN"/>
              </w:rPr>
              <w:t>每有一个</w:t>
            </w:r>
            <w:r>
              <w:rPr>
                <w:rFonts w:hint="eastAsia" w:ascii="宋体" w:hAnsi="宋体" w:eastAsia="宋体" w:cs="宋体"/>
                <w:sz w:val="21"/>
                <w:szCs w:val="21"/>
                <w:highlight w:val="none"/>
              </w:rPr>
              <w:t>具有</w:t>
            </w:r>
            <w:r>
              <w:rPr>
                <w:rFonts w:hint="eastAsia"/>
                <w:b w:val="0"/>
                <w:i w:val="0"/>
                <w:caps w:val="0"/>
                <w:color w:val="000000" w:themeColor="text1"/>
                <w:spacing w:val="0"/>
                <w:w w:val="100"/>
                <w:sz w:val="21"/>
                <w:highlight w:val="none"/>
                <w:lang w:val="en-US" w:eastAsia="zh-CN"/>
                <w14:textFill>
                  <w14:solidFill>
                    <w14:schemeClr w14:val="tx1"/>
                  </w14:solidFill>
                </w14:textFill>
              </w:rPr>
              <w:t>注册测绘师证书</w:t>
            </w:r>
            <w:r>
              <w:rPr>
                <w:rFonts w:hint="eastAsia" w:ascii="宋体" w:hAnsi="宋体" w:eastAsia="宋体" w:cs="宋体"/>
                <w:sz w:val="21"/>
                <w:szCs w:val="21"/>
                <w:highlight w:val="none"/>
              </w:rPr>
              <w:t>的</w:t>
            </w:r>
            <w:r>
              <w:rPr>
                <w:rFonts w:hint="eastAsia" w:ascii="宋体" w:hAnsi="宋体" w:eastAsia="宋体" w:cs="宋体"/>
                <w:b/>
                <w:sz w:val="21"/>
                <w:szCs w:val="21"/>
                <w:highlight w:val="none"/>
              </w:rPr>
              <w:t>加</w:t>
            </w:r>
            <w:r>
              <w:rPr>
                <w:rFonts w:hint="eastAsia" w:cs="宋体"/>
                <w:b/>
                <w:sz w:val="21"/>
                <w:szCs w:val="21"/>
                <w:highlight w:val="none"/>
                <w:lang w:val="en-US" w:eastAsia="zh-CN"/>
              </w:rPr>
              <w:t>1</w:t>
            </w:r>
            <w:r>
              <w:rPr>
                <w:rFonts w:hint="eastAsia" w:ascii="宋体" w:hAnsi="宋体" w:eastAsia="宋体" w:cs="宋体"/>
                <w:b/>
                <w:sz w:val="21"/>
                <w:szCs w:val="21"/>
                <w:highlight w:val="none"/>
              </w:rPr>
              <w:t>分</w:t>
            </w:r>
            <w:r>
              <w:rPr>
                <w:rFonts w:hint="eastAsia" w:ascii="宋体" w:hAnsi="宋体" w:eastAsia="宋体" w:cs="宋体"/>
                <w:sz w:val="21"/>
                <w:szCs w:val="21"/>
                <w:highlight w:val="none"/>
              </w:rPr>
              <w:t>，</w:t>
            </w:r>
            <w:r>
              <w:rPr>
                <w:rFonts w:hint="eastAsia" w:ascii="宋体" w:hAnsi="宋体" w:eastAsia="宋体" w:cs="宋体"/>
                <w:b/>
                <w:bCs/>
                <w:sz w:val="21"/>
                <w:szCs w:val="21"/>
                <w:highlight w:val="none"/>
                <w:lang w:eastAsia="zh-CN"/>
              </w:rPr>
              <w:t>最多加</w:t>
            </w:r>
            <w:r>
              <w:rPr>
                <w:rFonts w:hint="eastAsia" w:cs="宋体"/>
                <w:b/>
                <w:bCs/>
                <w:sz w:val="21"/>
                <w:szCs w:val="21"/>
                <w:highlight w:val="none"/>
                <w:lang w:val="en-US" w:eastAsia="zh-CN"/>
              </w:rPr>
              <w:t>3</w:t>
            </w:r>
            <w:r>
              <w:rPr>
                <w:rFonts w:hint="eastAsia" w:ascii="宋体" w:hAnsi="宋体" w:eastAsia="宋体" w:cs="宋体"/>
                <w:b/>
                <w:bCs/>
                <w:sz w:val="21"/>
                <w:szCs w:val="21"/>
                <w:highlight w:val="none"/>
                <w:lang w:val="en-US" w:eastAsia="zh-CN"/>
              </w:rPr>
              <w:t>分；</w:t>
            </w:r>
            <w:r>
              <w:rPr>
                <w:rFonts w:hint="eastAsia" w:ascii="宋体" w:hAnsi="宋体" w:eastAsia="宋体" w:cs="宋体"/>
                <w:sz w:val="21"/>
                <w:szCs w:val="21"/>
                <w:highlight w:val="none"/>
                <w:lang w:val="en-US" w:eastAsia="zh-CN"/>
              </w:rPr>
              <w:t>上述人员具有物探相关专业中级</w:t>
            </w:r>
            <w:r>
              <w:rPr>
                <w:rFonts w:hint="eastAsia" w:cs="宋体"/>
                <w:sz w:val="21"/>
                <w:szCs w:val="21"/>
                <w:highlight w:val="none"/>
                <w:lang w:val="en-US" w:eastAsia="zh-CN"/>
              </w:rPr>
              <w:t>技术</w:t>
            </w:r>
            <w:r>
              <w:rPr>
                <w:rFonts w:hint="eastAsia" w:ascii="宋体" w:hAnsi="宋体" w:eastAsia="宋体" w:cs="宋体"/>
                <w:sz w:val="21"/>
                <w:szCs w:val="21"/>
                <w:highlight w:val="none"/>
                <w:lang w:val="en-US" w:eastAsia="zh-CN"/>
              </w:rPr>
              <w:t>职称（地球物理勘查及遥感等）的每一个人加0.5分，</w:t>
            </w:r>
            <w:r>
              <w:rPr>
                <w:rFonts w:hint="eastAsia" w:cs="宋体"/>
                <w:sz w:val="21"/>
                <w:szCs w:val="21"/>
                <w:highlight w:val="none"/>
                <w:lang w:val="en-US" w:eastAsia="zh-CN"/>
              </w:rPr>
              <w:t>具</w:t>
            </w:r>
            <w:r>
              <w:rPr>
                <w:rFonts w:hint="eastAsia" w:ascii="宋体" w:hAnsi="宋体" w:eastAsia="宋体" w:cs="宋体"/>
                <w:sz w:val="21"/>
                <w:szCs w:val="21"/>
                <w:highlight w:val="none"/>
                <w:lang w:val="en-US" w:eastAsia="zh-CN"/>
              </w:rPr>
              <w:t>有物探相关专业高级</w:t>
            </w:r>
            <w:r>
              <w:rPr>
                <w:rFonts w:hint="eastAsia" w:ascii="宋体" w:hAnsi="宋体" w:eastAsia="宋体" w:cs="宋体"/>
                <w:sz w:val="21"/>
                <w:szCs w:val="21"/>
                <w:highlight w:val="none"/>
              </w:rPr>
              <w:t>及以上</w:t>
            </w:r>
            <w:r>
              <w:rPr>
                <w:rFonts w:hint="eastAsia" w:cs="宋体"/>
                <w:sz w:val="21"/>
                <w:szCs w:val="21"/>
                <w:highlight w:val="none"/>
                <w:lang w:val="en-US" w:eastAsia="zh-CN"/>
              </w:rPr>
              <w:t>技术</w:t>
            </w:r>
            <w:r>
              <w:rPr>
                <w:rFonts w:hint="eastAsia" w:ascii="宋体" w:hAnsi="宋体" w:eastAsia="宋体" w:cs="宋体"/>
                <w:sz w:val="21"/>
                <w:szCs w:val="21"/>
                <w:highlight w:val="none"/>
                <w:lang w:val="en-US" w:eastAsia="zh-CN"/>
              </w:rPr>
              <w:t>职称（地球物理勘查及遥感等）的每一个人加1分，</w:t>
            </w:r>
            <w:r>
              <w:rPr>
                <w:rFonts w:hint="eastAsia" w:ascii="宋体" w:hAnsi="宋体" w:eastAsia="宋体" w:cs="宋体"/>
                <w:b/>
                <w:bCs/>
                <w:sz w:val="21"/>
                <w:szCs w:val="21"/>
                <w:highlight w:val="none"/>
                <w:lang w:val="en-US" w:eastAsia="zh-CN"/>
              </w:rPr>
              <w:t>最多</w:t>
            </w:r>
            <w:r>
              <w:rPr>
                <w:rFonts w:hint="eastAsia" w:cs="宋体"/>
                <w:b/>
                <w:bCs/>
                <w:sz w:val="21"/>
                <w:szCs w:val="21"/>
                <w:highlight w:val="none"/>
                <w:lang w:val="en-US" w:eastAsia="zh-CN"/>
              </w:rPr>
              <w:t>加</w:t>
            </w:r>
            <w:r>
              <w:rPr>
                <w:rFonts w:hint="eastAsia" w:ascii="宋体" w:hAnsi="宋体" w:eastAsia="宋体" w:cs="宋体"/>
                <w:b/>
                <w:bCs/>
                <w:sz w:val="21"/>
                <w:szCs w:val="21"/>
                <w:highlight w:val="none"/>
                <w:lang w:val="en-US" w:eastAsia="zh-CN"/>
              </w:rPr>
              <w:t>2分</w:t>
            </w:r>
            <w:r>
              <w:rPr>
                <w:rFonts w:hint="eastAsia" w:cs="宋体"/>
                <w:sz w:val="21"/>
                <w:szCs w:val="21"/>
                <w:highlight w:val="none"/>
                <w:lang w:val="en-US" w:eastAsia="zh-CN"/>
              </w:rPr>
              <w:t>；</w:t>
            </w:r>
            <w:r>
              <w:rPr>
                <w:rFonts w:hint="eastAsia" w:ascii="宋体" w:hAnsi="宋体" w:eastAsia="宋体" w:cs="宋体"/>
                <w:b/>
                <w:sz w:val="21"/>
                <w:szCs w:val="21"/>
                <w:highlight w:val="none"/>
              </w:rPr>
              <w:t>本项满分</w:t>
            </w:r>
            <w:r>
              <w:rPr>
                <w:rFonts w:hint="eastAsia" w:cs="宋体"/>
                <w:b/>
                <w:sz w:val="21"/>
                <w:szCs w:val="21"/>
                <w:highlight w:val="none"/>
                <w:lang w:val="en-US" w:eastAsia="zh-CN"/>
              </w:rPr>
              <w:t>15</w:t>
            </w:r>
            <w:r>
              <w:rPr>
                <w:rFonts w:hint="eastAsia" w:ascii="宋体" w:hAnsi="宋体" w:eastAsia="宋体" w:cs="宋体"/>
                <w:b/>
                <w:sz w:val="21"/>
                <w:szCs w:val="21"/>
                <w:highlight w:val="none"/>
              </w:rPr>
              <w:t>分</w:t>
            </w:r>
            <w:r>
              <w:rPr>
                <w:rFonts w:hint="eastAsia" w:ascii="宋体" w:hAnsi="宋体" w:eastAsia="宋体" w:cs="宋体"/>
                <w:sz w:val="21"/>
                <w:szCs w:val="21"/>
                <w:highlight w:val="none"/>
              </w:rPr>
              <w:t>。</w:t>
            </w:r>
          </w:p>
          <w:p>
            <w:pPr>
              <w:pStyle w:val="47"/>
              <w:keepNext w:val="0"/>
              <w:keepLines w:val="0"/>
              <w:pageBreakBefore w:val="0"/>
              <w:widowControl w:val="0"/>
              <w:kinsoku/>
              <w:wordWrap w:val="0"/>
              <w:overflowPunct/>
              <w:topLinePunct/>
              <w:autoSpaceDE/>
              <w:autoSpaceDN/>
              <w:bidi w:val="0"/>
              <w:adjustRightInd w:val="0"/>
              <w:snapToGrid w:val="0"/>
              <w:ind w:left="0" w:leftChars="0"/>
              <w:textAlignment w:val="auto"/>
              <w:rPr>
                <w:rFonts w:hint="eastAsia" w:cs="宋体"/>
                <w:b/>
                <w:bCs/>
                <w:sz w:val="21"/>
                <w:szCs w:val="21"/>
                <w:highlight w:val="none"/>
                <w:lang w:val="en-US" w:eastAsia="zh-CN"/>
              </w:rPr>
            </w:pPr>
            <w:r>
              <w:rPr>
                <w:rFonts w:hint="eastAsia" w:ascii="宋体" w:hAnsi="宋体" w:eastAsia="宋体" w:cs="宋体"/>
                <w:b/>
                <w:bCs/>
                <w:sz w:val="21"/>
                <w:szCs w:val="21"/>
                <w:highlight w:val="none"/>
              </w:rPr>
              <w:t>注：</w:t>
            </w:r>
            <w:r>
              <w:rPr>
                <w:rFonts w:hint="eastAsia" w:cs="宋体"/>
                <w:b/>
                <w:bCs/>
                <w:sz w:val="21"/>
                <w:szCs w:val="21"/>
                <w:highlight w:val="none"/>
                <w:lang w:val="en-US" w:eastAsia="zh-CN"/>
              </w:rPr>
              <w:t>1.以上人员不重复计算；</w:t>
            </w:r>
          </w:p>
          <w:p>
            <w:pPr>
              <w:pStyle w:val="42"/>
              <w:keepNext w:val="0"/>
              <w:keepLines w:val="0"/>
              <w:pageBreakBefore w:val="0"/>
              <w:widowControl w:val="0"/>
              <w:numPr>
                <w:ilvl w:val="2"/>
                <w:numId w:val="0"/>
              </w:numPr>
              <w:kinsoku/>
              <w:wordWrap w:val="0"/>
              <w:overflowPunct/>
              <w:topLinePunct/>
              <w:autoSpaceDE/>
              <w:autoSpaceDN/>
              <w:bidi w:val="0"/>
              <w:adjustRightInd w:val="0"/>
              <w:snapToGrid w:val="0"/>
              <w:ind w:leftChars="0"/>
              <w:textAlignment w:val="auto"/>
              <w:rPr>
                <w:rFonts w:hint="eastAsia"/>
                <w:b/>
                <w:bCs/>
                <w:sz w:val="21"/>
                <w:szCs w:val="21"/>
                <w:lang w:val="en-US" w:eastAsia="zh-CN"/>
              </w:rPr>
            </w:pPr>
            <w:r>
              <w:rPr>
                <w:rFonts w:hint="eastAsia"/>
                <w:b/>
                <w:bCs/>
                <w:sz w:val="21"/>
                <w:szCs w:val="21"/>
                <w:lang w:val="en-US" w:eastAsia="zh-CN"/>
              </w:rPr>
              <w:t>2.投标人需提供以上相关人员有效身份证复印件、有效资格证书复印件及为本单位人员的证明材料复印件（加盖公章）。无有效证明材料的相应项不得分；</w:t>
            </w:r>
          </w:p>
          <w:p>
            <w:pPr>
              <w:pStyle w:val="42"/>
              <w:keepNext w:val="0"/>
              <w:keepLines w:val="0"/>
              <w:pageBreakBefore w:val="0"/>
              <w:widowControl w:val="0"/>
              <w:numPr>
                <w:ilvl w:val="2"/>
                <w:numId w:val="0"/>
              </w:numPr>
              <w:kinsoku/>
              <w:wordWrap w:val="0"/>
              <w:overflowPunct/>
              <w:topLinePunct/>
              <w:autoSpaceDE/>
              <w:autoSpaceDN/>
              <w:bidi w:val="0"/>
              <w:adjustRightInd w:val="0"/>
              <w:snapToGrid w:val="0"/>
              <w:ind w:leftChars="0"/>
              <w:textAlignment w:val="auto"/>
              <w:rPr>
                <w:rFonts w:hint="default"/>
                <w:sz w:val="21"/>
                <w:szCs w:val="21"/>
                <w:lang w:val="en-US" w:eastAsia="zh-CN"/>
              </w:rPr>
            </w:pPr>
            <w:r>
              <w:rPr>
                <w:rFonts w:hint="eastAsia" w:ascii="宋体" w:hAnsi="宋体" w:cs="宋体"/>
                <w:b/>
                <w:bCs/>
                <w:color w:val="auto"/>
                <w:szCs w:val="21"/>
              </w:rPr>
              <w:t>3</w:t>
            </w:r>
            <w:r>
              <w:rPr>
                <w:rFonts w:hint="eastAsia" w:ascii="宋体" w:hAnsi="宋体" w:cs="宋体"/>
                <w:b/>
                <w:bCs/>
                <w:color w:val="auto"/>
                <w:szCs w:val="21"/>
                <w:lang w:eastAsia="zh-CN"/>
              </w:rPr>
              <w:t>.</w:t>
            </w:r>
            <w:r>
              <w:rPr>
                <w:rFonts w:hint="eastAsia" w:ascii="宋体" w:hAnsi="宋体" w:cs="宋体"/>
                <w:b/>
                <w:bCs/>
                <w:color w:val="auto"/>
                <w:sz w:val="21"/>
                <w:szCs w:val="21"/>
              </w:rPr>
              <w:t>以上人员的注册测绘师证明材料需提供该人员注册在本公司的网页查询截图（加盖公章）。</w:t>
            </w:r>
          </w:p>
        </w:tc>
        <w:tc>
          <w:tcPr>
            <w:tcW w:w="1022" w:type="dxa"/>
            <w:vMerge w:val="restart"/>
            <w:vAlign w:val="center"/>
          </w:tcPr>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rPr>
            </w:pPr>
            <w:r>
              <w:rPr>
                <w:rFonts w:hint="eastAsia" w:ascii="宋体" w:hAnsi="宋体" w:eastAsia="宋体" w:cs="宋体"/>
                <w:sz w:val="21"/>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8" w:type="dxa"/>
            <w:vMerge w:val="continue"/>
            <w:vAlign w:val="center"/>
          </w:tcPr>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rPr>
            </w:pPr>
          </w:p>
        </w:tc>
        <w:tc>
          <w:tcPr>
            <w:tcW w:w="1083" w:type="dxa"/>
            <w:vMerge w:val="continue"/>
            <w:vAlign w:val="center"/>
          </w:tcPr>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rPr>
            </w:pPr>
          </w:p>
        </w:tc>
        <w:tc>
          <w:tcPr>
            <w:tcW w:w="877" w:type="dxa"/>
            <w:vAlign w:val="center"/>
          </w:tcPr>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rPr>
            </w:pPr>
            <w:r>
              <w:rPr>
                <w:rFonts w:hint="eastAsia" w:ascii="宋体" w:hAnsi="宋体" w:eastAsia="宋体" w:cs="宋体"/>
                <w:sz w:val="21"/>
                <w:szCs w:val="21"/>
              </w:rPr>
              <w:t>设备</w:t>
            </w:r>
          </w:p>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rPr>
            </w:pPr>
            <w:r>
              <w:rPr>
                <w:rFonts w:hint="eastAsia" w:ascii="宋体" w:hAnsi="宋体" w:eastAsia="宋体" w:cs="宋体"/>
                <w:sz w:val="21"/>
                <w:szCs w:val="21"/>
              </w:rPr>
              <w:t>配置</w:t>
            </w:r>
          </w:p>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rPr>
            </w:pPr>
            <w:r>
              <w:rPr>
                <w:rFonts w:hint="eastAsia" w:cs="宋体"/>
                <w:sz w:val="21"/>
                <w:szCs w:val="21"/>
                <w:lang w:val="en-US" w:eastAsia="zh-CN"/>
              </w:rPr>
              <w:t>20</w:t>
            </w:r>
            <w:r>
              <w:rPr>
                <w:rFonts w:hint="eastAsia" w:ascii="宋体" w:hAnsi="宋体" w:eastAsia="宋体" w:cs="宋体"/>
                <w:sz w:val="21"/>
                <w:szCs w:val="21"/>
              </w:rPr>
              <w:t>分</w:t>
            </w:r>
          </w:p>
        </w:tc>
        <w:tc>
          <w:tcPr>
            <w:tcW w:w="6538" w:type="dxa"/>
            <w:vAlign w:val="center"/>
          </w:tcPr>
          <w:p>
            <w:pPr>
              <w:pStyle w:val="47"/>
              <w:keepNext w:val="0"/>
              <w:keepLines w:val="0"/>
              <w:pageBreakBefore w:val="0"/>
              <w:widowControl w:val="0"/>
              <w:kinsoku/>
              <w:bidi w:val="0"/>
              <w:adjustRightInd w:val="0"/>
              <w:snapToGrid w:val="0"/>
              <w:ind w:left="0" w:left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1.供应商拟投入本项目的</w:t>
            </w:r>
            <w:r>
              <w:rPr>
                <w:rFonts w:hint="eastAsia" w:cs="宋体"/>
                <w:sz w:val="21"/>
                <w:szCs w:val="21"/>
                <w:highlight w:val="none"/>
                <w:lang w:eastAsia="zh-CN"/>
              </w:rPr>
              <w:t>管线探测仪</w:t>
            </w:r>
            <w:r>
              <w:rPr>
                <w:rFonts w:hint="eastAsia" w:ascii="宋体" w:hAnsi="宋体" w:eastAsia="宋体" w:cs="宋体"/>
                <w:sz w:val="21"/>
                <w:szCs w:val="21"/>
                <w:highlight w:val="none"/>
              </w:rPr>
              <w:t>达10台的得</w:t>
            </w:r>
            <w:r>
              <w:rPr>
                <w:rFonts w:hint="eastAsia" w:cs="宋体"/>
                <w:sz w:val="21"/>
                <w:szCs w:val="21"/>
                <w:highlight w:val="none"/>
                <w:lang w:val="en-US" w:eastAsia="zh-CN"/>
              </w:rPr>
              <w:t>4</w:t>
            </w:r>
            <w:r>
              <w:rPr>
                <w:rFonts w:hint="eastAsia" w:ascii="宋体" w:hAnsi="宋体" w:eastAsia="宋体" w:cs="宋体"/>
                <w:sz w:val="21"/>
                <w:szCs w:val="21"/>
                <w:highlight w:val="none"/>
              </w:rPr>
              <w:t>分</w:t>
            </w:r>
            <w:r>
              <w:rPr>
                <w:rFonts w:hint="eastAsia" w:cs="宋体"/>
                <w:sz w:val="21"/>
                <w:szCs w:val="21"/>
                <w:highlight w:val="none"/>
                <w:lang w:eastAsia="zh-CN"/>
              </w:rPr>
              <w:t>，</w:t>
            </w:r>
            <w:r>
              <w:rPr>
                <w:rFonts w:hint="eastAsia"/>
                <w:b w:val="0"/>
                <w:bCs w:val="0"/>
                <w:color w:val="000000" w:themeColor="text1"/>
                <w:highlight w:val="none"/>
                <w:vertAlign w:val="baseline"/>
                <w:lang w:val="en-US" w:eastAsia="zh-CN"/>
                <w14:textFill>
                  <w14:solidFill>
                    <w14:schemeClr w14:val="tx1"/>
                  </w14:solidFill>
                </w14:textFill>
              </w:rPr>
              <w:t>每增加1台加0.4分，最多加2分，此项共计6分</w:t>
            </w:r>
            <w:r>
              <w:rPr>
                <w:rFonts w:hint="eastAsia" w:ascii="宋体" w:hAnsi="宋体" w:eastAsia="宋体" w:cs="宋体"/>
                <w:sz w:val="21"/>
                <w:szCs w:val="21"/>
                <w:highlight w:val="none"/>
              </w:rPr>
              <w:t>。</w:t>
            </w:r>
          </w:p>
          <w:p>
            <w:pPr>
              <w:pStyle w:val="47"/>
              <w:keepNext w:val="0"/>
              <w:keepLines w:val="0"/>
              <w:pageBreakBefore w:val="0"/>
              <w:widowControl w:val="0"/>
              <w:kinsoku/>
              <w:bidi w:val="0"/>
              <w:adjustRightInd w:val="0"/>
              <w:snapToGrid w:val="0"/>
              <w:ind w:left="0" w:left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2.供应商拟投入本项目的</w:t>
            </w:r>
            <w:r>
              <w:rPr>
                <w:rFonts w:hint="eastAsia"/>
                <w:b w:val="0"/>
                <w:bCs w:val="0"/>
                <w:color w:val="000000" w:themeColor="text1"/>
                <w:highlight w:val="none"/>
                <w:vertAlign w:val="baseline"/>
                <w:lang w:val="en-US" w:eastAsia="zh-CN"/>
                <w14:textFill>
                  <w14:solidFill>
                    <w14:schemeClr w14:val="tx1"/>
                  </w14:solidFill>
                </w14:textFill>
              </w:rPr>
              <w:t>GNSS</w:t>
            </w:r>
            <w:r>
              <w:rPr>
                <w:rFonts w:hint="eastAsia" w:ascii="宋体" w:hAnsi="宋体" w:eastAsia="宋体" w:cs="宋体"/>
                <w:sz w:val="21"/>
                <w:szCs w:val="21"/>
                <w:highlight w:val="none"/>
              </w:rPr>
              <w:t>接收机达10台的得</w:t>
            </w:r>
            <w:r>
              <w:rPr>
                <w:rFonts w:hint="eastAsia" w:cs="宋体"/>
                <w:sz w:val="21"/>
                <w:szCs w:val="21"/>
                <w:highlight w:val="none"/>
                <w:lang w:val="en-US" w:eastAsia="zh-CN"/>
              </w:rPr>
              <w:t>4</w:t>
            </w:r>
            <w:r>
              <w:rPr>
                <w:rFonts w:hint="eastAsia" w:ascii="宋体" w:hAnsi="宋体" w:eastAsia="宋体" w:cs="宋体"/>
                <w:sz w:val="21"/>
                <w:szCs w:val="21"/>
                <w:highlight w:val="none"/>
              </w:rPr>
              <w:t>分</w:t>
            </w:r>
            <w:r>
              <w:rPr>
                <w:rFonts w:hint="eastAsia" w:cs="宋体"/>
                <w:sz w:val="21"/>
                <w:szCs w:val="21"/>
                <w:highlight w:val="none"/>
                <w:lang w:eastAsia="zh-CN"/>
              </w:rPr>
              <w:t>，</w:t>
            </w:r>
            <w:r>
              <w:rPr>
                <w:rFonts w:hint="eastAsia"/>
                <w:b w:val="0"/>
                <w:bCs w:val="0"/>
                <w:color w:val="000000" w:themeColor="text1"/>
                <w:highlight w:val="none"/>
                <w:vertAlign w:val="baseline"/>
                <w:lang w:val="en-US" w:eastAsia="zh-CN"/>
                <w14:textFill>
                  <w14:solidFill>
                    <w14:schemeClr w14:val="tx1"/>
                  </w14:solidFill>
                </w14:textFill>
              </w:rPr>
              <w:t>每增加1台加0.4分，最多加2分，此项共计6分</w:t>
            </w:r>
            <w:r>
              <w:rPr>
                <w:rFonts w:hint="eastAsia" w:ascii="宋体" w:hAnsi="宋体" w:eastAsia="宋体" w:cs="宋体"/>
                <w:sz w:val="21"/>
                <w:szCs w:val="21"/>
                <w:highlight w:val="none"/>
              </w:rPr>
              <w:t>。</w:t>
            </w:r>
          </w:p>
          <w:p>
            <w:pPr>
              <w:pStyle w:val="47"/>
              <w:keepNext w:val="0"/>
              <w:keepLines w:val="0"/>
              <w:pageBreakBefore w:val="0"/>
              <w:widowControl w:val="0"/>
              <w:kinsoku/>
              <w:bidi w:val="0"/>
              <w:adjustRightInd w:val="0"/>
              <w:snapToGrid w:val="0"/>
              <w:ind w:left="0" w:leftChars="0"/>
              <w:textAlignment w:val="auto"/>
              <w:rPr>
                <w:rFonts w:hint="eastAsia" w:ascii="宋体" w:hAnsi="宋体" w:eastAsia="宋体" w:cs="宋体"/>
                <w:sz w:val="21"/>
                <w:szCs w:val="21"/>
                <w:highlight w:val="none"/>
              </w:rPr>
            </w:pPr>
            <w:r>
              <w:rPr>
                <w:rFonts w:hint="eastAsia" w:cs="宋体"/>
                <w:sz w:val="21"/>
                <w:szCs w:val="21"/>
                <w:highlight w:val="none"/>
                <w:lang w:val="en-US" w:eastAsia="zh-CN"/>
              </w:rPr>
              <w:t>3.</w:t>
            </w:r>
            <w:r>
              <w:rPr>
                <w:rFonts w:hint="eastAsia" w:ascii="宋体" w:hAnsi="宋体" w:eastAsia="宋体" w:cs="宋体"/>
                <w:sz w:val="21"/>
                <w:szCs w:val="21"/>
                <w:highlight w:val="none"/>
              </w:rPr>
              <w:t>供应商拟投入本项目的全站仪达10台的得</w:t>
            </w:r>
            <w:r>
              <w:rPr>
                <w:rFonts w:hint="eastAsia" w:cs="宋体"/>
                <w:sz w:val="21"/>
                <w:szCs w:val="21"/>
                <w:highlight w:val="none"/>
                <w:lang w:val="en-US" w:eastAsia="zh-CN"/>
              </w:rPr>
              <w:t>4</w:t>
            </w:r>
            <w:r>
              <w:rPr>
                <w:rFonts w:hint="eastAsia" w:ascii="宋体" w:hAnsi="宋体" w:eastAsia="宋体" w:cs="宋体"/>
                <w:sz w:val="21"/>
                <w:szCs w:val="21"/>
                <w:highlight w:val="none"/>
              </w:rPr>
              <w:t>分</w:t>
            </w:r>
            <w:r>
              <w:rPr>
                <w:rFonts w:hint="eastAsia" w:ascii="宋体" w:hAnsi="宋体" w:eastAsia="宋体" w:cs="宋体"/>
                <w:sz w:val="21"/>
                <w:szCs w:val="21"/>
                <w:highlight w:val="none"/>
                <w:lang w:eastAsia="zh-CN"/>
              </w:rPr>
              <w:t>，</w:t>
            </w:r>
            <w:r>
              <w:rPr>
                <w:rFonts w:hint="eastAsia"/>
                <w:b w:val="0"/>
                <w:bCs w:val="0"/>
                <w:color w:val="000000" w:themeColor="text1"/>
                <w:highlight w:val="none"/>
                <w:vertAlign w:val="baseline"/>
                <w:lang w:val="en-US" w:eastAsia="zh-CN"/>
                <w14:textFill>
                  <w14:solidFill>
                    <w14:schemeClr w14:val="tx1"/>
                  </w14:solidFill>
                </w14:textFill>
              </w:rPr>
              <w:t>每增加1台加0.4分，最多加2分，此项共计6分</w:t>
            </w:r>
            <w:r>
              <w:rPr>
                <w:rFonts w:hint="eastAsia" w:ascii="宋体" w:hAnsi="宋体" w:eastAsia="宋体" w:cs="宋体"/>
                <w:sz w:val="21"/>
                <w:szCs w:val="21"/>
                <w:highlight w:val="none"/>
              </w:rPr>
              <w:t>。</w:t>
            </w:r>
          </w:p>
          <w:p>
            <w:pPr>
              <w:pStyle w:val="47"/>
              <w:keepNext w:val="0"/>
              <w:keepLines w:val="0"/>
              <w:pageBreakBefore w:val="0"/>
              <w:widowControl w:val="0"/>
              <w:kinsoku/>
              <w:bidi w:val="0"/>
              <w:adjustRightInd w:val="0"/>
              <w:snapToGrid w:val="0"/>
              <w:ind w:left="0" w:leftChars="0"/>
              <w:textAlignment w:val="auto"/>
              <w:rPr>
                <w:rFonts w:hint="eastAsia" w:ascii="宋体" w:hAnsi="宋体" w:eastAsia="宋体" w:cs="宋体"/>
                <w:sz w:val="21"/>
                <w:szCs w:val="21"/>
                <w:highlight w:val="none"/>
              </w:rPr>
            </w:pPr>
            <w:r>
              <w:rPr>
                <w:rFonts w:hint="eastAsia" w:cs="宋体"/>
                <w:sz w:val="21"/>
                <w:szCs w:val="21"/>
                <w:highlight w:val="none"/>
                <w:lang w:val="en-US" w:eastAsia="zh-CN"/>
              </w:rPr>
              <w:t>4</w:t>
            </w:r>
            <w:r>
              <w:rPr>
                <w:rFonts w:hint="eastAsia" w:ascii="宋体" w:hAnsi="宋体" w:eastAsia="宋体" w:cs="宋体"/>
                <w:sz w:val="21"/>
                <w:szCs w:val="21"/>
                <w:highlight w:val="none"/>
              </w:rPr>
              <w:t>.供应商拟投入本项目的</w:t>
            </w:r>
            <w:r>
              <w:rPr>
                <w:rFonts w:hint="eastAsia" w:cs="宋体"/>
                <w:sz w:val="21"/>
                <w:szCs w:val="21"/>
                <w:highlight w:val="none"/>
                <w:lang w:eastAsia="zh-CN"/>
              </w:rPr>
              <w:t>设备具有</w:t>
            </w:r>
            <w:r>
              <w:rPr>
                <w:rFonts w:hint="eastAsia" w:cs="宋体"/>
                <w:sz w:val="21"/>
                <w:szCs w:val="21"/>
                <w:highlight w:val="none"/>
                <w:lang w:val="en-US" w:eastAsia="zh-CN"/>
              </w:rPr>
              <w:t>1台</w:t>
            </w:r>
            <w:r>
              <w:rPr>
                <w:rFonts w:hint="eastAsia"/>
                <w:b w:val="0"/>
                <w:bCs w:val="0"/>
                <w:color w:val="000000" w:themeColor="text1"/>
                <w:highlight w:val="none"/>
                <w:vertAlign w:val="baseline"/>
                <w:lang w:val="en-US" w:eastAsia="zh-CN"/>
                <w14:textFill>
                  <w14:solidFill>
                    <w14:schemeClr w14:val="tx1"/>
                  </w14:solidFill>
                </w14:textFill>
              </w:rPr>
              <w:t>地质雷达</w:t>
            </w:r>
            <w:r>
              <w:rPr>
                <w:rFonts w:hint="eastAsia" w:ascii="宋体" w:hAnsi="宋体" w:eastAsia="宋体" w:cs="宋体"/>
                <w:sz w:val="21"/>
                <w:szCs w:val="21"/>
                <w:highlight w:val="none"/>
              </w:rPr>
              <w:t>的得</w:t>
            </w:r>
            <w:r>
              <w:rPr>
                <w:rFonts w:hint="eastAsia" w:cs="宋体"/>
                <w:sz w:val="21"/>
                <w:szCs w:val="21"/>
                <w:highlight w:val="none"/>
                <w:lang w:val="en-US" w:eastAsia="zh-CN"/>
              </w:rPr>
              <w:t>2</w:t>
            </w:r>
            <w:r>
              <w:rPr>
                <w:rFonts w:hint="eastAsia" w:ascii="宋体" w:hAnsi="宋体" w:eastAsia="宋体" w:cs="宋体"/>
                <w:sz w:val="21"/>
                <w:szCs w:val="21"/>
                <w:highlight w:val="none"/>
              </w:rPr>
              <w:t>分。</w:t>
            </w:r>
          </w:p>
          <w:p>
            <w:pPr>
              <w:pStyle w:val="47"/>
              <w:keepNext w:val="0"/>
              <w:keepLines w:val="0"/>
              <w:pageBreakBefore w:val="0"/>
              <w:widowControl w:val="0"/>
              <w:kinsoku/>
              <w:bidi w:val="0"/>
              <w:adjustRightInd w:val="0"/>
              <w:snapToGrid w:val="0"/>
              <w:ind w:left="0" w:leftChars="0"/>
              <w:textAlignment w:val="auto"/>
              <w:rPr>
                <w:rFonts w:hint="eastAsia" w:cs="宋体"/>
                <w:b/>
                <w:bCs/>
                <w:sz w:val="21"/>
                <w:szCs w:val="21"/>
                <w:highlight w:val="none"/>
                <w:lang w:val="en-US" w:eastAsia="zh-CN"/>
              </w:rPr>
            </w:pPr>
            <w:r>
              <w:rPr>
                <w:rFonts w:hint="eastAsia" w:cs="宋体"/>
                <w:b/>
                <w:bCs/>
                <w:sz w:val="21"/>
                <w:szCs w:val="21"/>
                <w:highlight w:val="none"/>
                <w:lang w:eastAsia="zh-CN"/>
              </w:rPr>
              <w:t>注：</w:t>
            </w:r>
            <w:r>
              <w:rPr>
                <w:rFonts w:hint="eastAsia" w:asciiTheme="minorEastAsia" w:hAnsiTheme="minorEastAsia" w:eastAsiaTheme="minorEastAsia" w:cstheme="minorEastAsia"/>
                <w:b/>
                <w:bCs/>
                <w:sz w:val="21"/>
                <w:szCs w:val="21"/>
                <w:highlight w:val="none"/>
              </w:rPr>
              <w:t>①</w:t>
            </w:r>
            <w:r>
              <w:rPr>
                <w:rFonts w:hint="eastAsia" w:cs="宋体"/>
                <w:b/>
                <w:bCs/>
                <w:sz w:val="21"/>
                <w:szCs w:val="21"/>
                <w:highlight w:val="none"/>
                <w:lang w:val="en-US" w:eastAsia="zh-CN"/>
              </w:rPr>
              <w:t>自有的管线探测仪和地质雷达提供购置发票复印件，非自有的管线探测仪和地质雷达提供租赁证明材料（加盖公章），无有效证明材料不得分；</w:t>
            </w:r>
          </w:p>
          <w:p>
            <w:pPr>
              <w:pStyle w:val="47"/>
              <w:keepNext w:val="0"/>
              <w:keepLines w:val="0"/>
              <w:pageBreakBefore w:val="0"/>
              <w:widowControl w:val="0"/>
              <w:kinsoku/>
              <w:bidi w:val="0"/>
              <w:adjustRightInd w:val="0"/>
              <w:snapToGrid w:val="0"/>
              <w:ind w:left="0" w:leftChars="0"/>
              <w:textAlignment w:val="auto"/>
              <w:rPr>
                <w:rFonts w:hint="eastAsia" w:cs="宋体"/>
                <w:b/>
                <w:bCs/>
                <w:sz w:val="21"/>
                <w:szCs w:val="21"/>
                <w:highlight w:val="none"/>
                <w:lang w:val="en-US" w:eastAsia="zh-CN"/>
              </w:rPr>
            </w:pPr>
            <w:r>
              <w:rPr>
                <w:rFonts w:hint="eastAsia" w:asciiTheme="minorEastAsia" w:hAnsiTheme="minorEastAsia" w:eastAsiaTheme="minorEastAsia" w:cstheme="minorEastAsia"/>
                <w:b/>
                <w:bCs/>
                <w:sz w:val="21"/>
                <w:szCs w:val="21"/>
                <w:highlight w:val="none"/>
              </w:rPr>
              <w:t>②</w:t>
            </w:r>
            <w:r>
              <w:rPr>
                <w:rFonts w:hint="eastAsia" w:cs="宋体"/>
                <w:b/>
                <w:bCs/>
                <w:sz w:val="21"/>
                <w:szCs w:val="21"/>
                <w:highlight w:val="none"/>
                <w:lang w:val="en-US" w:eastAsia="zh-CN"/>
              </w:rPr>
              <w:t>自有的GNSS接收机和全站仪提供购置发票复印件和有效期内的仪器检定证书复印件，非自有的GNSS接收机和全站仪提供租赁合同复印件和仪器检定证书复印件（加盖公章），无有效证明材料不得分；</w:t>
            </w:r>
          </w:p>
          <w:p>
            <w:pPr>
              <w:pStyle w:val="47"/>
              <w:keepNext w:val="0"/>
              <w:keepLines w:val="0"/>
              <w:pageBreakBefore w:val="0"/>
              <w:widowControl w:val="0"/>
              <w:kinsoku/>
              <w:bidi w:val="0"/>
              <w:adjustRightInd w:val="0"/>
              <w:snapToGrid w:val="0"/>
              <w:ind w:left="0" w:leftChars="0"/>
              <w:textAlignment w:val="auto"/>
              <w:rPr>
                <w:rFonts w:hint="eastAsia" w:ascii="宋体" w:hAnsi="宋体" w:eastAsia="宋体" w:cs="宋体"/>
                <w:sz w:val="21"/>
                <w:szCs w:val="21"/>
                <w:highlight w:val="none"/>
                <w:lang w:eastAsia="zh-CN"/>
              </w:rPr>
            </w:pPr>
            <w:r>
              <w:rPr>
                <w:rFonts w:hint="eastAsia" w:asciiTheme="minorEastAsia" w:hAnsiTheme="minorEastAsia" w:eastAsiaTheme="minorEastAsia" w:cstheme="minorEastAsia"/>
                <w:b/>
                <w:bCs/>
                <w:sz w:val="21"/>
                <w:szCs w:val="21"/>
                <w:highlight w:val="none"/>
                <w:lang w:val="en-US" w:eastAsia="zh-CN"/>
              </w:rPr>
              <w:t>③</w:t>
            </w:r>
            <w:r>
              <w:rPr>
                <w:rFonts w:hint="eastAsia" w:cs="宋体"/>
                <w:b/>
                <w:bCs/>
                <w:sz w:val="21"/>
                <w:szCs w:val="21"/>
                <w:highlight w:val="none"/>
                <w:lang w:val="en-US" w:eastAsia="zh-CN"/>
              </w:rPr>
              <w:t>若涉及多个仪器设备使用同一份发票或者证书的，应注明用于本包件的数量及对应产品编号。</w:t>
            </w:r>
          </w:p>
        </w:tc>
        <w:tc>
          <w:tcPr>
            <w:tcW w:w="1022" w:type="dxa"/>
            <w:vMerge w:val="continue"/>
            <w:vAlign w:val="center"/>
          </w:tcPr>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8" w:type="dxa"/>
            <w:vMerge w:val="continue"/>
            <w:vAlign w:val="center"/>
          </w:tcPr>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rPr>
            </w:pPr>
          </w:p>
        </w:tc>
        <w:tc>
          <w:tcPr>
            <w:tcW w:w="1083" w:type="dxa"/>
            <w:vMerge w:val="continue"/>
            <w:vAlign w:val="center"/>
          </w:tcPr>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rPr>
            </w:pPr>
          </w:p>
        </w:tc>
        <w:tc>
          <w:tcPr>
            <w:tcW w:w="877" w:type="dxa"/>
            <w:vAlign w:val="center"/>
          </w:tcPr>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rPr>
            </w:pPr>
            <w:r>
              <w:rPr>
                <w:rFonts w:hint="eastAsia" w:ascii="宋体" w:hAnsi="宋体" w:eastAsia="宋体" w:cs="宋体"/>
                <w:sz w:val="21"/>
                <w:szCs w:val="21"/>
              </w:rPr>
              <w:t>实力及信誉</w:t>
            </w:r>
          </w:p>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rPr>
            </w:pPr>
            <w:r>
              <w:rPr>
                <w:rFonts w:hint="eastAsia" w:cs="宋体"/>
                <w:sz w:val="21"/>
                <w:szCs w:val="21"/>
                <w:lang w:val="en-US" w:eastAsia="zh-CN"/>
              </w:rPr>
              <w:t>3</w:t>
            </w:r>
            <w:r>
              <w:rPr>
                <w:rFonts w:hint="eastAsia" w:ascii="宋体" w:hAnsi="宋体" w:eastAsia="宋体" w:cs="宋体"/>
                <w:sz w:val="21"/>
                <w:szCs w:val="21"/>
              </w:rPr>
              <w:t>分</w:t>
            </w:r>
          </w:p>
        </w:tc>
        <w:tc>
          <w:tcPr>
            <w:tcW w:w="6538" w:type="dxa"/>
            <w:vAlign w:val="center"/>
          </w:tcPr>
          <w:p>
            <w:pPr>
              <w:pStyle w:val="47"/>
              <w:keepNext w:val="0"/>
              <w:keepLines w:val="0"/>
              <w:pageBreakBefore w:val="0"/>
              <w:widowControl w:val="0"/>
              <w:kinsoku/>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t>供应商具有有效期内的质量管理体系认证证书</w:t>
            </w:r>
            <w:r>
              <w:rPr>
                <w:rFonts w:hint="eastAsia" w:cs="宋体"/>
                <w:sz w:val="21"/>
                <w:szCs w:val="21"/>
                <w:lang w:eastAsia="zh-CN"/>
              </w:rPr>
              <w:t>、</w:t>
            </w:r>
            <w:r>
              <w:rPr>
                <w:rFonts w:hint="eastAsia" w:ascii="宋体" w:hAnsi="宋体" w:eastAsia="宋体" w:cs="宋体"/>
                <w:sz w:val="21"/>
                <w:szCs w:val="21"/>
              </w:rPr>
              <w:t>职业健康安全管理体系认证证书</w:t>
            </w:r>
            <w:r>
              <w:rPr>
                <w:rFonts w:hint="eastAsia" w:cs="宋体"/>
                <w:sz w:val="21"/>
                <w:szCs w:val="21"/>
                <w:lang w:eastAsia="zh-CN"/>
              </w:rPr>
              <w:t>、</w:t>
            </w:r>
            <w:r>
              <w:rPr>
                <w:rFonts w:hint="eastAsia" w:ascii="宋体" w:hAnsi="宋体" w:eastAsia="宋体" w:cs="宋体"/>
                <w:sz w:val="21"/>
                <w:szCs w:val="21"/>
                <w:lang w:val="en-US" w:eastAsia="zh-CN"/>
              </w:rPr>
              <w:t>环境管理体系认证证书</w:t>
            </w:r>
            <w:r>
              <w:rPr>
                <w:rFonts w:hint="eastAsia" w:ascii="宋体" w:hAnsi="宋体" w:eastAsia="宋体" w:cs="宋体"/>
                <w:sz w:val="21"/>
                <w:szCs w:val="21"/>
              </w:rPr>
              <w:t>的</w:t>
            </w:r>
            <w:r>
              <w:rPr>
                <w:rFonts w:hint="eastAsia" w:cs="宋体"/>
                <w:sz w:val="21"/>
                <w:szCs w:val="21"/>
                <w:lang w:eastAsia="zh-CN"/>
              </w:rPr>
              <w:t>，</w:t>
            </w:r>
            <w:r>
              <w:rPr>
                <w:rFonts w:hint="eastAsia" w:cs="宋体"/>
                <w:sz w:val="21"/>
                <w:szCs w:val="21"/>
                <w:lang w:val="en-US" w:eastAsia="zh-CN"/>
              </w:rPr>
              <w:t>每提供一个得1分，本项最多</w:t>
            </w:r>
            <w:r>
              <w:rPr>
                <w:rFonts w:hint="eastAsia" w:ascii="宋体" w:hAnsi="宋体" w:eastAsia="宋体" w:cs="宋体"/>
                <w:sz w:val="21"/>
                <w:szCs w:val="21"/>
              </w:rPr>
              <w:t>得</w:t>
            </w:r>
            <w:r>
              <w:rPr>
                <w:rFonts w:hint="eastAsia" w:cs="宋体"/>
                <w:sz w:val="21"/>
                <w:szCs w:val="21"/>
                <w:lang w:val="en-US" w:eastAsia="zh-CN"/>
              </w:rPr>
              <w:t>3</w:t>
            </w:r>
            <w:r>
              <w:rPr>
                <w:rFonts w:hint="eastAsia" w:ascii="宋体" w:hAnsi="宋体" w:eastAsia="宋体" w:cs="宋体"/>
                <w:sz w:val="21"/>
                <w:szCs w:val="21"/>
              </w:rPr>
              <w:t>分</w:t>
            </w:r>
          </w:p>
          <w:p>
            <w:pPr>
              <w:pStyle w:val="47"/>
              <w:keepNext w:val="0"/>
              <w:keepLines w:val="0"/>
              <w:pageBreakBefore w:val="0"/>
              <w:widowControl w:val="0"/>
              <w:kinsoku/>
              <w:bidi w:val="0"/>
              <w:adjustRightInd w:val="0"/>
              <w:snapToGrid w:val="0"/>
              <w:ind w:left="0" w:leftChars="0"/>
              <w:textAlignment w:val="auto"/>
              <w:rPr>
                <w:rFonts w:hint="eastAsia" w:ascii="宋体" w:hAnsi="宋体" w:eastAsia="宋体" w:cs="宋体"/>
                <w:sz w:val="21"/>
                <w:szCs w:val="21"/>
              </w:rPr>
            </w:pPr>
            <w:r>
              <w:rPr>
                <w:rFonts w:hint="eastAsia" w:cs="宋体"/>
                <w:sz w:val="21"/>
                <w:szCs w:val="21"/>
                <w:lang w:val="en-US" w:eastAsia="zh-CN"/>
              </w:rPr>
              <w:t>注：</w:t>
            </w:r>
            <w:r>
              <w:rPr>
                <w:rFonts w:hint="eastAsia" w:ascii="宋体" w:hAnsi="宋体" w:eastAsia="宋体" w:cs="宋体"/>
                <w:b/>
                <w:bCs/>
                <w:sz w:val="21"/>
                <w:szCs w:val="21"/>
              </w:rPr>
              <w:t>提供相关证书复印件</w:t>
            </w:r>
            <w:r>
              <w:rPr>
                <w:rFonts w:hint="eastAsia" w:cs="宋体"/>
                <w:b/>
                <w:bCs/>
                <w:sz w:val="21"/>
                <w:szCs w:val="21"/>
                <w:lang w:val="en-US" w:eastAsia="zh-CN"/>
              </w:rPr>
              <w:t>并盖章</w:t>
            </w:r>
            <w:r>
              <w:rPr>
                <w:rFonts w:hint="eastAsia" w:ascii="宋体" w:hAnsi="宋体" w:eastAsia="宋体" w:cs="宋体"/>
                <w:sz w:val="21"/>
                <w:szCs w:val="21"/>
              </w:rPr>
              <w:t>。</w:t>
            </w:r>
          </w:p>
        </w:tc>
        <w:tc>
          <w:tcPr>
            <w:tcW w:w="1022" w:type="dxa"/>
            <w:vMerge w:val="continue"/>
            <w:vAlign w:val="center"/>
          </w:tcPr>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8" w:type="dxa"/>
            <w:vMerge w:val="continue"/>
            <w:vAlign w:val="center"/>
          </w:tcPr>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rPr>
            </w:pPr>
          </w:p>
        </w:tc>
        <w:tc>
          <w:tcPr>
            <w:tcW w:w="1083" w:type="dxa"/>
            <w:vMerge w:val="continue"/>
            <w:vAlign w:val="center"/>
          </w:tcPr>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rPr>
            </w:pPr>
          </w:p>
        </w:tc>
        <w:tc>
          <w:tcPr>
            <w:tcW w:w="877" w:type="dxa"/>
            <w:vAlign w:val="center"/>
          </w:tcPr>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履约</w:t>
            </w:r>
          </w:p>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经验</w:t>
            </w:r>
          </w:p>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highlight w:val="none"/>
              </w:rPr>
            </w:pPr>
            <w:r>
              <w:rPr>
                <w:rFonts w:hint="eastAsia" w:cs="宋体"/>
                <w:snapToGrid w:val="0"/>
                <w:sz w:val="21"/>
                <w:szCs w:val="21"/>
                <w:highlight w:val="none"/>
                <w:lang w:val="en-US" w:eastAsia="zh-CN"/>
              </w:rPr>
              <w:t>6</w:t>
            </w:r>
            <w:r>
              <w:rPr>
                <w:rFonts w:hint="eastAsia" w:ascii="宋体" w:hAnsi="宋体" w:eastAsia="宋体" w:cs="宋体"/>
                <w:snapToGrid w:val="0"/>
                <w:sz w:val="21"/>
                <w:szCs w:val="21"/>
                <w:highlight w:val="none"/>
              </w:rPr>
              <w:t>分</w:t>
            </w:r>
          </w:p>
        </w:tc>
        <w:tc>
          <w:tcPr>
            <w:tcW w:w="6538" w:type="dxa"/>
            <w:vAlign w:val="center"/>
          </w:tcPr>
          <w:p>
            <w:pPr>
              <w:pStyle w:val="47"/>
              <w:keepNext w:val="0"/>
              <w:keepLines w:val="0"/>
              <w:pageBreakBefore w:val="0"/>
              <w:widowControl w:val="0"/>
              <w:kinsoku/>
              <w:bidi w:val="0"/>
              <w:adjustRightInd w:val="0"/>
              <w:snapToGrid w:val="0"/>
              <w:ind w:left="0" w:leftChars="0"/>
              <w:textAlignment w:val="auto"/>
              <w:rPr>
                <w:rFonts w:hint="eastAsia" w:cs="宋体"/>
                <w:b/>
                <w:bCs/>
                <w:sz w:val="21"/>
                <w:szCs w:val="21"/>
                <w:highlight w:val="none"/>
                <w:lang w:val="en-US" w:eastAsia="zh-CN"/>
              </w:rPr>
            </w:pPr>
            <w:r>
              <w:rPr>
                <w:rFonts w:hint="eastAsia" w:ascii="宋体" w:hAnsi="宋体" w:eastAsia="宋体" w:cs="宋体"/>
                <w:sz w:val="21"/>
                <w:szCs w:val="21"/>
                <w:highlight w:val="none"/>
              </w:rPr>
              <w:t>20</w:t>
            </w:r>
            <w:r>
              <w:rPr>
                <w:rFonts w:hint="eastAsia" w:cs="宋体"/>
                <w:sz w:val="21"/>
                <w:szCs w:val="21"/>
                <w:highlight w:val="none"/>
                <w:lang w:val="en-US" w:eastAsia="zh-CN"/>
              </w:rPr>
              <w:t>15</w:t>
            </w:r>
            <w:r>
              <w:rPr>
                <w:rFonts w:hint="eastAsia" w:ascii="宋体" w:hAnsi="宋体" w:eastAsia="宋体" w:cs="宋体"/>
                <w:sz w:val="21"/>
                <w:szCs w:val="21"/>
                <w:highlight w:val="none"/>
              </w:rPr>
              <w:t>年1月1日以来供应商每</w:t>
            </w:r>
            <w:r>
              <w:rPr>
                <w:rFonts w:hint="eastAsia"/>
                <w:b w:val="0"/>
                <w:bCs w:val="0"/>
                <w:i w:val="0"/>
                <w:caps w:val="0"/>
                <w:color w:val="000000" w:themeColor="text1"/>
                <w:spacing w:val="0"/>
                <w:w w:val="100"/>
                <w:sz w:val="21"/>
                <w:highlight w:val="none"/>
                <w:lang w:val="en-US" w:eastAsia="zh-CN"/>
                <w14:textFill>
                  <w14:solidFill>
                    <w14:schemeClr w14:val="tx1"/>
                  </w14:solidFill>
                </w14:textFill>
              </w:rPr>
              <w:t>完成一个类似地下管线普查</w:t>
            </w:r>
            <w:r>
              <w:rPr>
                <w:rFonts w:hint="eastAsia" w:ascii="宋体" w:hAnsi="宋体" w:eastAsia="宋体" w:cs="宋体"/>
                <w:sz w:val="21"/>
                <w:szCs w:val="21"/>
                <w:highlight w:val="none"/>
              </w:rPr>
              <w:t>项目履约经验得</w:t>
            </w:r>
            <w:r>
              <w:rPr>
                <w:rFonts w:hint="eastAsia" w:cs="宋体"/>
                <w:sz w:val="21"/>
                <w:szCs w:val="21"/>
                <w:highlight w:val="none"/>
                <w:lang w:val="en-US" w:eastAsia="zh-CN"/>
              </w:rPr>
              <w:t>2</w:t>
            </w:r>
            <w:r>
              <w:rPr>
                <w:rFonts w:hint="eastAsia" w:ascii="宋体" w:hAnsi="宋体" w:eastAsia="宋体" w:cs="宋体"/>
                <w:sz w:val="21"/>
                <w:szCs w:val="21"/>
                <w:highlight w:val="none"/>
              </w:rPr>
              <w:t>分，最多得</w:t>
            </w:r>
            <w:r>
              <w:rPr>
                <w:rFonts w:hint="eastAsia" w:cs="宋体"/>
                <w:sz w:val="21"/>
                <w:szCs w:val="21"/>
                <w:highlight w:val="none"/>
                <w:lang w:val="en-US" w:eastAsia="zh-CN"/>
              </w:rPr>
              <w:t>6</w:t>
            </w:r>
            <w:r>
              <w:rPr>
                <w:rFonts w:hint="eastAsia" w:ascii="宋体" w:hAnsi="宋体" w:eastAsia="宋体" w:cs="宋体"/>
                <w:sz w:val="21"/>
                <w:szCs w:val="21"/>
                <w:highlight w:val="none"/>
              </w:rPr>
              <w:t>分</w:t>
            </w:r>
            <w:r>
              <w:rPr>
                <w:rFonts w:hint="eastAsia" w:cs="宋体"/>
                <w:b/>
                <w:bCs/>
                <w:sz w:val="21"/>
                <w:szCs w:val="21"/>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宋体" w:hAnsi="宋体" w:eastAsia="宋体" w:cs="宋体"/>
                <w:sz w:val="21"/>
                <w:szCs w:val="21"/>
                <w:highlight w:val="none"/>
                <w:lang w:val="en-US"/>
              </w:rPr>
            </w:pPr>
            <w:r>
              <w:rPr>
                <w:rFonts w:hint="eastAsia" w:cs="宋体"/>
                <w:b/>
                <w:bCs/>
                <w:sz w:val="21"/>
                <w:szCs w:val="21"/>
                <w:highlight w:val="none"/>
                <w:lang w:val="en-US" w:eastAsia="zh-CN"/>
              </w:rPr>
              <w:t>注：</w:t>
            </w:r>
            <w:r>
              <w:rPr>
                <w:rFonts w:hint="eastAsia" w:asciiTheme="minorEastAsia" w:hAnsiTheme="minorEastAsia" w:eastAsiaTheme="minorEastAsia" w:cstheme="minorEastAsia"/>
                <w:b/>
                <w:bCs/>
                <w:sz w:val="21"/>
                <w:szCs w:val="21"/>
                <w:highlight w:val="none"/>
              </w:rPr>
              <w:t>①</w:t>
            </w:r>
            <w:r>
              <w:rPr>
                <w:rFonts w:hint="eastAsia" w:cs="宋体"/>
                <w:b/>
                <w:bCs/>
                <w:sz w:val="21"/>
                <w:szCs w:val="21"/>
                <w:highlight w:val="none"/>
                <w:lang w:val="en-US" w:eastAsia="zh-CN"/>
              </w:rPr>
              <w:t>以上履约经验</w:t>
            </w:r>
            <w:r>
              <w:rPr>
                <w:rFonts w:hint="eastAsia"/>
                <w:b/>
                <w:bCs/>
                <w:color w:val="000000" w:themeColor="text1"/>
                <w:sz w:val="21"/>
                <w:szCs w:val="21"/>
                <w:highlight w:val="none"/>
                <w:vertAlign w:val="baseline"/>
                <w:lang w:val="en-US" w:eastAsia="zh-CN"/>
                <w14:textFill>
                  <w14:solidFill>
                    <w14:schemeClr w14:val="tx1"/>
                  </w14:solidFill>
                </w14:textFill>
              </w:rPr>
              <w:t>提供合同（或任务来源证明文件）复印件或测绘成果质量检测机构出具的质检报告复印件或业主验收证明材料复印件</w:t>
            </w:r>
            <w:r>
              <w:rPr>
                <w:rFonts w:hint="eastAsia"/>
                <w:b/>
                <w:bCs/>
                <w:color w:val="000000" w:themeColor="text1"/>
                <w:sz w:val="21"/>
                <w:szCs w:val="21"/>
                <w:vertAlign w:val="baseline"/>
                <w:lang w:val="en-US" w:eastAsia="zh-CN"/>
                <w14:textFill>
                  <w14:solidFill>
                    <w14:schemeClr w14:val="tx1"/>
                  </w14:solidFill>
                </w14:textFill>
              </w:rPr>
              <w:t>（加盖公章），未附证明材料或证明材料不齐、不能清晰反映上述内容的，不得分。</w:t>
            </w:r>
            <w:r>
              <w:rPr>
                <w:rFonts w:hint="eastAsia" w:asciiTheme="minorEastAsia" w:hAnsiTheme="minorEastAsia" w:eastAsiaTheme="minorEastAsia" w:cstheme="minorEastAsia"/>
                <w:b/>
                <w:bCs/>
                <w:sz w:val="21"/>
                <w:szCs w:val="21"/>
                <w:highlight w:val="none"/>
              </w:rPr>
              <w:t>②</w:t>
            </w:r>
            <w:r>
              <w:rPr>
                <w:rFonts w:hint="eastAsia"/>
                <w:b/>
                <w:bCs/>
                <w:color w:val="000000" w:themeColor="text1"/>
                <w:sz w:val="21"/>
                <w:szCs w:val="21"/>
                <w:vertAlign w:val="baseline"/>
                <w:lang w:val="en-US" w:eastAsia="zh-CN"/>
                <w14:textFill>
                  <w14:solidFill>
                    <w14:schemeClr w14:val="tx1"/>
                  </w14:solidFill>
                </w14:textFill>
              </w:rPr>
              <w:t>时间以合同签订时间为准。</w:t>
            </w:r>
          </w:p>
        </w:tc>
        <w:tc>
          <w:tcPr>
            <w:tcW w:w="1022" w:type="dxa"/>
            <w:vMerge w:val="continue"/>
            <w:vAlign w:val="center"/>
          </w:tcPr>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8" w:type="dxa"/>
            <w:vAlign w:val="center"/>
          </w:tcPr>
          <w:p>
            <w:pPr>
              <w:pStyle w:val="51"/>
              <w:keepNext w:val="0"/>
              <w:keepLines w:val="0"/>
              <w:pageBreakBefore w:val="0"/>
              <w:widowControl w:val="0"/>
              <w:kinsoku/>
              <w:bidi w:val="0"/>
              <w:adjustRightInd w:val="0"/>
              <w:snapToGrid w:val="0"/>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四</w:t>
            </w:r>
          </w:p>
        </w:tc>
        <w:tc>
          <w:tcPr>
            <w:tcW w:w="1083" w:type="dxa"/>
            <w:vAlign w:val="center"/>
          </w:tcPr>
          <w:p>
            <w:pPr>
              <w:pStyle w:val="48"/>
              <w:keepNext w:val="0"/>
              <w:keepLines w:val="0"/>
              <w:pageBreakBefore w:val="0"/>
              <w:widowControl w:val="0"/>
              <w:kinsoku/>
              <w:bidi w:val="0"/>
              <w:adjustRightInd w:val="0"/>
              <w:snapToGrid w:val="0"/>
              <w:spacing w:line="360" w:lineRule="exact"/>
              <w:jc w:val="center"/>
              <w:textAlignment w:val="auto"/>
              <w:rPr>
                <w:rFonts w:hint="eastAsia" w:ascii="宋体" w:hAnsi="宋体" w:eastAsia="宋体" w:cs="宋体"/>
                <w:snapToGrid w:val="0"/>
                <w:kern w:val="2"/>
                <w:sz w:val="21"/>
                <w:szCs w:val="21"/>
                <w:lang w:val="en-US" w:eastAsia="zh-CN" w:bidi="ar-SA"/>
              </w:rPr>
            </w:pPr>
            <w:r>
              <w:rPr>
                <w:rFonts w:hint="eastAsia" w:ascii="宋体" w:hAnsi="宋体" w:eastAsia="宋体" w:cs="宋体"/>
                <w:sz w:val="21"/>
                <w:szCs w:val="21"/>
              </w:rPr>
              <w:t>扶持少数民族地区1%</w:t>
            </w:r>
          </w:p>
        </w:tc>
        <w:tc>
          <w:tcPr>
            <w:tcW w:w="877" w:type="dxa"/>
            <w:vAlign w:val="center"/>
          </w:tcPr>
          <w:p>
            <w:pPr>
              <w:pStyle w:val="48"/>
              <w:keepNext w:val="0"/>
              <w:keepLines w:val="0"/>
              <w:pageBreakBefore w:val="0"/>
              <w:widowControl w:val="0"/>
              <w:kinsoku/>
              <w:bidi w:val="0"/>
              <w:adjustRightInd w:val="0"/>
              <w:snapToGrid w:val="0"/>
              <w:spacing w:line="360" w:lineRule="exact"/>
              <w:jc w:val="center"/>
              <w:textAlignment w:val="auto"/>
              <w:rPr>
                <w:rFonts w:hint="eastAsia" w:ascii="宋体" w:hAnsi="宋体" w:eastAsia="宋体" w:cs="宋体"/>
                <w:snapToGrid w:val="0"/>
                <w:kern w:val="2"/>
                <w:sz w:val="21"/>
                <w:szCs w:val="21"/>
                <w:lang w:val="en-US" w:eastAsia="zh-CN" w:bidi="ar-SA"/>
              </w:rPr>
            </w:pPr>
            <w:r>
              <w:rPr>
                <w:rFonts w:hint="eastAsia" w:ascii="宋体" w:hAnsi="宋体" w:eastAsia="宋体" w:cs="宋体"/>
                <w:sz w:val="21"/>
                <w:szCs w:val="21"/>
              </w:rPr>
              <w:t>1分</w:t>
            </w:r>
          </w:p>
        </w:tc>
        <w:tc>
          <w:tcPr>
            <w:tcW w:w="6538" w:type="dxa"/>
            <w:vAlign w:val="center"/>
          </w:tcPr>
          <w:p>
            <w:pPr>
              <w:pStyle w:val="48"/>
              <w:keepNext w:val="0"/>
              <w:keepLines w:val="0"/>
              <w:pageBreakBefore w:val="0"/>
              <w:widowControl w:val="0"/>
              <w:kinsoku/>
              <w:bidi w:val="0"/>
              <w:adjustRightInd w:val="0"/>
              <w:snapToGrid w:val="0"/>
              <w:spacing w:line="360" w:lineRule="exact"/>
              <w:textAlignment w:val="auto"/>
              <w:rPr>
                <w:rFonts w:hint="eastAsia" w:ascii="宋体" w:hAnsi="宋体" w:eastAsia="宋体" w:cs="宋体"/>
                <w:sz w:val="21"/>
                <w:szCs w:val="21"/>
              </w:rPr>
            </w:pPr>
            <w:r>
              <w:rPr>
                <w:rFonts w:hint="eastAsia" w:ascii="宋体" w:hAnsi="宋体" w:eastAsia="宋体" w:cs="宋体"/>
                <w:sz w:val="21"/>
                <w:szCs w:val="21"/>
              </w:rPr>
              <w:t>投标人注册在少数民族地区的得1分。</w:t>
            </w:r>
          </w:p>
          <w:p>
            <w:pPr>
              <w:pStyle w:val="48"/>
              <w:keepNext w:val="0"/>
              <w:keepLines w:val="0"/>
              <w:pageBreakBefore w:val="0"/>
              <w:widowControl w:val="0"/>
              <w:kinsoku/>
              <w:bidi w:val="0"/>
              <w:adjustRightInd w:val="0"/>
              <w:snapToGrid w:val="0"/>
              <w:spacing w:line="360" w:lineRule="exact"/>
              <w:textAlignment w:val="auto"/>
              <w:rPr>
                <w:rFonts w:hint="eastAsia" w:ascii="宋体" w:hAnsi="宋体" w:eastAsia="宋体" w:cs="宋体"/>
                <w:snapToGrid w:val="0"/>
                <w:kern w:val="2"/>
                <w:sz w:val="21"/>
                <w:szCs w:val="21"/>
                <w:lang w:val="en-US" w:eastAsia="zh-CN" w:bidi="ar-SA"/>
              </w:rPr>
            </w:pPr>
            <w:r>
              <w:rPr>
                <w:rFonts w:hint="eastAsia" w:ascii="宋体" w:hAnsi="宋体" w:eastAsia="宋体" w:cs="宋体"/>
                <w:b/>
                <w:bCs/>
                <w:sz w:val="21"/>
                <w:szCs w:val="21"/>
              </w:rPr>
              <w:t>注：指投标人注册地在民族自治区、自治州、自治县</w:t>
            </w:r>
            <w:r>
              <w:rPr>
                <w:rFonts w:hint="eastAsia" w:asciiTheme="minorEastAsia" w:hAnsiTheme="minorEastAsia" w:eastAsiaTheme="minorEastAsia" w:cstheme="minorEastAsia"/>
                <w:b/>
                <w:bCs/>
                <w:sz w:val="21"/>
                <w:szCs w:val="21"/>
                <w:highlight w:val="none"/>
                <w:lang w:eastAsia="zh-CN"/>
              </w:rPr>
              <w:t>（</w:t>
            </w:r>
            <w:r>
              <w:rPr>
                <w:rFonts w:hint="eastAsia" w:asciiTheme="minorEastAsia" w:hAnsiTheme="minorEastAsia" w:eastAsiaTheme="minorEastAsia" w:cstheme="minorEastAsia"/>
                <w:b/>
                <w:bCs/>
                <w:sz w:val="21"/>
                <w:szCs w:val="21"/>
                <w:highlight w:val="none"/>
                <w:lang w:val="en-US" w:eastAsia="zh-CN"/>
              </w:rPr>
              <w:t>含享受少数民族待遇的区县</w:t>
            </w:r>
            <w:r>
              <w:rPr>
                <w:rFonts w:hint="eastAsia" w:asciiTheme="minorEastAsia" w:hAnsiTheme="minorEastAsia" w:eastAsiaTheme="minorEastAsia" w:cstheme="minorEastAsia"/>
                <w:b/>
                <w:bCs/>
                <w:sz w:val="21"/>
                <w:szCs w:val="21"/>
                <w:highlight w:val="none"/>
                <w:lang w:eastAsia="zh-CN"/>
              </w:rPr>
              <w:t>）</w:t>
            </w:r>
            <w:r>
              <w:rPr>
                <w:rFonts w:hint="eastAsia" w:ascii="宋体" w:hAnsi="宋体" w:eastAsia="宋体" w:cs="宋体"/>
                <w:b/>
                <w:bCs/>
                <w:sz w:val="21"/>
                <w:szCs w:val="21"/>
              </w:rPr>
              <w:t>、</w:t>
            </w:r>
            <w:r>
              <w:rPr>
                <w:rFonts w:hint="eastAsia" w:cs="宋体"/>
                <w:b/>
                <w:bCs/>
                <w:sz w:val="21"/>
                <w:szCs w:val="21"/>
                <w:lang w:val="en-US" w:eastAsia="zh-CN"/>
              </w:rPr>
              <w:t>民族</w:t>
            </w:r>
            <w:r>
              <w:rPr>
                <w:rFonts w:hint="eastAsia" w:ascii="宋体" w:hAnsi="宋体" w:eastAsia="宋体" w:cs="宋体"/>
                <w:b/>
                <w:bCs/>
                <w:sz w:val="21"/>
                <w:szCs w:val="21"/>
              </w:rPr>
              <w:t>乡的，提供营业执照</w:t>
            </w:r>
            <w:r>
              <w:rPr>
                <w:rFonts w:hint="eastAsia" w:cs="宋体"/>
                <w:b/>
                <w:bCs/>
                <w:sz w:val="21"/>
                <w:szCs w:val="21"/>
                <w:lang w:val="en-US" w:eastAsia="zh-CN"/>
              </w:rPr>
              <w:t>副本</w:t>
            </w:r>
            <w:r>
              <w:rPr>
                <w:rFonts w:hint="eastAsia" w:ascii="宋体" w:hAnsi="宋体" w:eastAsia="宋体" w:cs="宋体"/>
                <w:b/>
                <w:bCs/>
                <w:sz w:val="21"/>
                <w:szCs w:val="21"/>
              </w:rPr>
              <w:t>复印件。</w:t>
            </w:r>
          </w:p>
        </w:tc>
        <w:tc>
          <w:tcPr>
            <w:tcW w:w="1022" w:type="dxa"/>
            <w:vAlign w:val="center"/>
          </w:tcPr>
          <w:p>
            <w:pPr>
              <w:pStyle w:val="51"/>
              <w:keepNext w:val="0"/>
              <w:keepLines w:val="0"/>
              <w:pageBreakBefore w:val="0"/>
              <w:widowControl w:val="0"/>
              <w:kinsoku/>
              <w:bidi w:val="0"/>
              <w:adjustRightInd w:val="0"/>
              <w:snapToGrid w:val="0"/>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8" w:type="dxa"/>
            <w:vAlign w:val="center"/>
          </w:tcPr>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lang w:eastAsia="zh-CN"/>
              </w:rPr>
            </w:pPr>
            <w:r>
              <w:rPr>
                <w:rFonts w:hint="eastAsia" w:cs="宋体"/>
                <w:sz w:val="21"/>
                <w:szCs w:val="21"/>
                <w:lang w:eastAsia="zh-CN"/>
              </w:rPr>
              <w:t>五</w:t>
            </w:r>
          </w:p>
        </w:tc>
        <w:tc>
          <w:tcPr>
            <w:tcW w:w="1083" w:type="dxa"/>
            <w:vAlign w:val="center"/>
          </w:tcPr>
          <w:p>
            <w:pPr>
              <w:spacing w:line="320" w:lineRule="exact"/>
              <w:ind w:firstLine="28"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文件的规范性</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w:t>
            </w:r>
          </w:p>
        </w:tc>
        <w:tc>
          <w:tcPr>
            <w:tcW w:w="877" w:type="dxa"/>
            <w:vAlign w:val="center"/>
          </w:tcPr>
          <w:p>
            <w:pPr>
              <w:spacing w:line="320" w:lineRule="exact"/>
              <w:ind w:firstLine="28"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tc>
        <w:tc>
          <w:tcPr>
            <w:tcW w:w="6538" w:type="dxa"/>
            <w:vAlign w:val="center"/>
          </w:tcPr>
          <w:p>
            <w:pPr>
              <w:spacing w:line="320" w:lineRule="exact"/>
              <w:ind w:firstLine="28" w:firstLineChars="0"/>
              <w:rPr>
                <w:rFonts w:hint="eastAsia" w:ascii="宋体" w:hAnsi="宋体" w:eastAsia="宋体" w:cs="宋体"/>
                <w:sz w:val="21"/>
                <w:szCs w:val="21"/>
              </w:rPr>
            </w:pP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文件制作规范，没有细微偏差情形的得</w:t>
            </w:r>
            <w:r>
              <w:rPr>
                <w:rFonts w:hint="eastAsia" w:cs="宋体"/>
                <w:color w:val="auto"/>
                <w:sz w:val="21"/>
                <w:szCs w:val="21"/>
                <w:highlight w:val="none"/>
                <w:lang w:val="en-US" w:eastAsia="zh-CN"/>
              </w:rPr>
              <w:t>1</w:t>
            </w:r>
            <w:r>
              <w:rPr>
                <w:rFonts w:hint="eastAsia" w:ascii="宋体" w:hAnsi="宋体" w:eastAsia="宋体" w:cs="宋体"/>
                <w:color w:val="auto"/>
                <w:sz w:val="21"/>
                <w:szCs w:val="21"/>
                <w:highlight w:val="none"/>
              </w:rPr>
              <w:t>分；有一项细微偏差扣</w:t>
            </w:r>
            <w:r>
              <w:rPr>
                <w:rFonts w:hint="eastAsia" w:ascii="宋体" w:hAnsi="宋体" w:eastAsia="宋体" w:cs="宋体"/>
                <w:color w:val="auto"/>
                <w:sz w:val="21"/>
                <w:szCs w:val="21"/>
                <w:highlight w:val="none"/>
                <w:lang w:val="en-US" w:eastAsia="zh-CN"/>
              </w:rPr>
              <w:t>0.</w:t>
            </w: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rPr>
              <w:t>分，直至该项分值扣完为止。</w:t>
            </w:r>
          </w:p>
        </w:tc>
        <w:tc>
          <w:tcPr>
            <w:tcW w:w="1022" w:type="dxa"/>
            <w:vAlign w:val="center"/>
          </w:tcPr>
          <w:p>
            <w:pPr>
              <w:pStyle w:val="51"/>
              <w:keepNext w:val="0"/>
              <w:keepLines w:val="0"/>
              <w:pageBreakBefore w:val="0"/>
              <w:widowControl w:val="0"/>
              <w:kinsoku/>
              <w:bidi w:val="0"/>
              <w:adjustRightInd w:val="0"/>
              <w:snapToGrid w:val="0"/>
              <w:textAlignment w:val="auto"/>
              <w:rPr>
                <w:rFonts w:hint="eastAsia" w:ascii="宋体" w:hAnsi="宋体" w:eastAsia="宋体" w:cs="宋体"/>
                <w:sz w:val="21"/>
                <w:szCs w:val="21"/>
              </w:rPr>
            </w:pPr>
            <w:r>
              <w:rPr>
                <w:rFonts w:hint="eastAsia" w:ascii="宋体" w:hAnsi="宋体" w:eastAsia="宋体" w:cs="宋体"/>
                <w:sz w:val="21"/>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88" w:type="dxa"/>
            <w:gridSpan w:val="5"/>
            <w:vAlign w:val="center"/>
          </w:tcPr>
          <w:p>
            <w:pPr>
              <w:pStyle w:val="51"/>
              <w:keepNext w:val="0"/>
              <w:keepLines w:val="0"/>
              <w:pageBreakBefore w:val="0"/>
              <w:widowControl w:val="0"/>
              <w:kinsoku/>
              <w:bidi w:val="0"/>
              <w:adjustRightInd w:val="0"/>
              <w:snapToGrid w:val="0"/>
              <w:jc w:val="both"/>
              <w:textAlignment w:val="auto"/>
              <w:rPr>
                <w:rFonts w:hint="eastAsia" w:ascii="宋体" w:hAnsi="宋体" w:eastAsia="宋体" w:cs="宋体"/>
                <w:sz w:val="21"/>
                <w:szCs w:val="21"/>
              </w:rPr>
            </w:pPr>
            <w:r>
              <w:rPr>
                <w:rFonts w:hint="eastAsia" w:ascii="宋体" w:hAnsi="宋体" w:eastAsia="宋体" w:cs="宋体"/>
                <w:b/>
                <w:bCs/>
                <w:sz w:val="21"/>
                <w:szCs w:val="21"/>
              </w:rPr>
              <w:t>注：</w:t>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 1 \* GB3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t>①</w:t>
            </w:r>
            <w:r>
              <w:rPr>
                <w:rFonts w:hint="eastAsia" w:ascii="宋体" w:hAnsi="宋体" w:eastAsia="宋体" w:cs="宋体"/>
                <w:b/>
                <w:bCs/>
                <w:sz w:val="21"/>
                <w:szCs w:val="21"/>
              </w:rPr>
              <w:fldChar w:fldCharType="end"/>
            </w:r>
            <w:r>
              <w:rPr>
                <w:rFonts w:hint="eastAsia" w:ascii="宋体" w:hAnsi="宋体" w:eastAsia="宋体" w:cs="宋体"/>
                <w:b/>
                <w:bCs/>
                <w:sz w:val="21"/>
                <w:szCs w:val="21"/>
              </w:rPr>
              <w:t>评分的取值按四舍五入法，小数点后保留两位。</w:t>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 2 \* GB3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t>②</w:t>
            </w:r>
            <w:r>
              <w:rPr>
                <w:rFonts w:hint="eastAsia" w:ascii="宋体" w:hAnsi="宋体" w:eastAsia="宋体" w:cs="宋体"/>
                <w:b/>
                <w:bCs/>
                <w:sz w:val="21"/>
                <w:szCs w:val="21"/>
              </w:rPr>
              <w:fldChar w:fldCharType="end"/>
            </w:r>
            <w:r>
              <w:rPr>
                <w:rFonts w:hint="eastAsia" w:ascii="宋体" w:hAnsi="宋体" w:eastAsia="宋体" w:cs="宋体"/>
                <w:b/>
                <w:bCs/>
                <w:sz w:val="21"/>
                <w:szCs w:val="21"/>
              </w:rPr>
              <w:t>本表中要求提供各类证明材料，均需加盖投标人单位公章，否则将不认可该项材料的有效性。③本项目不涉及节能、环境标志、无线局域网产品，故在综合评分明细表中不作体现。</w:t>
            </w:r>
          </w:p>
        </w:tc>
      </w:tr>
    </w:tbl>
    <w:p>
      <w:pPr>
        <w:pStyle w:val="41"/>
        <w:numPr>
          <w:ilvl w:val="1"/>
          <w:numId w:val="0"/>
        </w:numPr>
        <w:ind w:left="480" w:leftChars="200"/>
        <w:outlineLvl w:val="2"/>
        <w:rPr>
          <w:rFonts w:cs="宋体"/>
          <w:b w:val="0"/>
          <w:bCs/>
        </w:rPr>
      </w:pPr>
      <w:r>
        <w:rPr>
          <w:rFonts w:hint="eastAsia" w:cs="宋体"/>
          <w:b w:val="0"/>
          <w:bCs/>
        </w:rPr>
        <w:t>第</w:t>
      </w:r>
      <w:r>
        <w:rPr>
          <w:rFonts w:hint="eastAsia" w:cs="宋体"/>
          <w:b w:val="0"/>
          <w:bCs/>
          <w:lang w:eastAsia="zh-CN"/>
        </w:rPr>
        <w:t>四</w:t>
      </w:r>
      <w:r>
        <w:rPr>
          <w:rFonts w:hint="eastAsia" w:cs="宋体"/>
          <w:b w:val="0"/>
          <w:bCs/>
        </w:rPr>
        <w:t>包：</w:t>
      </w:r>
      <w:bookmarkEnd w:id="1431"/>
      <w:bookmarkEnd w:id="1432"/>
      <w:bookmarkEnd w:id="1433"/>
    </w:p>
    <w:tbl>
      <w:tblPr>
        <w:tblStyle w:val="26"/>
        <w:tblW w:w="100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
        <w:gridCol w:w="1296"/>
        <w:gridCol w:w="670"/>
        <w:gridCol w:w="6637"/>
        <w:gridCol w:w="1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442" w:type="dxa"/>
            <w:tcBorders>
              <w:tl2br w:val="nil"/>
              <w:tr2bl w:val="nil"/>
            </w:tcBorders>
            <w:vAlign w:val="center"/>
          </w:tcPr>
          <w:p>
            <w:pPr>
              <w:pStyle w:val="48"/>
              <w:spacing w:line="360" w:lineRule="exact"/>
              <w:jc w:val="center"/>
              <w:rPr>
                <w:rFonts w:asciiTheme="minorEastAsia" w:hAnsiTheme="minorEastAsia" w:eastAsiaTheme="minorEastAsia" w:cstheme="minorEastAsia"/>
                <w:b/>
                <w:bCs/>
                <w:sz w:val="21"/>
                <w:szCs w:val="21"/>
              </w:rPr>
            </w:pPr>
            <w:bookmarkStart w:id="1434" w:name="_Toc25142"/>
            <w:bookmarkStart w:id="1435" w:name="_Toc15635"/>
            <w:bookmarkStart w:id="1436" w:name="_Toc23138"/>
            <w:r>
              <w:rPr>
                <w:rFonts w:hint="eastAsia" w:asciiTheme="minorEastAsia" w:hAnsiTheme="minorEastAsia" w:eastAsiaTheme="minorEastAsia" w:cstheme="minorEastAsia"/>
                <w:b/>
                <w:bCs/>
                <w:sz w:val="21"/>
                <w:szCs w:val="21"/>
              </w:rPr>
              <w:t>序号</w:t>
            </w:r>
          </w:p>
        </w:tc>
        <w:tc>
          <w:tcPr>
            <w:tcW w:w="1296" w:type="dxa"/>
            <w:tcBorders>
              <w:tl2br w:val="nil"/>
              <w:tr2bl w:val="nil"/>
            </w:tcBorders>
            <w:vAlign w:val="center"/>
          </w:tcPr>
          <w:p>
            <w:pPr>
              <w:pStyle w:val="48"/>
              <w:spacing w:line="360" w:lineRule="exact"/>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评审因素及权重</w:t>
            </w:r>
          </w:p>
        </w:tc>
        <w:tc>
          <w:tcPr>
            <w:tcW w:w="670" w:type="dxa"/>
            <w:tcBorders>
              <w:tl2br w:val="nil"/>
              <w:tr2bl w:val="nil"/>
            </w:tcBorders>
            <w:vAlign w:val="center"/>
          </w:tcPr>
          <w:p>
            <w:pPr>
              <w:pStyle w:val="48"/>
              <w:spacing w:line="360" w:lineRule="exact"/>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分值</w:t>
            </w:r>
          </w:p>
        </w:tc>
        <w:tc>
          <w:tcPr>
            <w:tcW w:w="6637" w:type="dxa"/>
            <w:tcBorders>
              <w:tl2br w:val="nil"/>
              <w:tr2bl w:val="nil"/>
            </w:tcBorders>
            <w:vAlign w:val="center"/>
          </w:tcPr>
          <w:p>
            <w:pPr>
              <w:pStyle w:val="48"/>
              <w:spacing w:line="360" w:lineRule="exact"/>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评分标准</w:t>
            </w:r>
          </w:p>
        </w:tc>
        <w:tc>
          <w:tcPr>
            <w:tcW w:w="1045" w:type="dxa"/>
            <w:tcBorders>
              <w:tl2br w:val="nil"/>
              <w:tr2bl w:val="nil"/>
            </w:tcBorders>
            <w:vAlign w:val="center"/>
          </w:tcPr>
          <w:p>
            <w:pPr>
              <w:pStyle w:val="48"/>
              <w:spacing w:line="360" w:lineRule="exact"/>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2" w:type="dxa"/>
            <w:tcBorders>
              <w:tl2br w:val="nil"/>
              <w:tr2bl w:val="nil"/>
            </w:tcBorders>
            <w:vAlign w:val="center"/>
          </w:tcPr>
          <w:p>
            <w:pPr>
              <w:pStyle w:val="48"/>
              <w:spacing w:line="360" w:lineRule="exact"/>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w:t>
            </w:r>
          </w:p>
        </w:tc>
        <w:tc>
          <w:tcPr>
            <w:tcW w:w="1296" w:type="dxa"/>
            <w:tcBorders>
              <w:tl2br w:val="nil"/>
              <w:tr2bl w:val="nil"/>
            </w:tcBorders>
            <w:vAlign w:val="center"/>
          </w:tcPr>
          <w:p>
            <w:pPr>
              <w:pStyle w:val="48"/>
              <w:spacing w:line="360" w:lineRule="exact"/>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报价</w:t>
            </w:r>
          </w:p>
          <w:p>
            <w:pPr>
              <w:pStyle w:val="48"/>
              <w:spacing w:line="360" w:lineRule="exact"/>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w:t>
            </w:r>
          </w:p>
        </w:tc>
        <w:tc>
          <w:tcPr>
            <w:tcW w:w="670" w:type="dxa"/>
            <w:tcBorders>
              <w:tl2br w:val="nil"/>
              <w:tr2bl w:val="nil"/>
            </w:tcBorders>
            <w:vAlign w:val="center"/>
          </w:tcPr>
          <w:p>
            <w:pPr>
              <w:pStyle w:val="48"/>
              <w:spacing w:line="360" w:lineRule="exact"/>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分</w:t>
            </w:r>
          </w:p>
        </w:tc>
        <w:tc>
          <w:tcPr>
            <w:tcW w:w="6637" w:type="dxa"/>
            <w:tcBorders>
              <w:tl2br w:val="nil"/>
              <w:tr2bl w:val="nil"/>
            </w:tcBorders>
            <w:vAlign w:val="center"/>
          </w:tcPr>
          <w:p>
            <w:pPr>
              <w:pStyle w:val="47"/>
              <w:ind w:left="24" w:leftChars="1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满足招标文件要求且投标价格最低的投标报价为评标基准价，其价格分为满分。其他投标人的价格分统一按照下列公式计算：投标报价得分=(评标基准价／投标报价)×1</w:t>
            </w:r>
            <w:r>
              <w:rPr>
                <w:rFonts w:hint="eastAsia" w:asciiTheme="minorEastAsia" w:hAnsiTheme="minorEastAsia" w:eastAsiaTheme="minorEastAsia" w:cstheme="minorEastAsia"/>
                <w:szCs w:val="21"/>
                <w:lang w:val="en-US" w:eastAsia="zh-CN"/>
              </w:rPr>
              <w:t>5</w:t>
            </w:r>
            <w:r>
              <w:rPr>
                <w:rFonts w:hint="eastAsia" w:asciiTheme="minorEastAsia" w:hAnsiTheme="minorEastAsia" w:eastAsiaTheme="minorEastAsia" w:cstheme="minorEastAsia"/>
                <w:szCs w:val="21"/>
              </w:rPr>
              <w:t>%×100；</w:t>
            </w:r>
          </w:p>
          <w:p>
            <w:pPr>
              <w:pStyle w:val="47"/>
              <w:ind w:left="0" w:leftChars="0"/>
              <w:rPr>
                <w:rFonts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注：1.小微企业(残疾人福利性单位、监狱企业视同小微企业)价格扣除及失信企业价格惩戒加成按照本招标文件投标人须知前附表规定执行。</w:t>
            </w:r>
          </w:p>
          <w:p>
            <w:pPr>
              <w:pStyle w:val="47"/>
              <w:ind w:left="0" w:leftChars="0"/>
              <w:rPr>
                <w:rFonts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2.评标过程中，不得去掉报价中的最高报价和最低报价。</w:t>
            </w:r>
          </w:p>
          <w:p>
            <w:pPr>
              <w:pStyle w:val="48"/>
              <w:spacing w:line="36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val="0"/>
                <w:bCs w:val="0"/>
                <w:sz w:val="21"/>
                <w:szCs w:val="21"/>
              </w:rPr>
              <w:t>3.因落实政府采购政策进行价格调整的，以调整后的价格计算评标基准价和投标报价。</w:t>
            </w:r>
          </w:p>
        </w:tc>
        <w:tc>
          <w:tcPr>
            <w:tcW w:w="1045" w:type="dxa"/>
            <w:tcBorders>
              <w:tl2br w:val="nil"/>
              <w:tr2bl w:val="nil"/>
            </w:tcBorders>
            <w:vAlign w:val="center"/>
          </w:tcPr>
          <w:p>
            <w:pPr>
              <w:pStyle w:val="48"/>
              <w:spacing w:line="360" w:lineRule="exact"/>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2" w:type="dxa"/>
            <w:vMerge w:val="restart"/>
            <w:tcBorders>
              <w:tl2br w:val="nil"/>
              <w:tr2bl w:val="nil"/>
            </w:tcBorders>
            <w:vAlign w:val="center"/>
          </w:tcPr>
          <w:p>
            <w:pPr>
              <w:pStyle w:val="48"/>
              <w:spacing w:line="360" w:lineRule="exact"/>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w:t>
            </w:r>
          </w:p>
        </w:tc>
        <w:tc>
          <w:tcPr>
            <w:tcW w:w="1296" w:type="dxa"/>
            <w:vMerge w:val="restart"/>
            <w:tcBorders>
              <w:tl2br w:val="nil"/>
              <w:tr2bl w:val="nil"/>
            </w:tcBorders>
            <w:vAlign w:val="center"/>
          </w:tcPr>
          <w:p>
            <w:pPr>
              <w:pStyle w:val="48"/>
              <w:spacing w:line="360" w:lineRule="exact"/>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技术方案</w:t>
            </w:r>
          </w:p>
          <w:p>
            <w:pPr>
              <w:pStyle w:val="48"/>
              <w:spacing w:line="360" w:lineRule="exact"/>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39</w:t>
            </w:r>
            <w:r>
              <w:rPr>
                <w:rFonts w:hint="eastAsia" w:asciiTheme="minorEastAsia" w:hAnsiTheme="minorEastAsia" w:eastAsiaTheme="minorEastAsia" w:cstheme="minorEastAsia"/>
                <w:sz w:val="21"/>
                <w:szCs w:val="21"/>
              </w:rPr>
              <w:t>%</w:t>
            </w:r>
          </w:p>
        </w:tc>
        <w:tc>
          <w:tcPr>
            <w:tcW w:w="670" w:type="dxa"/>
            <w:tcBorders>
              <w:tl2br w:val="nil"/>
              <w:tr2bl w:val="nil"/>
            </w:tcBorders>
            <w:vAlign w:val="top"/>
          </w:tcPr>
          <w:p>
            <w:pPr>
              <w:pStyle w:val="47"/>
              <w:keepNext w:val="0"/>
              <w:keepLines w:val="0"/>
              <w:pageBreakBefore w:val="0"/>
              <w:widowControl w:val="0"/>
              <w:kinsoku/>
              <w:bidi w:val="0"/>
              <w:adjustRightInd w:val="0"/>
              <w:snapToGrid w:val="0"/>
              <w:ind w:left="0" w:leftChars="0"/>
              <w:textAlignment w:val="auto"/>
              <w:rPr>
                <w:rFonts w:hint="eastAsia" w:ascii="宋体" w:hAnsi="宋体" w:eastAsia="宋体" w:cs="宋体"/>
                <w:sz w:val="21"/>
                <w:szCs w:val="21"/>
              </w:rPr>
            </w:pPr>
            <w:r>
              <w:rPr>
                <w:rFonts w:hint="eastAsia"/>
                <w:b w:val="0"/>
                <w:bCs w:val="0"/>
                <w:color w:val="000000" w:themeColor="text1"/>
                <w:highlight w:val="none"/>
                <w:vertAlign w:val="baseline"/>
                <w:lang w:val="en-US" w:eastAsia="zh-CN"/>
                <w14:textFill>
                  <w14:solidFill>
                    <w14:schemeClr w14:val="tx1"/>
                  </w14:solidFill>
                </w14:textFill>
              </w:rPr>
              <w:t>项目实施方案（24分）</w:t>
            </w:r>
          </w:p>
        </w:tc>
        <w:tc>
          <w:tcPr>
            <w:tcW w:w="6637" w:type="dxa"/>
            <w:tcBorders>
              <w:tl2br w:val="nil"/>
              <w:tr2bl w:val="nil"/>
            </w:tcBorders>
            <w:vAlign w:val="center"/>
          </w:tcPr>
          <w:p>
            <w:pPr>
              <w:pStyle w:val="47"/>
              <w:keepNext w:val="0"/>
              <w:keepLines w:val="0"/>
              <w:pageBreakBefore w:val="0"/>
              <w:widowControl w:val="0"/>
              <w:kinsoku/>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t>根据投标人提供的</w:t>
            </w:r>
            <w:r>
              <w:rPr>
                <w:rFonts w:hint="eastAsia"/>
                <w:b w:val="0"/>
                <w:bCs w:val="0"/>
                <w:color w:val="000000" w:themeColor="text1"/>
                <w:highlight w:val="none"/>
                <w:vertAlign w:val="baseline"/>
                <w:lang w:val="en-US" w:eastAsia="zh-CN"/>
                <w14:textFill>
                  <w14:solidFill>
                    <w14:schemeClr w14:val="tx1"/>
                  </w14:solidFill>
                </w14:textFill>
              </w:rPr>
              <w:t>项目实施方案</w:t>
            </w:r>
            <w:r>
              <w:rPr>
                <w:rFonts w:hint="eastAsia"/>
                <w:lang w:eastAsia="zh-CN"/>
              </w:rPr>
              <w:t>（</w:t>
            </w:r>
            <w:r>
              <w:rPr>
                <w:rFonts w:hint="eastAsia" w:ascii="宋体" w:hAnsi="宋体" w:eastAsia="宋体" w:cs="宋体"/>
                <w:sz w:val="21"/>
                <w:szCs w:val="21"/>
              </w:rPr>
              <w:t>①</w:t>
            </w:r>
            <w:r>
              <w:rPr>
                <w:rFonts w:hint="eastAsia" w:cs="宋体"/>
                <w:sz w:val="21"/>
                <w:szCs w:val="21"/>
                <w:lang w:val="en-US" w:eastAsia="zh-CN"/>
              </w:rPr>
              <w:t>项目需求分析</w:t>
            </w:r>
            <w:r>
              <w:rPr>
                <w:rFonts w:hint="eastAsia" w:ascii="宋体" w:hAnsi="宋体" w:eastAsia="宋体" w:cs="宋体"/>
                <w:sz w:val="21"/>
                <w:szCs w:val="21"/>
              </w:rPr>
              <w:t>；②</w:t>
            </w:r>
            <w:r>
              <w:rPr>
                <w:rFonts w:hint="eastAsia" w:cs="宋体"/>
                <w:sz w:val="21"/>
                <w:szCs w:val="21"/>
                <w:lang w:val="en-US" w:eastAsia="zh-CN"/>
              </w:rPr>
              <w:t>项目进度计划</w:t>
            </w:r>
            <w:r>
              <w:rPr>
                <w:rFonts w:hint="eastAsia" w:ascii="宋体" w:hAnsi="宋体" w:eastAsia="宋体" w:cs="宋体"/>
                <w:sz w:val="21"/>
                <w:szCs w:val="21"/>
              </w:rPr>
              <w:t>；③</w:t>
            </w:r>
            <w:r>
              <w:rPr>
                <w:rFonts w:hint="eastAsia"/>
                <w:b w:val="0"/>
                <w:bCs w:val="0"/>
                <w:color w:val="000000" w:themeColor="text1"/>
                <w:sz w:val="21"/>
                <w:szCs w:val="21"/>
                <w:highlight w:val="none"/>
                <w:vertAlign w:val="baseline"/>
                <w:lang w:val="en-US" w:eastAsia="zh-CN"/>
                <w14:textFill>
                  <w14:solidFill>
                    <w14:schemeClr w14:val="tx1"/>
                  </w14:solidFill>
                </w14:textFill>
              </w:rPr>
              <w:t>安全作业方案</w:t>
            </w:r>
            <w:r>
              <w:rPr>
                <w:rFonts w:hint="eastAsia" w:ascii="宋体" w:hAnsi="宋体" w:eastAsia="宋体" w:cs="宋体"/>
                <w:sz w:val="21"/>
                <w:szCs w:val="21"/>
              </w:rPr>
              <w:t>；④</w:t>
            </w:r>
            <w:r>
              <w:rPr>
                <w:rFonts w:hint="eastAsia" w:cs="宋体"/>
                <w:sz w:val="21"/>
                <w:szCs w:val="21"/>
                <w:lang w:eastAsia="zh-CN"/>
              </w:rPr>
              <w:t>重难点分析</w:t>
            </w:r>
            <w:r>
              <w:rPr>
                <w:rFonts w:hint="eastAsia"/>
                <w:lang w:eastAsia="zh-CN"/>
              </w:rPr>
              <w:t>）</w:t>
            </w:r>
            <w:r>
              <w:rPr>
                <w:rFonts w:hint="eastAsia" w:ascii="宋体" w:hAnsi="宋体" w:eastAsia="宋体" w:cs="宋体"/>
                <w:sz w:val="21"/>
                <w:szCs w:val="21"/>
              </w:rPr>
              <w:t>等内容进行评审：上述</w:t>
            </w:r>
            <w:r>
              <w:rPr>
                <w:rFonts w:hint="eastAsia" w:cs="宋体"/>
                <w:sz w:val="21"/>
                <w:szCs w:val="21"/>
                <w:lang w:val="en-US" w:eastAsia="zh-CN"/>
              </w:rPr>
              <w:t>四项</w:t>
            </w:r>
            <w:r>
              <w:rPr>
                <w:rFonts w:hint="eastAsia" w:ascii="宋体" w:hAnsi="宋体" w:eastAsia="宋体" w:cs="宋体"/>
                <w:sz w:val="21"/>
                <w:szCs w:val="21"/>
              </w:rPr>
              <w:t>内容均符合实际情况、内容完善详细、描述准确、完全响应采购要求的得</w:t>
            </w:r>
            <w:r>
              <w:rPr>
                <w:rFonts w:hint="eastAsia" w:cs="宋体"/>
                <w:sz w:val="21"/>
                <w:szCs w:val="21"/>
                <w:lang w:val="en-US" w:eastAsia="zh-CN"/>
              </w:rPr>
              <w:t>24</w:t>
            </w:r>
            <w:r>
              <w:rPr>
                <w:rFonts w:hint="eastAsia" w:ascii="宋体" w:hAnsi="宋体" w:eastAsia="宋体" w:cs="宋体"/>
                <w:sz w:val="21"/>
                <w:szCs w:val="21"/>
              </w:rPr>
              <w:t>分；每有一</w:t>
            </w:r>
            <w:r>
              <w:rPr>
                <w:rFonts w:hint="eastAsia" w:cs="宋体"/>
                <w:sz w:val="21"/>
                <w:szCs w:val="21"/>
                <w:lang w:val="en-US" w:eastAsia="zh-CN"/>
              </w:rPr>
              <w:t>项</w:t>
            </w:r>
            <w:r>
              <w:rPr>
                <w:rFonts w:hint="eastAsia" w:ascii="宋体" w:hAnsi="宋体" w:eastAsia="宋体" w:cs="宋体"/>
                <w:sz w:val="21"/>
                <w:szCs w:val="21"/>
              </w:rPr>
              <w:t>方案内容</w:t>
            </w:r>
            <w:r>
              <w:rPr>
                <w:rFonts w:hint="eastAsia" w:cs="宋体"/>
                <w:sz w:val="21"/>
                <w:szCs w:val="21"/>
                <w:lang w:val="en-US" w:eastAsia="zh-CN"/>
              </w:rPr>
              <w:t>有一处</w:t>
            </w:r>
            <w:r>
              <w:rPr>
                <w:rFonts w:hint="eastAsia" w:ascii="宋体" w:hAnsi="宋体" w:eastAsia="宋体" w:cs="宋体"/>
                <w:sz w:val="21"/>
                <w:szCs w:val="21"/>
              </w:rPr>
              <w:t>错误(内容错误指：</w:t>
            </w:r>
            <w:r>
              <w:rPr>
                <w:rFonts w:hint="eastAsia" w:ascii="宋体" w:hAnsi="宋体" w:eastAsia="宋体" w:cs="宋体"/>
                <w:sz w:val="21"/>
                <w:szCs w:val="21"/>
                <w:lang w:val="en-US" w:eastAsia="zh-CN"/>
              </w:rPr>
              <w:t>①</w:t>
            </w:r>
            <w:r>
              <w:rPr>
                <w:rFonts w:hint="eastAsia" w:ascii="宋体" w:hAnsi="宋体" w:eastAsia="宋体" w:cs="宋体"/>
                <w:sz w:val="21"/>
                <w:szCs w:val="21"/>
              </w:rPr>
              <w:t>项目名称/履约地点/执行标准与项目不一致</w:t>
            </w:r>
            <w:r>
              <w:rPr>
                <w:rFonts w:hint="eastAsia" w:ascii="宋体" w:hAnsi="宋体" w:eastAsia="宋体" w:cs="宋体"/>
                <w:sz w:val="21"/>
                <w:szCs w:val="21"/>
                <w:lang w:eastAsia="zh-CN"/>
              </w:rPr>
              <w:t>、</w:t>
            </w:r>
            <w:r>
              <w:rPr>
                <w:rFonts w:hint="eastAsia" w:ascii="宋体" w:hAnsi="宋体" w:eastAsia="宋体" w:cs="宋体"/>
                <w:sz w:val="21"/>
                <w:szCs w:val="21"/>
              </w:rPr>
              <w:t>②不符合实际情况、③</w:t>
            </w:r>
            <w:r>
              <w:rPr>
                <w:rFonts w:hint="eastAsia" w:ascii="宋体" w:hAnsi="宋体" w:eastAsia="宋体" w:cs="宋体"/>
                <w:sz w:val="21"/>
                <w:szCs w:val="21"/>
                <w:highlight w:val="none"/>
              </w:rPr>
              <w:t>内容</w:t>
            </w:r>
            <w:r>
              <w:rPr>
                <w:rFonts w:hint="eastAsia" w:cs="宋体"/>
                <w:sz w:val="21"/>
                <w:szCs w:val="21"/>
                <w:highlight w:val="none"/>
                <w:lang w:val="en-US" w:eastAsia="zh-CN"/>
              </w:rPr>
              <w:t>不完整</w:t>
            </w:r>
            <w:r>
              <w:rPr>
                <w:rFonts w:hint="eastAsia" w:ascii="宋体" w:hAnsi="宋体" w:eastAsia="宋体" w:cs="宋体"/>
                <w:sz w:val="21"/>
                <w:szCs w:val="21"/>
              </w:rPr>
              <w:t>、④描述不准确、⑤未完全响应采购要求、</w:t>
            </w:r>
            <w:r>
              <w:rPr>
                <w:rFonts w:hint="eastAsia" w:ascii="宋体" w:hAnsi="宋体" w:eastAsia="宋体" w:cs="宋体"/>
                <w:sz w:val="21"/>
                <w:szCs w:val="21"/>
                <w:lang w:val="en-US" w:eastAsia="zh-CN"/>
              </w:rPr>
              <w:t>⑥</w:t>
            </w:r>
            <w:r>
              <w:rPr>
                <w:rFonts w:hint="eastAsia" w:ascii="宋体" w:hAnsi="宋体" w:eastAsia="宋体" w:cs="宋体"/>
                <w:sz w:val="21"/>
                <w:szCs w:val="21"/>
              </w:rPr>
              <w:t>不能满足项目要求)的扣</w:t>
            </w:r>
            <w:r>
              <w:rPr>
                <w:rFonts w:hint="eastAsia" w:cs="宋体"/>
                <w:sz w:val="21"/>
                <w:szCs w:val="21"/>
                <w:lang w:val="en-US" w:eastAsia="zh-CN"/>
              </w:rPr>
              <w:t>1</w:t>
            </w:r>
            <w:r>
              <w:rPr>
                <w:rFonts w:hint="eastAsia" w:ascii="宋体" w:hAnsi="宋体" w:eastAsia="宋体" w:cs="宋体"/>
                <w:sz w:val="21"/>
                <w:szCs w:val="21"/>
              </w:rPr>
              <w:t>分，每缺少一项内容的扣</w:t>
            </w:r>
            <w:r>
              <w:rPr>
                <w:rFonts w:hint="eastAsia" w:cs="宋体"/>
                <w:sz w:val="21"/>
                <w:szCs w:val="21"/>
                <w:lang w:val="en-US" w:eastAsia="zh-CN"/>
              </w:rPr>
              <w:t>6</w:t>
            </w:r>
            <w:r>
              <w:rPr>
                <w:rFonts w:hint="eastAsia" w:ascii="宋体" w:hAnsi="宋体" w:eastAsia="宋体" w:cs="宋体"/>
                <w:sz w:val="21"/>
                <w:szCs w:val="21"/>
              </w:rPr>
              <w:t>分，扣完为止。</w:t>
            </w:r>
          </w:p>
          <w:p>
            <w:pPr>
              <w:keepNext w:val="0"/>
              <w:keepLines w:val="0"/>
              <w:pageBreakBefore w:val="0"/>
              <w:widowControl w:val="0"/>
              <w:kinsoku/>
              <w:bidi w:val="0"/>
              <w:adjustRightInd w:val="0"/>
              <w:snapToGrid w:val="0"/>
              <w:spacing w:line="360" w:lineRule="exact"/>
              <w:textAlignment w:val="auto"/>
              <w:rPr>
                <w:rFonts w:hint="eastAsia" w:ascii="宋体" w:hAnsi="宋体" w:eastAsia="宋体" w:cs="宋体"/>
                <w:sz w:val="21"/>
                <w:szCs w:val="21"/>
              </w:rPr>
            </w:pPr>
            <w:r>
              <w:rPr>
                <w:rFonts w:hint="eastAsia" w:ascii="宋体" w:hAnsi="宋体" w:eastAsia="宋体" w:cs="宋体"/>
                <w:b/>
                <w:bCs/>
                <w:sz w:val="21"/>
                <w:szCs w:val="21"/>
              </w:rPr>
              <w:t>注：以评审专家结合项目实际情况和投标文件响应独立评审为准。</w:t>
            </w:r>
          </w:p>
        </w:tc>
        <w:tc>
          <w:tcPr>
            <w:tcW w:w="1045" w:type="dxa"/>
            <w:vMerge w:val="restart"/>
            <w:tcBorders>
              <w:tl2br w:val="nil"/>
              <w:tr2bl w:val="nil"/>
            </w:tcBorders>
            <w:vAlign w:val="center"/>
          </w:tcPr>
          <w:p>
            <w:pPr>
              <w:pStyle w:val="48"/>
              <w:spacing w:line="360" w:lineRule="exact"/>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2" w:type="dxa"/>
            <w:vMerge w:val="continue"/>
            <w:tcBorders>
              <w:tl2br w:val="nil"/>
              <w:tr2bl w:val="nil"/>
            </w:tcBorders>
            <w:vAlign w:val="center"/>
          </w:tcPr>
          <w:p>
            <w:pPr>
              <w:pStyle w:val="48"/>
              <w:spacing w:line="360" w:lineRule="exact"/>
              <w:jc w:val="center"/>
              <w:rPr>
                <w:rFonts w:asciiTheme="minorEastAsia" w:hAnsiTheme="minorEastAsia" w:eastAsiaTheme="minorEastAsia" w:cstheme="minorEastAsia"/>
                <w:sz w:val="21"/>
                <w:szCs w:val="21"/>
              </w:rPr>
            </w:pPr>
          </w:p>
        </w:tc>
        <w:tc>
          <w:tcPr>
            <w:tcW w:w="1296" w:type="dxa"/>
            <w:vMerge w:val="continue"/>
            <w:tcBorders>
              <w:tl2br w:val="nil"/>
              <w:tr2bl w:val="nil"/>
            </w:tcBorders>
            <w:vAlign w:val="center"/>
          </w:tcPr>
          <w:p>
            <w:pPr>
              <w:pStyle w:val="48"/>
              <w:spacing w:line="360" w:lineRule="exact"/>
              <w:jc w:val="center"/>
              <w:rPr>
                <w:rFonts w:asciiTheme="minorEastAsia" w:hAnsiTheme="minorEastAsia" w:eastAsiaTheme="minorEastAsia" w:cstheme="minorEastAsia"/>
                <w:sz w:val="21"/>
                <w:szCs w:val="21"/>
              </w:rPr>
            </w:pPr>
          </w:p>
        </w:tc>
        <w:tc>
          <w:tcPr>
            <w:tcW w:w="670" w:type="dxa"/>
            <w:tcBorders>
              <w:tl2br w:val="nil"/>
              <w:tr2bl w:val="nil"/>
            </w:tcBorders>
            <w:vAlign w:val="center"/>
          </w:tcPr>
          <w:p>
            <w:pPr>
              <w:pStyle w:val="94"/>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kern w:val="2"/>
                <w:sz w:val="21"/>
                <w:szCs w:val="21"/>
              </w:rPr>
            </w:pPr>
            <w:r>
              <w:rPr>
                <w:rFonts w:hint="eastAsia" w:ascii="宋体" w:hAnsi="宋体" w:eastAsia="宋体" w:cs="宋体"/>
                <w:sz w:val="21"/>
                <w:szCs w:val="21"/>
              </w:rPr>
              <w:t>监理服务方案</w:t>
            </w:r>
          </w:p>
          <w:p>
            <w:pPr>
              <w:pStyle w:val="94"/>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sz w:val="21"/>
                <w:szCs w:val="21"/>
              </w:rPr>
            </w:pPr>
            <w:r>
              <w:rPr>
                <w:rFonts w:hint="eastAsia" w:ascii="宋体" w:hAnsi="宋体" w:eastAsia="宋体" w:cs="宋体"/>
                <w:kern w:val="2"/>
                <w:sz w:val="21"/>
                <w:szCs w:val="21"/>
              </w:rPr>
              <w:t>（15 分）</w:t>
            </w:r>
          </w:p>
        </w:tc>
        <w:tc>
          <w:tcPr>
            <w:tcW w:w="6637" w:type="dxa"/>
            <w:tcBorders>
              <w:tl2br w:val="nil"/>
              <w:tr2bl w:val="nil"/>
            </w:tcBorders>
            <w:vAlign w:val="center"/>
          </w:tcPr>
          <w:p>
            <w:pPr>
              <w:pStyle w:val="47"/>
              <w:keepNext w:val="0"/>
              <w:keepLines w:val="0"/>
              <w:pageBreakBefore w:val="0"/>
              <w:widowControl w:val="0"/>
              <w:kinsoku/>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t>根据投标人提供的监理服务方案</w:t>
            </w:r>
            <w:r>
              <w:rPr>
                <w:rFonts w:hint="eastAsia" w:cs="宋体"/>
                <w:sz w:val="21"/>
                <w:szCs w:val="21"/>
                <w:lang w:eastAsia="zh-CN"/>
              </w:rPr>
              <w:t>（</w:t>
            </w:r>
            <w:r>
              <w:rPr>
                <w:rFonts w:hint="eastAsia" w:ascii="宋体" w:hAnsi="宋体" w:eastAsia="宋体" w:cs="宋体"/>
                <w:sz w:val="21"/>
                <w:szCs w:val="21"/>
              </w:rPr>
              <w:t>①监理工作制度；②监理技术方法；③工程进度监理；④普查质量监理保证措施；⑤安全保密措施</w:t>
            </w:r>
            <w:r>
              <w:rPr>
                <w:rFonts w:hint="eastAsia" w:cs="宋体"/>
                <w:sz w:val="21"/>
                <w:szCs w:val="21"/>
                <w:lang w:eastAsia="zh-CN"/>
              </w:rPr>
              <w:t>）</w:t>
            </w:r>
            <w:r>
              <w:rPr>
                <w:rFonts w:hint="eastAsia" w:ascii="宋体" w:hAnsi="宋体" w:eastAsia="宋体" w:cs="宋体"/>
                <w:sz w:val="21"/>
                <w:szCs w:val="21"/>
              </w:rPr>
              <w:t>等内容进行评审：上述</w:t>
            </w:r>
            <w:r>
              <w:rPr>
                <w:rFonts w:hint="eastAsia" w:cs="宋体"/>
                <w:sz w:val="21"/>
                <w:szCs w:val="21"/>
                <w:lang w:val="en-US" w:eastAsia="zh-CN"/>
              </w:rPr>
              <w:t>五项</w:t>
            </w:r>
            <w:r>
              <w:rPr>
                <w:rFonts w:hint="eastAsia" w:ascii="宋体" w:hAnsi="宋体" w:eastAsia="宋体" w:cs="宋体"/>
                <w:sz w:val="21"/>
                <w:szCs w:val="21"/>
              </w:rPr>
              <w:t>内容均符合实际情况、内容完善详细、描述准确、完全响应采购要求的得1</w:t>
            </w:r>
            <w:r>
              <w:rPr>
                <w:rFonts w:hint="eastAsia" w:cs="宋体"/>
                <w:sz w:val="21"/>
                <w:szCs w:val="21"/>
                <w:lang w:val="en-US" w:eastAsia="zh-CN"/>
              </w:rPr>
              <w:t>5</w:t>
            </w:r>
            <w:r>
              <w:rPr>
                <w:rFonts w:hint="eastAsia" w:ascii="宋体" w:hAnsi="宋体" w:eastAsia="宋体" w:cs="宋体"/>
                <w:sz w:val="21"/>
                <w:szCs w:val="21"/>
              </w:rPr>
              <w:t>分；每有一</w:t>
            </w:r>
            <w:r>
              <w:rPr>
                <w:rFonts w:hint="eastAsia" w:cs="宋体"/>
                <w:sz w:val="21"/>
                <w:szCs w:val="21"/>
                <w:lang w:val="en-US" w:eastAsia="zh-CN"/>
              </w:rPr>
              <w:t>项</w:t>
            </w:r>
            <w:r>
              <w:rPr>
                <w:rFonts w:hint="eastAsia" w:ascii="宋体" w:hAnsi="宋体" w:eastAsia="宋体" w:cs="宋体"/>
                <w:sz w:val="21"/>
                <w:szCs w:val="21"/>
              </w:rPr>
              <w:t>方案内容</w:t>
            </w:r>
            <w:r>
              <w:rPr>
                <w:rFonts w:hint="eastAsia" w:cs="宋体"/>
                <w:sz w:val="21"/>
                <w:szCs w:val="21"/>
                <w:lang w:val="en-US" w:eastAsia="zh-CN"/>
              </w:rPr>
              <w:t>有一处</w:t>
            </w:r>
            <w:r>
              <w:rPr>
                <w:rFonts w:hint="eastAsia" w:ascii="宋体" w:hAnsi="宋体" w:eastAsia="宋体" w:cs="宋体"/>
                <w:sz w:val="21"/>
                <w:szCs w:val="21"/>
              </w:rPr>
              <w:t>错误(内容错误指：</w:t>
            </w:r>
            <w:r>
              <w:rPr>
                <w:rFonts w:hint="eastAsia" w:ascii="宋体" w:hAnsi="宋体" w:eastAsia="宋体" w:cs="宋体"/>
                <w:sz w:val="21"/>
                <w:szCs w:val="21"/>
                <w:lang w:val="en-US" w:eastAsia="zh-CN"/>
              </w:rPr>
              <w:t>①</w:t>
            </w:r>
            <w:r>
              <w:rPr>
                <w:rFonts w:hint="eastAsia" w:ascii="宋体" w:hAnsi="宋体" w:eastAsia="宋体" w:cs="宋体"/>
                <w:sz w:val="21"/>
                <w:szCs w:val="21"/>
              </w:rPr>
              <w:t>项目名称/履约地点/执行标准与项目不一致</w:t>
            </w:r>
            <w:r>
              <w:rPr>
                <w:rFonts w:hint="eastAsia" w:ascii="宋体" w:hAnsi="宋体" w:eastAsia="宋体" w:cs="宋体"/>
                <w:sz w:val="21"/>
                <w:szCs w:val="21"/>
                <w:lang w:eastAsia="zh-CN"/>
              </w:rPr>
              <w:t>、</w:t>
            </w:r>
            <w:r>
              <w:rPr>
                <w:rFonts w:hint="eastAsia" w:ascii="宋体" w:hAnsi="宋体" w:eastAsia="宋体" w:cs="宋体"/>
                <w:sz w:val="21"/>
                <w:szCs w:val="21"/>
              </w:rPr>
              <w:t>②不符合实际情况、③</w:t>
            </w:r>
            <w:r>
              <w:rPr>
                <w:rFonts w:hint="eastAsia" w:ascii="宋体" w:hAnsi="宋体" w:eastAsia="宋体" w:cs="宋体"/>
                <w:sz w:val="21"/>
                <w:szCs w:val="21"/>
                <w:highlight w:val="none"/>
              </w:rPr>
              <w:t>内容</w:t>
            </w:r>
            <w:r>
              <w:rPr>
                <w:rFonts w:hint="eastAsia" w:cs="宋体"/>
                <w:sz w:val="21"/>
                <w:szCs w:val="21"/>
                <w:highlight w:val="none"/>
                <w:lang w:val="en-US" w:eastAsia="zh-CN"/>
              </w:rPr>
              <w:t>不完整</w:t>
            </w:r>
            <w:r>
              <w:rPr>
                <w:rFonts w:hint="eastAsia" w:ascii="宋体" w:hAnsi="宋体" w:eastAsia="宋体" w:cs="宋体"/>
                <w:sz w:val="21"/>
                <w:szCs w:val="21"/>
              </w:rPr>
              <w:t>、④描述不准确、⑤未完全响应采购要求、</w:t>
            </w:r>
            <w:r>
              <w:rPr>
                <w:rFonts w:hint="eastAsia" w:ascii="宋体" w:hAnsi="宋体" w:eastAsia="宋体" w:cs="宋体"/>
                <w:sz w:val="21"/>
                <w:szCs w:val="21"/>
                <w:lang w:val="en-US" w:eastAsia="zh-CN"/>
              </w:rPr>
              <w:t>⑥</w:t>
            </w:r>
            <w:r>
              <w:rPr>
                <w:rFonts w:hint="eastAsia" w:ascii="宋体" w:hAnsi="宋体" w:eastAsia="宋体" w:cs="宋体"/>
                <w:sz w:val="21"/>
                <w:szCs w:val="21"/>
              </w:rPr>
              <w:t>不能满足项目要求)的扣</w:t>
            </w:r>
            <w:r>
              <w:rPr>
                <w:rFonts w:hint="eastAsia" w:cs="宋体"/>
                <w:sz w:val="21"/>
                <w:szCs w:val="21"/>
                <w:lang w:val="en-US" w:eastAsia="zh-CN"/>
              </w:rPr>
              <w:t>0.5</w:t>
            </w:r>
            <w:r>
              <w:rPr>
                <w:rFonts w:hint="eastAsia" w:ascii="宋体" w:hAnsi="宋体" w:eastAsia="宋体" w:cs="宋体"/>
                <w:sz w:val="21"/>
                <w:szCs w:val="21"/>
              </w:rPr>
              <w:t>分，每缺少一项内容的扣</w:t>
            </w:r>
            <w:r>
              <w:rPr>
                <w:rFonts w:hint="eastAsia" w:cs="宋体"/>
                <w:sz w:val="21"/>
                <w:szCs w:val="21"/>
                <w:lang w:val="en-US" w:eastAsia="zh-CN"/>
              </w:rPr>
              <w:t>3</w:t>
            </w:r>
            <w:r>
              <w:rPr>
                <w:rFonts w:hint="eastAsia" w:ascii="宋体" w:hAnsi="宋体" w:eastAsia="宋体" w:cs="宋体"/>
                <w:sz w:val="21"/>
                <w:szCs w:val="21"/>
              </w:rPr>
              <w:t>分，扣完为止。</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eastAsia" w:ascii="宋体" w:hAnsi="宋体" w:eastAsia="宋体" w:cs="宋体"/>
                <w:sz w:val="21"/>
                <w:szCs w:val="21"/>
              </w:rPr>
            </w:pPr>
            <w:r>
              <w:rPr>
                <w:rFonts w:hint="eastAsia" w:ascii="宋体" w:hAnsi="宋体" w:eastAsia="宋体" w:cs="宋体"/>
                <w:b/>
                <w:bCs/>
                <w:sz w:val="21"/>
                <w:szCs w:val="21"/>
              </w:rPr>
              <w:t>注：以评审专家结合项目实际情况和投标文件响应独立评审为准。</w:t>
            </w:r>
          </w:p>
        </w:tc>
        <w:tc>
          <w:tcPr>
            <w:tcW w:w="1045" w:type="dxa"/>
            <w:vMerge w:val="continue"/>
            <w:tcBorders>
              <w:tl2br w:val="nil"/>
              <w:tr2bl w:val="nil"/>
            </w:tcBorders>
            <w:vAlign w:val="center"/>
          </w:tcPr>
          <w:p>
            <w:pPr>
              <w:pStyle w:val="48"/>
              <w:spacing w:line="360" w:lineRule="exact"/>
              <w:jc w:val="center"/>
              <w:rPr>
                <w:rFonts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2" w:type="dxa"/>
            <w:tcBorders>
              <w:tl2br w:val="nil"/>
              <w:tr2bl w:val="nil"/>
            </w:tcBorders>
            <w:vAlign w:val="center"/>
          </w:tcPr>
          <w:p>
            <w:pPr>
              <w:pStyle w:val="48"/>
              <w:spacing w:line="360" w:lineRule="exact"/>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w:t>
            </w:r>
          </w:p>
        </w:tc>
        <w:tc>
          <w:tcPr>
            <w:tcW w:w="1296" w:type="dxa"/>
            <w:tcBorders>
              <w:tl2br w:val="nil"/>
              <w:tr2bl w:val="nil"/>
            </w:tcBorders>
            <w:vAlign w:val="center"/>
          </w:tcPr>
          <w:p>
            <w:pPr>
              <w:pStyle w:val="48"/>
              <w:spacing w:line="360" w:lineRule="exact"/>
              <w:jc w:val="center"/>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lang w:eastAsia="zh-CN"/>
              </w:rPr>
              <w:t>人员配置</w:t>
            </w:r>
          </w:p>
          <w:p>
            <w:pPr>
              <w:pStyle w:val="48"/>
              <w:spacing w:line="360" w:lineRule="exact"/>
              <w:jc w:val="center"/>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17</w:t>
            </w:r>
            <w:r>
              <w:rPr>
                <w:rFonts w:hint="eastAsia" w:asciiTheme="minorEastAsia" w:hAnsiTheme="minorEastAsia" w:eastAsiaTheme="minorEastAsia" w:cstheme="minorEastAsia"/>
                <w:sz w:val="21"/>
                <w:szCs w:val="21"/>
                <w:highlight w:val="none"/>
              </w:rPr>
              <w:t>%</w:t>
            </w:r>
          </w:p>
        </w:tc>
        <w:tc>
          <w:tcPr>
            <w:tcW w:w="670" w:type="dxa"/>
            <w:tcBorders>
              <w:tl2br w:val="nil"/>
              <w:tr2bl w:val="nil"/>
            </w:tcBorders>
            <w:vAlign w:val="center"/>
          </w:tcPr>
          <w:p>
            <w:pPr>
              <w:pStyle w:val="48"/>
              <w:spacing w:line="360" w:lineRule="exact"/>
              <w:jc w:val="center"/>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lang w:val="en-US" w:eastAsia="zh-CN"/>
              </w:rPr>
              <w:t>17</w:t>
            </w:r>
            <w:r>
              <w:rPr>
                <w:rFonts w:hint="eastAsia" w:asciiTheme="minorEastAsia" w:hAnsiTheme="minorEastAsia" w:eastAsiaTheme="minorEastAsia" w:cstheme="minorEastAsia"/>
                <w:sz w:val="21"/>
                <w:szCs w:val="21"/>
                <w:highlight w:val="none"/>
                <w:lang w:eastAsia="zh-CN"/>
              </w:rPr>
              <w:t>分</w:t>
            </w:r>
          </w:p>
        </w:tc>
        <w:tc>
          <w:tcPr>
            <w:tcW w:w="6637" w:type="dxa"/>
            <w:tcBorders>
              <w:tl2br w:val="nil"/>
              <w:tr2bl w:val="nil"/>
            </w:tcBorders>
            <w:vAlign w:val="center"/>
          </w:tcPr>
          <w:p>
            <w:pPr>
              <w:pStyle w:val="94"/>
              <w:keepNext w:val="0"/>
              <w:keepLines w:val="0"/>
              <w:pageBreakBefore w:val="0"/>
              <w:widowControl w:val="0"/>
              <w:kinsoku/>
              <w:overflowPunct/>
              <w:autoSpaceDE/>
              <w:autoSpaceDN/>
              <w:bidi w:val="0"/>
              <w:adjustRightInd w:val="0"/>
              <w:snapToGrid w:val="0"/>
              <w:spacing w:line="360" w:lineRule="exact"/>
              <w:ind w:left="0" w:firstLine="0"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highlight w:val="none"/>
              </w:rPr>
              <w:t>1</w:t>
            </w:r>
            <w:r>
              <w:rPr>
                <w:rFonts w:hint="eastAsia" w:ascii="宋体" w:hAnsi="宋体" w:eastAsia="宋体" w:cs="宋体"/>
                <w:spacing w:val="-11"/>
                <w:kern w:val="2"/>
                <w:sz w:val="21"/>
                <w:szCs w:val="21"/>
                <w:highlight w:val="none"/>
                <w:lang w:eastAsia="zh-CN"/>
              </w:rPr>
              <w:t>.</w:t>
            </w:r>
            <w:r>
              <w:rPr>
                <w:rFonts w:hint="eastAsia" w:ascii="宋体" w:hAnsi="宋体" w:eastAsia="宋体" w:cs="宋体"/>
                <w:color w:val="000000"/>
                <w:sz w:val="21"/>
                <w:szCs w:val="21"/>
                <w:highlight w:val="none"/>
              </w:rPr>
              <w:t>拟投入的监理项目</w:t>
            </w:r>
            <w:r>
              <w:rPr>
                <w:rFonts w:hint="eastAsia" w:ascii="宋体" w:hAnsi="宋体" w:eastAsia="宋体" w:cs="宋体"/>
                <w:sz w:val="21"/>
                <w:szCs w:val="21"/>
                <w:highlight w:val="none"/>
              </w:rPr>
              <w:t>负责人</w:t>
            </w:r>
            <w:r>
              <w:rPr>
                <w:rFonts w:hint="eastAsia" w:ascii="宋体" w:hAnsi="宋体" w:eastAsia="宋体" w:cs="宋体"/>
                <w:color w:val="000000"/>
                <w:sz w:val="21"/>
                <w:szCs w:val="21"/>
                <w:highlight w:val="none"/>
              </w:rPr>
              <w:t>具备：测绘类高级</w:t>
            </w:r>
            <w:r>
              <w:rPr>
                <w:rFonts w:hint="eastAsia" w:cs="宋体"/>
                <w:color w:val="000000"/>
                <w:sz w:val="21"/>
                <w:szCs w:val="21"/>
                <w:highlight w:val="none"/>
                <w:lang w:val="en-US" w:eastAsia="zh-CN"/>
              </w:rPr>
              <w:t>及以上技术</w:t>
            </w:r>
            <w:r>
              <w:rPr>
                <w:rFonts w:hint="eastAsia" w:ascii="宋体" w:hAnsi="宋体" w:eastAsia="宋体" w:cs="宋体"/>
                <w:color w:val="000000"/>
                <w:sz w:val="21"/>
                <w:szCs w:val="21"/>
                <w:highlight w:val="none"/>
              </w:rPr>
              <w:t>职称</w:t>
            </w:r>
            <w:r>
              <w:rPr>
                <w:rFonts w:hint="eastAsia" w:cs="宋体"/>
                <w:color w:val="000000"/>
                <w:sz w:val="21"/>
                <w:szCs w:val="21"/>
                <w:highlight w:val="none"/>
                <w:lang w:val="en-US" w:eastAsia="zh-CN"/>
              </w:rPr>
              <w:t>的</w:t>
            </w:r>
            <w:r>
              <w:rPr>
                <w:rFonts w:hint="eastAsia" w:ascii="宋体" w:hAnsi="宋体" w:eastAsia="宋体" w:cs="宋体"/>
                <w:color w:val="000000"/>
                <w:sz w:val="21"/>
                <w:szCs w:val="21"/>
                <w:highlight w:val="none"/>
              </w:rPr>
              <w:t>得</w:t>
            </w:r>
            <w:r>
              <w:rPr>
                <w:rFonts w:hint="eastAsia" w:cs="宋体"/>
                <w:color w:val="000000"/>
                <w:sz w:val="21"/>
                <w:szCs w:val="21"/>
                <w:highlight w:val="none"/>
                <w:u w:val="single"/>
                <w:lang w:val="en-US" w:eastAsia="zh-CN"/>
              </w:rPr>
              <w:t>3</w:t>
            </w:r>
            <w:r>
              <w:rPr>
                <w:rFonts w:hint="eastAsia" w:ascii="宋体" w:hAnsi="宋体" w:eastAsia="宋体" w:cs="宋体"/>
                <w:color w:val="000000"/>
                <w:sz w:val="21"/>
                <w:szCs w:val="21"/>
                <w:highlight w:val="none"/>
              </w:rPr>
              <w:t>分，若同时具备注册测绘师资格证书加</w:t>
            </w:r>
            <w:r>
              <w:rPr>
                <w:rFonts w:hint="eastAsia" w:ascii="宋体" w:hAnsi="宋体" w:eastAsia="宋体" w:cs="宋体"/>
                <w:color w:val="000000"/>
                <w:sz w:val="21"/>
                <w:szCs w:val="21"/>
                <w:highlight w:val="none"/>
                <w:u w:val="single"/>
                <w:lang w:val="en-US" w:eastAsia="zh-CN"/>
              </w:rPr>
              <w:t>3</w:t>
            </w:r>
            <w:r>
              <w:rPr>
                <w:rFonts w:hint="eastAsia" w:ascii="宋体" w:hAnsi="宋体" w:eastAsia="宋体" w:cs="宋体"/>
                <w:color w:val="000000"/>
                <w:sz w:val="21"/>
                <w:szCs w:val="21"/>
                <w:highlight w:val="none"/>
              </w:rPr>
              <w:t>分</w:t>
            </w:r>
            <w:r>
              <w:rPr>
                <w:rFonts w:hint="eastAsia" w:ascii="宋体" w:hAnsi="宋体" w:eastAsia="宋体" w:cs="宋体"/>
                <w:sz w:val="21"/>
                <w:szCs w:val="21"/>
                <w:highlight w:val="none"/>
              </w:rPr>
              <w:t>，此项共计</w:t>
            </w:r>
            <w:r>
              <w:rPr>
                <w:rFonts w:hint="eastAsia" w:cs="宋体"/>
                <w:sz w:val="21"/>
                <w:szCs w:val="21"/>
                <w:highlight w:val="none"/>
                <w:u w:val="single"/>
                <w:lang w:val="en-US" w:eastAsia="zh-CN"/>
              </w:rPr>
              <w:t>6</w:t>
            </w:r>
            <w:r>
              <w:rPr>
                <w:rFonts w:hint="eastAsia" w:ascii="宋体" w:hAnsi="宋体" w:eastAsia="宋体" w:cs="宋体"/>
                <w:sz w:val="21"/>
                <w:szCs w:val="21"/>
                <w:highlight w:val="none"/>
              </w:rPr>
              <w:t>分。</w:t>
            </w:r>
          </w:p>
          <w:p>
            <w:pPr>
              <w:keepNext w:val="0"/>
              <w:keepLines w:val="0"/>
              <w:pageBreakBefore w:val="0"/>
              <w:widowControl w:val="0"/>
              <w:kinsoku/>
              <w:overflowPunct/>
              <w:autoSpaceDE/>
              <w:autoSpaceDN/>
              <w:bidi w:val="0"/>
              <w:adjustRightInd w:val="0"/>
              <w:snapToGrid w:val="0"/>
              <w:spacing w:line="360" w:lineRule="exact"/>
              <w:ind w:left="0" w:firstLine="0" w:firstLineChars="0"/>
              <w:textAlignment w:val="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2</w:t>
            </w:r>
            <w:r>
              <w:rPr>
                <w:rFonts w:hint="eastAsia" w:ascii="宋体" w:hAnsi="宋体" w:eastAsia="宋体" w:cs="宋体"/>
                <w:color w:val="000000"/>
                <w:sz w:val="21"/>
                <w:szCs w:val="21"/>
                <w:highlight w:val="none"/>
                <w:lang w:eastAsia="zh-CN"/>
              </w:rPr>
              <w:t>.</w:t>
            </w:r>
            <w:r>
              <w:rPr>
                <w:rFonts w:hint="eastAsia" w:ascii="宋体" w:hAnsi="宋体" w:eastAsia="宋体" w:cs="宋体"/>
                <w:sz w:val="21"/>
                <w:szCs w:val="21"/>
                <w:highlight w:val="none"/>
              </w:rPr>
              <w:t>拟为本项目配备的专业监理工程师中具有中级及以上</w:t>
            </w:r>
            <w:r>
              <w:rPr>
                <w:rFonts w:hint="eastAsia" w:cs="宋体"/>
                <w:sz w:val="21"/>
                <w:szCs w:val="21"/>
                <w:highlight w:val="none"/>
                <w:lang w:val="en-US" w:eastAsia="zh-CN"/>
              </w:rPr>
              <w:t>技术</w:t>
            </w:r>
            <w:r>
              <w:rPr>
                <w:rFonts w:hint="eastAsia" w:ascii="宋体" w:hAnsi="宋体" w:eastAsia="宋体" w:cs="宋体"/>
                <w:sz w:val="21"/>
                <w:szCs w:val="21"/>
                <w:highlight w:val="none"/>
              </w:rPr>
              <w:t>职称的每一人得</w:t>
            </w:r>
            <w:r>
              <w:rPr>
                <w:rFonts w:hint="eastAsia" w:ascii="宋体" w:hAnsi="宋体" w:eastAsia="宋体" w:cs="宋体"/>
                <w:sz w:val="21"/>
                <w:szCs w:val="21"/>
                <w:highlight w:val="none"/>
                <w:u w:val="single"/>
              </w:rPr>
              <w:t xml:space="preserve"> 1 </w:t>
            </w:r>
            <w:r>
              <w:rPr>
                <w:rFonts w:hint="eastAsia" w:ascii="宋体" w:hAnsi="宋体" w:eastAsia="宋体" w:cs="宋体"/>
                <w:sz w:val="21"/>
                <w:szCs w:val="21"/>
                <w:highlight w:val="none"/>
              </w:rPr>
              <w:t>分，最多得</w:t>
            </w:r>
            <w:r>
              <w:rPr>
                <w:rFonts w:hint="eastAsia" w:ascii="宋体" w:hAnsi="宋体" w:eastAsia="宋体" w:cs="宋体"/>
                <w:sz w:val="21"/>
                <w:szCs w:val="21"/>
                <w:highlight w:val="none"/>
                <w:u w:val="single"/>
              </w:rPr>
              <w:t xml:space="preserve"> 3 </w:t>
            </w:r>
            <w:r>
              <w:rPr>
                <w:rFonts w:hint="eastAsia" w:ascii="宋体" w:hAnsi="宋体" w:eastAsia="宋体" w:cs="宋体"/>
                <w:sz w:val="21"/>
                <w:szCs w:val="21"/>
                <w:highlight w:val="none"/>
              </w:rPr>
              <w:t>分；上述人员同时具有注册测绘师证书的每一个人加</w:t>
            </w:r>
            <w:r>
              <w:rPr>
                <w:rFonts w:hint="eastAsia" w:ascii="宋体" w:hAnsi="宋体" w:eastAsia="宋体" w:cs="宋体"/>
                <w:sz w:val="21"/>
                <w:szCs w:val="21"/>
                <w:highlight w:val="none"/>
                <w:u w:val="single"/>
              </w:rPr>
              <w:t xml:space="preserve"> 1 </w:t>
            </w:r>
            <w:r>
              <w:rPr>
                <w:rFonts w:hint="eastAsia" w:ascii="宋体" w:hAnsi="宋体" w:eastAsia="宋体" w:cs="宋体"/>
                <w:sz w:val="21"/>
                <w:szCs w:val="21"/>
                <w:highlight w:val="none"/>
              </w:rPr>
              <w:t>分，最多加</w:t>
            </w:r>
            <w:r>
              <w:rPr>
                <w:rFonts w:hint="eastAsia" w:ascii="宋体" w:hAnsi="宋体" w:eastAsia="宋体" w:cs="宋体"/>
                <w:sz w:val="21"/>
                <w:szCs w:val="21"/>
                <w:highlight w:val="none"/>
                <w:u w:val="single"/>
              </w:rPr>
              <w:t xml:space="preserve"> 3 </w:t>
            </w:r>
            <w:r>
              <w:rPr>
                <w:rFonts w:hint="eastAsia" w:ascii="宋体" w:hAnsi="宋体" w:eastAsia="宋体" w:cs="宋体"/>
                <w:sz w:val="21"/>
                <w:szCs w:val="21"/>
                <w:highlight w:val="none"/>
              </w:rPr>
              <w:t>分。此项共计</w:t>
            </w:r>
            <w:r>
              <w:rPr>
                <w:rFonts w:hint="eastAsia" w:ascii="宋体" w:hAnsi="宋体" w:eastAsia="宋体" w:cs="宋体"/>
                <w:sz w:val="21"/>
                <w:szCs w:val="21"/>
                <w:highlight w:val="none"/>
                <w:u w:val="single"/>
              </w:rPr>
              <w:t xml:space="preserve"> 6 </w:t>
            </w:r>
            <w:r>
              <w:rPr>
                <w:rFonts w:hint="eastAsia" w:ascii="宋体" w:hAnsi="宋体" w:eastAsia="宋体" w:cs="宋体"/>
                <w:sz w:val="21"/>
                <w:szCs w:val="21"/>
                <w:highlight w:val="none"/>
              </w:rPr>
              <w:t>分。</w:t>
            </w:r>
          </w:p>
          <w:p>
            <w:pPr>
              <w:keepNext w:val="0"/>
              <w:keepLines w:val="0"/>
              <w:pageBreakBefore w:val="0"/>
              <w:widowControl w:val="0"/>
              <w:kinsoku/>
              <w:overflowPunct/>
              <w:autoSpaceDE/>
              <w:autoSpaceDN/>
              <w:bidi w:val="0"/>
              <w:adjustRightInd w:val="0"/>
              <w:snapToGrid w:val="0"/>
              <w:spacing w:line="360" w:lineRule="exact"/>
              <w:ind w:left="0" w:firstLine="0" w:firstLineChars="0"/>
              <w:textAlignment w:val="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3</w:t>
            </w:r>
            <w:r>
              <w:rPr>
                <w:rFonts w:hint="eastAsia" w:ascii="宋体" w:hAnsi="宋体" w:eastAsia="宋体" w:cs="宋体"/>
                <w:color w:val="000000"/>
                <w:sz w:val="21"/>
                <w:szCs w:val="21"/>
                <w:highlight w:val="none"/>
                <w:lang w:eastAsia="zh-CN"/>
              </w:rPr>
              <w:t>.</w:t>
            </w:r>
            <w:r>
              <w:rPr>
                <w:rFonts w:hint="eastAsia" w:ascii="宋体" w:hAnsi="宋体" w:eastAsia="宋体" w:cs="宋体"/>
                <w:sz w:val="21"/>
                <w:szCs w:val="21"/>
                <w:highlight w:val="none"/>
              </w:rPr>
              <w:t>拟为本项目配备的监理人员</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rPr>
              <w:t>3</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人及以上得</w:t>
            </w:r>
            <w:r>
              <w:rPr>
                <w:rFonts w:hint="eastAsia" w:ascii="宋体" w:hAnsi="宋体" w:eastAsia="宋体" w:cs="宋体"/>
                <w:sz w:val="21"/>
                <w:szCs w:val="21"/>
                <w:highlight w:val="none"/>
                <w:u w:val="single"/>
              </w:rPr>
              <w:t xml:space="preserve"> </w:t>
            </w:r>
            <w:r>
              <w:rPr>
                <w:rFonts w:hint="eastAsia" w:cs="宋体"/>
                <w:sz w:val="21"/>
                <w:szCs w:val="21"/>
                <w:highlight w:val="none"/>
                <w:u w:val="single"/>
                <w:lang w:val="en-US" w:eastAsia="zh-CN"/>
              </w:rPr>
              <w:t>2</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分；上述人员同时具有测绘相关专业中级及以上</w:t>
            </w:r>
            <w:r>
              <w:rPr>
                <w:rFonts w:hint="eastAsia" w:cs="宋体"/>
                <w:sz w:val="21"/>
                <w:szCs w:val="21"/>
                <w:highlight w:val="none"/>
                <w:lang w:val="en-US" w:eastAsia="zh-CN"/>
              </w:rPr>
              <w:t>技术</w:t>
            </w:r>
            <w:r>
              <w:rPr>
                <w:rFonts w:hint="eastAsia" w:ascii="宋体" w:hAnsi="宋体" w:eastAsia="宋体" w:cs="宋体"/>
                <w:sz w:val="21"/>
                <w:szCs w:val="21"/>
                <w:highlight w:val="none"/>
              </w:rPr>
              <w:t>职称的每一个人加</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rPr>
              <w:t>1</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分，最多加</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rPr>
              <w:t>3</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分。此项共计</w:t>
            </w:r>
            <w:r>
              <w:rPr>
                <w:rFonts w:hint="eastAsia" w:cs="宋体"/>
                <w:sz w:val="21"/>
                <w:szCs w:val="21"/>
                <w:highlight w:val="none"/>
                <w:u w:val="single"/>
                <w:lang w:val="en-US" w:eastAsia="zh-CN"/>
              </w:rPr>
              <w:t>5</w:t>
            </w:r>
            <w:r>
              <w:rPr>
                <w:rFonts w:hint="eastAsia" w:ascii="宋体" w:hAnsi="宋体" w:eastAsia="宋体" w:cs="宋体"/>
                <w:sz w:val="21"/>
                <w:szCs w:val="21"/>
                <w:highlight w:val="none"/>
              </w:rPr>
              <w:t>分。</w:t>
            </w:r>
          </w:p>
          <w:p>
            <w:pPr>
              <w:keepNext w:val="0"/>
              <w:keepLines w:val="0"/>
              <w:pageBreakBefore w:val="0"/>
              <w:widowControl w:val="0"/>
              <w:kinsoku/>
              <w:overflowPunct/>
              <w:autoSpaceDE/>
              <w:autoSpaceDN/>
              <w:bidi w:val="0"/>
              <w:adjustRightInd w:val="0"/>
              <w:snapToGrid w:val="0"/>
              <w:spacing w:line="360" w:lineRule="exact"/>
              <w:ind w:left="0" w:firstLine="0" w:firstLineChars="0"/>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注：1</w:t>
            </w:r>
            <w:r>
              <w:rPr>
                <w:rFonts w:hint="eastAsia" w:ascii="宋体" w:hAnsi="宋体" w:eastAsia="宋体" w:cs="宋体"/>
                <w:b/>
                <w:bCs/>
                <w:sz w:val="21"/>
                <w:szCs w:val="21"/>
                <w:highlight w:val="none"/>
                <w:lang w:val="en-US" w:eastAsia="zh-CN"/>
              </w:rPr>
              <w:t>.</w:t>
            </w:r>
            <w:r>
              <w:rPr>
                <w:rFonts w:hint="eastAsia" w:ascii="宋体" w:hAnsi="宋体" w:eastAsia="宋体" w:cs="宋体"/>
                <w:b/>
                <w:bCs/>
                <w:sz w:val="21"/>
                <w:szCs w:val="21"/>
                <w:highlight w:val="none"/>
              </w:rPr>
              <w:t>以上人员不重复计算得分；</w:t>
            </w:r>
          </w:p>
          <w:p>
            <w:pPr>
              <w:keepNext w:val="0"/>
              <w:keepLines w:val="0"/>
              <w:pageBreakBefore w:val="0"/>
              <w:widowControl w:val="0"/>
              <w:kinsoku/>
              <w:overflowPunct/>
              <w:autoSpaceDE/>
              <w:autoSpaceDN/>
              <w:bidi w:val="0"/>
              <w:adjustRightInd w:val="0"/>
              <w:snapToGrid w:val="0"/>
              <w:spacing w:line="360" w:lineRule="exact"/>
              <w:ind w:left="0" w:firstLine="0" w:firstLineChars="0"/>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2</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rPr>
              <w:t>投标人需提供以上相关人员有效的相关证书复印件及证明为本单位人员的相关证明材料复印件（加盖公章），无有效证明材料的相应项不得分；</w:t>
            </w:r>
          </w:p>
          <w:p>
            <w:pPr>
              <w:pStyle w:val="48"/>
              <w:keepNext w:val="0"/>
              <w:keepLines w:val="0"/>
              <w:pageBreakBefore w:val="0"/>
              <w:widowControl w:val="0"/>
              <w:kinsoku/>
              <w:overflowPunct/>
              <w:autoSpaceDE/>
              <w:autoSpaceDN/>
              <w:bidi w:val="0"/>
              <w:adjustRightInd w:val="0"/>
              <w:snapToGrid w:val="0"/>
              <w:spacing w:line="360" w:lineRule="exact"/>
              <w:ind w:left="0" w:firstLine="0" w:firstLineChars="0"/>
              <w:textAlignment w:val="auto"/>
              <w:rPr>
                <w:rFonts w:hint="eastAsia" w:asciiTheme="minorEastAsia" w:hAnsiTheme="minorEastAsia" w:eastAsiaTheme="minorEastAsia" w:cstheme="minorEastAsia"/>
                <w:sz w:val="21"/>
                <w:szCs w:val="21"/>
                <w:highlight w:val="none"/>
                <w:lang w:eastAsia="zh-CN"/>
              </w:rPr>
            </w:pPr>
            <w:r>
              <w:rPr>
                <w:rFonts w:hint="eastAsia" w:ascii="宋体" w:hAnsi="宋体" w:eastAsia="宋体" w:cs="宋体"/>
                <w:b/>
                <w:bCs/>
                <w:sz w:val="21"/>
                <w:szCs w:val="21"/>
                <w:highlight w:val="none"/>
              </w:rPr>
              <w:t>3</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rPr>
              <w:t>以上人员的注册测绘师证明材料需提供资格证书复印件（加盖公章）。</w:t>
            </w:r>
          </w:p>
        </w:tc>
        <w:tc>
          <w:tcPr>
            <w:tcW w:w="1045" w:type="dxa"/>
            <w:tcBorders>
              <w:tl2br w:val="nil"/>
              <w:tr2bl w:val="nil"/>
            </w:tcBorders>
            <w:vAlign w:val="center"/>
          </w:tcPr>
          <w:p>
            <w:pPr>
              <w:pStyle w:val="48"/>
              <w:spacing w:line="360" w:lineRule="exact"/>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2" w:type="dxa"/>
            <w:tcBorders>
              <w:tl2br w:val="nil"/>
              <w:tr2bl w:val="nil"/>
            </w:tcBorders>
            <w:vAlign w:val="center"/>
          </w:tcPr>
          <w:p>
            <w:pPr>
              <w:pStyle w:val="48"/>
              <w:spacing w:line="360" w:lineRule="exact"/>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四</w:t>
            </w:r>
          </w:p>
        </w:tc>
        <w:tc>
          <w:tcPr>
            <w:tcW w:w="1296" w:type="dxa"/>
            <w:tcBorders>
              <w:tl2br w:val="nil"/>
              <w:tr2bl w:val="nil"/>
            </w:tcBorders>
            <w:vAlign w:val="center"/>
          </w:tcPr>
          <w:p>
            <w:pPr>
              <w:pStyle w:val="48"/>
              <w:spacing w:line="360" w:lineRule="exact"/>
              <w:jc w:val="center"/>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lang w:val="en-US" w:eastAsia="zh-CN"/>
              </w:rPr>
              <w:t>仪器</w:t>
            </w:r>
            <w:r>
              <w:rPr>
                <w:rFonts w:hint="eastAsia" w:asciiTheme="minorEastAsia" w:hAnsiTheme="minorEastAsia" w:eastAsiaTheme="minorEastAsia" w:cstheme="minorEastAsia"/>
                <w:sz w:val="21"/>
                <w:szCs w:val="21"/>
                <w:highlight w:val="none"/>
                <w:lang w:eastAsia="zh-CN"/>
              </w:rPr>
              <w:t>设备配置</w:t>
            </w:r>
          </w:p>
          <w:p>
            <w:pPr>
              <w:pStyle w:val="48"/>
              <w:spacing w:line="360" w:lineRule="exact"/>
              <w:jc w:val="center"/>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12</w:t>
            </w:r>
            <w:r>
              <w:rPr>
                <w:rFonts w:hint="eastAsia" w:asciiTheme="minorEastAsia" w:hAnsiTheme="minorEastAsia" w:eastAsiaTheme="minorEastAsia" w:cstheme="minorEastAsia"/>
                <w:sz w:val="21"/>
                <w:szCs w:val="21"/>
                <w:highlight w:val="none"/>
              </w:rPr>
              <w:t>%</w:t>
            </w:r>
          </w:p>
        </w:tc>
        <w:tc>
          <w:tcPr>
            <w:tcW w:w="670" w:type="dxa"/>
            <w:tcBorders>
              <w:tl2br w:val="nil"/>
              <w:tr2bl w:val="nil"/>
            </w:tcBorders>
            <w:vAlign w:val="center"/>
          </w:tcPr>
          <w:p>
            <w:pPr>
              <w:pStyle w:val="48"/>
              <w:spacing w:line="360" w:lineRule="exact"/>
              <w:jc w:val="center"/>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lang w:val="en-US" w:eastAsia="zh-CN"/>
              </w:rPr>
              <w:t>12</w:t>
            </w:r>
            <w:r>
              <w:rPr>
                <w:rFonts w:hint="eastAsia" w:asciiTheme="minorEastAsia" w:hAnsiTheme="minorEastAsia" w:eastAsiaTheme="minorEastAsia" w:cstheme="minorEastAsia"/>
                <w:sz w:val="21"/>
                <w:szCs w:val="21"/>
                <w:highlight w:val="none"/>
                <w:lang w:eastAsia="zh-CN"/>
              </w:rPr>
              <w:t>分</w:t>
            </w:r>
          </w:p>
        </w:tc>
        <w:tc>
          <w:tcPr>
            <w:tcW w:w="6637" w:type="dxa"/>
            <w:tcBorders>
              <w:tl2br w:val="nil"/>
              <w:tr2bl w:val="nil"/>
            </w:tcBorders>
            <w:vAlign w:val="center"/>
          </w:tcPr>
          <w:p>
            <w:pPr>
              <w:pStyle w:val="94"/>
              <w:keepNext w:val="0"/>
              <w:keepLines w:val="0"/>
              <w:pageBreakBefore w:val="0"/>
              <w:widowControl w:val="0"/>
              <w:kinsoku/>
              <w:overflowPunct/>
              <w:autoSpaceDE/>
              <w:autoSpaceDN/>
              <w:bidi w:val="0"/>
              <w:adjustRightInd w:val="0"/>
              <w:snapToGrid w:val="0"/>
              <w:spacing w:line="360" w:lineRule="exact"/>
              <w:ind w:right="0" w:firstLine="0" w:firstLineChars="0"/>
              <w:textAlignment w:val="auto"/>
              <w:rPr>
                <w:rFonts w:hint="eastAsia" w:ascii="宋体" w:hAnsi="宋体" w:eastAsia="宋体" w:cs="宋体"/>
                <w:color w:val="auto"/>
                <w:kern w:val="2"/>
                <w:sz w:val="21"/>
                <w:highlight w:val="none"/>
              </w:rPr>
            </w:pPr>
            <w:r>
              <w:rPr>
                <w:rFonts w:hint="eastAsia" w:ascii="宋体" w:hAnsi="宋体" w:eastAsia="宋体" w:cs="宋体"/>
                <w:color w:val="auto"/>
                <w:kern w:val="2"/>
                <w:sz w:val="21"/>
                <w:highlight w:val="none"/>
              </w:rPr>
              <w:t>1</w:t>
            </w:r>
            <w:r>
              <w:rPr>
                <w:rFonts w:hint="eastAsia" w:ascii="宋体" w:hAnsi="宋体" w:eastAsia="宋体" w:cs="宋体"/>
                <w:color w:val="auto"/>
                <w:spacing w:val="-9"/>
                <w:kern w:val="2"/>
                <w:sz w:val="21"/>
                <w:highlight w:val="none"/>
                <w:lang w:eastAsia="zh-CN"/>
              </w:rPr>
              <w:t>.</w:t>
            </w:r>
            <w:r>
              <w:rPr>
                <w:rFonts w:hint="eastAsia" w:ascii="宋体" w:hAnsi="宋体" w:eastAsia="宋体" w:cs="宋体"/>
                <w:color w:val="auto"/>
                <w:spacing w:val="-9"/>
                <w:kern w:val="2"/>
                <w:sz w:val="21"/>
                <w:highlight w:val="none"/>
              </w:rPr>
              <w:t>拟投入管线探测仪器数量</w:t>
            </w:r>
            <w:r>
              <w:rPr>
                <w:rFonts w:hint="eastAsia" w:ascii="宋体" w:hAnsi="宋体" w:eastAsia="宋体" w:cs="宋体"/>
                <w:color w:val="auto"/>
                <w:spacing w:val="-4"/>
                <w:kern w:val="2"/>
                <w:sz w:val="21"/>
                <w:highlight w:val="none"/>
                <w:u w:val="single"/>
              </w:rPr>
              <w:t xml:space="preserve"> </w:t>
            </w:r>
            <w:r>
              <w:rPr>
                <w:rFonts w:hint="eastAsia" w:ascii="宋体" w:hAnsi="宋体" w:eastAsia="宋体" w:cs="宋体"/>
                <w:color w:val="auto"/>
                <w:kern w:val="2"/>
                <w:sz w:val="21"/>
                <w:highlight w:val="none"/>
                <w:u w:val="single"/>
              </w:rPr>
              <w:t>5</w:t>
            </w:r>
            <w:r>
              <w:rPr>
                <w:rFonts w:hint="eastAsia" w:ascii="宋体" w:hAnsi="宋体" w:eastAsia="宋体" w:cs="宋体"/>
                <w:color w:val="auto"/>
                <w:spacing w:val="-1"/>
                <w:kern w:val="2"/>
                <w:sz w:val="21"/>
                <w:highlight w:val="none"/>
                <w:u w:val="single"/>
              </w:rPr>
              <w:t xml:space="preserve"> </w:t>
            </w:r>
            <w:r>
              <w:rPr>
                <w:rFonts w:hint="eastAsia" w:ascii="宋体" w:hAnsi="宋体" w:eastAsia="宋体" w:cs="宋体"/>
                <w:color w:val="auto"/>
                <w:kern w:val="2"/>
                <w:sz w:val="21"/>
                <w:highlight w:val="none"/>
              </w:rPr>
              <w:t>台得</w:t>
            </w:r>
            <w:r>
              <w:rPr>
                <w:rFonts w:hint="eastAsia" w:ascii="宋体" w:hAnsi="宋体" w:eastAsia="宋体" w:cs="宋体"/>
                <w:color w:val="auto"/>
                <w:spacing w:val="-1"/>
                <w:kern w:val="2"/>
                <w:sz w:val="21"/>
                <w:highlight w:val="none"/>
                <w:u w:val="single"/>
              </w:rPr>
              <w:t xml:space="preserve"> </w:t>
            </w:r>
            <w:r>
              <w:rPr>
                <w:rFonts w:hint="eastAsia" w:ascii="宋体" w:hAnsi="宋体" w:eastAsia="宋体" w:cs="宋体"/>
                <w:color w:val="auto"/>
                <w:kern w:val="2"/>
                <w:sz w:val="21"/>
                <w:highlight w:val="none"/>
                <w:u w:val="single"/>
              </w:rPr>
              <w:t>2</w:t>
            </w:r>
            <w:r>
              <w:rPr>
                <w:rFonts w:hint="eastAsia" w:ascii="宋体" w:hAnsi="宋体" w:eastAsia="宋体" w:cs="宋体"/>
                <w:color w:val="auto"/>
                <w:spacing w:val="-3"/>
                <w:kern w:val="2"/>
                <w:sz w:val="21"/>
                <w:highlight w:val="none"/>
                <w:u w:val="single"/>
              </w:rPr>
              <w:t xml:space="preserve"> </w:t>
            </w:r>
            <w:r>
              <w:rPr>
                <w:rFonts w:hint="eastAsia" w:ascii="宋体" w:hAnsi="宋体" w:eastAsia="宋体" w:cs="宋体"/>
                <w:color w:val="auto"/>
                <w:spacing w:val="-14"/>
                <w:kern w:val="2"/>
                <w:sz w:val="21"/>
                <w:highlight w:val="none"/>
              </w:rPr>
              <w:t>分；每增加</w:t>
            </w:r>
            <w:r>
              <w:rPr>
                <w:rFonts w:hint="eastAsia" w:ascii="宋体" w:hAnsi="宋体" w:eastAsia="宋体" w:cs="宋体"/>
                <w:color w:val="auto"/>
                <w:spacing w:val="-1"/>
                <w:kern w:val="2"/>
                <w:sz w:val="21"/>
                <w:highlight w:val="none"/>
                <w:u w:val="single"/>
              </w:rPr>
              <w:t xml:space="preserve"> </w:t>
            </w:r>
            <w:r>
              <w:rPr>
                <w:rFonts w:hint="eastAsia" w:ascii="宋体" w:hAnsi="宋体" w:eastAsia="宋体" w:cs="宋体"/>
                <w:color w:val="auto"/>
                <w:kern w:val="2"/>
                <w:sz w:val="21"/>
                <w:highlight w:val="none"/>
                <w:u w:val="single"/>
              </w:rPr>
              <w:t xml:space="preserve">1 </w:t>
            </w:r>
            <w:r>
              <w:rPr>
                <w:rFonts w:hint="eastAsia" w:ascii="宋体" w:hAnsi="宋体" w:eastAsia="宋体" w:cs="宋体"/>
                <w:color w:val="auto"/>
                <w:kern w:val="2"/>
                <w:sz w:val="21"/>
                <w:highlight w:val="none"/>
              </w:rPr>
              <w:t>台加</w:t>
            </w:r>
            <w:r>
              <w:rPr>
                <w:rFonts w:hint="eastAsia" w:ascii="宋体" w:hAnsi="宋体" w:eastAsia="宋体" w:cs="宋体"/>
                <w:color w:val="auto"/>
                <w:spacing w:val="-1"/>
                <w:kern w:val="2"/>
                <w:sz w:val="21"/>
                <w:highlight w:val="none"/>
                <w:u w:val="single"/>
              </w:rPr>
              <w:t xml:space="preserve"> </w:t>
            </w:r>
            <w:r>
              <w:rPr>
                <w:rFonts w:hint="eastAsia" w:ascii="宋体" w:hAnsi="宋体" w:eastAsia="宋体" w:cs="宋体"/>
                <w:color w:val="auto"/>
                <w:kern w:val="2"/>
                <w:sz w:val="21"/>
                <w:highlight w:val="none"/>
                <w:u w:val="single"/>
                <w:lang w:val="en-US" w:eastAsia="zh-CN"/>
              </w:rPr>
              <w:t>0.5</w:t>
            </w:r>
            <w:r>
              <w:rPr>
                <w:rFonts w:hint="eastAsia" w:ascii="宋体" w:hAnsi="宋体" w:eastAsia="宋体" w:cs="宋体"/>
                <w:color w:val="auto"/>
                <w:kern w:val="2"/>
                <w:sz w:val="21"/>
                <w:highlight w:val="none"/>
              </w:rPr>
              <w:t>分，最多加</w:t>
            </w:r>
            <w:r>
              <w:rPr>
                <w:rFonts w:hint="eastAsia" w:ascii="宋体" w:hAnsi="宋体" w:eastAsia="宋体" w:cs="宋体"/>
                <w:color w:val="auto"/>
                <w:spacing w:val="-2"/>
                <w:kern w:val="2"/>
                <w:sz w:val="21"/>
                <w:highlight w:val="none"/>
                <w:u w:val="single"/>
              </w:rPr>
              <w:t xml:space="preserve"> </w:t>
            </w:r>
            <w:r>
              <w:rPr>
                <w:rFonts w:hint="eastAsia" w:ascii="宋体" w:hAnsi="宋体" w:eastAsia="宋体" w:cs="宋体"/>
                <w:color w:val="auto"/>
                <w:kern w:val="2"/>
                <w:sz w:val="21"/>
                <w:highlight w:val="none"/>
                <w:u w:val="single"/>
              </w:rPr>
              <w:t>2</w:t>
            </w:r>
            <w:r>
              <w:rPr>
                <w:rFonts w:hint="eastAsia" w:ascii="宋体" w:hAnsi="宋体" w:eastAsia="宋体" w:cs="宋体"/>
                <w:color w:val="auto"/>
                <w:kern w:val="2"/>
                <w:sz w:val="21"/>
                <w:highlight w:val="none"/>
                <w:u w:val="single"/>
                <w:lang w:val="en-US"/>
              </w:rPr>
              <w:t xml:space="preserve"> </w:t>
            </w:r>
            <w:r>
              <w:rPr>
                <w:rFonts w:hint="eastAsia" w:ascii="宋体" w:hAnsi="宋体" w:eastAsia="宋体" w:cs="宋体"/>
                <w:color w:val="auto"/>
                <w:spacing w:val="-9"/>
                <w:kern w:val="2"/>
                <w:sz w:val="21"/>
                <w:highlight w:val="none"/>
              </w:rPr>
              <w:t xml:space="preserve"> 分。此项共计</w:t>
            </w:r>
            <w:r>
              <w:rPr>
                <w:rFonts w:hint="eastAsia" w:ascii="宋体" w:hAnsi="宋体" w:eastAsia="宋体" w:cs="宋体"/>
                <w:color w:val="auto"/>
                <w:kern w:val="2"/>
                <w:sz w:val="21"/>
                <w:highlight w:val="none"/>
                <w:u w:val="single"/>
              </w:rPr>
              <w:t>4</w:t>
            </w:r>
            <w:r>
              <w:rPr>
                <w:rFonts w:hint="eastAsia" w:ascii="宋体" w:hAnsi="宋体" w:eastAsia="宋体" w:cs="宋体"/>
                <w:color w:val="auto"/>
                <w:spacing w:val="1"/>
                <w:kern w:val="2"/>
                <w:sz w:val="21"/>
                <w:highlight w:val="none"/>
                <w:u w:val="single"/>
              </w:rPr>
              <w:t xml:space="preserve"> </w:t>
            </w:r>
            <w:r>
              <w:rPr>
                <w:rFonts w:hint="eastAsia" w:ascii="宋体" w:hAnsi="宋体" w:eastAsia="宋体" w:cs="宋体"/>
                <w:color w:val="auto"/>
                <w:kern w:val="2"/>
                <w:sz w:val="21"/>
                <w:highlight w:val="none"/>
              </w:rPr>
              <w:t>分。</w:t>
            </w:r>
          </w:p>
          <w:p>
            <w:pPr>
              <w:pStyle w:val="94"/>
              <w:keepNext w:val="0"/>
              <w:keepLines w:val="0"/>
              <w:pageBreakBefore w:val="0"/>
              <w:widowControl w:val="0"/>
              <w:tabs>
                <w:tab w:val="left" w:pos="3834"/>
              </w:tabs>
              <w:kinsoku/>
              <w:overflowPunct/>
              <w:autoSpaceDE/>
              <w:autoSpaceDN/>
              <w:bidi w:val="0"/>
              <w:adjustRightInd w:val="0"/>
              <w:snapToGrid w:val="0"/>
              <w:spacing w:line="360" w:lineRule="exact"/>
              <w:ind w:right="0" w:firstLine="0" w:firstLineChars="0"/>
              <w:textAlignment w:val="auto"/>
              <w:rPr>
                <w:rFonts w:hint="eastAsia" w:ascii="宋体" w:hAnsi="宋体" w:eastAsia="宋体" w:cs="宋体"/>
                <w:color w:val="auto"/>
                <w:kern w:val="2"/>
                <w:sz w:val="21"/>
                <w:highlight w:val="none"/>
              </w:rPr>
            </w:pPr>
            <w:r>
              <w:rPr>
                <w:rFonts w:hint="eastAsia" w:ascii="宋体" w:hAnsi="宋体" w:eastAsia="宋体" w:cs="宋体"/>
                <w:color w:val="auto"/>
                <w:kern w:val="2"/>
                <w:sz w:val="21"/>
                <w:highlight w:val="none"/>
              </w:rPr>
              <w:t>2</w:t>
            </w:r>
            <w:r>
              <w:rPr>
                <w:rFonts w:hint="eastAsia" w:ascii="宋体" w:hAnsi="宋体" w:eastAsia="宋体" w:cs="宋体"/>
                <w:color w:val="auto"/>
                <w:kern w:val="2"/>
                <w:sz w:val="21"/>
                <w:highlight w:val="none"/>
                <w:lang w:eastAsia="zh-CN"/>
              </w:rPr>
              <w:t>.</w:t>
            </w:r>
            <w:r>
              <w:rPr>
                <w:rFonts w:hint="eastAsia" w:ascii="宋体" w:hAnsi="宋体" w:eastAsia="宋体" w:cs="宋体"/>
                <w:color w:val="auto"/>
                <w:kern w:val="2"/>
                <w:sz w:val="21"/>
                <w:highlight w:val="none"/>
              </w:rPr>
              <w:t>拟投入</w:t>
            </w:r>
            <w:r>
              <w:rPr>
                <w:rFonts w:hint="eastAsia" w:ascii="宋体" w:hAnsi="宋体" w:eastAsia="宋体" w:cs="宋体"/>
                <w:color w:val="auto"/>
                <w:spacing w:val="-52"/>
                <w:kern w:val="2"/>
                <w:sz w:val="21"/>
                <w:highlight w:val="none"/>
              </w:rPr>
              <w:t xml:space="preserve"> </w:t>
            </w:r>
            <w:r>
              <w:rPr>
                <w:rFonts w:hint="eastAsia" w:ascii="宋体" w:hAnsi="宋体" w:eastAsia="宋体" w:cs="宋体"/>
                <w:color w:val="auto"/>
                <w:kern w:val="2"/>
                <w:sz w:val="21"/>
                <w:highlight w:val="none"/>
              </w:rPr>
              <w:t>GNSS</w:t>
            </w:r>
            <w:r>
              <w:rPr>
                <w:rFonts w:hint="eastAsia" w:ascii="宋体" w:hAnsi="宋体" w:eastAsia="宋体" w:cs="宋体"/>
                <w:color w:val="auto"/>
                <w:spacing w:val="-55"/>
                <w:kern w:val="2"/>
                <w:sz w:val="21"/>
                <w:highlight w:val="none"/>
              </w:rPr>
              <w:t xml:space="preserve"> </w:t>
            </w:r>
            <w:r>
              <w:rPr>
                <w:rFonts w:hint="eastAsia" w:ascii="宋体" w:hAnsi="宋体" w:eastAsia="宋体" w:cs="宋体"/>
                <w:color w:val="auto"/>
                <w:kern w:val="2"/>
                <w:sz w:val="21"/>
                <w:highlight w:val="none"/>
              </w:rPr>
              <w:t>接收机数量</w:t>
            </w:r>
            <w:r>
              <w:rPr>
                <w:rFonts w:hint="eastAsia" w:ascii="宋体" w:hAnsi="宋体" w:eastAsia="宋体" w:cs="宋体"/>
                <w:color w:val="auto"/>
                <w:spacing w:val="-1"/>
                <w:kern w:val="2"/>
                <w:sz w:val="21"/>
                <w:highlight w:val="none"/>
                <w:u w:val="single"/>
              </w:rPr>
              <w:t xml:space="preserve"> </w:t>
            </w:r>
            <w:r>
              <w:rPr>
                <w:rFonts w:hint="eastAsia" w:ascii="宋体" w:hAnsi="宋体" w:eastAsia="宋体" w:cs="宋体"/>
                <w:color w:val="auto"/>
                <w:kern w:val="2"/>
                <w:sz w:val="21"/>
                <w:highlight w:val="none"/>
                <w:u w:val="single"/>
              </w:rPr>
              <w:t>5</w:t>
            </w:r>
            <w:r>
              <w:rPr>
                <w:rFonts w:hint="eastAsia" w:ascii="宋体" w:hAnsi="宋体" w:eastAsia="宋体" w:cs="宋体"/>
                <w:color w:val="auto"/>
                <w:spacing w:val="-1"/>
                <w:kern w:val="2"/>
                <w:sz w:val="21"/>
                <w:highlight w:val="none"/>
                <w:u w:val="single"/>
              </w:rPr>
              <w:t xml:space="preserve"> </w:t>
            </w:r>
            <w:r>
              <w:rPr>
                <w:rFonts w:hint="eastAsia" w:ascii="宋体" w:hAnsi="宋体" w:eastAsia="宋体" w:cs="宋体"/>
                <w:color w:val="auto"/>
                <w:kern w:val="2"/>
                <w:sz w:val="21"/>
                <w:highlight w:val="none"/>
              </w:rPr>
              <w:t>台得</w:t>
            </w:r>
            <w:r>
              <w:rPr>
                <w:rFonts w:hint="eastAsia" w:ascii="宋体" w:hAnsi="宋体" w:eastAsia="宋体" w:cs="宋体"/>
                <w:color w:val="auto"/>
                <w:spacing w:val="-3"/>
                <w:kern w:val="2"/>
                <w:sz w:val="21"/>
                <w:highlight w:val="none"/>
                <w:u w:val="single"/>
              </w:rPr>
              <w:t xml:space="preserve"> </w:t>
            </w:r>
            <w:r>
              <w:rPr>
                <w:rFonts w:hint="eastAsia" w:ascii="宋体" w:hAnsi="宋体" w:eastAsia="宋体" w:cs="宋体"/>
                <w:color w:val="auto"/>
                <w:kern w:val="2"/>
                <w:sz w:val="21"/>
                <w:highlight w:val="none"/>
                <w:u w:val="single"/>
              </w:rPr>
              <w:t>2</w:t>
            </w:r>
            <w:r>
              <w:rPr>
                <w:rFonts w:hint="eastAsia" w:ascii="宋体" w:hAnsi="宋体" w:eastAsia="宋体" w:cs="宋体"/>
                <w:color w:val="auto"/>
                <w:spacing w:val="-1"/>
                <w:kern w:val="2"/>
                <w:sz w:val="21"/>
                <w:highlight w:val="none"/>
                <w:u w:val="single"/>
              </w:rPr>
              <w:t xml:space="preserve"> </w:t>
            </w:r>
            <w:r>
              <w:rPr>
                <w:rFonts w:hint="eastAsia" w:ascii="宋体" w:hAnsi="宋体" w:eastAsia="宋体" w:cs="宋体"/>
                <w:color w:val="auto"/>
                <w:kern w:val="2"/>
                <w:sz w:val="21"/>
                <w:highlight w:val="none"/>
              </w:rPr>
              <w:t>分；</w:t>
            </w:r>
            <w:r>
              <w:rPr>
                <w:rFonts w:hint="eastAsia" w:ascii="宋体" w:hAnsi="宋体" w:eastAsia="宋体" w:cs="宋体"/>
                <w:color w:val="auto"/>
                <w:spacing w:val="-1"/>
                <w:kern w:val="2"/>
                <w:sz w:val="21"/>
                <w:highlight w:val="none"/>
              </w:rPr>
              <w:t xml:space="preserve"> </w:t>
            </w:r>
            <w:r>
              <w:rPr>
                <w:rFonts w:hint="eastAsia" w:ascii="宋体" w:hAnsi="宋体" w:eastAsia="宋体" w:cs="宋体"/>
                <w:color w:val="auto"/>
                <w:kern w:val="2"/>
                <w:sz w:val="21"/>
                <w:highlight w:val="none"/>
              </w:rPr>
              <w:t>每增加台加</w:t>
            </w:r>
            <w:r>
              <w:rPr>
                <w:rFonts w:hint="eastAsia" w:ascii="宋体" w:hAnsi="宋体" w:eastAsia="宋体" w:cs="宋体"/>
                <w:color w:val="auto"/>
                <w:kern w:val="2"/>
                <w:sz w:val="21"/>
                <w:highlight w:val="none"/>
                <w:u w:val="single"/>
                <w:lang w:val="en-US" w:eastAsia="zh-CN"/>
              </w:rPr>
              <w:t>0.5</w:t>
            </w:r>
            <w:r>
              <w:rPr>
                <w:rFonts w:hint="eastAsia" w:ascii="宋体" w:hAnsi="宋体" w:eastAsia="宋体" w:cs="宋体"/>
                <w:color w:val="auto"/>
                <w:kern w:val="2"/>
                <w:sz w:val="21"/>
                <w:highlight w:val="none"/>
              </w:rPr>
              <w:t>分，最多加</w:t>
            </w:r>
            <w:r>
              <w:rPr>
                <w:rFonts w:hint="eastAsia" w:ascii="宋体" w:hAnsi="宋体" w:eastAsia="宋体" w:cs="宋体"/>
                <w:color w:val="auto"/>
                <w:spacing w:val="-3"/>
                <w:kern w:val="2"/>
                <w:sz w:val="21"/>
                <w:highlight w:val="none"/>
                <w:u w:val="single"/>
              </w:rPr>
              <w:t xml:space="preserve"> </w:t>
            </w:r>
            <w:r>
              <w:rPr>
                <w:rFonts w:hint="eastAsia" w:ascii="宋体" w:hAnsi="宋体" w:eastAsia="宋体" w:cs="宋体"/>
                <w:color w:val="auto"/>
                <w:kern w:val="2"/>
                <w:sz w:val="21"/>
                <w:highlight w:val="none"/>
                <w:u w:val="single"/>
              </w:rPr>
              <w:t>2</w:t>
            </w:r>
            <w:r>
              <w:rPr>
                <w:rFonts w:hint="eastAsia" w:ascii="宋体" w:hAnsi="宋体" w:eastAsia="宋体" w:cs="宋体"/>
                <w:color w:val="auto"/>
                <w:kern w:val="2"/>
                <w:sz w:val="21"/>
                <w:highlight w:val="none"/>
                <w:u w:val="single"/>
                <w:lang w:val="en-US"/>
              </w:rPr>
              <w:t xml:space="preserve"> </w:t>
            </w:r>
            <w:r>
              <w:rPr>
                <w:rFonts w:hint="eastAsia" w:ascii="宋体" w:hAnsi="宋体" w:eastAsia="宋体" w:cs="宋体"/>
                <w:color w:val="auto"/>
                <w:spacing w:val="-52"/>
                <w:kern w:val="2"/>
                <w:sz w:val="21"/>
                <w:highlight w:val="none"/>
              </w:rPr>
              <w:t xml:space="preserve"> </w:t>
            </w:r>
            <w:r>
              <w:rPr>
                <w:rFonts w:hint="eastAsia" w:ascii="宋体" w:hAnsi="宋体" w:eastAsia="宋体" w:cs="宋体"/>
                <w:color w:val="auto"/>
                <w:kern w:val="2"/>
                <w:sz w:val="21"/>
                <w:highlight w:val="none"/>
              </w:rPr>
              <w:t>分。此项共计</w:t>
            </w:r>
            <w:r>
              <w:rPr>
                <w:rFonts w:hint="eastAsia" w:ascii="宋体" w:hAnsi="宋体" w:eastAsia="宋体" w:cs="宋体"/>
                <w:color w:val="auto"/>
                <w:spacing w:val="-1"/>
                <w:kern w:val="2"/>
                <w:sz w:val="21"/>
                <w:highlight w:val="none"/>
                <w:u w:val="single"/>
              </w:rPr>
              <w:t xml:space="preserve"> </w:t>
            </w:r>
            <w:r>
              <w:rPr>
                <w:rFonts w:hint="eastAsia" w:ascii="宋体" w:hAnsi="宋体" w:eastAsia="宋体" w:cs="宋体"/>
                <w:color w:val="auto"/>
                <w:kern w:val="2"/>
                <w:sz w:val="21"/>
                <w:highlight w:val="none"/>
                <w:u w:val="single"/>
              </w:rPr>
              <w:t>4</w:t>
            </w:r>
            <w:r>
              <w:rPr>
                <w:rFonts w:hint="eastAsia" w:ascii="宋体" w:hAnsi="宋体" w:eastAsia="宋体" w:cs="宋体"/>
                <w:color w:val="auto"/>
                <w:kern w:val="2"/>
                <w:sz w:val="21"/>
                <w:highlight w:val="none"/>
                <w:u w:val="single"/>
                <w:lang w:val="en-US"/>
              </w:rPr>
              <w:t xml:space="preserve"> </w:t>
            </w:r>
            <w:r>
              <w:rPr>
                <w:rFonts w:hint="eastAsia" w:ascii="宋体" w:hAnsi="宋体" w:eastAsia="宋体" w:cs="宋体"/>
                <w:color w:val="auto"/>
                <w:kern w:val="2"/>
                <w:sz w:val="21"/>
                <w:highlight w:val="none"/>
              </w:rPr>
              <w:t>分。</w:t>
            </w:r>
          </w:p>
          <w:p>
            <w:pPr>
              <w:pStyle w:val="94"/>
              <w:keepNext w:val="0"/>
              <w:keepLines w:val="0"/>
              <w:pageBreakBefore w:val="0"/>
              <w:widowControl w:val="0"/>
              <w:kinsoku/>
              <w:overflowPunct/>
              <w:autoSpaceDE/>
              <w:autoSpaceDN/>
              <w:bidi w:val="0"/>
              <w:adjustRightInd w:val="0"/>
              <w:snapToGrid w:val="0"/>
              <w:spacing w:line="360" w:lineRule="exact"/>
              <w:ind w:right="0" w:firstLine="0" w:firstLineChars="0"/>
              <w:textAlignment w:val="auto"/>
              <w:rPr>
                <w:rFonts w:hint="eastAsia" w:ascii="宋体" w:hAnsi="宋体" w:eastAsia="宋体" w:cs="宋体"/>
                <w:color w:val="auto"/>
                <w:kern w:val="2"/>
                <w:sz w:val="21"/>
                <w:highlight w:val="none"/>
              </w:rPr>
            </w:pPr>
            <w:r>
              <w:rPr>
                <w:rFonts w:hint="eastAsia" w:ascii="宋体" w:hAnsi="宋体" w:eastAsia="宋体" w:cs="宋体"/>
                <w:color w:val="auto"/>
                <w:kern w:val="2"/>
                <w:sz w:val="21"/>
                <w:highlight w:val="none"/>
              </w:rPr>
              <w:t>3</w:t>
            </w:r>
            <w:r>
              <w:rPr>
                <w:rFonts w:hint="eastAsia" w:ascii="宋体" w:hAnsi="宋体" w:eastAsia="宋体" w:cs="宋体"/>
                <w:color w:val="auto"/>
                <w:kern w:val="2"/>
                <w:sz w:val="21"/>
                <w:highlight w:val="none"/>
                <w:lang w:eastAsia="zh-CN"/>
              </w:rPr>
              <w:t>.</w:t>
            </w:r>
            <w:r>
              <w:rPr>
                <w:rFonts w:hint="eastAsia" w:ascii="宋体" w:hAnsi="宋体" w:eastAsia="宋体" w:cs="宋体"/>
                <w:color w:val="auto"/>
                <w:kern w:val="2"/>
                <w:sz w:val="21"/>
                <w:highlight w:val="none"/>
              </w:rPr>
              <w:t>拟投入的全站仪数量</w:t>
            </w:r>
            <w:r>
              <w:rPr>
                <w:rFonts w:hint="eastAsia" w:ascii="宋体" w:hAnsi="宋体" w:eastAsia="宋体" w:cs="宋体"/>
                <w:color w:val="auto"/>
                <w:kern w:val="2"/>
                <w:sz w:val="21"/>
                <w:highlight w:val="none"/>
                <w:u w:val="single"/>
              </w:rPr>
              <w:t xml:space="preserve"> 5 </w:t>
            </w:r>
            <w:r>
              <w:rPr>
                <w:rFonts w:hint="eastAsia" w:ascii="宋体" w:hAnsi="宋体" w:eastAsia="宋体" w:cs="宋体"/>
                <w:color w:val="auto"/>
                <w:kern w:val="2"/>
                <w:sz w:val="21"/>
                <w:highlight w:val="none"/>
              </w:rPr>
              <w:t>台得</w:t>
            </w:r>
            <w:r>
              <w:rPr>
                <w:rFonts w:hint="eastAsia" w:ascii="宋体" w:hAnsi="宋体" w:eastAsia="宋体" w:cs="宋体"/>
                <w:color w:val="auto"/>
                <w:kern w:val="2"/>
                <w:sz w:val="21"/>
                <w:highlight w:val="none"/>
                <w:u w:val="single"/>
              </w:rPr>
              <w:t xml:space="preserve"> 2 </w:t>
            </w:r>
            <w:r>
              <w:rPr>
                <w:rFonts w:hint="eastAsia" w:ascii="宋体" w:hAnsi="宋体" w:eastAsia="宋体" w:cs="宋体"/>
                <w:color w:val="auto"/>
                <w:kern w:val="2"/>
                <w:sz w:val="21"/>
                <w:highlight w:val="none"/>
              </w:rPr>
              <w:t>分；每增加</w:t>
            </w:r>
            <w:r>
              <w:rPr>
                <w:rFonts w:hint="eastAsia" w:ascii="宋体" w:hAnsi="宋体" w:eastAsia="宋体" w:cs="宋体"/>
                <w:color w:val="auto"/>
                <w:kern w:val="2"/>
                <w:sz w:val="21"/>
                <w:highlight w:val="none"/>
                <w:u w:val="single"/>
              </w:rPr>
              <w:t xml:space="preserve"> 1 </w:t>
            </w:r>
            <w:r>
              <w:rPr>
                <w:rFonts w:hint="eastAsia" w:ascii="宋体" w:hAnsi="宋体" w:eastAsia="宋体" w:cs="宋体"/>
                <w:color w:val="auto"/>
                <w:kern w:val="2"/>
                <w:sz w:val="21"/>
                <w:highlight w:val="none"/>
              </w:rPr>
              <w:t>台加</w:t>
            </w:r>
            <w:r>
              <w:rPr>
                <w:rFonts w:hint="eastAsia" w:ascii="宋体" w:hAnsi="宋体" w:eastAsia="宋体" w:cs="宋体"/>
                <w:color w:val="auto"/>
                <w:kern w:val="2"/>
                <w:sz w:val="21"/>
                <w:highlight w:val="none"/>
                <w:u w:val="single"/>
                <w:lang w:val="en-US" w:eastAsia="zh-CN"/>
              </w:rPr>
              <w:t>0.5</w:t>
            </w:r>
            <w:r>
              <w:rPr>
                <w:rFonts w:hint="eastAsia" w:ascii="宋体" w:hAnsi="宋体" w:eastAsia="宋体" w:cs="宋体"/>
                <w:color w:val="auto"/>
                <w:kern w:val="2"/>
                <w:sz w:val="21"/>
                <w:highlight w:val="none"/>
              </w:rPr>
              <w:t>分，最多加</w:t>
            </w:r>
            <w:r>
              <w:rPr>
                <w:rFonts w:hint="eastAsia" w:ascii="宋体" w:hAnsi="宋体" w:eastAsia="宋体" w:cs="宋体"/>
                <w:color w:val="auto"/>
                <w:kern w:val="2"/>
                <w:sz w:val="21"/>
                <w:highlight w:val="none"/>
                <w:u w:val="single"/>
              </w:rPr>
              <w:t xml:space="preserve"> 2</w:t>
            </w:r>
            <w:r>
              <w:rPr>
                <w:rFonts w:hint="eastAsia" w:ascii="宋体" w:hAnsi="宋体" w:eastAsia="宋体" w:cs="宋体"/>
                <w:color w:val="auto"/>
                <w:kern w:val="2"/>
                <w:sz w:val="21"/>
                <w:highlight w:val="none"/>
                <w:u w:val="single"/>
                <w:lang w:val="en-US"/>
              </w:rPr>
              <w:t xml:space="preserve"> </w:t>
            </w:r>
            <w:r>
              <w:rPr>
                <w:rFonts w:hint="eastAsia" w:ascii="宋体" w:hAnsi="宋体" w:eastAsia="宋体" w:cs="宋体"/>
                <w:color w:val="auto"/>
                <w:kern w:val="2"/>
                <w:sz w:val="21"/>
                <w:highlight w:val="none"/>
              </w:rPr>
              <w:t xml:space="preserve"> 分。此项共计</w:t>
            </w:r>
            <w:r>
              <w:rPr>
                <w:rFonts w:hint="eastAsia" w:ascii="宋体" w:hAnsi="宋体" w:eastAsia="宋体" w:cs="宋体"/>
                <w:color w:val="auto"/>
                <w:kern w:val="2"/>
                <w:sz w:val="21"/>
                <w:highlight w:val="none"/>
                <w:u w:val="single"/>
              </w:rPr>
              <w:t xml:space="preserve"> 4 </w:t>
            </w:r>
            <w:r>
              <w:rPr>
                <w:rFonts w:hint="eastAsia" w:ascii="宋体" w:hAnsi="宋体" w:eastAsia="宋体" w:cs="宋体"/>
                <w:color w:val="auto"/>
                <w:kern w:val="2"/>
                <w:sz w:val="21"/>
                <w:highlight w:val="none"/>
              </w:rPr>
              <w:t>分。</w:t>
            </w:r>
          </w:p>
          <w:p>
            <w:pPr>
              <w:pStyle w:val="47"/>
              <w:keepNext w:val="0"/>
              <w:keepLines w:val="0"/>
              <w:pageBreakBefore w:val="0"/>
              <w:widowControl w:val="0"/>
              <w:kinsoku/>
              <w:overflowPunct/>
              <w:autoSpaceDE/>
              <w:autoSpaceDN/>
              <w:bidi w:val="0"/>
              <w:adjustRightInd w:val="0"/>
              <w:snapToGrid w:val="0"/>
              <w:spacing w:line="360" w:lineRule="exact"/>
              <w:ind w:left="0" w:leftChars="0" w:right="0" w:firstLine="0" w:firstLineChars="0"/>
              <w:textAlignment w:val="auto"/>
              <w:rPr>
                <w:rFonts w:asciiTheme="minorEastAsia" w:hAnsiTheme="minorEastAsia" w:eastAsiaTheme="minorEastAsia" w:cstheme="minorEastAsia"/>
                <w:color w:val="auto"/>
                <w:sz w:val="21"/>
                <w:szCs w:val="21"/>
                <w:highlight w:val="none"/>
              </w:rPr>
            </w:pPr>
            <w:r>
              <w:rPr>
                <w:rFonts w:hint="eastAsia" w:ascii="宋体" w:hAnsi="宋体" w:eastAsia="宋体" w:cs="宋体"/>
                <w:b/>
                <w:bCs/>
                <w:snapToGrid w:val="0"/>
                <w:color w:val="auto"/>
                <w:kern w:val="2"/>
                <w:sz w:val="21"/>
                <w:szCs w:val="21"/>
                <w:highlight w:val="none"/>
                <w:lang w:val="en-US" w:eastAsia="zh-CN" w:bidi="ar-SA"/>
              </w:rPr>
              <w:t>注：以上</w:t>
            </w:r>
            <w:r>
              <w:rPr>
                <w:rFonts w:hint="eastAsia" w:cs="宋体"/>
                <w:b/>
                <w:bCs/>
                <w:snapToGrid w:val="0"/>
                <w:color w:val="auto"/>
                <w:kern w:val="2"/>
                <w:sz w:val="21"/>
                <w:szCs w:val="21"/>
                <w:highlight w:val="none"/>
                <w:lang w:val="en-US" w:eastAsia="zh-CN" w:bidi="ar-SA"/>
              </w:rPr>
              <w:t>自有</w:t>
            </w:r>
            <w:r>
              <w:rPr>
                <w:rFonts w:hint="eastAsia" w:ascii="宋体" w:hAnsi="宋体" w:eastAsia="宋体" w:cs="宋体"/>
                <w:b/>
                <w:bCs/>
                <w:snapToGrid w:val="0"/>
                <w:color w:val="auto"/>
                <w:kern w:val="2"/>
                <w:sz w:val="21"/>
                <w:szCs w:val="21"/>
                <w:highlight w:val="none"/>
                <w:lang w:val="en-US" w:eastAsia="zh-CN" w:bidi="ar-SA"/>
              </w:rPr>
              <w:t>仪器设备需提供购置发票</w:t>
            </w:r>
            <w:r>
              <w:rPr>
                <w:rFonts w:hint="eastAsia" w:cs="宋体"/>
                <w:b/>
                <w:bCs/>
                <w:snapToGrid w:val="0"/>
                <w:color w:val="auto"/>
                <w:kern w:val="2"/>
                <w:sz w:val="21"/>
                <w:szCs w:val="21"/>
                <w:highlight w:val="none"/>
                <w:lang w:val="en-US" w:eastAsia="zh-CN" w:bidi="ar-SA"/>
              </w:rPr>
              <w:t>复印件，非自有仪器提</w:t>
            </w:r>
            <w:r>
              <w:rPr>
                <w:rFonts w:hint="eastAsia" w:cs="宋体"/>
                <w:b/>
                <w:bCs/>
                <w:sz w:val="21"/>
                <w:szCs w:val="21"/>
                <w:highlight w:val="none"/>
                <w:lang w:val="en-US" w:eastAsia="zh-CN"/>
              </w:rPr>
              <w:t>供租赁证明材料</w:t>
            </w:r>
            <w:r>
              <w:rPr>
                <w:rFonts w:hint="eastAsia" w:ascii="宋体" w:hAnsi="宋体" w:eastAsia="宋体" w:cs="宋体"/>
                <w:b/>
                <w:bCs/>
                <w:snapToGrid w:val="0"/>
                <w:color w:val="auto"/>
                <w:kern w:val="2"/>
                <w:sz w:val="21"/>
                <w:szCs w:val="21"/>
                <w:highlight w:val="none"/>
                <w:lang w:val="en-US" w:eastAsia="zh-CN" w:bidi="ar-SA"/>
              </w:rPr>
              <w:t>（加盖公章）。</w:t>
            </w:r>
          </w:p>
        </w:tc>
        <w:tc>
          <w:tcPr>
            <w:tcW w:w="1045" w:type="dxa"/>
            <w:tcBorders>
              <w:tl2br w:val="nil"/>
              <w:tr2bl w:val="nil"/>
            </w:tcBorders>
            <w:vAlign w:val="center"/>
          </w:tcPr>
          <w:p>
            <w:pPr>
              <w:pStyle w:val="48"/>
              <w:spacing w:line="360" w:lineRule="exact"/>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2" w:type="dxa"/>
            <w:tcBorders>
              <w:tl2br w:val="nil"/>
              <w:tr2bl w:val="nil"/>
            </w:tcBorders>
            <w:vAlign w:val="center"/>
          </w:tcPr>
          <w:p>
            <w:pPr>
              <w:pStyle w:val="48"/>
              <w:spacing w:line="360" w:lineRule="exact"/>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五</w:t>
            </w:r>
          </w:p>
        </w:tc>
        <w:tc>
          <w:tcPr>
            <w:tcW w:w="1296" w:type="dxa"/>
            <w:tcBorders>
              <w:tl2br w:val="nil"/>
              <w:tr2bl w:val="nil"/>
            </w:tcBorders>
            <w:vAlign w:val="center"/>
          </w:tcPr>
          <w:p>
            <w:pPr>
              <w:pStyle w:val="48"/>
              <w:spacing w:line="360" w:lineRule="exact"/>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履约能力</w:t>
            </w:r>
          </w:p>
          <w:p>
            <w:pPr>
              <w:pStyle w:val="48"/>
              <w:spacing w:line="360" w:lineRule="exact"/>
              <w:jc w:val="center"/>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15</w:t>
            </w:r>
            <w:r>
              <w:rPr>
                <w:rFonts w:hint="eastAsia" w:asciiTheme="minorEastAsia" w:hAnsiTheme="minorEastAsia" w:eastAsiaTheme="minorEastAsia" w:cstheme="minorEastAsia"/>
                <w:sz w:val="21"/>
                <w:szCs w:val="21"/>
                <w:highlight w:val="none"/>
              </w:rPr>
              <w:t>%</w:t>
            </w:r>
          </w:p>
        </w:tc>
        <w:tc>
          <w:tcPr>
            <w:tcW w:w="670" w:type="dxa"/>
            <w:tcBorders>
              <w:tl2br w:val="nil"/>
              <w:tr2bl w:val="nil"/>
            </w:tcBorders>
            <w:vAlign w:val="center"/>
          </w:tcPr>
          <w:p>
            <w:pPr>
              <w:pStyle w:val="94"/>
              <w:keepNext w:val="0"/>
              <w:keepLines w:val="0"/>
              <w:pageBreakBefore w:val="0"/>
              <w:widowControl w:val="0"/>
              <w:kinsoku/>
              <w:wordWrap/>
              <w:overflowPunct/>
              <w:topLinePunct w:val="0"/>
              <w:autoSpaceDE/>
              <w:autoSpaceDN/>
              <w:bidi w:val="0"/>
              <w:adjustRightInd w:val="0"/>
              <w:snapToGrid w:val="0"/>
              <w:spacing w:line="360" w:lineRule="exact"/>
              <w:ind w:left="0" w:right="0" w:firstLine="0"/>
              <w:jc w:val="center"/>
              <w:textAlignment w:val="auto"/>
              <w:rPr>
                <w:rFonts w:hint="eastAsia" w:ascii="宋体" w:hAnsi="宋体" w:eastAsia="宋体" w:cs="宋体"/>
                <w:sz w:val="21"/>
                <w:szCs w:val="21"/>
                <w:highlight w:val="none"/>
                <w:lang w:eastAsia="zh-CN"/>
              </w:rPr>
            </w:pPr>
            <w:r>
              <w:rPr>
                <w:rFonts w:hint="eastAsia" w:ascii="宋体" w:hAnsi="宋体" w:eastAsia="宋体" w:cs="宋体"/>
                <w:kern w:val="2"/>
                <w:sz w:val="21"/>
                <w:szCs w:val="21"/>
                <w:highlight w:val="none"/>
                <w:lang w:val="en-US" w:eastAsia="zh-CN"/>
              </w:rPr>
              <w:t>15</w:t>
            </w:r>
            <w:r>
              <w:rPr>
                <w:rFonts w:hint="eastAsia" w:ascii="宋体" w:hAnsi="宋体" w:eastAsia="宋体" w:cs="宋体"/>
                <w:kern w:val="2"/>
                <w:sz w:val="21"/>
                <w:szCs w:val="21"/>
                <w:highlight w:val="none"/>
              </w:rPr>
              <w:t>分</w:t>
            </w:r>
          </w:p>
        </w:tc>
        <w:tc>
          <w:tcPr>
            <w:tcW w:w="6637" w:type="dxa"/>
            <w:tcBorders>
              <w:tl2br w:val="nil"/>
              <w:tr2bl w:val="nil"/>
            </w:tcBorders>
            <w:vAlign w:val="center"/>
          </w:tcPr>
          <w:p>
            <w:pPr>
              <w:pStyle w:val="94"/>
              <w:keepNext w:val="0"/>
              <w:keepLines w:val="0"/>
              <w:pageBreakBefore w:val="0"/>
              <w:widowControl w:val="0"/>
              <w:kinsoku/>
              <w:wordWrap/>
              <w:overflowPunct/>
              <w:topLinePunct w:val="0"/>
              <w:autoSpaceDE/>
              <w:autoSpaceDN/>
              <w:bidi w:val="0"/>
              <w:adjustRightInd w:val="0"/>
              <w:snapToGrid w:val="0"/>
              <w:spacing w:line="360" w:lineRule="exact"/>
              <w:ind w:left="0" w:right="0" w:firstLine="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投标人承担过类似</w:t>
            </w:r>
            <w:r>
              <w:rPr>
                <w:rFonts w:hint="eastAsia" w:ascii="宋体" w:hAnsi="宋体" w:eastAsia="宋体" w:cs="宋体"/>
                <w:color w:val="auto"/>
                <w:spacing w:val="-11"/>
                <w:kern w:val="2"/>
                <w:sz w:val="21"/>
                <w:szCs w:val="21"/>
                <w:highlight w:val="none"/>
              </w:rPr>
              <w:t>地下管线普查监理类项目</w:t>
            </w:r>
            <w:r>
              <w:rPr>
                <w:rFonts w:hint="eastAsia" w:ascii="宋体" w:hAnsi="宋体" w:eastAsia="宋体" w:cs="宋体"/>
                <w:color w:val="auto"/>
                <w:spacing w:val="-11"/>
                <w:kern w:val="2"/>
                <w:sz w:val="21"/>
                <w:szCs w:val="21"/>
                <w:highlight w:val="none"/>
                <w:lang w:val="en-US" w:eastAsia="zh-CN"/>
              </w:rPr>
              <w:t>履约经验</w:t>
            </w:r>
            <w:r>
              <w:rPr>
                <w:rFonts w:hint="eastAsia" w:ascii="宋体" w:hAnsi="宋体" w:eastAsia="宋体" w:cs="宋体"/>
                <w:color w:val="auto"/>
                <w:spacing w:val="-11"/>
                <w:kern w:val="2"/>
                <w:sz w:val="21"/>
                <w:szCs w:val="21"/>
                <w:highlight w:val="none"/>
              </w:rPr>
              <w:t>的每个得</w:t>
            </w:r>
            <w:r>
              <w:rPr>
                <w:rFonts w:hint="eastAsia" w:ascii="宋体" w:hAnsi="宋体" w:eastAsia="宋体" w:cs="宋体"/>
                <w:color w:val="auto"/>
                <w:spacing w:val="-11"/>
                <w:kern w:val="2"/>
                <w:sz w:val="21"/>
                <w:szCs w:val="21"/>
                <w:highlight w:val="none"/>
                <w:u w:val="single"/>
              </w:rPr>
              <w:t xml:space="preserve"> </w:t>
            </w:r>
            <w:r>
              <w:rPr>
                <w:rFonts w:hint="eastAsia" w:ascii="宋体" w:hAnsi="宋体" w:eastAsia="宋体" w:cs="宋体"/>
                <w:color w:val="auto"/>
                <w:kern w:val="2"/>
                <w:sz w:val="21"/>
                <w:szCs w:val="21"/>
                <w:highlight w:val="none"/>
                <w:u w:val="single"/>
              </w:rPr>
              <w:t xml:space="preserve">3 </w:t>
            </w:r>
            <w:r>
              <w:rPr>
                <w:rFonts w:hint="eastAsia" w:ascii="宋体" w:hAnsi="宋体" w:eastAsia="宋体" w:cs="宋体"/>
                <w:color w:val="auto"/>
                <w:spacing w:val="-14"/>
                <w:kern w:val="2"/>
                <w:sz w:val="21"/>
                <w:szCs w:val="21"/>
                <w:highlight w:val="none"/>
              </w:rPr>
              <w:t>分，最多</w:t>
            </w:r>
            <w:r>
              <w:rPr>
                <w:rFonts w:hint="eastAsia" w:ascii="宋体" w:hAnsi="宋体" w:eastAsia="宋体" w:cs="宋体"/>
                <w:color w:val="auto"/>
                <w:spacing w:val="-14"/>
                <w:kern w:val="2"/>
                <w:sz w:val="21"/>
                <w:szCs w:val="21"/>
                <w:highlight w:val="none"/>
                <w:u w:val="single"/>
              </w:rPr>
              <w:t xml:space="preserve"> 9 </w:t>
            </w:r>
            <w:r>
              <w:rPr>
                <w:rFonts w:hint="eastAsia" w:ascii="宋体" w:hAnsi="宋体" w:eastAsia="宋体" w:cs="宋体"/>
                <w:color w:val="auto"/>
                <w:kern w:val="2"/>
                <w:sz w:val="21"/>
                <w:szCs w:val="21"/>
                <w:highlight w:val="none"/>
              </w:rPr>
              <w:t>分，此项共计</w:t>
            </w:r>
            <w:r>
              <w:rPr>
                <w:rFonts w:hint="eastAsia" w:ascii="宋体" w:hAnsi="宋体" w:eastAsia="宋体" w:cs="宋体"/>
                <w:color w:val="auto"/>
                <w:kern w:val="2"/>
                <w:sz w:val="21"/>
                <w:szCs w:val="21"/>
                <w:highlight w:val="none"/>
                <w:u w:val="single"/>
              </w:rPr>
              <w:t xml:space="preserve"> 9 </w:t>
            </w:r>
            <w:r>
              <w:rPr>
                <w:rFonts w:hint="eastAsia" w:ascii="宋体" w:hAnsi="宋体" w:eastAsia="宋体" w:cs="宋体"/>
                <w:color w:val="auto"/>
                <w:kern w:val="2"/>
                <w:sz w:val="21"/>
                <w:szCs w:val="21"/>
                <w:highlight w:val="none"/>
              </w:rPr>
              <w:t>分。</w:t>
            </w:r>
          </w:p>
          <w:p>
            <w:pPr>
              <w:pStyle w:val="94"/>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textAlignment w:val="auto"/>
              <w:rPr>
                <w:rFonts w:hint="eastAsia" w:ascii="宋体" w:hAnsi="宋体" w:eastAsia="宋体" w:cs="宋体"/>
                <w:b/>
                <w:bCs/>
                <w:snapToGrid w:val="0"/>
                <w:color w:val="auto"/>
                <w:kern w:val="2"/>
                <w:sz w:val="21"/>
                <w:szCs w:val="21"/>
                <w:highlight w:val="none"/>
                <w:lang w:val="en-US" w:eastAsia="zh-CN" w:bidi="ar-SA"/>
              </w:rPr>
            </w:pPr>
            <w:r>
              <w:rPr>
                <w:rFonts w:hint="eastAsia" w:ascii="宋体" w:hAnsi="宋体" w:eastAsia="宋体" w:cs="宋体"/>
                <w:b/>
                <w:bCs/>
                <w:snapToGrid w:val="0"/>
                <w:color w:val="auto"/>
                <w:kern w:val="2"/>
                <w:sz w:val="21"/>
                <w:szCs w:val="21"/>
                <w:highlight w:val="none"/>
                <w:lang w:val="en-US" w:eastAsia="zh-CN" w:bidi="ar-SA"/>
              </w:rPr>
              <w:t>注：以上</w:t>
            </w:r>
            <w:r>
              <w:rPr>
                <w:rFonts w:hint="eastAsia" w:cs="宋体"/>
                <w:b/>
                <w:bCs/>
                <w:snapToGrid w:val="0"/>
                <w:color w:val="auto"/>
                <w:kern w:val="2"/>
                <w:sz w:val="21"/>
                <w:szCs w:val="21"/>
                <w:highlight w:val="none"/>
                <w:lang w:val="en-US" w:eastAsia="zh-CN" w:bidi="ar-SA"/>
              </w:rPr>
              <w:t>履约经验</w:t>
            </w:r>
            <w:r>
              <w:rPr>
                <w:rFonts w:hint="eastAsia" w:ascii="宋体" w:hAnsi="宋体" w:eastAsia="宋体" w:cs="宋体"/>
                <w:b/>
                <w:bCs/>
                <w:snapToGrid w:val="0"/>
                <w:color w:val="auto"/>
                <w:kern w:val="2"/>
                <w:sz w:val="21"/>
                <w:szCs w:val="21"/>
                <w:highlight w:val="none"/>
                <w:lang w:val="en-US" w:eastAsia="zh-CN" w:bidi="ar-SA"/>
              </w:rPr>
              <w:t>需提供合同（或任务来源证明文件）复印件，需加盖公章，如复印件不能清晰反映上述内容的，不得分。</w:t>
            </w:r>
          </w:p>
          <w:p>
            <w:pPr>
              <w:pStyle w:val="94"/>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textAlignment w:val="auto"/>
              <w:rPr>
                <w:rFonts w:hint="eastAsia" w:cs="宋体"/>
                <w:b w:val="0"/>
                <w:bCs w:val="0"/>
                <w:snapToGrid w:val="0"/>
                <w:color w:val="auto"/>
                <w:kern w:val="2"/>
                <w:sz w:val="21"/>
                <w:szCs w:val="21"/>
                <w:highlight w:val="none"/>
                <w:lang w:val="en-US" w:eastAsia="zh-CN" w:bidi="ar-SA"/>
              </w:rPr>
            </w:pPr>
            <w:r>
              <w:rPr>
                <w:rFonts w:hint="eastAsia" w:cs="宋体"/>
                <w:b w:val="0"/>
                <w:bCs w:val="0"/>
                <w:snapToGrid w:val="0"/>
                <w:color w:val="auto"/>
                <w:kern w:val="2"/>
                <w:sz w:val="21"/>
                <w:szCs w:val="21"/>
                <w:highlight w:val="none"/>
                <w:lang w:val="en-US" w:eastAsia="zh-CN" w:bidi="ar-SA"/>
              </w:rPr>
              <w:t>2.</w:t>
            </w:r>
            <w:r>
              <w:rPr>
                <w:rFonts w:hint="eastAsia" w:ascii="宋体" w:hAnsi="宋体" w:eastAsia="宋体" w:cs="宋体"/>
                <w:color w:val="auto"/>
                <w:kern w:val="2"/>
                <w:sz w:val="21"/>
                <w:szCs w:val="21"/>
                <w:highlight w:val="none"/>
              </w:rPr>
              <w:t>投标人</w:t>
            </w:r>
            <w:r>
              <w:rPr>
                <w:rFonts w:hint="eastAsia" w:cs="宋体"/>
                <w:b w:val="0"/>
                <w:bCs w:val="0"/>
                <w:snapToGrid w:val="0"/>
                <w:color w:val="auto"/>
                <w:kern w:val="2"/>
                <w:sz w:val="21"/>
                <w:szCs w:val="21"/>
                <w:highlight w:val="none"/>
                <w:lang w:val="en-US" w:eastAsia="zh-CN" w:bidi="ar-SA"/>
              </w:rPr>
              <w:t>提供有效期内的质量管理体系认证证书、环境管理体系认证证书、职业健康安全管理体系认证证书的，每提供一个得2分，此项共计</w:t>
            </w:r>
            <w:r>
              <w:rPr>
                <w:rFonts w:hint="eastAsia" w:cs="宋体"/>
                <w:b w:val="0"/>
                <w:bCs w:val="0"/>
                <w:snapToGrid w:val="0"/>
                <w:color w:val="auto"/>
                <w:kern w:val="2"/>
                <w:sz w:val="21"/>
                <w:szCs w:val="21"/>
                <w:highlight w:val="none"/>
                <w:u w:val="single"/>
                <w:lang w:val="en-US" w:eastAsia="zh-CN" w:bidi="ar-SA"/>
              </w:rPr>
              <w:t>6</w:t>
            </w:r>
            <w:r>
              <w:rPr>
                <w:rFonts w:hint="eastAsia" w:cs="宋体"/>
                <w:b w:val="0"/>
                <w:bCs w:val="0"/>
                <w:snapToGrid w:val="0"/>
                <w:color w:val="auto"/>
                <w:kern w:val="2"/>
                <w:sz w:val="21"/>
                <w:szCs w:val="21"/>
                <w:highlight w:val="none"/>
                <w:lang w:val="en-US" w:eastAsia="zh-CN" w:bidi="ar-SA"/>
              </w:rPr>
              <w:t>分。</w:t>
            </w:r>
          </w:p>
          <w:p>
            <w:pPr>
              <w:pStyle w:val="94"/>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textAlignment w:val="auto"/>
              <w:rPr>
                <w:rFonts w:hint="default" w:ascii="宋体" w:hAnsi="宋体" w:eastAsia="宋体" w:cs="宋体"/>
                <w:color w:val="auto"/>
                <w:sz w:val="21"/>
                <w:szCs w:val="21"/>
                <w:highlight w:val="none"/>
                <w:lang w:val="en-US"/>
              </w:rPr>
            </w:pPr>
            <w:r>
              <w:rPr>
                <w:rFonts w:hint="eastAsia" w:cs="宋体"/>
                <w:b/>
                <w:bCs/>
                <w:snapToGrid w:val="0"/>
                <w:color w:val="auto"/>
                <w:kern w:val="2"/>
                <w:sz w:val="21"/>
                <w:szCs w:val="21"/>
                <w:highlight w:val="none"/>
                <w:lang w:val="en-US" w:eastAsia="zh-CN" w:bidi="ar-SA"/>
              </w:rPr>
              <w:t>注：提供相关证书复印件。</w:t>
            </w:r>
          </w:p>
        </w:tc>
        <w:tc>
          <w:tcPr>
            <w:tcW w:w="1045" w:type="dxa"/>
            <w:tcBorders>
              <w:tl2br w:val="nil"/>
              <w:tr2bl w:val="nil"/>
            </w:tcBorders>
            <w:vAlign w:val="center"/>
          </w:tcPr>
          <w:p>
            <w:pPr>
              <w:pStyle w:val="48"/>
              <w:spacing w:line="360" w:lineRule="exact"/>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2" w:type="dxa"/>
            <w:tcBorders>
              <w:tl2br w:val="nil"/>
              <w:tr2bl w:val="nil"/>
            </w:tcBorders>
            <w:vAlign w:val="center"/>
          </w:tcPr>
          <w:p>
            <w:pPr>
              <w:pStyle w:val="48"/>
              <w:spacing w:line="360" w:lineRule="exact"/>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六</w:t>
            </w:r>
          </w:p>
        </w:tc>
        <w:tc>
          <w:tcPr>
            <w:tcW w:w="1296" w:type="dxa"/>
            <w:tcBorders>
              <w:tl2br w:val="nil"/>
              <w:tr2bl w:val="nil"/>
            </w:tcBorders>
            <w:vAlign w:val="center"/>
          </w:tcPr>
          <w:p>
            <w:pPr>
              <w:pStyle w:val="48"/>
              <w:spacing w:line="360" w:lineRule="exact"/>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扶持少数民族地区1%</w:t>
            </w:r>
          </w:p>
        </w:tc>
        <w:tc>
          <w:tcPr>
            <w:tcW w:w="670" w:type="dxa"/>
            <w:tcBorders>
              <w:tl2br w:val="nil"/>
              <w:tr2bl w:val="nil"/>
            </w:tcBorders>
            <w:vAlign w:val="center"/>
          </w:tcPr>
          <w:p>
            <w:pPr>
              <w:pStyle w:val="48"/>
              <w:spacing w:line="360" w:lineRule="exact"/>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1分</w:t>
            </w:r>
          </w:p>
        </w:tc>
        <w:tc>
          <w:tcPr>
            <w:tcW w:w="6637" w:type="dxa"/>
            <w:tcBorders>
              <w:tl2br w:val="nil"/>
              <w:tr2bl w:val="nil"/>
            </w:tcBorders>
            <w:vAlign w:val="center"/>
          </w:tcPr>
          <w:p>
            <w:pPr>
              <w:pStyle w:val="48"/>
              <w:spacing w:line="36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投标人注册在少数民族地区的得1分。</w:t>
            </w:r>
          </w:p>
          <w:p>
            <w:pPr>
              <w:pStyle w:val="48"/>
              <w:spacing w:line="36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注：指投标人注册地在民族自治区、自治州、自治县</w:t>
            </w:r>
            <w:r>
              <w:rPr>
                <w:rFonts w:hint="eastAsia" w:asciiTheme="minorEastAsia" w:hAnsiTheme="minorEastAsia" w:eastAsiaTheme="minorEastAsia" w:cstheme="minorEastAsia"/>
                <w:b/>
                <w:bCs/>
                <w:sz w:val="21"/>
                <w:szCs w:val="21"/>
                <w:highlight w:val="none"/>
                <w:lang w:eastAsia="zh-CN"/>
              </w:rPr>
              <w:t>（</w:t>
            </w:r>
            <w:r>
              <w:rPr>
                <w:rFonts w:hint="eastAsia" w:asciiTheme="minorEastAsia" w:hAnsiTheme="minorEastAsia" w:eastAsiaTheme="minorEastAsia" w:cstheme="minorEastAsia"/>
                <w:b/>
                <w:bCs/>
                <w:sz w:val="21"/>
                <w:szCs w:val="21"/>
                <w:highlight w:val="none"/>
                <w:lang w:val="en-US" w:eastAsia="zh-CN"/>
              </w:rPr>
              <w:t>含享受少数民族待遇的区县</w:t>
            </w:r>
            <w:r>
              <w:rPr>
                <w:rFonts w:hint="eastAsia" w:asciiTheme="minorEastAsia" w:hAnsiTheme="minorEastAsia" w:eastAsiaTheme="minorEastAsia" w:cstheme="minorEastAsia"/>
                <w:b/>
                <w:bCs/>
                <w:sz w:val="21"/>
                <w:szCs w:val="21"/>
                <w:highlight w:val="none"/>
                <w:lang w:eastAsia="zh-CN"/>
              </w:rPr>
              <w:t>）</w:t>
            </w:r>
            <w:r>
              <w:rPr>
                <w:rFonts w:hint="eastAsia" w:asciiTheme="minorEastAsia" w:hAnsiTheme="minorEastAsia" w:eastAsiaTheme="minorEastAsia" w:cstheme="minorEastAsia"/>
                <w:b/>
                <w:bCs/>
                <w:sz w:val="21"/>
                <w:szCs w:val="21"/>
              </w:rPr>
              <w:t>、</w:t>
            </w:r>
            <w:r>
              <w:rPr>
                <w:rFonts w:hint="eastAsia" w:asciiTheme="minorEastAsia" w:hAnsiTheme="minorEastAsia" w:eastAsiaTheme="minorEastAsia" w:cstheme="minorEastAsia"/>
                <w:b/>
                <w:bCs/>
                <w:sz w:val="21"/>
                <w:szCs w:val="21"/>
                <w:lang w:val="en-US" w:eastAsia="zh-CN"/>
              </w:rPr>
              <w:t>民族</w:t>
            </w:r>
            <w:r>
              <w:rPr>
                <w:rFonts w:hint="eastAsia" w:asciiTheme="minorEastAsia" w:hAnsiTheme="minorEastAsia" w:eastAsiaTheme="minorEastAsia" w:cstheme="minorEastAsia"/>
                <w:b/>
                <w:bCs/>
                <w:sz w:val="21"/>
                <w:szCs w:val="21"/>
              </w:rPr>
              <w:t>乡的，提供营业执照</w:t>
            </w:r>
            <w:r>
              <w:rPr>
                <w:rFonts w:hint="eastAsia" w:asciiTheme="minorEastAsia" w:hAnsiTheme="minorEastAsia" w:eastAsiaTheme="minorEastAsia" w:cstheme="minorEastAsia"/>
                <w:b/>
                <w:bCs/>
                <w:sz w:val="21"/>
                <w:szCs w:val="21"/>
                <w:lang w:val="en-US" w:eastAsia="zh-CN"/>
              </w:rPr>
              <w:t>副本</w:t>
            </w:r>
            <w:r>
              <w:rPr>
                <w:rFonts w:hint="eastAsia" w:asciiTheme="minorEastAsia" w:hAnsiTheme="minorEastAsia" w:eastAsiaTheme="minorEastAsia" w:cstheme="minorEastAsia"/>
                <w:b/>
                <w:bCs/>
                <w:sz w:val="21"/>
                <w:szCs w:val="21"/>
              </w:rPr>
              <w:t>复印件。</w:t>
            </w:r>
          </w:p>
        </w:tc>
        <w:tc>
          <w:tcPr>
            <w:tcW w:w="1045" w:type="dxa"/>
            <w:tcBorders>
              <w:tl2br w:val="nil"/>
              <w:tr2bl w:val="nil"/>
            </w:tcBorders>
            <w:vAlign w:val="center"/>
          </w:tcPr>
          <w:p>
            <w:pPr>
              <w:pStyle w:val="48"/>
              <w:spacing w:line="360" w:lineRule="exact"/>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2" w:type="dxa"/>
            <w:tcBorders>
              <w:tl2br w:val="nil"/>
              <w:tr2bl w:val="nil"/>
            </w:tcBorders>
            <w:vAlign w:val="center"/>
          </w:tcPr>
          <w:p>
            <w:pPr>
              <w:pStyle w:val="51"/>
              <w:keepNext w:val="0"/>
              <w:keepLines w:val="0"/>
              <w:pageBreakBefore w:val="0"/>
              <w:widowControl w:val="0"/>
              <w:kinsoku/>
              <w:bidi w:val="0"/>
              <w:adjustRightInd w:val="0"/>
              <w:snapToGrid w:val="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七</w:t>
            </w:r>
          </w:p>
        </w:tc>
        <w:tc>
          <w:tcPr>
            <w:tcW w:w="1296" w:type="dxa"/>
            <w:tcBorders>
              <w:tl2br w:val="nil"/>
              <w:tr2bl w:val="nil"/>
            </w:tcBorders>
            <w:vAlign w:val="center"/>
          </w:tcPr>
          <w:p>
            <w:pPr>
              <w:spacing w:line="320" w:lineRule="exact"/>
              <w:ind w:firstLine="28" w:firstLineChars="0"/>
              <w:jc w:val="center"/>
              <w:rPr>
                <w:rFonts w:hint="eastAsia" w:asciiTheme="minorEastAsia" w:hAnsiTheme="minorEastAsia" w:eastAsiaTheme="minorEastAsia" w:cstheme="minorEastAsia"/>
                <w:snapToGrid w:val="0"/>
                <w:kern w:val="2"/>
                <w:sz w:val="21"/>
                <w:szCs w:val="21"/>
                <w:lang w:val="en-US" w:eastAsia="zh-CN" w:bidi="ar-SA"/>
              </w:rPr>
            </w:pPr>
            <w:r>
              <w:rPr>
                <w:rFonts w:hint="eastAsia" w:asciiTheme="minorEastAsia" w:hAnsiTheme="minorEastAsia" w:eastAsiaTheme="minorEastAsia" w:cstheme="minorEastAsia"/>
                <w:snapToGrid w:val="0"/>
                <w:kern w:val="2"/>
                <w:sz w:val="21"/>
                <w:szCs w:val="21"/>
                <w:lang w:val="en-US" w:eastAsia="zh-CN" w:bidi="ar-SA"/>
              </w:rPr>
              <w:t>投标文件的规范性1%</w:t>
            </w:r>
          </w:p>
        </w:tc>
        <w:tc>
          <w:tcPr>
            <w:tcW w:w="670" w:type="dxa"/>
            <w:tcBorders>
              <w:tl2br w:val="nil"/>
              <w:tr2bl w:val="nil"/>
            </w:tcBorders>
            <w:vAlign w:val="center"/>
          </w:tcPr>
          <w:p>
            <w:pPr>
              <w:spacing w:line="320" w:lineRule="exact"/>
              <w:ind w:firstLine="28" w:firstLineChars="0"/>
              <w:jc w:val="center"/>
              <w:rPr>
                <w:rFonts w:hint="eastAsia" w:asciiTheme="minorEastAsia" w:hAnsiTheme="minorEastAsia" w:eastAsiaTheme="minorEastAsia" w:cstheme="minorEastAsia"/>
                <w:snapToGrid w:val="0"/>
                <w:kern w:val="2"/>
                <w:sz w:val="21"/>
                <w:szCs w:val="21"/>
                <w:lang w:val="en-US" w:eastAsia="zh-CN" w:bidi="ar-SA"/>
              </w:rPr>
            </w:pPr>
            <w:r>
              <w:rPr>
                <w:rFonts w:hint="eastAsia" w:asciiTheme="minorEastAsia" w:hAnsiTheme="minorEastAsia" w:eastAsiaTheme="minorEastAsia" w:cstheme="minorEastAsia"/>
                <w:snapToGrid w:val="0"/>
                <w:kern w:val="2"/>
                <w:sz w:val="21"/>
                <w:szCs w:val="21"/>
                <w:lang w:val="en-US" w:eastAsia="zh-CN" w:bidi="ar-SA"/>
              </w:rPr>
              <w:t>1分</w:t>
            </w:r>
          </w:p>
        </w:tc>
        <w:tc>
          <w:tcPr>
            <w:tcW w:w="6637" w:type="dxa"/>
            <w:tcBorders>
              <w:tl2br w:val="nil"/>
              <w:tr2bl w:val="nil"/>
            </w:tcBorders>
            <w:vAlign w:val="center"/>
          </w:tcPr>
          <w:p>
            <w:pPr>
              <w:spacing w:line="320" w:lineRule="exact"/>
              <w:ind w:firstLine="28" w:firstLineChars="0"/>
              <w:rPr>
                <w:rFonts w:hint="eastAsia" w:asciiTheme="minorEastAsia" w:hAnsiTheme="minorEastAsia" w:eastAsiaTheme="minorEastAsia" w:cstheme="minorEastAsia"/>
                <w:b/>
                <w:bCs/>
                <w:sz w:val="21"/>
                <w:szCs w:val="21"/>
              </w:rPr>
            </w:pP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文件制作规范，没有细微偏差情形的得</w:t>
            </w:r>
            <w:r>
              <w:rPr>
                <w:rFonts w:hint="eastAsia" w:cs="宋体"/>
                <w:color w:val="auto"/>
                <w:sz w:val="21"/>
                <w:szCs w:val="21"/>
                <w:highlight w:val="none"/>
                <w:lang w:val="en-US" w:eastAsia="zh-CN"/>
              </w:rPr>
              <w:t>1</w:t>
            </w:r>
            <w:r>
              <w:rPr>
                <w:rFonts w:hint="eastAsia" w:ascii="宋体" w:hAnsi="宋体" w:eastAsia="宋体" w:cs="宋体"/>
                <w:color w:val="auto"/>
                <w:sz w:val="21"/>
                <w:szCs w:val="21"/>
                <w:highlight w:val="none"/>
              </w:rPr>
              <w:t>分；有一项细微偏差扣</w:t>
            </w:r>
            <w:r>
              <w:rPr>
                <w:rFonts w:hint="eastAsia" w:ascii="宋体" w:hAnsi="宋体" w:eastAsia="宋体" w:cs="宋体"/>
                <w:color w:val="auto"/>
                <w:sz w:val="21"/>
                <w:szCs w:val="21"/>
                <w:highlight w:val="none"/>
                <w:lang w:val="en-US" w:eastAsia="zh-CN"/>
              </w:rPr>
              <w:t>0.</w:t>
            </w: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rPr>
              <w:t>分，直至该项分值扣完为止。</w:t>
            </w:r>
          </w:p>
        </w:tc>
        <w:tc>
          <w:tcPr>
            <w:tcW w:w="1045" w:type="dxa"/>
            <w:tcBorders>
              <w:tl2br w:val="nil"/>
              <w:tr2bl w:val="nil"/>
            </w:tcBorders>
            <w:vAlign w:val="center"/>
          </w:tcPr>
          <w:p>
            <w:pPr>
              <w:pStyle w:val="51"/>
              <w:keepNext w:val="0"/>
              <w:keepLines w:val="0"/>
              <w:pageBreakBefore w:val="0"/>
              <w:widowControl w:val="0"/>
              <w:kinsoku/>
              <w:bidi w:val="0"/>
              <w:adjustRightInd w:val="0"/>
              <w:snapToGrid w:val="0"/>
              <w:textAlignment w:val="auto"/>
              <w:rPr>
                <w:rFonts w:hint="eastAsia" w:asciiTheme="minorEastAsia" w:hAnsiTheme="minorEastAsia" w:eastAsiaTheme="minorEastAsia" w:cstheme="minorEastAsia"/>
                <w:sz w:val="21"/>
                <w:szCs w:val="21"/>
              </w:rPr>
            </w:pPr>
            <w:r>
              <w:rPr>
                <w:rFonts w:hint="eastAsia" w:ascii="宋体" w:hAnsi="宋体" w:eastAsia="宋体" w:cs="宋体"/>
                <w:sz w:val="21"/>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090" w:type="dxa"/>
            <w:gridSpan w:val="5"/>
            <w:tcBorders>
              <w:tl2br w:val="nil"/>
              <w:tr2bl w:val="nil"/>
            </w:tcBorders>
            <w:vAlign w:val="center"/>
          </w:tcPr>
          <w:p>
            <w:pPr>
              <w:pStyle w:val="51"/>
              <w:keepNext w:val="0"/>
              <w:keepLines w:val="0"/>
              <w:pageBreakBefore w:val="0"/>
              <w:widowControl w:val="0"/>
              <w:kinsoku/>
              <w:bidi w:val="0"/>
              <w:adjustRightInd w:val="0"/>
              <w:snapToGrid w:val="0"/>
              <w:jc w:val="both"/>
              <w:textAlignment w:val="auto"/>
              <w:rPr>
                <w:rFonts w:hint="eastAsia" w:asciiTheme="minorEastAsia" w:hAnsiTheme="minorEastAsia" w:eastAsiaTheme="minorEastAsia" w:cstheme="minorEastAsia"/>
                <w:sz w:val="21"/>
                <w:szCs w:val="21"/>
              </w:rPr>
            </w:pPr>
            <w:r>
              <w:rPr>
                <w:rFonts w:hint="eastAsia" w:ascii="宋体" w:hAnsi="宋体" w:eastAsia="宋体" w:cs="宋体"/>
                <w:b/>
                <w:bCs/>
                <w:sz w:val="21"/>
                <w:szCs w:val="21"/>
              </w:rPr>
              <w:t>注：</w:t>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 1 \* GB3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t>①</w:t>
            </w:r>
            <w:r>
              <w:rPr>
                <w:rFonts w:hint="eastAsia" w:ascii="宋体" w:hAnsi="宋体" w:eastAsia="宋体" w:cs="宋体"/>
                <w:b/>
                <w:bCs/>
                <w:sz w:val="21"/>
                <w:szCs w:val="21"/>
              </w:rPr>
              <w:fldChar w:fldCharType="end"/>
            </w:r>
            <w:r>
              <w:rPr>
                <w:rFonts w:hint="eastAsia" w:ascii="宋体" w:hAnsi="宋体" w:eastAsia="宋体" w:cs="宋体"/>
                <w:b/>
                <w:bCs/>
                <w:sz w:val="21"/>
                <w:szCs w:val="21"/>
              </w:rPr>
              <w:t>评分的取值按四舍五入法，小数点后保留两位。</w:t>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 2 \* GB3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t>②</w:t>
            </w:r>
            <w:r>
              <w:rPr>
                <w:rFonts w:hint="eastAsia" w:ascii="宋体" w:hAnsi="宋体" w:eastAsia="宋体" w:cs="宋体"/>
                <w:b/>
                <w:bCs/>
                <w:sz w:val="21"/>
                <w:szCs w:val="21"/>
              </w:rPr>
              <w:fldChar w:fldCharType="end"/>
            </w:r>
            <w:r>
              <w:rPr>
                <w:rFonts w:hint="eastAsia" w:ascii="宋体" w:hAnsi="宋体" w:eastAsia="宋体" w:cs="宋体"/>
                <w:b/>
                <w:bCs/>
                <w:sz w:val="21"/>
                <w:szCs w:val="21"/>
              </w:rPr>
              <w:t>本表中要求提供各类证明材料，均需加盖投标人单位公章，否则将不认可该项材料的有效性。③本项目不涉及节能、环境标志、无线局域网产品，故在综合评分明细表中不作体现。</w:t>
            </w:r>
          </w:p>
        </w:tc>
      </w:tr>
    </w:tbl>
    <w:p>
      <w:pPr>
        <w:pStyle w:val="41"/>
        <w:numPr>
          <w:ilvl w:val="1"/>
          <w:numId w:val="0"/>
        </w:numPr>
        <w:ind w:left="480" w:leftChars="200"/>
        <w:outlineLvl w:val="2"/>
        <w:rPr>
          <w:rFonts w:cs="宋体"/>
          <w:b w:val="0"/>
          <w:bCs/>
        </w:rPr>
      </w:pPr>
      <w:r>
        <w:rPr>
          <w:rFonts w:hint="eastAsia" w:cs="宋体"/>
          <w:b w:val="0"/>
          <w:bCs/>
        </w:rPr>
        <w:t>第</w:t>
      </w:r>
      <w:r>
        <w:rPr>
          <w:rFonts w:hint="eastAsia" w:cs="宋体"/>
          <w:b w:val="0"/>
          <w:bCs/>
          <w:lang w:eastAsia="zh-CN"/>
        </w:rPr>
        <w:t>五</w:t>
      </w:r>
      <w:r>
        <w:rPr>
          <w:rFonts w:hint="eastAsia" w:cs="宋体"/>
          <w:b w:val="0"/>
          <w:bCs/>
        </w:rPr>
        <w:t>包：</w:t>
      </w:r>
      <w:bookmarkEnd w:id="1434"/>
      <w:bookmarkEnd w:id="1435"/>
      <w:bookmarkEnd w:id="1436"/>
    </w:p>
    <w:tbl>
      <w:tblPr>
        <w:tblStyle w:val="26"/>
        <w:tblW w:w="9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276"/>
        <w:gridCol w:w="672"/>
        <w:gridCol w:w="6552"/>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blHeader/>
          <w:jc w:val="center"/>
        </w:trPr>
        <w:tc>
          <w:tcPr>
            <w:tcW w:w="440" w:type="dxa"/>
            <w:vAlign w:val="center"/>
          </w:tcPr>
          <w:p>
            <w:pPr>
              <w:pStyle w:val="51"/>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序号</w:t>
            </w:r>
          </w:p>
        </w:tc>
        <w:tc>
          <w:tcPr>
            <w:tcW w:w="1276" w:type="dxa"/>
            <w:vAlign w:val="center"/>
          </w:tcPr>
          <w:p>
            <w:pPr>
              <w:pStyle w:val="51"/>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评分因素</w:t>
            </w:r>
          </w:p>
          <w:p>
            <w:pPr>
              <w:pStyle w:val="51"/>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及权重</w:t>
            </w:r>
          </w:p>
        </w:tc>
        <w:tc>
          <w:tcPr>
            <w:tcW w:w="672" w:type="dxa"/>
            <w:vAlign w:val="center"/>
          </w:tcPr>
          <w:p>
            <w:pPr>
              <w:pStyle w:val="51"/>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分值</w:t>
            </w:r>
          </w:p>
        </w:tc>
        <w:tc>
          <w:tcPr>
            <w:tcW w:w="6552" w:type="dxa"/>
            <w:vAlign w:val="center"/>
          </w:tcPr>
          <w:p>
            <w:pPr>
              <w:pStyle w:val="51"/>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评分标准</w:t>
            </w:r>
          </w:p>
        </w:tc>
        <w:tc>
          <w:tcPr>
            <w:tcW w:w="1020" w:type="dxa"/>
            <w:vAlign w:val="center"/>
          </w:tcPr>
          <w:p>
            <w:pPr>
              <w:pStyle w:val="51"/>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dxa"/>
            <w:vAlign w:val="center"/>
          </w:tcPr>
          <w:p>
            <w:pPr>
              <w:pStyle w:val="51"/>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w:t>
            </w:r>
          </w:p>
        </w:tc>
        <w:tc>
          <w:tcPr>
            <w:tcW w:w="1276" w:type="dxa"/>
            <w:vAlign w:val="center"/>
          </w:tcPr>
          <w:p>
            <w:pPr>
              <w:pStyle w:val="51"/>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投标报价</w:t>
            </w:r>
          </w:p>
          <w:p>
            <w:pPr>
              <w:pStyle w:val="51"/>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r>
              <w:rPr>
                <w:rFonts w:hint="eastAsia" w:asciiTheme="minorEastAsia" w:hAnsiTheme="minorEastAsia" w:eastAsiaTheme="minorEastAsia" w:cstheme="minorEastAsia"/>
                <w:szCs w:val="21"/>
                <w:lang w:val="en-US" w:eastAsia="zh-CN"/>
              </w:rPr>
              <w:t>5</w:t>
            </w:r>
            <w:r>
              <w:rPr>
                <w:rFonts w:hint="eastAsia" w:asciiTheme="minorEastAsia" w:hAnsiTheme="minorEastAsia" w:eastAsiaTheme="minorEastAsia" w:cstheme="minorEastAsia"/>
                <w:szCs w:val="21"/>
              </w:rPr>
              <w:t>%</w:t>
            </w:r>
          </w:p>
        </w:tc>
        <w:tc>
          <w:tcPr>
            <w:tcW w:w="672" w:type="dxa"/>
            <w:vAlign w:val="center"/>
          </w:tcPr>
          <w:p>
            <w:pPr>
              <w:pStyle w:val="51"/>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r>
              <w:rPr>
                <w:rFonts w:hint="eastAsia" w:asciiTheme="minorEastAsia" w:hAnsiTheme="minorEastAsia" w:eastAsiaTheme="minorEastAsia" w:cstheme="minorEastAsia"/>
                <w:szCs w:val="21"/>
                <w:lang w:val="en-US" w:eastAsia="zh-CN"/>
              </w:rPr>
              <w:t>5</w:t>
            </w:r>
            <w:r>
              <w:rPr>
                <w:rFonts w:hint="eastAsia" w:asciiTheme="minorEastAsia" w:hAnsiTheme="minorEastAsia" w:eastAsiaTheme="minorEastAsia" w:cstheme="minorEastAsia"/>
                <w:szCs w:val="21"/>
              </w:rPr>
              <w:t>分</w:t>
            </w:r>
          </w:p>
        </w:tc>
        <w:tc>
          <w:tcPr>
            <w:tcW w:w="6552" w:type="dxa"/>
            <w:vAlign w:val="center"/>
          </w:tcPr>
          <w:p>
            <w:pPr>
              <w:pStyle w:val="47"/>
              <w:ind w:left="24" w:leftChars="1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满足招标文件要求且投标价格最低的投标报价为评标基准价，其价格分为满分。其他投标人的价格分统一按照下列公式计算：投标报价得分=(评标基准价／投标报价)×1</w:t>
            </w:r>
            <w:r>
              <w:rPr>
                <w:rFonts w:hint="eastAsia" w:asciiTheme="minorEastAsia" w:hAnsiTheme="minorEastAsia" w:eastAsiaTheme="minorEastAsia" w:cstheme="minorEastAsia"/>
                <w:szCs w:val="21"/>
                <w:lang w:val="en-US" w:eastAsia="zh-CN"/>
              </w:rPr>
              <w:t>5</w:t>
            </w:r>
            <w:r>
              <w:rPr>
                <w:rFonts w:hint="eastAsia" w:asciiTheme="minorEastAsia" w:hAnsiTheme="minorEastAsia" w:eastAsiaTheme="minorEastAsia" w:cstheme="minorEastAsia"/>
                <w:szCs w:val="21"/>
              </w:rPr>
              <w:t>%×100；</w:t>
            </w:r>
          </w:p>
          <w:p>
            <w:pPr>
              <w:pStyle w:val="47"/>
              <w:ind w:left="0" w:leftChars="0"/>
              <w:rPr>
                <w:rFonts w:asciiTheme="minorEastAsia" w:hAnsiTheme="minorEastAsia" w:eastAsiaTheme="minorEastAsia" w:cstheme="minorEastAsia"/>
                <w:b w:val="0"/>
                <w:bCs w:val="0"/>
                <w:szCs w:val="21"/>
              </w:rPr>
            </w:pPr>
            <w:r>
              <w:rPr>
                <w:rFonts w:hint="eastAsia" w:asciiTheme="minorEastAsia" w:hAnsiTheme="minorEastAsia" w:eastAsiaTheme="minorEastAsia" w:cstheme="minorEastAsia"/>
                <w:b w:val="0"/>
                <w:bCs w:val="0"/>
                <w:szCs w:val="21"/>
              </w:rPr>
              <w:t>注：1.小微企业(残疾人福利性单位、监狱企业视同小微企业)价格扣除及失信企业价格惩戒加成按照本招标文件投标人须知前附表规定执行。</w:t>
            </w:r>
          </w:p>
          <w:p>
            <w:pPr>
              <w:pStyle w:val="47"/>
              <w:ind w:left="0" w:leftChars="0"/>
              <w:rPr>
                <w:rFonts w:asciiTheme="minorEastAsia" w:hAnsiTheme="minorEastAsia" w:eastAsiaTheme="minorEastAsia" w:cstheme="minorEastAsia"/>
                <w:b w:val="0"/>
                <w:bCs w:val="0"/>
                <w:szCs w:val="21"/>
              </w:rPr>
            </w:pPr>
            <w:r>
              <w:rPr>
                <w:rFonts w:hint="eastAsia" w:asciiTheme="minorEastAsia" w:hAnsiTheme="minorEastAsia" w:eastAsiaTheme="minorEastAsia" w:cstheme="minorEastAsia"/>
                <w:b w:val="0"/>
                <w:bCs w:val="0"/>
                <w:szCs w:val="21"/>
              </w:rPr>
              <w:t>2.评标过程中，不得去掉报价中的最高报价和最低报价。</w:t>
            </w:r>
          </w:p>
          <w:p>
            <w:pPr>
              <w:pStyle w:val="47"/>
              <w:ind w:left="24" w:leftChars="10"/>
              <w:rPr>
                <w:rFonts w:asciiTheme="minorEastAsia" w:hAnsiTheme="minorEastAsia" w:eastAsiaTheme="minorEastAsia" w:cstheme="minorEastAsia"/>
                <w:szCs w:val="21"/>
              </w:rPr>
            </w:pPr>
            <w:r>
              <w:rPr>
                <w:rFonts w:hint="eastAsia" w:asciiTheme="minorEastAsia" w:hAnsiTheme="minorEastAsia" w:eastAsiaTheme="minorEastAsia" w:cstheme="minorEastAsia"/>
                <w:b w:val="0"/>
                <w:bCs w:val="0"/>
                <w:szCs w:val="21"/>
              </w:rPr>
              <w:t>3.因落实政府采购政策进行价格调整的，以调整后的价格计算评标基准价和投标报价。</w:t>
            </w:r>
          </w:p>
        </w:tc>
        <w:tc>
          <w:tcPr>
            <w:tcW w:w="1020" w:type="dxa"/>
            <w:vAlign w:val="center"/>
          </w:tcPr>
          <w:p>
            <w:pPr>
              <w:pStyle w:val="51"/>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440" w:type="dxa"/>
            <w:vAlign w:val="center"/>
          </w:tcPr>
          <w:p>
            <w:pPr>
              <w:pStyle w:val="51"/>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二</w:t>
            </w:r>
          </w:p>
        </w:tc>
        <w:tc>
          <w:tcPr>
            <w:tcW w:w="1276" w:type="dxa"/>
            <w:vAlign w:val="center"/>
          </w:tcPr>
          <w:p>
            <w:pPr>
              <w:pStyle w:val="51"/>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履约经验</w:t>
            </w:r>
          </w:p>
          <w:p>
            <w:pPr>
              <w:pStyle w:val="51"/>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lang w:val="en-US" w:eastAsia="zh-CN"/>
              </w:rPr>
              <w:t>9</w:t>
            </w:r>
            <w:r>
              <w:rPr>
                <w:rFonts w:hint="eastAsia" w:asciiTheme="minorEastAsia" w:hAnsiTheme="minorEastAsia" w:eastAsiaTheme="minorEastAsia" w:cstheme="minorEastAsia"/>
                <w:szCs w:val="21"/>
                <w:highlight w:val="none"/>
              </w:rPr>
              <w:t>%</w:t>
            </w:r>
          </w:p>
        </w:tc>
        <w:tc>
          <w:tcPr>
            <w:tcW w:w="672" w:type="dxa"/>
            <w:vAlign w:val="center"/>
          </w:tcPr>
          <w:p>
            <w:pPr>
              <w:pStyle w:val="51"/>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lang w:val="en-US" w:eastAsia="zh-CN"/>
              </w:rPr>
              <w:t>9</w:t>
            </w:r>
            <w:r>
              <w:rPr>
                <w:rFonts w:hint="eastAsia" w:asciiTheme="minorEastAsia" w:hAnsiTheme="minorEastAsia" w:eastAsiaTheme="minorEastAsia" w:cstheme="minorEastAsia"/>
                <w:szCs w:val="21"/>
                <w:highlight w:val="none"/>
              </w:rPr>
              <w:t>分</w:t>
            </w:r>
          </w:p>
        </w:tc>
        <w:tc>
          <w:tcPr>
            <w:tcW w:w="6552" w:type="dxa"/>
            <w:vAlign w:val="center"/>
          </w:tcPr>
          <w:p>
            <w:pPr>
              <w:pStyle w:val="47"/>
              <w:ind w:left="24" w:leftChars="1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供应商自2017年1月1日至今，每具有一个类似项目(例如：</w:t>
            </w:r>
            <w:r>
              <w:rPr>
                <w:rFonts w:hint="eastAsia" w:asciiTheme="minorEastAsia" w:hAnsiTheme="minorEastAsia" w:eastAsiaTheme="minorEastAsia" w:cstheme="minorEastAsia"/>
                <w:szCs w:val="21"/>
                <w:highlight w:val="none"/>
                <w:lang w:eastAsia="zh-CN"/>
              </w:rPr>
              <w:t>地下管线测量</w:t>
            </w:r>
            <w:r>
              <w:rPr>
                <w:rFonts w:hint="eastAsia" w:asciiTheme="minorEastAsia" w:hAnsiTheme="minorEastAsia" w:eastAsiaTheme="minorEastAsia" w:cstheme="minorEastAsia"/>
                <w:szCs w:val="21"/>
                <w:highlight w:val="none"/>
              </w:rPr>
              <w:t>质量检验数据采集，成果检验等)履约经验的得</w:t>
            </w:r>
            <w:r>
              <w:rPr>
                <w:rFonts w:hint="eastAsia" w:asciiTheme="minorEastAsia" w:hAnsiTheme="minorEastAsia" w:eastAsiaTheme="minorEastAsia" w:cstheme="minorEastAsia"/>
                <w:szCs w:val="21"/>
                <w:highlight w:val="none"/>
                <w:lang w:val="en-US" w:eastAsia="zh-CN"/>
              </w:rPr>
              <w:t>3</w:t>
            </w:r>
            <w:r>
              <w:rPr>
                <w:rFonts w:hint="eastAsia" w:asciiTheme="minorEastAsia" w:hAnsiTheme="minorEastAsia" w:eastAsiaTheme="minorEastAsia" w:cstheme="minorEastAsia"/>
                <w:szCs w:val="21"/>
                <w:highlight w:val="none"/>
              </w:rPr>
              <w:t>分，最多得</w:t>
            </w:r>
            <w:r>
              <w:rPr>
                <w:rFonts w:hint="eastAsia" w:asciiTheme="minorEastAsia" w:hAnsiTheme="minorEastAsia" w:eastAsiaTheme="minorEastAsia" w:cstheme="minorEastAsia"/>
                <w:szCs w:val="21"/>
                <w:highlight w:val="none"/>
                <w:lang w:val="en-US" w:eastAsia="zh-CN"/>
              </w:rPr>
              <w:t>9</w:t>
            </w:r>
            <w:r>
              <w:rPr>
                <w:rFonts w:hint="eastAsia" w:asciiTheme="minorEastAsia" w:hAnsiTheme="minorEastAsia" w:eastAsiaTheme="minorEastAsia" w:cstheme="minorEastAsia"/>
                <w:szCs w:val="21"/>
                <w:highlight w:val="none"/>
              </w:rPr>
              <w:t>分。</w:t>
            </w:r>
          </w:p>
          <w:p>
            <w:pPr>
              <w:pStyle w:val="47"/>
              <w:ind w:left="24" w:leftChars="1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b/>
                <w:bCs/>
                <w:szCs w:val="21"/>
                <w:highlight w:val="none"/>
              </w:rPr>
              <w:t>注：提供合同复印件</w:t>
            </w:r>
            <w:r>
              <w:rPr>
                <w:rFonts w:hint="eastAsia" w:asciiTheme="minorEastAsia" w:hAnsiTheme="minorEastAsia" w:eastAsiaTheme="minorEastAsia" w:cstheme="minorEastAsia"/>
                <w:b/>
                <w:bCs/>
                <w:szCs w:val="21"/>
                <w:highlight w:val="none"/>
                <w:lang w:val="en-US" w:eastAsia="zh-CN"/>
              </w:rPr>
              <w:t>(至少包括合同名称、金额及签约单位盖章页面)</w:t>
            </w:r>
            <w:r>
              <w:rPr>
                <w:rFonts w:hint="eastAsia" w:asciiTheme="minorEastAsia" w:hAnsiTheme="minorEastAsia" w:eastAsiaTheme="minorEastAsia" w:cstheme="minorEastAsia"/>
                <w:b/>
                <w:bCs/>
                <w:szCs w:val="21"/>
                <w:highlight w:val="none"/>
              </w:rPr>
              <w:t>或履约验收资料，否则不得分。</w:t>
            </w:r>
          </w:p>
        </w:tc>
        <w:tc>
          <w:tcPr>
            <w:tcW w:w="1020" w:type="dxa"/>
            <w:vAlign w:val="center"/>
          </w:tcPr>
          <w:p>
            <w:pPr>
              <w:pStyle w:val="51"/>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0" w:type="dxa"/>
            <w:vAlign w:val="center"/>
          </w:tcPr>
          <w:p>
            <w:pPr>
              <w:pStyle w:val="51"/>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三</w:t>
            </w:r>
          </w:p>
        </w:tc>
        <w:tc>
          <w:tcPr>
            <w:tcW w:w="1276" w:type="dxa"/>
            <w:vAlign w:val="center"/>
          </w:tcPr>
          <w:p>
            <w:pPr>
              <w:pStyle w:val="51"/>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eastAsia="zh-CN"/>
              </w:rPr>
              <w:t>人员配置</w:t>
            </w:r>
          </w:p>
          <w:p>
            <w:pPr>
              <w:pStyle w:val="51"/>
              <w:rPr>
                <w:rFonts w:hint="default" w:asciiTheme="minorEastAsia" w:hAnsiTheme="minorEastAsia" w:eastAsiaTheme="minorEastAsia" w:cstheme="minorEastAsia"/>
                <w:szCs w:val="21"/>
                <w:highlight w:val="none"/>
                <w:lang w:val="en-US" w:eastAsia="zh-CN"/>
              </w:rPr>
            </w:pPr>
            <w:r>
              <w:rPr>
                <w:rFonts w:hint="eastAsia" w:asciiTheme="minorEastAsia" w:hAnsiTheme="minorEastAsia" w:eastAsiaTheme="minorEastAsia" w:cstheme="minorEastAsia"/>
                <w:szCs w:val="21"/>
                <w:highlight w:val="none"/>
                <w:lang w:val="en-US" w:eastAsia="zh-CN"/>
              </w:rPr>
              <w:t>16%</w:t>
            </w:r>
          </w:p>
        </w:tc>
        <w:tc>
          <w:tcPr>
            <w:tcW w:w="672" w:type="dxa"/>
            <w:vAlign w:val="center"/>
          </w:tcPr>
          <w:p>
            <w:pPr>
              <w:pStyle w:val="51"/>
              <w:rPr>
                <w:rFonts w:hint="default" w:asciiTheme="minorEastAsia" w:hAnsiTheme="minorEastAsia" w:eastAsiaTheme="minorEastAsia" w:cstheme="minorEastAsia"/>
                <w:szCs w:val="21"/>
                <w:highlight w:val="none"/>
                <w:lang w:val="en-US" w:eastAsia="zh-CN"/>
              </w:rPr>
            </w:pPr>
            <w:r>
              <w:rPr>
                <w:rFonts w:hint="eastAsia" w:asciiTheme="minorEastAsia" w:hAnsiTheme="minorEastAsia" w:eastAsiaTheme="minorEastAsia" w:cstheme="minorEastAsia"/>
                <w:szCs w:val="21"/>
                <w:highlight w:val="none"/>
                <w:lang w:val="en-US" w:eastAsia="zh-CN"/>
              </w:rPr>
              <w:t>16分</w:t>
            </w:r>
          </w:p>
        </w:tc>
        <w:tc>
          <w:tcPr>
            <w:tcW w:w="6552" w:type="dxa"/>
            <w:vAlign w:val="center"/>
          </w:tcPr>
          <w:p>
            <w:pPr>
              <w:pStyle w:val="47"/>
              <w:ind w:left="24" w:leftChars="10"/>
              <w:rPr>
                <w:rFonts w:hint="eastAsia" w:asciiTheme="minorEastAsia" w:hAnsiTheme="minorEastAsia" w:eastAsiaTheme="minorEastAsia" w:cstheme="minorEastAsia"/>
                <w:b w:val="0"/>
                <w:bCs w:val="0"/>
                <w:szCs w:val="21"/>
                <w:highlight w:val="none"/>
                <w:lang w:val="en-US" w:eastAsia="zh-CN"/>
              </w:rPr>
            </w:pPr>
            <w:r>
              <w:rPr>
                <w:rFonts w:hint="eastAsia" w:asciiTheme="minorEastAsia" w:hAnsiTheme="minorEastAsia" w:eastAsiaTheme="minorEastAsia" w:cstheme="minorEastAsia"/>
                <w:b w:val="0"/>
                <w:bCs w:val="0"/>
                <w:szCs w:val="21"/>
                <w:highlight w:val="none"/>
                <w:lang w:val="en-US" w:eastAsia="zh-CN"/>
              </w:rPr>
              <w:t>1.供应商拟投入的项目负责人(</w:t>
            </w:r>
            <w:r>
              <w:rPr>
                <w:rFonts w:hint="eastAsia" w:asciiTheme="minorEastAsia" w:hAnsiTheme="minorEastAsia" w:cstheme="minorEastAsia"/>
                <w:b w:val="0"/>
                <w:bCs w:val="0"/>
                <w:szCs w:val="21"/>
                <w:highlight w:val="none"/>
                <w:lang w:val="en-US" w:eastAsia="zh-CN"/>
              </w:rPr>
              <w:t>3分</w:t>
            </w:r>
            <w:r>
              <w:rPr>
                <w:rFonts w:hint="eastAsia" w:asciiTheme="minorEastAsia" w:hAnsiTheme="minorEastAsia" w:eastAsiaTheme="minorEastAsia" w:cstheme="minorEastAsia"/>
                <w:b w:val="0"/>
                <w:bCs w:val="0"/>
                <w:szCs w:val="21"/>
                <w:highlight w:val="none"/>
                <w:lang w:val="en-US" w:eastAsia="zh-CN"/>
              </w:rPr>
              <w:t>)：</w:t>
            </w:r>
          </w:p>
          <w:p>
            <w:pPr>
              <w:pStyle w:val="47"/>
              <w:ind w:left="24" w:leftChars="10"/>
              <w:rPr>
                <w:rFonts w:hint="eastAsia" w:asciiTheme="minorEastAsia" w:hAnsiTheme="minorEastAsia" w:eastAsiaTheme="minorEastAsia" w:cstheme="minorEastAsia"/>
                <w:b w:val="0"/>
                <w:bCs w:val="0"/>
                <w:szCs w:val="21"/>
                <w:highlight w:val="none"/>
                <w:lang w:val="en-US" w:eastAsia="zh-CN"/>
              </w:rPr>
            </w:pPr>
            <w:r>
              <w:rPr>
                <w:rFonts w:hint="eastAsia" w:asciiTheme="minorEastAsia" w:hAnsiTheme="minorEastAsia" w:eastAsiaTheme="minorEastAsia" w:cstheme="minorEastAsia"/>
                <w:b w:val="0"/>
                <w:bCs w:val="0"/>
                <w:szCs w:val="21"/>
                <w:highlight w:val="none"/>
                <w:lang w:val="en-US" w:eastAsia="zh-CN"/>
              </w:rPr>
              <w:t>具有测绘类专业高级及以上技术职称证书的得</w:t>
            </w:r>
            <w:r>
              <w:rPr>
                <w:rFonts w:hint="eastAsia" w:asciiTheme="minorEastAsia" w:hAnsiTheme="minorEastAsia" w:cstheme="minorEastAsia"/>
                <w:b w:val="0"/>
                <w:bCs w:val="0"/>
                <w:szCs w:val="21"/>
                <w:highlight w:val="none"/>
                <w:lang w:val="en-US" w:eastAsia="zh-CN"/>
              </w:rPr>
              <w:t>3</w:t>
            </w:r>
            <w:r>
              <w:rPr>
                <w:rFonts w:hint="eastAsia" w:asciiTheme="minorEastAsia" w:hAnsiTheme="minorEastAsia" w:eastAsiaTheme="minorEastAsia" w:cstheme="minorEastAsia"/>
                <w:b w:val="0"/>
                <w:bCs w:val="0"/>
                <w:szCs w:val="21"/>
                <w:highlight w:val="none"/>
                <w:lang w:val="en-US" w:eastAsia="zh-CN"/>
              </w:rPr>
              <w:t>分；</w:t>
            </w:r>
          </w:p>
          <w:p>
            <w:pPr>
              <w:pStyle w:val="47"/>
              <w:ind w:left="24" w:leftChars="10"/>
              <w:rPr>
                <w:rFonts w:hint="eastAsia" w:asciiTheme="minorEastAsia" w:hAnsiTheme="minorEastAsia" w:eastAsiaTheme="minorEastAsia" w:cstheme="minorEastAsia"/>
                <w:b w:val="0"/>
                <w:bCs w:val="0"/>
                <w:szCs w:val="21"/>
                <w:highlight w:val="none"/>
                <w:lang w:val="en-US" w:eastAsia="zh-CN"/>
              </w:rPr>
            </w:pPr>
            <w:r>
              <w:rPr>
                <w:rFonts w:hint="eastAsia" w:asciiTheme="minorEastAsia" w:hAnsiTheme="minorEastAsia" w:cstheme="minorEastAsia"/>
                <w:b w:val="0"/>
                <w:bCs w:val="0"/>
                <w:szCs w:val="21"/>
                <w:highlight w:val="none"/>
                <w:lang w:val="en-US" w:eastAsia="zh-CN"/>
              </w:rPr>
              <w:t>2</w:t>
            </w:r>
            <w:r>
              <w:rPr>
                <w:rFonts w:hint="eastAsia" w:asciiTheme="minorEastAsia" w:hAnsiTheme="minorEastAsia" w:eastAsiaTheme="minorEastAsia" w:cstheme="minorEastAsia"/>
                <w:b w:val="0"/>
                <w:bCs w:val="0"/>
                <w:szCs w:val="21"/>
                <w:highlight w:val="none"/>
                <w:lang w:val="en-US" w:eastAsia="zh-CN"/>
              </w:rPr>
              <w:t>.供应商拟投入的</w:t>
            </w:r>
            <w:r>
              <w:rPr>
                <w:rFonts w:hint="eastAsia" w:asciiTheme="minorEastAsia" w:hAnsiTheme="minorEastAsia" w:cstheme="minorEastAsia"/>
                <w:b w:val="0"/>
                <w:bCs w:val="0"/>
                <w:szCs w:val="21"/>
                <w:highlight w:val="none"/>
                <w:lang w:val="en-US" w:eastAsia="zh-CN"/>
              </w:rPr>
              <w:t>技术</w:t>
            </w:r>
            <w:r>
              <w:rPr>
                <w:rFonts w:hint="eastAsia" w:asciiTheme="minorEastAsia" w:hAnsiTheme="minorEastAsia" w:eastAsiaTheme="minorEastAsia" w:cstheme="minorEastAsia"/>
                <w:b w:val="0"/>
                <w:bCs w:val="0"/>
                <w:szCs w:val="21"/>
                <w:highlight w:val="none"/>
                <w:lang w:val="en-US" w:eastAsia="zh-CN"/>
              </w:rPr>
              <w:t>负责人(</w:t>
            </w:r>
            <w:r>
              <w:rPr>
                <w:rFonts w:hint="eastAsia" w:asciiTheme="minorEastAsia" w:hAnsiTheme="minorEastAsia" w:cstheme="minorEastAsia"/>
                <w:b w:val="0"/>
                <w:bCs w:val="0"/>
                <w:szCs w:val="21"/>
                <w:highlight w:val="none"/>
                <w:lang w:val="en-US" w:eastAsia="zh-CN"/>
              </w:rPr>
              <w:t>3分</w:t>
            </w:r>
            <w:r>
              <w:rPr>
                <w:rFonts w:hint="eastAsia" w:asciiTheme="minorEastAsia" w:hAnsiTheme="minorEastAsia" w:eastAsiaTheme="minorEastAsia" w:cstheme="minorEastAsia"/>
                <w:b w:val="0"/>
                <w:bCs w:val="0"/>
                <w:szCs w:val="21"/>
                <w:highlight w:val="none"/>
                <w:lang w:val="en-US" w:eastAsia="zh-CN"/>
              </w:rPr>
              <w:t>)：</w:t>
            </w:r>
          </w:p>
          <w:p>
            <w:pPr>
              <w:pStyle w:val="47"/>
              <w:ind w:left="24" w:leftChars="10"/>
              <w:rPr>
                <w:rFonts w:hint="eastAsia" w:asciiTheme="minorEastAsia" w:hAnsiTheme="minorEastAsia" w:eastAsiaTheme="minorEastAsia" w:cstheme="minorEastAsia"/>
                <w:b w:val="0"/>
                <w:bCs w:val="0"/>
                <w:szCs w:val="21"/>
                <w:highlight w:val="none"/>
                <w:lang w:val="en-US" w:eastAsia="zh-CN"/>
              </w:rPr>
            </w:pPr>
            <w:r>
              <w:rPr>
                <w:rFonts w:hint="eastAsia" w:asciiTheme="minorEastAsia" w:hAnsiTheme="minorEastAsia" w:eastAsiaTheme="minorEastAsia" w:cstheme="minorEastAsia"/>
                <w:b w:val="0"/>
                <w:bCs w:val="0"/>
                <w:szCs w:val="21"/>
                <w:highlight w:val="none"/>
                <w:lang w:val="en-US" w:eastAsia="zh-CN"/>
              </w:rPr>
              <w:t>具有</w:t>
            </w:r>
            <w:r>
              <w:rPr>
                <w:rFonts w:hint="eastAsia" w:asciiTheme="minorEastAsia" w:hAnsiTheme="minorEastAsia" w:cstheme="minorEastAsia"/>
                <w:b w:val="0"/>
                <w:bCs w:val="0"/>
                <w:szCs w:val="21"/>
                <w:highlight w:val="none"/>
                <w:lang w:val="en-US" w:eastAsia="zh-CN"/>
              </w:rPr>
              <w:t>工程测量相关</w:t>
            </w:r>
            <w:r>
              <w:rPr>
                <w:rFonts w:hint="eastAsia" w:asciiTheme="minorEastAsia" w:hAnsiTheme="minorEastAsia" w:eastAsiaTheme="minorEastAsia" w:cstheme="minorEastAsia"/>
                <w:b w:val="0"/>
                <w:bCs w:val="0"/>
                <w:szCs w:val="21"/>
                <w:highlight w:val="none"/>
                <w:lang w:val="en-US" w:eastAsia="zh-CN"/>
              </w:rPr>
              <w:t>专业高级及以上技术职称证书的得</w:t>
            </w:r>
            <w:r>
              <w:rPr>
                <w:rFonts w:hint="eastAsia" w:asciiTheme="minorEastAsia" w:hAnsiTheme="minorEastAsia" w:cstheme="minorEastAsia"/>
                <w:b w:val="0"/>
                <w:bCs w:val="0"/>
                <w:szCs w:val="21"/>
                <w:highlight w:val="none"/>
                <w:lang w:val="en-US" w:eastAsia="zh-CN"/>
              </w:rPr>
              <w:t>3</w:t>
            </w:r>
            <w:r>
              <w:rPr>
                <w:rFonts w:hint="eastAsia" w:asciiTheme="minorEastAsia" w:hAnsiTheme="minorEastAsia" w:eastAsiaTheme="minorEastAsia" w:cstheme="minorEastAsia"/>
                <w:b w:val="0"/>
                <w:bCs w:val="0"/>
                <w:szCs w:val="21"/>
                <w:highlight w:val="none"/>
                <w:lang w:val="en-US" w:eastAsia="zh-CN"/>
              </w:rPr>
              <w:t>分；</w:t>
            </w:r>
          </w:p>
          <w:p>
            <w:pPr>
              <w:pStyle w:val="47"/>
              <w:ind w:left="24" w:leftChars="10"/>
              <w:rPr>
                <w:rFonts w:hint="eastAsia" w:asciiTheme="minorEastAsia" w:hAnsiTheme="minorEastAsia" w:eastAsiaTheme="minorEastAsia" w:cstheme="minorEastAsia"/>
                <w:b w:val="0"/>
                <w:bCs w:val="0"/>
                <w:szCs w:val="21"/>
                <w:highlight w:val="none"/>
                <w:lang w:val="en-US" w:eastAsia="zh-CN"/>
              </w:rPr>
            </w:pPr>
            <w:r>
              <w:rPr>
                <w:rFonts w:hint="eastAsia" w:asciiTheme="minorEastAsia" w:hAnsiTheme="minorEastAsia" w:cstheme="minorEastAsia"/>
                <w:b w:val="0"/>
                <w:bCs w:val="0"/>
                <w:szCs w:val="21"/>
                <w:highlight w:val="none"/>
                <w:lang w:val="en-US" w:eastAsia="zh-CN"/>
              </w:rPr>
              <w:t>3</w:t>
            </w:r>
            <w:r>
              <w:rPr>
                <w:rFonts w:hint="eastAsia" w:asciiTheme="minorEastAsia" w:hAnsiTheme="minorEastAsia" w:eastAsiaTheme="minorEastAsia" w:cstheme="minorEastAsia"/>
                <w:b w:val="0"/>
                <w:bCs w:val="0"/>
                <w:szCs w:val="21"/>
                <w:highlight w:val="none"/>
                <w:lang w:val="en-US" w:eastAsia="zh-CN"/>
              </w:rPr>
              <w:t>.项目其他主要技术人员中每有一人具有测绘类中级及以上技术职称或注册测绘师执业资格证书的得1分，最多得</w:t>
            </w:r>
            <w:r>
              <w:rPr>
                <w:rFonts w:hint="eastAsia" w:asciiTheme="minorEastAsia" w:hAnsiTheme="minorEastAsia" w:cstheme="minorEastAsia"/>
                <w:b w:val="0"/>
                <w:bCs w:val="0"/>
                <w:szCs w:val="21"/>
                <w:highlight w:val="none"/>
                <w:lang w:val="en-US" w:eastAsia="zh-CN"/>
              </w:rPr>
              <w:t>10</w:t>
            </w:r>
            <w:r>
              <w:rPr>
                <w:rFonts w:hint="eastAsia" w:asciiTheme="minorEastAsia" w:hAnsiTheme="minorEastAsia" w:eastAsiaTheme="minorEastAsia" w:cstheme="minorEastAsia"/>
                <w:b w:val="0"/>
                <w:bCs w:val="0"/>
                <w:szCs w:val="21"/>
                <w:highlight w:val="none"/>
                <w:lang w:val="en-US" w:eastAsia="zh-CN"/>
              </w:rPr>
              <w:t>分。</w:t>
            </w:r>
          </w:p>
          <w:p>
            <w:pPr>
              <w:pStyle w:val="47"/>
              <w:ind w:left="24" w:leftChars="10"/>
              <w:rPr>
                <w:rFonts w:hint="eastAsia" w:asciiTheme="minorEastAsia" w:hAnsiTheme="minorEastAsia" w:eastAsiaTheme="minorEastAsia" w:cstheme="minorEastAsia"/>
                <w:b/>
                <w:bCs/>
                <w:szCs w:val="21"/>
                <w:highlight w:val="none"/>
              </w:rPr>
            </w:pPr>
            <w:r>
              <w:rPr>
                <w:rFonts w:hint="eastAsia" w:asciiTheme="minorEastAsia" w:hAnsiTheme="minorEastAsia" w:eastAsiaTheme="minorEastAsia" w:cstheme="minorEastAsia"/>
                <w:b/>
                <w:bCs/>
                <w:sz w:val="21"/>
                <w:szCs w:val="21"/>
                <w:highlight w:val="none"/>
              </w:rPr>
              <w:t>注：①</w:t>
            </w:r>
            <w:r>
              <w:rPr>
                <w:rFonts w:hint="eastAsia" w:ascii="宋体" w:hAnsi="宋体" w:eastAsia="宋体" w:cs="宋体"/>
                <w:b/>
                <w:bCs/>
                <w:sz w:val="21"/>
                <w:szCs w:val="21"/>
                <w:highlight w:val="none"/>
              </w:rPr>
              <w:t>以上拟派人员均须为投标单位人员，提供人员身份证复印件和相关证书复印件以及为投标单位人员的在职证明材料复印件</w:t>
            </w:r>
            <w:r>
              <w:rPr>
                <w:rFonts w:hint="eastAsia" w:asciiTheme="minorEastAsia" w:hAnsiTheme="minorEastAsia" w:eastAsiaTheme="minorEastAsia" w:cstheme="minorEastAsia"/>
                <w:b/>
                <w:bCs/>
                <w:sz w:val="21"/>
                <w:szCs w:val="21"/>
                <w:highlight w:val="none"/>
              </w:rPr>
              <w:t>。②以上各岗位人员不重复计分，有重复时按得分就高原则计一次分。</w:t>
            </w:r>
          </w:p>
        </w:tc>
        <w:tc>
          <w:tcPr>
            <w:tcW w:w="1020" w:type="dxa"/>
            <w:vAlign w:val="center"/>
          </w:tcPr>
          <w:p>
            <w:pPr>
              <w:pStyle w:val="51"/>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40" w:type="dxa"/>
            <w:vAlign w:val="center"/>
          </w:tcPr>
          <w:p>
            <w:pPr>
              <w:pStyle w:val="51"/>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四</w:t>
            </w:r>
          </w:p>
        </w:tc>
        <w:tc>
          <w:tcPr>
            <w:tcW w:w="1276" w:type="dxa"/>
            <w:vAlign w:val="center"/>
          </w:tcPr>
          <w:p>
            <w:pPr>
              <w:pStyle w:val="51"/>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服务方案</w:t>
            </w:r>
          </w:p>
          <w:p>
            <w:pPr>
              <w:pStyle w:val="51"/>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58</w:t>
            </w:r>
            <w:r>
              <w:rPr>
                <w:rFonts w:hint="eastAsia" w:asciiTheme="minorEastAsia" w:hAnsiTheme="minorEastAsia" w:eastAsiaTheme="minorEastAsia" w:cstheme="minorEastAsia"/>
                <w:szCs w:val="21"/>
              </w:rPr>
              <w:t>%</w:t>
            </w:r>
          </w:p>
        </w:tc>
        <w:tc>
          <w:tcPr>
            <w:tcW w:w="672" w:type="dxa"/>
            <w:vAlign w:val="center"/>
          </w:tcPr>
          <w:p>
            <w:pPr>
              <w:pStyle w:val="51"/>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58</w:t>
            </w:r>
            <w:r>
              <w:rPr>
                <w:rFonts w:hint="eastAsia" w:asciiTheme="minorEastAsia" w:hAnsiTheme="minorEastAsia" w:eastAsiaTheme="minorEastAsia" w:cstheme="minorEastAsia"/>
                <w:szCs w:val="21"/>
              </w:rPr>
              <w:t>分</w:t>
            </w:r>
          </w:p>
        </w:tc>
        <w:tc>
          <w:tcPr>
            <w:tcW w:w="6552" w:type="dxa"/>
            <w:vAlign w:val="center"/>
          </w:tcPr>
          <w:p>
            <w:pPr>
              <w:pStyle w:val="47"/>
              <w:keepNext w:val="0"/>
              <w:keepLines w:val="0"/>
              <w:pageBreakBefore w:val="0"/>
              <w:widowControl w:val="0"/>
              <w:numPr>
                <w:ilvl w:val="0"/>
                <w:numId w:val="35"/>
              </w:numPr>
              <w:tabs>
                <w:tab w:val="clear" w:pos="312"/>
              </w:tabs>
              <w:kinsoku/>
              <w:wordWrap w:val="0"/>
              <w:overflowPunct/>
              <w:topLinePunct/>
              <w:autoSpaceDE/>
              <w:autoSpaceDN/>
              <w:bidi w:val="0"/>
              <w:adjustRightInd/>
              <w:snapToGrid/>
              <w:ind w:left="0" w:leftChars="0"/>
              <w:jc w:val="left"/>
              <w:textAlignment w:val="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根据供应商针对本项目提供的技术方案进行评审</w:t>
            </w:r>
            <w:r>
              <w:rPr>
                <w:rFonts w:hint="eastAsia" w:asciiTheme="minorEastAsia" w:hAnsiTheme="minorEastAsia" w:eastAsiaTheme="minorEastAsia" w:cstheme="minorEastAsia"/>
                <w:szCs w:val="21"/>
              </w:rPr>
              <w:t>，内容包括：①项目基本情况；②数据质量；③数据成果；</w:t>
            </w: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 4 \* GB3 \* MERGEFORMAT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1"/>
              </w:rPr>
              <w:t>④</w:t>
            </w:r>
            <w:r>
              <w:rPr>
                <w:rFonts w:hint="eastAsia" w:asciiTheme="minorEastAsia" w:hAnsiTheme="minorEastAsia" w:eastAsiaTheme="minorEastAsia" w:cstheme="minorEastAsia"/>
                <w:szCs w:val="21"/>
              </w:rPr>
              <w:fldChar w:fldCharType="end"/>
            </w:r>
            <w:r>
              <w:rPr>
                <w:rFonts w:hint="eastAsia" w:asciiTheme="minorEastAsia" w:hAnsiTheme="minorEastAsia" w:eastAsiaTheme="minorEastAsia" w:cstheme="minorEastAsia"/>
                <w:szCs w:val="21"/>
              </w:rPr>
              <w:t>数据核查制度；</w:t>
            </w: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 5 \* GB3 \* MERGEFORMAT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1"/>
              </w:rPr>
              <w:t>⑤</w:t>
            </w:r>
            <w:r>
              <w:rPr>
                <w:rFonts w:hint="eastAsia" w:asciiTheme="minorEastAsia" w:hAnsiTheme="minorEastAsia" w:eastAsiaTheme="minorEastAsia" w:cstheme="minorEastAsia"/>
                <w:szCs w:val="21"/>
              </w:rPr>
              <w:fldChar w:fldCharType="end"/>
            </w:r>
            <w:r>
              <w:rPr>
                <w:rFonts w:hint="eastAsia" w:asciiTheme="minorEastAsia" w:hAnsiTheme="minorEastAsia" w:eastAsiaTheme="minorEastAsia" w:cstheme="minorEastAsia"/>
                <w:szCs w:val="21"/>
              </w:rPr>
              <w:t>工作依据执行措施等。以上</w:t>
            </w:r>
            <w:r>
              <w:rPr>
                <w:rFonts w:hint="eastAsia" w:asciiTheme="minorEastAsia" w:hAnsiTheme="minorEastAsia" w:eastAsiaTheme="minorEastAsia" w:cstheme="minorEastAsia"/>
                <w:szCs w:val="21"/>
                <w:lang w:val="en-US" w:eastAsia="zh-CN"/>
              </w:rPr>
              <w:t>五项</w:t>
            </w:r>
            <w:r>
              <w:rPr>
                <w:rFonts w:hint="eastAsia" w:asciiTheme="minorEastAsia" w:hAnsiTheme="minorEastAsia" w:eastAsiaTheme="minorEastAsia" w:cstheme="minorEastAsia"/>
                <w:szCs w:val="21"/>
              </w:rPr>
              <w:t>评分点内容齐全，方法严谨，层次结构细化，符合项目特点，满足项目要求的得</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分；</w:t>
            </w:r>
            <w:r>
              <w:rPr>
                <w:rFonts w:hint="eastAsia" w:ascii="宋体" w:hAnsi="宋体" w:eastAsia="宋体" w:cs="宋体"/>
                <w:sz w:val="21"/>
                <w:szCs w:val="21"/>
              </w:rPr>
              <w:t>每有一</w:t>
            </w:r>
            <w:r>
              <w:rPr>
                <w:rFonts w:hint="eastAsia" w:cs="宋体"/>
                <w:sz w:val="21"/>
                <w:szCs w:val="21"/>
                <w:lang w:val="en-US" w:eastAsia="zh-CN"/>
              </w:rPr>
              <w:t>项</w:t>
            </w:r>
            <w:r>
              <w:rPr>
                <w:rFonts w:hint="eastAsia" w:ascii="宋体" w:hAnsi="宋体" w:eastAsia="宋体" w:cs="宋体"/>
                <w:sz w:val="21"/>
                <w:szCs w:val="21"/>
              </w:rPr>
              <w:t>方案内容</w:t>
            </w:r>
            <w:r>
              <w:rPr>
                <w:rFonts w:hint="eastAsia" w:cs="宋体"/>
                <w:sz w:val="21"/>
                <w:szCs w:val="21"/>
                <w:lang w:val="en-US" w:eastAsia="zh-CN"/>
              </w:rPr>
              <w:t>有一处</w:t>
            </w:r>
            <w:r>
              <w:rPr>
                <w:rFonts w:hint="eastAsia" w:ascii="宋体" w:hAnsi="宋体" w:eastAsia="宋体" w:cs="宋体"/>
                <w:sz w:val="21"/>
                <w:szCs w:val="21"/>
              </w:rPr>
              <w:t>错误(内容错误指：</w:t>
            </w:r>
            <w:r>
              <w:rPr>
                <w:rFonts w:hint="eastAsia" w:ascii="宋体" w:hAnsi="宋体" w:eastAsia="宋体" w:cs="宋体"/>
                <w:sz w:val="21"/>
                <w:szCs w:val="21"/>
                <w:lang w:val="en-US" w:eastAsia="zh-CN"/>
              </w:rPr>
              <w:t>①</w:t>
            </w:r>
            <w:r>
              <w:rPr>
                <w:rFonts w:hint="eastAsia" w:ascii="宋体" w:hAnsi="宋体" w:eastAsia="宋体" w:cs="宋体"/>
                <w:sz w:val="21"/>
                <w:szCs w:val="21"/>
              </w:rPr>
              <w:t>项目名称/履约地点/执行标准与项目不一致</w:t>
            </w:r>
            <w:r>
              <w:rPr>
                <w:rFonts w:hint="eastAsia" w:ascii="宋体" w:hAnsi="宋体" w:eastAsia="宋体" w:cs="宋体"/>
                <w:sz w:val="21"/>
                <w:szCs w:val="21"/>
                <w:lang w:eastAsia="zh-CN"/>
              </w:rPr>
              <w:t>、</w:t>
            </w:r>
            <w:r>
              <w:rPr>
                <w:rFonts w:hint="eastAsia" w:ascii="宋体" w:hAnsi="宋体" w:eastAsia="宋体" w:cs="宋体"/>
                <w:sz w:val="21"/>
                <w:szCs w:val="21"/>
              </w:rPr>
              <w:t>②不符合实际情况、③</w:t>
            </w:r>
            <w:r>
              <w:rPr>
                <w:rFonts w:hint="eastAsia" w:ascii="宋体" w:hAnsi="宋体" w:eastAsia="宋体" w:cs="宋体"/>
                <w:sz w:val="21"/>
                <w:szCs w:val="21"/>
                <w:highlight w:val="none"/>
              </w:rPr>
              <w:t>内容</w:t>
            </w:r>
            <w:r>
              <w:rPr>
                <w:rFonts w:hint="eastAsia" w:cs="宋体"/>
                <w:sz w:val="21"/>
                <w:szCs w:val="21"/>
                <w:highlight w:val="none"/>
                <w:lang w:val="en-US" w:eastAsia="zh-CN"/>
              </w:rPr>
              <w:t>不完整</w:t>
            </w:r>
            <w:r>
              <w:rPr>
                <w:rFonts w:hint="eastAsia" w:ascii="宋体" w:hAnsi="宋体" w:eastAsia="宋体" w:cs="宋体"/>
                <w:sz w:val="21"/>
                <w:szCs w:val="21"/>
              </w:rPr>
              <w:t>、④描述不准确、⑤未完全响应采购要求)</w:t>
            </w:r>
            <w:r>
              <w:rPr>
                <w:rFonts w:hint="eastAsia" w:asciiTheme="minorEastAsia" w:hAnsiTheme="minorEastAsia" w:eastAsiaTheme="minorEastAsia" w:cstheme="minorEastAsia"/>
                <w:szCs w:val="21"/>
              </w:rPr>
              <w:t>的扣</w:t>
            </w:r>
            <w:r>
              <w:rPr>
                <w:rFonts w:hint="eastAsia" w:asciiTheme="minorEastAsia" w:hAnsiTheme="minorEastAsia" w:eastAsiaTheme="minorEastAsia" w:cstheme="minorEastAsia"/>
                <w:szCs w:val="21"/>
                <w:lang w:val="en-US" w:eastAsia="zh-CN"/>
              </w:rPr>
              <w:t>0.8</w:t>
            </w:r>
            <w:r>
              <w:rPr>
                <w:rFonts w:hint="eastAsia" w:asciiTheme="minorEastAsia" w:hAnsiTheme="minorEastAsia" w:eastAsiaTheme="minorEastAsia" w:cstheme="minorEastAsia"/>
                <w:szCs w:val="21"/>
              </w:rPr>
              <w:t>分，</w:t>
            </w:r>
            <w:r>
              <w:rPr>
                <w:rFonts w:hint="eastAsia" w:ascii="宋体" w:hAnsi="宋体" w:eastAsia="宋体" w:cs="宋体"/>
                <w:sz w:val="21"/>
                <w:szCs w:val="21"/>
              </w:rPr>
              <w:t>每缺少一项内容的</w:t>
            </w:r>
            <w:r>
              <w:rPr>
                <w:rFonts w:hint="eastAsia" w:asciiTheme="minorEastAsia" w:hAnsiTheme="minorEastAsia" w:eastAsiaTheme="minorEastAsia" w:cstheme="minorEastAsia"/>
                <w:szCs w:val="21"/>
              </w:rPr>
              <w:t>扣</w:t>
            </w:r>
            <w:r>
              <w:rPr>
                <w:rFonts w:hint="eastAsia" w:asciiTheme="minorEastAsia" w:hAnsiTheme="minorEastAsia" w:eastAsiaTheme="minorEastAsia" w:cstheme="minorEastAsia"/>
                <w:szCs w:val="21"/>
                <w:lang w:val="en-US" w:eastAsia="zh-CN"/>
              </w:rPr>
              <w:t>4</w:t>
            </w:r>
            <w:r>
              <w:rPr>
                <w:rFonts w:hint="eastAsia" w:asciiTheme="minorEastAsia" w:hAnsiTheme="minorEastAsia" w:eastAsiaTheme="minorEastAsia" w:cstheme="minorEastAsia"/>
                <w:szCs w:val="21"/>
              </w:rPr>
              <w:t>分</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扣完为止。</w:t>
            </w:r>
          </w:p>
          <w:p>
            <w:pPr>
              <w:pStyle w:val="47"/>
              <w:ind w:left="24" w:leftChars="1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2.根据供应商针对本项目的项目需求理解进行评审</w:t>
            </w:r>
            <w:r>
              <w:rPr>
                <w:rFonts w:hint="eastAsia" w:asciiTheme="minorEastAsia" w:hAnsiTheme="minorEastAsia" w:eastAsiaTheme="minorEastAsia" w:cstheme="minorEastAsia"/>
                <w:szCs w:val="21"/>
              </w:rPr>
              <w:t>，内容包括：①项目背景、目的、内容与时间要求分析；②项目整体执行思路分析；③项目范围地理形势分析；④项目执行重点难点分析；⑤项目关键节点分析等。以上</w:t>
            </w:r>
            <w:r>
              <w:rPr>
                <w:rFonts w:hint="eastAsia" w:asciiTheme="minorEastAsia" w:hAnsiTheme="minorEastAsia" w:eastAsiaTheme="minorEastAsia" w:cstheme="minorEastAsia"/>
                <w:szCs w:val="21"/>
                <w:lang w:val="en-US" w:eastAsia="zh-CN"/>
              </w:rPr>
              <w:t>五项</w:t>
            </w:r>
            <w:r>
              <w:rPr>
                <w:rFonts w:hint="eastAsia" w:asciiTheme="minorEastAsia" w:hAnsiTheme="minorEastAsia" w:eastAsiaTheme="minorEastAsia" w:cstheme="minorEastAsia"/>
                <w:szCs w:val="21"/>
              </w:rPr>
              <w:t>评分点内容齐全，分析方法严谨，层次结构细化，符合项目特点，满足项目要求的得10分；</w:t>
            </w:r>
            <w:r>
              <w:rPr>
                <w:rFonts w:hint="eastAsia" w:ascii="宋体" w:hAnsi="宋体" w:eastAsia="宋体" w:cs="宋体"/>
                <w:sz w:val="21"/>
                <w:szCs w:val="21"/>
              </w:rPr>
              <w:t>每有一</w:t>
            </w:r>
            <w:r>
              <w:rPr>
                <w:rFonts w:hint="eastAsia" w:cs="宋体"/>
                <w:sz w:val="21"/>
                <w:szCs w:val="21"/>
                <w:lang w:val="en-US" w:eastAsia="zh-CN"/>
              </w:rPr>
              <w:t>项</w:t>
            </w:r>
            <w:r>
              <w:rPr>
                <w:rFonts w:hint="eastAsia" w:ascii="宋体" w:hAnsi="宋体" w:eastAsia="宋体" w:cs="宋体"/>
                <w:sz w:val="21"/>
                <w:szCs w:val="21"/>
              </w:rPr>
              <w:t>方案内容</w:t>
            </w:r>
            <w:r>
              <w:rPr>
                <w:rFonts w:hint="eastAsia" w:cs="宋体"/>
                <w:sz w:val="21"/>
                <w:szCs w:val="21"/>
                <w:lang w:val="en-US" w:eastAsia="zh-CN"/>
              </w:rPr>
              <w:t>有一处</w:t>
            </w:r>
            <w:r>
              <w:rPr>
                <w:rFonts w:hint="eastAsia" w:ascii="宋体" w:hAnsi="宋体" w:eastAsia="宋体" w:cs="宋体"/>
                <w:sz w:val="21"/>
                <w:szCs w:val="21"/>
              </w:rPr>
              <w:t>错误(内容错误指：</w:t>
            </w:r>
            <w:r>
              <w:rPr>
                <w:rFonts w:hint="eastAsia" w:ascii="宋体" w:hAnsi="宋体" w:eastAsia="宋体" w:cs="宋体"/>
                <w:sz w:val="21"/>
                <w:szCs w:val="21"/>
                <w:lang w:val="en-US" w:eastAsia="zh-CN"/>
              </w:rPr>
              <w:t>①</w:t>
            </w:r>
            <w:r>
              <w:rPr>
                <w:rFonts w:hint="eastAsia" w:ascii="宋体" w:hAnsi="宋体" w:eastAsia="宋体" w:cs="宋体"/>
                <w:sz w:val="21"/>
                <w:szCs w:val="21"/>
              </w:rPr>
              <w:t>项目名称/履约地点/执行标准与项目不一致</w:t>
            </w:r>
            <w:r>
              <w:rPr>
                <w:rFonts w:hint="eastAsia" w:ascii="宋体" w:hAnsi="宋体" w:eastAsia="宋体" w:cs="宋体"/>
                <w:sz w:val="21"/>
                <w:szCs w:val="21"/>
                <w:lang w:eastAsia="zh-CN"/>
              </w:rPr>
              <w:t>、</w:t>
            </w:r>
            <w:r>
              <w:rPr>
                <w:rFonts w:hint="eastAsia" w:ascii="宋体" w:hAnsi="宋体" w:eastAsia="宋体" w:cs="宋体"/>
                <w:sz w:val="21"/>
                <w:szCs w:val="21"/>
              </w:rPr>
              <w:t>②不符合实际情况、③</w:t>
            </w:r>
            <w:r>
              <w:rPr>
                <w:rFonts w:hint="eastAsia" w:ascii="宋体" w:hAnsi="宋体" w:eastAsia="宋体" w:cs="宋体"/>
                <w:sz w:val="21"/>
                <w:szCs w:val="21"/>
                <w:highlight w:val="none"/>
              </w:rPr>
              <w:t>内容</w:t>
            </w:r>
            <w:r>
              <w:rPr>
                <w:rFonts w:hint="eastAsia" w:cs="宋体"/>
                <w:sz w:val="21"/>
                <w:szCs w:val="21"/>
                <w:highlight w:val="none"/>
                <w:lang w:val="en-US" w:eastAsia="zh-CN"/>
              </w:rPr>
              <w:t>不完整</w:t>
            </w:r>
            <w:r>
              <w:rPr>
                <w:rFonts w:hint="eastAsia" w:ascii="宋体" w:hAnsi="宋体" w:eastAsia="宋体" w:cs="宋体"/>
                <w:sz w:val="21"/>
                <w:szCs w:val="21"/>
              </w:rPr>
              <w:t>、④描述不准确、⑤未完全响应采购要求)</w:t>
            </w:r>
            <w:r>
              <w:rPr>
                <w:rFonts w:hint="eastAsia" w:asciiTheme="minorEastAsia" w:hAnsiTheme="minorEastAsia" w:eastAsiaTheme="minorEastAsia" w:cstheme="minorEastAsia"/>
                <w:szCs w:val="21"/>
              </w:rPr>
              <w:t>的扣</w:t>
            </w:r>
            <w:r>
              <w:rPr>
                <w:rFonts w:hint="eastAsia" w:asciiTheme="minorEastAsia" w:hAnsiTheme="minorEastAsia" w:eastAsiaTheme="minorEastAsia" w:cstheme="minorEastAsia"/>
                <w:szCs w:val="21"/>
                <w:lang w:val="en-US" w:eastAsia="zh-CN"/>
              </w:rPr>
              <w:t>0.4</w:t>
            </w:r>
            <w:r>
              <w:rPr>
                <w:rFonts w:hint="eastAsia" w:asciiTheme="minorEastAsia" w:hAnsiTheme="minorEastAsia" w:eastAsiaTheme="minorEastAsia" w:cstheme="minorEastAsia"/>
                <w:szCs w:val="21"/>
              </w:rPr>
              <w:t>分，</w:t>
            </w:r>
            <w:r>
              <w:rPr>
                <w:rFonts w:hint="eastAsia" w:ascii="宋体" w:hAnsi="宋体" w:eastAsia="宋体" w:cs="宋体"/>
                <w:sz w:val="21"/>
                <w:szCs w:val="21"/>
              </w:rPr>
              <w:t>每缺少一项内容的</w:t>
            </w:r>
            <w:r>
              <w:rPr>
                <w:rFonts w:hint="eastAsia" w:asciiTheme="minorEastAsia" w:hAnsiTheme="minorEastAsia" w:eastAsiaTheme="minorEastAsia" w:cstheme="minorEastAsia"/>
                <w:szCs w:val="21"/>
              </w:rPr>
              <w:t>扣</w:t>
            </w:r>
            <w:r>
              <w:rPr>
                <w:rFonts w:hint="eastAsia" w:asciiTheme="minorEastAsia" w:hAnsiTheme="minorEastAsia" w:eastAsiaTheme="minorEastAsia" w:cstheme="minorEastAsia"/>
                <w:szCs w:val="21"/>
                <w:lang w:val="en-US" w:eastAsia="zh-CN"/>
              </w:rPr>
              <w:t>2</w:t>
            </w:r>
            <w:r>
              <w:rPr>
                <w:rFonts w:hint="eastAsia" w:asciiTheme="minorEastAsia" w:hAnsiTheme="minorEastAsia" w:eastAsiaTheme="minorEastAsia" w:cstheme="minorEastAsia"/>
                <w:szCs w:val="21"/>
              </w:rPr>
              <w:t>分</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扣完为止。</w:t>
            </w:r>
          </w:p>
          <w:p>
            <w:pPr>
              <w:pStyle w:val="47"/>
              <w:ind w:left="24" w:leftChars="1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3.根据供应商针对本项目的实施方案进行评审</w:t>
            </w:r>
            <w:r>
              <w:rPr>
                <w:rFonts w:hint="eastAsia" w:asciiTheme="minorEastAsia" w:hAnsiTheme="minorEastAsia" w:eastAsiaTheme="minorEastAsia" w:cstheme="minorEastAsia"/>
                <w:szCs w:val="21"/>
              </w:rPr>
              <w:t>，内容包括：①项目管理方案；②预防贪腐方案；③档案资料管理方案；④质量保证措施；⑤安全保密措施；⑥项目进度控制措施；⑦沟通协调及数据校对措施等。以上</w:t>
            </w:r>
            <w:r>
              <w:rPr>
                <w:rFonts w:hint="eastAsia" w:asciiTheme="minorEastAsia" w:hAnsiTheme="minorEastAsia" w:eastAsiaTheme="minorEastAsia" w:cstheme="minorEastAsia"/>
                <w:szCs w:val="21"/>
                <w:lang w:val="en-US" w:eastAsia="zh-CN"/>
              </w:rPr>
              <w:t>七项</w:t>
            </w:r>
            <w:r>
              <w:rPr>
                <w:rFonts w:hint="eastAsia" w:asciiTheme="minorEastAsia" w:hAnsiTheme="minorEastAsia" w:eastAsiaTheme="minorEastAsia" w:cstheme="minorEastAsia"/>
                <w:szCs w:val="21"/>
              </w:rPr>
              <w:t>评分点内容齐全，分析方法严谨，层次结构细化，符合项目特点，满足项目要求的得2</w:t>
            </w:r>
            <w:r>
              <w:rPr>
                <w:rFonts w:hint="eastAsia" w:asciiTheme="minorEastAsia" w:hAnsiTheme="minorEastAsia" w:eastAsiaTheme="minorEastAsia" w:cstheme="minorEastAsia"/>
                <w:szCs w:val="21"/>
                <w:lang w:val="en-US" w:eastAsia="zh-CN"/>
              </w:rPr>
              <w:t>8</w:t>
            </w:r>
            <w:r>
              <w:rPr>
                <w:rFonts w:hint="eastAsia" w:asciiTheme="minorEastAsia" w:hAnsiTheme="minorEastAsia" w:eastAsiaTheme="minorEastAsia" w:cstheme="minorEastAsia"/>
                <w:szCs w:val="21"/>
              </w:rPr>
              <w:t>分；</w:t>
            </w:r>
            <w:r>
              <w:rPr>
                <w:rFonts w:hint="eastAsia" w:ascii="宋体" w:hAnsi="宋体" w:eastAsia="宋体" w:cs="宋体"/>
                <w:sz w:val="21"/>
                <w:szCs w:val="21"/>
              </w:rPr>
              <w:t>每有一</w:t>
            </w:r>
            <w:r>
              <w:rPr>
                <w:rFonts w:hint="eastAsia" w:cs="宋体"/>
                <w:sz w:val="21"/>
                <w:szCs w:val="21"/>
                <w:lang w:val="en-US" w:eastAsia="zh-CN"/>
              </w:rPr>
              <w:t>项</w:t>
            </w:r>
            <w:r>
              <w:rPr>
                <w:rFonts w:hint="eastAsia" w:ascii="宋体" w:hAnsi="宋体" w:eastAsia="宋体" w:cs="宋体"/>
                <w:sz w:val="21"/>
                <w:szCs w:val="21"/>
              </w:rPr>
              <w:t>方案内容</w:t>
            </w:r>
            <w:r>
              <w:rPr>
                <w:rFonts w:hint="eastAsia" w:cs="宋体"/>
                <w:sz w:val="21"/>
                <w:szCs w:val="21"/>
                <w:lang w:val="en-US" w:eastAsia="zh-CN"/>
              </w:rPr>
              <w:t>有一处</w:t>
            </w:r>
            <w:r>
              <w:rPr>
                <w:rFonts w:hint="eastAsia" w:ascii="宋体" w:hAnsi="宋体" w:eastAsia="宋体" w:cs="宋体"/>
                <w:sz w:val="21"/>
                <w:szCs w:val="21"/>
              </w:rPr>
              <w:t>错误(内容错误指：</w:t>
            </w:r>
            <w:r>
              <w:rPr>
                <w:rFonts w:hint="eastAsia" w:ascii="宋体" w:hAnsi="宋体" w:eastAsia="宋体" w:cs="宋体"/>
                <w:sz w:val="21"/>
                <w:szCs w:val="21"/>
                <w:lang w:val="en-US" w:eastAsia="zh-CN"/>
              </w:rPr>
              <w:t>①</w:t>
            </w:r>
            <w:r>
              <w:rPr>
                <w:rFonts w:hint="eastAsia" w:ascii="宋体" w:hAnsi="宋体" w:eastAsia="宋体" w:cs="宋体"/>
                <w:sz w:val="21"/>
                <w:szCs w:val="21"/>
              </w:rPr>
              <w:t>项目名称/履约地点/执行标准与项目不一致</w:t>
            </w:r>
            <w:r>
              <w:rPr>
                <w:rFonts w:hint="eastAsia" w:ascii="宋体" w:hAnsi="宋体" w:eastAsia="宋体" w:cs="宋体"/>
                <w:sz w:val="21"/>
                <w:szCs w:val="21"/>
                <w:lang w:eastAsia="zh-CN"/>
              </w:rPr>
              <w:t>、</w:t>
            </w:r>
            <w:r>
              <w:rPr>
                <w:rFonts w:hint="eastAsia" w:ascii="宋体" w:hAnsi="宋体" w:eastAsia="宋体" w:cs="宋体"/>
                <w:sz w:val="21"/>
                <w:szCs w:val="21"/>
              </w:rPr>
              <w:t>②不符合实际情况、③内容有缺失、④描述不准确、⑤未完全响应采购要求)</w:t>
            </w:r>
            <w:r>
              <w:rPr>
                <w:rFonts w:hint="eastAsia" w:asciiTheme="minorEastAsia" w:hAnsiTheme="minorEastAsia" w:eastAsiaTheme="minorEastAsia" w:cstheme="minorEastAsia"/>
                <w:szCs w:val="21"/>
              </w:rPr>
              <w:t>的扣</w:t>
            </w:r>
            <w:r>
              <w:rPr>
                <w:rFonts w:hint="eastAsia" w:asciiTheme="minorEastAsia" w:hAnsiTheme="minorEastAsia" w:eastAsiaTheme="minorEastAsia" w:cstheme="minorEastAsia"/>
                <w:szCs w:val="21"/>
                <w:lang w:val="en-US" w:eastAsia="zh-CN"/>
              </w:rPr>
              <w:t>0.8</w:t>
            </w:r>
            <w:r>
              <w:rPr>
                <w:rFonts w:hint="eastAsia" w:asciiTheme="minorEastAsia" w:hAnsiTheme="minorEastAsia" w:eastAsiaTheme="minorEastAsia" w:cstheme="minorEastAsia"/>
                <w:szCs w:val="21"/>
              </w:rPr>
              <w:t>分，</w:t>
            </w:r>
            <w:r>
              <w:rPr>
                <w:rFonts w:hint="eastAsia" w:ascii="宋体" w:hAnsi="宋体" w:eastAsia="宋体" w:cs="宋体"/>
                <w:sz w:val="21"/>
                <w:szCs w:val="21"/>
              </w:rPr>
              <w:t>每缺少一项内容的</w:t>
            </w:r>
            <w:r>
              <w:rPr>
                <w:rFonts w:hint="eastAsia" w:asciiTheme="minorEastAsia" w:hAnsiTheme="minorEastAsia" w:eastAsiaTheme="minorEastAsia" w:cstheme="minorEastAsia"/>
                <w:szCs w:val="21"/>
              </w:rPr>
              <w:t>扣</w:t>
            </w:r>
            <w:r>
              <w:rPr>
                <w:rFonts w:hint="eastAsia" w:asciiTheme="minorEastAsia" w:hAnsiTheme="minorEastAsia" w:eastAsiaTheme="minorEastAsia" w:cstheme="minorEastAsia"/>
                <w:szCs w:val="21"/>
                <w:lang w:val="en-US" w:eastAsia="zh-CN"/>
              </w:rPr>
              <w:t>4</w:t>
            </w:r>
            <w:r>
              <w:rPr>
                <w:rFonts w:hint="eastAsia" w:asciiTheme="minorEastAsia" w:hAnsiTheme="minorEastAsia" w:eastAsiaTheme="minorEastAsia" w:cstheme="minorEastAsia"/>
                <w:szCs w:val="21"/>
              </w:rPr>
              <w:t>分</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扣完为止。</w:t>
            </w:r>
          </w:p>
          <w:p>
            <w:pPr>
              <w:pStyle w:val="47"/>
              <w:ind w:left="24" w:leftChars="1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注：以评审专家结合项目实际情况和响应文件独立评审为准。</w:t>
            </w:r>
          </w:p>
        </w:tc>
        <w:tc>
          <w:tcPr>
            <w:tcW w:w="1020" w:type="dxa"/>
            <w:vAlign w:val="center"/>
          </w:tcPr>
          <w:p>
            <w:pPr>
              <w:pStyle w:val="51"/>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技术类评分因素</w:t>
            </w:r>
          </w:p>
          <w:p>
            <w:pPr>
              <w:pStyle w:val="51"/>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440" w:type="dxa"/>
            <w:vAlign w:val="center"/>
          </w:tcPr>
          <w:p>
            <w:pPr>
              <w:pStyle w:val="51"/>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五</w:t>
            </w:r>
          </w:p>
        </w:tc>
        <w:tc>
          <w:tcPr>
            <w:tcW w:w="1276" w:type="dxa"/>
            <w:vAlign w:val="center"/>
          </w:tcPr>
          <w:p>
            <w:pPr>
              <w:pStyle w:val="48"/>
              <w:spacing w:line="360" w:lineRule="exact"/>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扶持少数民族地区</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w:t>
            </w:r>
          </w:p>
        </w:tc>
        <w:tc>
          <w:tcPr>
            <w:tcW w:w="672" w:type="dxa"/>
            <w:vAlign w:val="center"/>
          </w:tcPr>
          <w:p>
            <w:pPr>
              <w:pStyle w:val="48"/>
              <w:spacing w:line="360" w:lineRule="exact"/>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分</w:t>
            </w:r>
          </w:p>
        </w:tc>
        <w:tc>
          <w:tcPr>
            <w:tcW w:w="6552" w:type="dxa"/>
            <w:vAlign w:val="center"/>
          </w:tcPr>
          <w:p>
            <w:pPr>
              <w:pStyle w:val="48"/>
              <w:spacing w:line="36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投标人注册在少数民族地区的得</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分。</w:t>
            </w:r>
          </w:p>
          <w:p>
            <w:pPr>
              <w:pStyle w:val="48"/>
              <w:spacing w:line="36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注：指投标人注册地在民族自治区、自治州、自治县</w:t>
            </w:r>
            <w:r>
              <w:rPr>
                <w:rFonts w:hint="eastAsia" w:asciiTheme="minorEastAsia" w:hAnsiTheme="minorEastAsia" w:eastAsiaTheme="minorEastAsia" w:cstheme="minorEastAsia"/>
                <w:b/>
                <w:bCs/>
                <w:sz w:val="21"/>
                <w:szCs w:val="21"/>
                <w:highlight w:val="none"/>
                <w:lang w:eastAsia="zh-CN"/>
              </w:rPr>
              <w:t>（</w:t>
            </w:r>
            <w:r>
              <w:rPr>
                <w:rFonts w:hint="eastAsia" w:asciiTheme="minorEastAsia" w:hAnsiTheme="minorEastAsia" w:eastAsiaTheme="minorEastAsia" w:cstheme="minorEastAsia"/>
                <w:b/>
                <w:bCs/>
                <w:sz w:val="21"/>
                <w:szCs w:val="21"/>
                <w:highlight w:val="none"/>
                <w:lang w:val="en-US" w:eastAsia="zh-CN"/>
              </w:rPr>
              <w:t>含享受少数民族待遇的区县</w:t>
            </w:r>
            <w:r>
              <w:rPr>
                <w:rFonts w:hint="eastAsia" w:asciiTheme="minorEastAsia" w:hAnsiTheme="minorEastAsia" w:eastAsiaTheme="minorEastAsia" w:cstheme="minorEastAsia"/>
                <w:b/>
                <w:bCs/>
                <w:sz w:val="21"/>
                <w:szCs w:val="21"/>
                <w:highlight w:val="none"/>
                <w:lang w:eastAsia="zh-CN"/>
              </w:rPr>
              <w:t>）</w:t>
            </w:r>
            <w:r>
              <w:rPr>
                <w:rFonts w:hint="eastAsia" w:asciiTheme="minorEastAsia" w:hAnsiTheme="minorEastAsia" w:eastAsiaTheme="minorEastAsia" w:cstheme="minorEastAsia"/>
                <w:b/>
                <w:bCs/>
                <w:sz w:val="21"/>
                <w:szCs w:val="21"/>
              </w:rPr>
              <w:t>、</w:t>
            </w:r>
            <w:r>
              <w:rPr>
                <w:rFonts w:hint="eastAsia" w:asciiTheme="minorEastAsia" w:hAnsiTheme="minorEastAsia" w:eastAsiaTheme="minorEastAsia" w:cstheme="minorEastAsia"/>
                <w:b/>
                <w:bCs/>
                <w:sz w:val="21"/>
                <w:szCs w:val="21"/>
                <w:lang w:val="en-US" w:eastAsia="zh-CN"/>
              </w:rPr>
              <w:t>民族</w:t>
            </w:r>
            <w:r>
              <w:rPr>
                <w:rFonts w:hint="eastAsia" w:asciiTheme="minorEastAsia" w:hAnsiTheme="minorEastAsia" w:eastAsiaTheme="minorEastAsia" w:cstheme="minorEastAsia"/>
                <w:b/>
                <w:bCs/>
                <w:sz w:val="21"/>
                <w:szCs w:val="21"/>
              </w:rPr>
              <w:t>治乡的，提供营业执照</w:t>
            </w:r>
            <w:r>
              <w:rPr>
                <w:rFonts w:hint="eastAsia" w:asciiTheme="minorEastAsia" w:hAnsiTheme="minorEastAsia" w:eastAsiaTheme="minorEastAsia" w:cstheme="minorEastAsia"/>
                <w:b/>
                <w:bCs/>
                <w:sz w:val="21"/>
                <w:szCs w:val="21"/>
                <w:lang w:val="en-US" w:eastAsia="zh-CN"/>
              </w:rPr>
              <w:t>副本</w:t>
            </w:r>
            <w:r>
              <w:rPr>
                <w:rFonts w:hint="eastAsia" w:asciiTheme="minorEastAsia" w:hAnsiTheme="minorEastAsia" w:eastAsiaTheme="minorEastAsia" w:cstheme="minorEastAsia"/>
                <w:b/>
                <w:bCs/>
                <w:sz w:val="21"/>
                <w:szCs w:val="21"/>
              </w:rPr>
              <w:t>复印件。</w:t>
            </w:r>
          </w:p>
        </w:tc>
        <w:tc>
          <w:tcPr>
            <w:tcW w:w="1020" w:type="dxa"/>
            <w:vAlign w:val="center"/>
          </w:tcPr>
          <w:p>
            <w:pPr>
              <w:pStyle w:val="51"/>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440" w:type="dxa"/>
            <w:vAlign w:val="center"/>
          </w:tcPr>
          <w:p>
            <w:pPr>
              <w:pStyle w:val="51"/>
              <w:keepNext w:val="0"/>
              <w:keepLines w:val="0"/>
              <w:pageBreakBefore w:val="0"/>
              <w:widowControl w:val="0"/>
              <w:kinsoku/>
              <w:bidi w:val="0"/>
              <w:adjustRightInd w:val="0"/>
              <w:snapToGrid w:val="0"/>
              <w:textAlignment w:val="auto"/>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六</w:t>
            </w:r>
          </w:p>
        </w:tc>
        <w:tc>
          <w:tcPr>
            <w:tcW w:w="1276" w:type="dxa"/>
            <w:vAlign w:val="center"/>
          </w:tcPr>
          <w:p>
            <w:pPr>
              <w:spacing w:line="320" w:lineRule="exact"/>
              <w:ind w:firstLine="28"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文件的规范性</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w:t>
            </w:r>
          </w:p>
        </w:tc>
        <w:tc>
          <w:tcPr>
            <w:tcW w:w="672" w:type="dxa"/>
            <w:vAlign w:val="center"/>
          </w:tcPr>
          <w:p>
            <w:pPr>
              <w:spacing w:line="320" w:lineRule="exact"/>
              <w:ind w:firstLine="28"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tc>
        <w:tc>
          <w:tcPr>
            <w:tcW w:w="6552" w:type="dxa"/>
            <w:vAlign w:val="center"/>
          </w:tcPr>
          <w:p>
            <w:pPr>
              <w:spacing w:line="320" w:lineRule="exact"/>
              <w:ind w:firstLine="28" w:firstLineChars="0"/>
              <w:rPr>
                <w:rFonts w:hint="eastAsia" w:asciiTheme="minorEastAsia" w:hAnsiTheme="minorEastAsia" w:eastAsiaTheme="minorEastAsia" w:cstheme="minorEastAsia"/>
                <w:b/>
                <w:bCs/>
                <w:sz w:val="21"/>
                <w:szCs w:val="21"/>
              </w:rPr>
            </w:pP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文件制作规范，没有细微偏差情形的得</w:t>
            </w:r>
            <w:r>
              <w:rPr>
                <w:rFonts w:hint="eastAsia" w:cs="宋体"/>
                <w:color w:val="auto"/>
                <w:sz w:val="21"/>
                <w:szCs w:val="21"/>
                <w:highlight w:val="none"/>
                <w:lang w:val="en-US" w:eastAsia="zh-CN"/>
              </w:rPr>
              <w:t>1</w:t>
            </w:r>
            <w:r>
              <w:rPr>
                <w:rFonts w:hint="eastAsia" w:ascii="宋体" w:hAnsi="宋体" w:eastAsia="宋体" w:cs="宋体"/>
                <w:color w:val="auto"/>
                <w:sz w:val="21"/>
                <w:szCs w:val="21"/>
                <w:highlight w:val="none"/>
              </w:rPr>
              <w:t>分；有一项细微偏差扣</w:t>
            </w:r>
            <w:r>
              <w:rPr>
                <w:rFonts w:hint="eastAsia" w:ascii="宋体" w:hAnsi="宋体" w:eastAsia="宋体" w:cs="宋体"/>
                <w:color w:val="auto"/>
                <w:sz w:val="21"/>
                <w:szCs w:val="21"/>
                <w:highlight w:val="none"/>
                <w:lang w:val="en-US" w:eastAsia="zh-CN"/>
              </w:rPr>
              <w:t>0.</w:t>
            </w: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rPr>
              <w:t>分，直至该项分值扣完为止。</w:t>
            </w:r>
          </w:p>
        </w:tc>
        <w:tc>
          <w:tcPr>
            <w:tcW w:w="1020" w:type="dxa"/>
            <w:vAlign w:val="center"/>
          </w:tcPr>
          <w:p>
            <w:pPr>
              <w:pStyle w:val="51"/>
              <w:keepNext w:val="0"/>
              <w:keepLines w:val="0"/>
              <w:pageBreakBefore w:val="0"/>
              <w:widowControl w:val="0"/>
              <w:kinsoku/>
              <w:bidi w:val="0"/>
              <w:adjustRightInd w:val="0"/>
              <w:snapToGrid w:val="0"/>
              <w:textAlignment w:val="auto"/>
              <w:rPr>
                <w:rFonts w:hint="eastAsia" w:asciiTheme="minorEastAsia" w:hAnsiTheme="minorEastAsia" w:eastAsiaTheme="minorEastAsia" w:cstheme="minorEastAsia"/>
                <w:szCs w:val="21"/>
              </w:rPr>
            </w:pPr>
            <w:r>
              <w:rPr>
                <w:rFonts w:hint="eastAsia" w:ascii="宋体" w:hAnsi="宋体" w:eastAsia="宋体" w:cs="宋体"/>
                <w:sz w:val="21"/>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960" w:type="dxa"/>
            <w:gridSpan w:val="5"/>
            <w:vAlign w:val="center"/>
          </w:tcPr>
          <w:p>
            <w:pPr>
              <w:pStyle w:val="51"/>
              <w:keepNext w:val="0"/>
              <w:keepLines w:val="0"/>
              <w:pageBreakBefore w:val="0"/>
              <w:widowControl w:val="0"/>
              <w:kinsoku/>
              <w:bidi w:val="0"/>
              <w:adjustRightInd w:val="0"/>
              <w:snapToGrid w:val="0"/>
              <w:jc w:val="both"/>
              <w:textAlignment w:val="auto"/>
              <w:rPr>
                <w:rFonts w:asciiTheme="minorEastAsia" w:hAnsiTheme="minorEastAsia" w:eastAsiaTheme="minorEastAsia" w:cstheme="minorEastAsia"/>
                <w:szCs w:val="21"/>
              </w:rPr>
            </w:pPr>
            <w:r>
              <w:rPr>
                <w:rFonts w:hint="eastAsia" w:ascii="宋体" w:hAnsi="宋体" w:eastAsia="宋体" w:cs="宋体"/>
                <w:b/>
                <w:bCs/>
                <w:sz w:val="21"/>
                <w:szCs w:val="21"/>
              </w:rPr>
              <w:t>注：</w:t>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 1 \* GB3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t>①</w:t>
            </w:r>
            <w:r>
              <w:rPr>
                <w:rFonts w:hint="eastAsia" w:ascii="宋体" w:hAnsi="宋体" w:eastAsia="宋体" w:cs="宋体"/>
                <w:b/>
                <w:bCs/>
                <w:sz w:val="21"/>
                <w:szCs w:val="21"/>
              </w:rPr>
              <w:fldChar w:fldCharType="end"/>
            </w:r>
            <w:r>
              <w:rPr>
                <w:rFonts w:hint="eastAsia" w:ascii="宋体" w:hAnsi="宋体" w:eastAsia="宋体" w:cs="宋体"/>
                <w:b/>
                <w:bCs/>
                <w:sz w:val="21"/>
                <w:szCs w:val="21"/>
              </w:rPr>
              <w:t>评分的取值按四舍五入法，小数点后保留两位。</w:t>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 2 \* GB3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t>②</w:t>
            </w:r>
            <w:r>
              <w:rPr>
                <w:rFonts w:hint="eastAsia" w:ascii="宋体" w:hAnsi="宋体" w:eastAsia="宋体" w:cs="宋体"/>
                <w:b/>
                <w:bCs/>
                <w:sz w:val="21"/>
                <w:szCs w:val="21"/>
              </w:rPr>
              <w:fldChar w:fldCharType="end"/>
            </w:r>
            <w:r>
              <w:rPr>
                <w:rFonts w:hint="eastAsia" w:ascii="宋体" w:hAnsi="宋体" w:eastAsia="宋体" w:cs="宋体"/>
                <w:b/>
                <w:bCs/>
                <w:sz w:val="21"/>
                <w:szCs w:val="21"/>
              </w:rPr>
              <w:t>本表中要求提供各类证明材料，均需加盖投标人单位公章，否则将不认可该项材料的有效性。③本项目不涉及节能、环境标志、无线局域网产品，故在综合评分明细表中不作体现。</w:t>
            </w:r>
          </w:p>
        </w:tc>
      </w:tr>
    </w:tbl>
    <w:p>
      <w:pPr>
        <w:pStyle w:val="41"/>
        <w:numPr>
          <w:ilvl w:val="1"/>
          <w:numId w:val="14"/>
        </w:numPr>
        <w:ind w:firstLine="482"/>
      </w:pPr>
      <w:bookmarkStart w:id="1437" w:name="_Toc29722"/>
      <w:r>
        <w:rPr>
          <w:rFonts w:hint="eastAsia"/>
        </w:rPr>
        <w:t>复核</w:t>
      </w:r>
      <w:bookmarkEnd w:id="1426"/>
      <w:bookmarkEnd w:id="1437"/>
    </w:p>
    <w:p>
      <w:pPr>
        <w:pStyle w:val="39"/>
        <w:numPr>
          <w:ilvl w:val="1"/>
          <w:numId w:val="36"/>
        </w:numPr>
        <w:ind w:firstLine="480"/>
      </w:pPr>
      <w:r>
        <w:rPr>
          <w:rFonts w:hint="eastAsia"/>
        </w:rPr>
        <w:t>评标委员会复核</w:t>
      </w:r>
    </w:p>
    <w:p>
      <w:pPr>
        <w:pStyle w:val="48"/>
        <w:ind w:firstLine="480" w:firstLineChars="200"/>
      </w:pPr>
      <w:r>
        <w:rPr>
          <w:rFonts w:hint="eastAsia"/>
        </w:rPr>
        <w:t>评分汇总结束后，评标委员会应当进行复核，特别要对拟推荐为中标候选供应商的、报价最低的、投标文件被认定为无效的进行重点复核。</w:t>
      </w:r>
    </w:p>
    <w:p>
      <w:pPr>
        <w:pStyle w:val="39"/>
        <w:ind w:firstLine="480"/>
      </w:pPr>
      <w:r>
        <w:rPr>
          <w:rFonts w:hint="eastAsia"/>
        </w:rPr>
        <w:t>采购代理机构现场复核评审结果</w:t>
      </w:r>
    </w:p>
    <w:p>
      <w:pPr>
        <w:pStyle w:val="42"/>
        <w:ind w:firstLine="480"/>
      </w:pPr>
      <w:r>
        <w:rPr>
          <w:rFonts w:hint="eastAsia"/>
        </w:rPr>
        <w:t>评审结果汇总完成后，评标委员会拟出具评标报告前，采购代理机构应当组织2名以上的本单位工作人员，在采购现场监督人员的监督之下，依据有关的法律制度和采购文件对评审结果进行复核，出具复核报告，存在下列情形之一的，应当根据情况要求评标委员会现场修改评标结果或者重新评标：</w:t>
      </w:r>
    </w:p>
    <w:p>
      <w:pPr>
        <w:pStyle w:val="43"/>
        <w:ind w:firstLine="480"/>
      </w:pPr>
      <w:r>
        <w:rPr>
          <w:rFonts w:hint="eastAsia"/>
        </w:rPr>
        <w:t>分值汇总计算错误的；</w:t>
      </w:r>
    </w:p>
    <w:p>
      <w:pPr>
        <w:pStyle w:val="43"/>
        <w:ind w:firstLine="480"/>
      </w:pPr>
      <w:r>
        <w:rPr>
          <w:rFonts w:hint="eastAsia"/>
        </w:rPr>
        <w:t>分项评分超出评分标准范围的；</w:t>
      </w:r>
    </w:p>
    <w:p>
      <w:pPr>
        <w:pStyle w:val="43"/>
        <w:ind w:firstLine="480"/>
      </w:pPr>
      <w:r>
        <w:rPr>
          <w:rFonts w:hint="eastAsia"/>
        </w:rPr>
        <w:t>评标委员会成员对客观评审因素评分不一致的；</w:t>
      </w:r>
    </w:p>
    <w:p>
      <w:pPr>
        <w:pStyle w:val="43"/>
        <w:ind w:firstLine="480"/>
      </w:pPr>
      <w:r>
        <w:rPr>
          <w:rFonts w:hint="eastAsia"/>
        </w:rPr>
        <w:t>经评标委员会认定评分畸高、畸低的。</w:t>
      </w:r>
    </w:p>
    <w:p>
      <w:pPr>
        <w:pStyle w:val="52"/>
      </w:pPr>
      <w:r>
        <w:rPr>
          <w:rFonts w:hint="eastAsia"/>
        </w:rPr>
        <w:t>存在本条上述规定情形的，由评标委员会自主决定是否采纳采购代理机构的书面建议，并承担独立评审责任。评标委员会采纳采购代理机构书面建议的，应当按照规定现场修改评标结果或者重新评标，并在评标报告中详细记载有关事宜；不采纳采购代理机构书面建议的，应当书面说明理由。采购代理机构书面建议未被评标委员会采纳的，应当按照规定程序要求继续组织实施采购活动，不得擅自中止采购活动。采购代理机构认为评标委员会评标结果不合法的，应当书面报告采购项目同级财政部门依法处理。</w:t>
      </w:r>
    </w:p>
    <w:p>
      <w:pPr>
        <w:pStyle w:val="52"/>
      </w:pPr>
      <w:r>
        <w:rPr>
          <w:rFonts w:hint="eastAsia"/>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42"/>
        <w:ind w:firstLine="480"/>
      </w:pPr>
      <w:r>
        <w:rPr>
          <w:rFonts w:hint="eastAsia"/>
        </w:rPr>
        <w:t>采购代理机构复核过程中，评标委员会不得离开评标现场。</w:t>
      </w:r>
    </w:p>
    <w:p>
      <w:pPr>
        <w:pStyle w:val="42"/>
        <w:ind w:firstLine="480"/>
      </w:pPr>
      <w:r>
        <w:rPr>
          <w:rFonts w:hint="eastAsia"/>
        </w:rPr>
        <w:t>有下列情形之一的，不得修改评标结果或者重新评标：</w:t>
      </w:r>
    </w:p>
    <w:p>
      <w:pPr>
        <w:pStyle w:val="43"/>
        <w:ind w:firstLine="480"/>
      </w:pPr>
      <w:r>
        <w:rPr>
          <w:rFonts w:hint="eastAsia"/>
        </w:rPr>
        <w:t>评标委员会已经出具评标报告并且离开评标现场的；</w:t>
      </w:r>
    </w:p>
    <w:p>
      <w:pPr>
        <w:pStyle w:val="43"/>
        <w:ind w:firstLine="480"/>
      </w:pPr>
      <w:r>
        <w:rPr>
          <w:rFonts w:hint="eastAsia"/>
        </w:rPr>
        <w:t>采购代理机构现场复核时，复核工作人员数量不足的；</w:t>
      </w:r>
    </w:p>
    <w:p>
      <w:pPr>
        <w:pStyle w:val="43"/>
        <w:ind w:firstLine="480"/>
      </w:pPr>
      <w:r>
        <w:rPr>
          <w:rFonts w:hint="eastAsia"/>
        </w:rPr>
        <w:t>采购代理机构现场复核时，没有采购监督人员现场监督的；</w:t>
      </w:r>
    </w:p>
    <w:p>
      <w:pPr>
        <w:pStyle w:val="43"/>
        <w:ind w:firstLine="480"/>
      </w:pPr>
      <w:r>
        <w:rPr>
          <w:rFonts w:hint="eastAsia"/>
        </w:rPr>
        <w:t>采购代理机构现场复核内容超出规定范围的；</w:t>
      </w:r>
    </w:p>
    <w:p>
      <w:pPr>
        <w:pStyle w:val="43"/>
        <w:ind w:firstLine="480"/>
      </w:pPr>
      <w:r>
        <w:rPr>
          <w:rFonts w:hint="eastAsia"/>
        </w:rPr>
        <w:t>采购代理机构未提供书面建议的。</w:t>
      </w:r>
    </w:p>
    <w:p>
      <w:pPr>
        <w:pStyle w:val="41"/>
        <w:numPr>
          <w:ilvl w:val="1"/>
          <w:numId w:val="14"/>
        </w:numPr>
        <w:ind w:firstLine="482"/>
      </w:pPr>
      <w:bookmarkStart w:id="1438" w:name="_Toc31256"/>
      <w:bookmarkStart w:id="1439" w:name="_Toc20867"/>
      <w:r>
        <w:rPr>
          <w:rFonts w:hint="eastAsia"/>
        </w:rPr>
        <w:t>推荐中标候选供应商</w:t>
      </w:r>
      <w:bookmarkEnd w:id="1438"/>
      <w:bookmarkEnd w:id="1439"/>
    </w:p>
    <w:p>
      <w:pPr>
        <w:pStyle w:val="52"/>
      </w:pPr>
      <w:r>
        <w:rPr>
          <w:rFonts w:hint="eastAsia"/>
        </w:rPr>
        <w:t>中标候选供应商数量应当根据招标文件的规定确定，但必须按顺序排列中标候选供应商。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Style w:val="52"/>
      </w:pPr>
      <w:r>
        <w:rPr>
          <w:rFonts w:hint="eastAsia"/>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不予认可。</w:t>
      </w:r>
    </w:p>
    <w:p>
      <w:pPr>
        <w:pStyle w:val="41"/>
        <w:numPr>
          <w:ilvl w:val="1"/>
          <w:numId w:val="14"/>
        </w:numPr>
        <w:ind w:firstLine="482"/>
      </w:pPr>
      <w:bookmarkStart w:id="1440" w:name="_Toc22776"/>
      <w:bookmarkStart w:id="1441" w:name="_Toc7685"/>
      <w:r>
        <w:rPr>
          <w:rFonts w:hint="eastAsia"/>
        </w:rPr>
        <w:t>出具评标报告</w:t>
      </w:r>
      <w:bookmarkEnd w:id="1440"/>
      <w:bookmarkEnd w:id="1441"/>
    </w:p>
    <w:p>
      <w:pPr>
        <w:pStyle w:val="52"/>
      </w:pPr>
      <w:r>
        <w:rPr>
          <w:rFonts w:hint="eastAsia"/>
        </w:rPr>
        <w:t>评标委员会推荐中标候选供应商后，应当向招标采购单位出具评标报告。评标报告应当包括下列内容：</w:t>
      </w:r>
    </w:p>
    <w:p>
      <w:pPr>
        <w:pStyle w:val="39"/>
        <w:numPr>
          <w:ilvl w:val="1"/>
          <w:numId w:val="37"/>
        </w:numPr>
        <w:ind w:firstLine="480"/>
      </w:pPr>
      <w:r>
        <w:rPr>
          <w:rFonts w:hint="eastAsia"/>
        </w:rPr>
        <w:t>招标公告刊登的媒体名称、开标日期和地点；</w:t>
      </w:r>
    </w:p>
    <w:p>
      <w:pPr>
        <w:pStyle w:val="39"/>
        <w:numPr>
          <w:ilvl w:val="1"/>
          <w:numId w:val="37"/>
        </w:numPr>
        <w:ind w:firstLine="480"/>
      </w:pPr>
      <w:r>
        <w:rPr>
          <w:rFonts w:hint="eastAsia"/>
        </w:rPr>
        <w:t>投标人名单和评标委员会成员名单；</w:t>
      </w:r>
    </w:p>
    <w:p>
      <w:pPr>
        <w:pStyle w:val="39"/>
        <w:numPr>
          <w:ilvl w:val="1"/>
          <w:numId w:val="37"/>
        </w:numPr>
        <w:ind w:firstLine="480"/>
      </w:pPr>
      <w:r>
        <w:rPr>
          <w:rFonts w:hint="eastAsia"/>
        </w:rPr>
        <w:t>评标方法和标准；</w:t>
      </w:r>
    </w:p>
    <w:p>
      <w:pPr>
        <w:pStyle w:val="39"/>
        <w:numPr>
          <w:ilvl w:val="1"/>
          <w:numId w:val="37"/>
        </w:numPr>
        <w:ind w:firstLine="480"/>
      </w:pPr>
      <w:r>
        <w:rPr>
          <w:rFonts w:hint="eastAsia"/>
        </w:rPr>
        <w:t>开标记录和评标情况及说明，包括无效投标人名单及原因；</w:t>
      </w:r>
    </w:p>
    <w:p>
      <w:pPr>
        <w:pStyle w:val="39"/>
        <w:numPr>
          <w:ilvl w:val="1"/>
          <w:numId w:val="37"/>
        </w:numPr>
        <w:ind w:firstLine="480"/>
      </w:pPr>
      <w:r>
        <w:rPr>
          <w:rFonts w:hint="eastAsia"/>
        </w:rPr>
        <w:t>评标结果，确定的中标候选人名单或者经采购人委托直接确定的中标人；</w:t>
      </w:r>
    </w:p>
    <w:p>
      <w:pPr>
        <w:pStyle w:val="39"/>
        <w:numPr>
          <w:ilvl w:val="1"/>
          <w:numId w:val="37"/>
        </w:numPr>
        <w:ind w:firstLine="480"/>
      </w:pPr>
      <w:r>
        <w:rPr>
          <w:rFonts w:hint="eastAsia"/>
        </w:rPr>
        <w:t>其他需要说明的情况，包括评标过程中投标人根据评标委员会要求进行的澄清、说明或者补正，评标委员会成员的更换等。</w:t>
      </w:r>
    </w:p>
    <w:p>
      <w:pPr>
        <w:pStyle w:val="53"/>
        <w:ind w:firstLine="482"/>
      </w:pPr>
      <w:r>
        <w:rPr>
          <w:rFonts w:hint="eastAsia"/>
        </w:rPr>
        <w:t>注：评标委员会成员应当在评标报告中签字确认，对评标过程和结果有不同意见的，应当在评标报告中写明并说明理由。签字但不写明不同意见或者不说明理由的，视同无意见。拒不签字又不另行书面说明其不同意见和理由的，视为同意评标结果。</w:t>
      </w:r>
    </w:p>
    <w:p>
      <w:pPr>
        <w:pStyle w:val="41"/>
        <w:numPr>
          <w:ilvl w:val="1"/>
          <w:numId w:val="14"/>
        </w:numPr>
        <w:ind w:firstLine="482"/>
      </w:pPr>
      <w:bookmarkStart w:id="1442" w:name="_Toc17073"/>
      <w:bookmarkStart w:id="1443" w:name="_Toc11770"/>
      <w:r>
        <w:rPr>
          <w:rFonts w:hint="eastAsia"/>
        </w:rPr>
        <w:t>废标</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427"/>
      <w:bookmarkEnd w:id="1428"/>
      <w:bookmarkEnd w:id="1429"/>
      <w:bookmarkEnd w:id="1430"/>
      <w:bookmarkEnd w:id="1442"/>
      <w:bookmarkEnd w:id="1443"/>
    </w:p>
    <w:p>
      <w:pPr>
        <w:pStyle w:val="52"/>
      </w:pPr>
      <w:r>
        <w:rPr>
          <w:rFonts w:hint="eastAsia"/>
        </w:rPr>
        <w:t>本次政府采购活动中，出现下列情形之一的，予以废标：</w:t>
      </w:r>
    </w:p>
    <w:p>
      <w:pPr>
        <w:pStyle w:val="42"/>
        <w:ind w:firstLine="480"/>
      </w:pPr>
      <w:r>
        <w:rPr>
          <w:rFonts w:hint="eastAsia"/>
        </w:rPr>
        <w:t>符合专业条件的供应商或者对招标文件作实质响应的供应商不足三家的；</w:t>
      </w:r>
    </w:p>
    <w:p>
      <w:pPr>
        <w:pStyle w:val="42"/>
        <w:ind w:firstLine="480"/>
      </w:pPr>
      <w:r>
        <w:rPr>
          <w:rFonts w:hint="eastAsia"/>
        </w:rPr>
        <w:t>出现影响采购公正的违法、违规行为的；</w:t>
      </w:r>
    </w:p>
    <w:p>
      <w:pPr>
        <w:pStyle w:val="42"/>
        <w:ind w:firstLine="480"/>
      </w:pPr>
      <w:r>
        <w:rPr>
          <w:rFonts w:hint="eastAsia"/>
        </w:rPr>
        <w:t>投标人的报价均超过了采购预算或最高限价，采购人不能支付的；</w:t>
      </w:r>
    </w:p>
    <w:p>
      <w:pPr>
        <w:pStyle w:val="42"/>
        <w:ind w:firstLine="480"/>
      </w:pPr>
      <w:r>
        <w:rPr>
          <w:rFonts w:hint="eastAsia"/>
        </w:rPr>
        <w:t>因重大变故，采购任务取消的。</w:t>
      </w:r>
    </w:p>
    <w:p>
      <w:pPr>
        <w:pStyle w:val="52"/>
      </w:pPr>
      <w:r>
        <w:rPr>
          <w:rFonts w:hint="eastAsia"/>
        </w:rPr>
        <w:t>废标后，采购代理机构应在“四川政府采购网”公告，并公告废标的理由。对于废标的采购项目，评标委员会应当对招标文件是否存在倾向性和歧视性、是否存在不合理条款进行论证，并出具书面论证意见。</w:t>
      </w:r>
    </w:p>
    <w:p>
      <w:pPr>
        <w:pStyle w:val="41"/>
        <w:numPr>
          <w:ilvl w:val="1"/>
          <w:numId w:val="14"/>
        </w:numPr>
        <w:ind w:firstLine="482"/>
      </w:pPr>
      <w:bookmarkStart w:id="1444" w:name="_Toc7121"/>
      <w:bookmarkStart w:id="1445" w:name="_Toc13169"/>
      <w:bookmarkStart w:id="1446" w:name="_Toc31281"/>
      <w:bookmarkStart w:id="1447" w:name="_Toc4794"/>
      <w:bookmarkStart w:id="1448" w:name="_Toc2453"/>
      <w:bookmarkStart w:id="1449" w:name="_Toc307501158"/>
      <w:bookmarkStart w:id="1450" w:name="_Toc309897567"/>
      <w:bookmarkStart w:id="1451" w:name="_Toc319439949"/>
      <w:bookmarkStart w:id="1452" w:name="_Toc308188202"/>
      <w:bookmarkStart w:id="1453" w:name="_Toc308084649"/>
      <w:bookmarkStart w:id="1454" w:name="_Toc24655"/>
      <w:bookmarkStart w:id="1455" w:name="_Toc21352"/>
      <w:bookmarkStart w:id="1456" w:name="_Toc10846"/>
      <w:bookmarkStart w:id="1457" w:name="_Toc4475"/>
      <w:bookmarkStart w:id="1458" w:name="_Toc768"/>
      <w:bookmarkStart w:id="1459" w:name="_Toc319440193"/>
      <w:bookmarkStart w:id="1460" w:name="_Toc307564900"/>
      <w:bookmarkStart w:id="1461" w:name="_Toc19842"/>
      <w:bookmarkStart w:id="1462" w:name="_Toc327196344"/>
      <w:bookmarkStart w:id="1463" w:name="_Toc25875"/>
      <w:r>
        <w:rPr>
          <w:rFonts w:hint="eastAsia"/>
        </w:rPr>
        <w:t>定标</w:t>
      </w:r>
      <w:bookmarkEnd w:id="1048"/>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Start w:id="1464" w:name="_Toc217446061"/>
    </w:p>
    <w:p>
      <w:pPr>
        <w:pStyle w:val="39"/>
        <w:numPr>
          <w:ilvl w:val="1"/>
          <w:numId w:val="38"/>
        </w:numPr>
        <w:ind w:firstLine="480"/>
      </w:pPr>
      <w:r>
        <w:rPr>
          <w:rFonts w:hint="eastAsia"/>
        </w:rPr>
        <w:t>定标原则</w:t>
      </w:r>
      <w:bookmarkEnd w:id="1464"/>
      <w:r>
        <w:rPr>
          <w:rFonts w:hint="eastAsia"/>
        </w:rPr>
        <w:t>：本项目根据评委会推荐的中标候选人名单，按顺序确定中标人。</w:t>
      </w:r>
    </w:p>
    <w:p>
      <w:pPr>
        <w:pStyle w:val="39"/>
        <w:numPr>
          <w:ilvl w:val="1"/>
          <w:numId w:val="38"/>
        </w:numPr>
        <w:ind w:firstLine="480"/>
      </w:pPr>
      <w:bookmarkStart w:id="1465" w:name="_Toc217446062"/>
      <w:r>
        <w:rPr>
          <w:rFonts w:hint="eastAsia"/>
        </w:rPr>
        <w:t>定标程序</w:t>
      </w:r>
      <w:bookmarkEnd w:id="1465"/>
    </w:p>
    <w:p>
      <w:pPr>
        <w:pStyle w:val="42"/>
        <w:ind w:firstLine="480"/>
      </w:pPr>
      <w:r>
        <w:rPr>
          <w:rFonts w:hint="eastAsia"/>
        </w:rPr>
        <w:t>评标委员会根据全体评标成员签字的原始评标记录和评标结果编写评标报告，推荐不少于三名中标候选人，并按照综合得分高低标明排列顺序。</w:t>
      </w:r>
    </w:p>
    <w:p>
      <w:pPr>
        <w:pStyle w:val="42"/>
        <w:ind w:firstLine="480"/>
      </w:pPr>
      <w:r>
        <w:rPr>
          <w:rFonts w:hint="eastAsia"/>
        </w:rPr>
        <w:t>采购代理机构在评标结束后2个工作日内将评标报告送采购人。</w:t>
      </w:r>
    </w:p>
    <w:p>
      <w:pPr>
        <w:pStyle w:val="42"/>
        <w:ind w:firstLine="480"/>
      </w:pPr>
      <w:r>
        <w:rPr>
          <w:rFonts w:hint="eastAsia"/>
        </w:rPr>
        <w:t>采购人应当自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pPr>
        <w:pStyle w:val="52"/>
      </w:pPr>
      <w:r>
        <w:rPr>
          <w:rFonts w:hint="eastAsia"/>
        </w:rPr>
        <w:t>采购人在收到评标报告5个工作日内未按评标报告推荐的中标候选人顺序确定中标人，又不能说明合法理由的，视同按评标报告推荐的顺序确定排名第一的中标候选人为中标人。</w:t>
      </w:r>
    </w:p>
    <w:p>
      <w:pPr>
        <w:pStyle w:val="42"/>
        <w:ind w:firstLine="480"/>
      </w:pPr>
      <w:r>
        <w:rPr>
          <w:rFonts w:hint="eastAsia"/>
        </w:rPr>
        <w:t>评标结果按评审后得分由高到低顺序排列；得分相同的，按投标报价由低到高顺序排列；得分且投标报价相同的并列，投标文件满足招标文件全部实质性要求且按照评审因素的量化指标评审得分最高的供应商为中标候选供应商；报价相同且满足招标文件全部实质性要求且按照评审因素的量化指标评审得分也相同的并列，由采购人自主采取公平、择优的方式选择中标人。</w:t>
      </w:r>
    </w:p>
    <w:p>
      <w:pPr>
        <w:pStyle w:val="42"/>
        <w:ind w:firstLine="480"/>
      </w:pPr>
      <w:r>
        <w:rPr>
          <w:rFonts w:hint="eastAsia"/>
        </w:rPr>
        <w:t>采购代理机构在中标人确定后2个工作日内，在“四川政府采购网”发布中标公告，同时向中标人发出中标通知书。请中标人凭有效身份证明证件到采购代理机构领取中标通知书，逾期采购代理机构将中标通知书快递至中标人，中标人自行承担相关不利后果。</w:t>
      </w:r>
    </w:p>
    <w:p>
      <w:pPr>
        <w:pStyle w:val="42"/>
        <w:ind w:firstLine="480"/>
      </w:pPr>
      <w:r>
        <w:rPr>
          <w:rFonts w:hint="eastAsia"/>
        </w:rPr>
        <w:t>招标采购单位不退回投标人投标文件和其他投标资料。</w:t>
      </w:r>
    </w:p>
    <w:bookmarkEnd w:id="1049"/>
    <w:p>
      <w:pPr>
        <w:pStyle w:val="41"/>
        <w:numPr>
          <w:ilvl w:val="1"/>
          <w:numId w:val="14"/>
        </w:numPr>
        <w:ind w:firstLine="482"/>
      </w:pPr>
      <w:bookmarkStart w:id="1466" w:name="_Toc22537"/>
      <w:bookmarkStart w:id="1467" w:name="_Toc25198"/>
      <w:bookmarkStart w:id="1468" w:name="_Toc14102"/>
      <w:bookmarkStart w:id="1469" w:name="_Toc32114"/>
      <w:bookmarkStart w:id="1470" w:name="_Toc12592"/>
      <w:bookmarkStart w:id="1471" w:name="_Toc15982"/>
      <w:bookmarkStart w:id="1472" w:name="_Toc307564901"/>
      <w:bookmarkStart w:id="1473" w:name="_Toc308084650"/>
      <w:bookmarkStart w:id="1474" w:name="_Toc25084"/>
      <w:bookmarkStart w:id="1475" w:name="_Toc16879"/>
      <w:bookmarkStart w:id="1476" w:name="_Toc319440194"/>
      <w:bookmarkStart w:id="1477" w:name="_Toc27662"/>
      <w:bookmarkStart w:id="1478" w:name="_Toc319439950"/>
      <w:bookmarkStart w:id="1479" w:name="_Toc308188203"/>
      <w:bookmarkStart w:id="1480" w:name="_Toc307501159"/>
      <w:bookmarkStart w:id="1481" w:name="_Toc27423"/>
      <w:bookmarkStart w:id="1482" w:name="_Toc8099"/>
      <w:bookmarkStart w:id="1483" w:name="_Toc327196345"/>
      <w:bookmarkStart w:id="1484" w:name="_Toc10903"/>
      <w:bookmarkStart w:id="1485" w:name="_Toc309897568"/>
      <w:r>
        <w:rPr>
          <w:rFonts w:hint="eastAsia"/>
        </w:rPr>
        <w:t>评标专家在政府采购活动中承担以下义务</w:t>
      </w:r>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p>
    <w:p>
      <w:pPr>
        <w:pStyle w:val="39"/>
        <w:numPr>
          <w:ilvl w:val="1"/>
          <w:numId w:val="39"/>
        </w:numPr>
        <w:ind w:firstLine="480"/>
      </w:pPr>
      <w:r>
        <w:rPr>
          <w:rFonts w:hint="eastAsia"/>
        </w:rPr>
        <w:t>遵守评标工作纪律；</w:t>
      </w:r>
    </w:p>
    <w:p>
      <w:pPr>
        <w:pStyle w:val="39"/>
        <w:numPr>
          <w:ilvl w:val="1"/>
          <w:numId w:val="39"/>
        </w:numPr>
        <w:ind w:firstLine="480"/>
      </w:pPr>
      <w:r>
        <w:rPr>
          <w:rFonts w:hint="eastAsia"/>
        </w:rPr>
        <w:t>按照客观、公正、审慎的原则，根据招标文件规定的评标程序、评标方法和评标标准进行独立评标；</w:t>
      </w:r>
    </w:p>
    <w:p>
      <w:pPr>
        <w:pStyle w:val="39"/>
        <w:numPr>
          <w:ilvl w:val="1"/>
          <w:numId w:val="39"/>
        </w:numPr>
        <w:ind w:firstLine="480"/>
      </w:pPr>
      <w:r>
        <w:rPr>
          <w:rFonts w:hint="eastAsia"/>
        </w:rPr>
        <w:t>不得泄露评标文件、评标情况和在评标过程中获悉的商业秘密；</w:t>
      </w:r>
    </w:p>
    <w:p>
      <w:pPr>
        <w:pStyle w:val="39"/>
        <w:numPr>
          <w:ilvl w:val="1"/>
          <w:numId w:val="39"/>
        </w:numPr>
        <w:ind w:firstLine="480"/>
      </w:pPr>
      <w:r>
        <w:rPr>
          <w:rFonts w:hint="eastAsia"/>
        </w:rPr>
        <w:t>及时向财政部门报告评标过程中发现的采购人、采购代理机构向评标专家做倾向性、误导性的解释或者说明，以及供应商行贿、提供虚假材料或者串通等违法行为；</w:t>
      </w:r>
    </w:p>
    <w:p>
      <w:pPr>
        <w:pStyle w:val="39"/>
        <w:numPr>
          <w:ilvl w:val="1"/>
          <w:numId w:val="39"/>
        </w:numPr>
        <w:ind w:firstLine="480"/>
      </w:pPr>
      <w:r>
        <w:rPr>
          <w:rFonts w:hint="eastAsia"/>
        </w:rPr>
        <w:t>发现招标文件内容违反国家有关强制性规定或者采购文件存在歧义、重大缺陷导致评标工作无法进行时，停止评标并向采购人或者采购代理机构书面说明情况；</w:t>
      </w:r>
    </w:p>
    <w:p>
      <w:pPr>
        <w:pStyle w:val="39"/>
        <w:numPr>
          <w:ilvl w:val="1"/>
          <w:numId w:val="39"/>
        </w:numPr>
        <w:ind w:firstLine="480"/>
      </w:pPr>
      <w:r>
        <w:rPr>
          <w:rFonts w:hint="eastAsia"/>
        </w:rPr>
        <w:t>及时向财政、监察等部门举报在评标过程中受到的非法干预情况；</w:t>
      </w:r>
    </w:p>
    <w:p>
      <w:pPr>
        <w:pStyle w:val="39"/>
        <w:numPr>
          <w:ilvl w:val="1"/>
          <w:numId w:val="39"/>
        </w:numPr>
        <w:ind w:firstLine="480"/>
      </w:pPr>
      <w:r>
        <w:rPr>
          <w:rFonts w:hint="eastAsia"/>
        </w:rPr>
        <w:t>配合答复处理供应商的询问、质疑和投诉等事项；</w:t>
      </w:r>
    </w:p>
    <w:p>
      <w:pPr>
        <w:pStyle w:val="39"/>
        <w:numPr>
          <w:ilvl w:val="1"/>
          <w:numId w:val="39"/>
        </w:numPr>
        <w:ind w:firstLine="480"/>
      </w:pPr>
      <w:r>
        <w:rPr>
          <w:rFonts w:hint="eastAsia"/>
        </w:rPr>
        <w:t>法律、法规和规章规定的其他义务。</w:t>
      </w:r>
    </w:p>
    <w:p>
      <w:pPr>
        <w:pStyle w:val="41"/>
        <w:numPr>
          <w:ilvl w:val="1"/>
          <w:numId w:val="14"/>
        </w:numPr>
        <w:ind w:firstLine="482"/>
      </w:pPr>
      <w:bookmarkStart w:id="1486" w:name="_Toc28428"/>
      <w:bookmarkStart w:id="1487" w:name="_Toc327196346"/>
      <w:bookmarkStart w:id="1488" w:name="_Toc9610"/>
      <w:bookmarkStart w:id="1489" w:name="_Toc27047"/>
      <w:bookmarkStart w:id="1490" w:name="_Toc12088"/>
      <w:bookmarkStart w:id="1491" w:name="_Toc4379"/>
      <w:bookmarkStart w:id="1492" w:name="_Toc22368"/>
      <w:bookmarkStart w:id="1493" w:name="_Toc1690"/>
      <w:bookmarkStart w:id="1494" w:name="_Toc319440195"/>
      <w:bookmarkStart w:id="1495" w:name="_Toc19071"/>
      <w:bookmarkStart w:id="1496" w:name="_Toc3688"/>
      <w:bookmarkStart w:id="1497" w:name="_Toc24913"/>
      <w:bookmarkStart w:id="1498" w:name="_Toc30872"/>
      <w:bookmarkStart w:id="1499" w:name="_Toc29759"/>
      <w:r>
        <w:rPr>
          <w:rFonts w:hint="eastAsia"/>
        </w:rPr>
        <w:t>评标专家在政府采购活动中应当遵守以下工作纪律</w:t>
      </w:r>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p>
    <w:p>
      <w:pPr>
        <w:pStyle w:val="39"/>
        <w:numPr>
          <w:ilvl w:val="1"/>
          <w:numId w:val="40"/>
        </w:numPr>
        <w:ind w:firstLine="480"/>
      </w:pPr>
      <w:bookmarkStart w:id="1500" w:name="_Toc28956"/>
      <w:r>
        <w:rPr>
          <w:rFonts w:hint="eastAsia"/>
        </w:rPr>
        <w:t>遵行《中华人民共和国政府采购法》第十二条和《中华人民共和国政府采购法实施条例》第九条及财政部关于回避的规定；</w:t>
      </w:r>
    </w:p>
    <w:p>
      <w:pPr>
        <w:pStyle w:val="39"/>
        <w:numPr>
          <w:ilvl w:val="1"/>
          <w:numId w:val="40"/>
        </w:numPr>
        <w:ind w:firstLine="480"/>
      </w:pPr>
      <w:r>
        <w:rPr>
          <w:rFonts w:hint="eastAsia"/>
        </w:rPr>
        <w:t>评标前，应当将通讯工具或者相关电子设备交由招标采购单位统一保管；</w:t>
      </w:r>
    </w:p>
    <w:p>
      <w:pPr>
        <w:pStyle w:val="39"/>
        <w:numPr>
          <w:ilvl w:val="1"/>
          <w:numId w:val="40"/>
        </w:numPr>
        <w:ind w:firstLine="480"/>
      </w:pPr>
      <w:r>
        <w:rPr>
          <w:rFonts w:hint="eastAsia"/>
        </w:rPr>
        <w:t>评标过程中，不得与外界联系，因发生不可预见情况，确实需要与外界联系的，应当在监督人员监督之下办理；</w:t>
      </w:r>
    </w:p>
    <w:p>
      <w:pPr>
        <w:pStyle w:val="39"/>
        <w:numPr>
          <w:ilvl w:val="1"/>
          <w:numId w:val="40"/>
        </w:numPr>
        <w:ind w:firstLine="480"/>
      </w:pPr>
      <w:r>
        <w:rPr>
          <w:rFonts w:hint="eastAsia"/>
        </w:rPr>
        <w:t>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pStyle w:val="39"/>
        <w:numPr>
          <w:ilvl w:val="1"/>
          <w:numId w:val="40"/>
        </w:numPr>
        <w:ind w:firstLine="480"/>
      </w:pPr>
      <w:r>
        <w:rPr>
          <w:rFonts w:hint="eastAsia"/>
        </w:rPr>
        <w:t>在评标过程中和评标结束后，不得记录、复制或带走任何评标资料，除因规定的义务外，不得向外界透露评标内容；</w:t>
      </w:r>
    </w:p>
    <w:p>
      <w:pPr>
        <w:pStyle w:val="39"/>
        <w:numPr>
          <w:ilvl w:val="1"/>
          <w:numId w:val="40"/>
        </w:numPr>
        <w:ind w:firstLine="480"/>
      </w:pPr>
      <w:r>
        <w:rPr>
          <w:rFonts w:hint="eastAsia"/>
        </w:rPr>
        <w:t>服从评标现场招标采购单位的现场秩序管理，接受评标现场监督人员的合法监督；</w:t>
      </w:r>
    </w:p>
    <w:p>
      <w:pPr>
        <w:pStyle w:val="39"/>
        <w:numPr>
          <w:ilvl w:val="1"/>
          <w:numId w:val="40"/>
        </w:numPr>
        <w:ind w:firstLine="480"/>
      </w:pPr>
      <w:r>
        <w:rPr>
          <w:rFonts w:hint="eastAsia"/>
        </w:rPr>
        <w:t>遵守有关廉洁自律规定，不得私下接触供应商，不得收受供应商及有关业务单位和个人的财物或好处，不得接受招标采购单位的请托。</w:t>
      </w:r>
    </w:p>
    <w:p>
      <w:pPr>
        <w:pStyle w:val="39"/>
        <w:numPr>
          <w:ilvl w:val="1"/>
          <w:numId w:val="40"/>
        </w:numPr>
        <w:ind w:firstLine="480"/>
      </w:pPr>
      <w:r>
        <w:rPr>
          <w:rFonts w:hint="eastAsia"/>
        </w:rPr>
        <w:t>有关部门(机构)制定的其他评审工作纪律。</w:t>
      </w:r>
    </w:p>
    <w:p>
      <w:pPr>
        <w:pStyle w:val="41"/>
        <w:numPr>
          <w:ilvl w:val="1"/>
          <w:numId w:val="14"/>
        </w:numPr>
        <w:ind w:firstLine="482"/>
      </w:pPr>
      <w:bookmarkStart w:id="1501" w:name="_Toc30239"/>
      <w:bookmarkStart w:id="1502" w:name="_Toc8256"/>
      <w:bookmarkStart w:id="1503" w:name="_Toc30652"/>
      <w:bookmarkStart w:id="1504" w:name="_Toc26220"/>
      <w:r>
        <w:rPr>
          <w:rFonts w:hint="eastAsia"/>
        </w:rPr>
        <w:t>评标委员会及其成员不得有下列行为</w:t>
      </w:r>
      <w:bookmarkEnd w:id="1501"/>
      <w:bookmarkEnd w:id="1502"/>
      <w:bookmarkEnd w:id="1503"/>
      <w:bookmarkEnd w:id="1504"/>
    </w:p>
    <w:p>
      <w:pPr>
        <w:pStyle w:val="39"/>
        <w:numPr>
          <w:ilvl w:val="1"/>
          <w:numId w:val="41"/>
        </w:numPr>
        <w:ind w:firstLine="480"/>
      </w:pPr>
      <w:r>
        <w:rPr>
          <w:rFonts w:hint="eastAsia"/>
        </w:rPr>
        <w:t>确定参与评标至评标结束前私自接触投标人；</w:t>
      </w:r>
    </w:p>
    <w:p>
      <w:pPr>
        <w:pStyle w:val="39"/>
        <w:numPr>
          <w:ilvl w:val="1"/>
          <w:numId w:val="41"/>
        </w:numPr>
        <w:ind w:firstLine="480"/>
      </w:pPr>
      <w:r>
        <w:rPr>
          <w:rFonts w:hint="eastAsia"/>
        </w:rPr>
        <w:t>接受投标人提出的与投标文件不一致的澄清或者说明，《政府采购货物和服务招标投标管理办法》(财政部令第87号)第五十一条规定的情形除外；</w:t>
      </w:r>
    </w:p>
    <w:p>
      <w:pPr>
        <w:pStyle w:val="39"/>
        <w:numPr>
          <w:ilvl w:val="1"/>
          <w:numId w:val="41"/>
        </w:numPr>
        <w:ind w:firstLine="480"/>
      </w:pPr>
      <w:r>
        <w:rPr>
          <w:rFonts w:hint="eastAsia"/>
        </w:rPr>
        <w:t>违反评标纪律发表倾向性意见或者征询采购人的倾向性意见；</w:t>
      </w:r>
    </w:p>
    <w:p>
      <w:pPr>
        <w:pStyle w:val="39"/>
        <w:numPr>
          <w:ilvl w:val="1"/>
          <w:numId w:val="41"/>
        </w:numPr>
        <w:ind w:firstLine="480"/>
      </w:pPr>
      <w:r>
        <w:rPr>
          <w:rFonts w:hint="eastAsia"/>
        </w:rPr>
        <w:t>对需要专业判断的主观评审因素协商评分；</w:t>
      </w:r>
    </w:p>
    <w:p>
      <w:pPr>
        <w:pStyle w:val="39"/>
        <w:numPr>
          <w:ilvl w:val="1"/>
          <w:numId w:val="41"/>
        </w:numPr>
        <w:ind w:firstLine="480"/>
      </w:pPr>
      <w:r>
        <w:rPr>
          <w:rFonts w:hint="eastAsia"/>
        </w:rPr>
        <w:t>在评标过程中擅离职守，影响评标程序正常进行的；</w:t>
      </w:r>
    </w:p>
    <w:p>
      <w:pPr>
        <w:pStyle w:val="39"/>
        <w:numPr>
          <w:ilvl w:val="1"/>
          <w:numId w:val="41"/>
        </w:numPr>
        <w:ind w:firstLine="480"/>
      </w:pPr>
      <w:r>
        <w:rPr>
          <w:rFonts w:hint="eastAsia"/>
        </w:rPr>
        <w:t>记录、复制或者带走任何评标资料；</w:t>
      </w:r>
    </w:p>
    <w:p>
      <w:pPr>
        <w:pStyle w:val="39"/>
        <w:numPr>
          <w:ilvl w:val="1"/>
          <w:numId w:val="41"/>
        </w:numPr>
        <w:ind w:firstLine="480"/>
      </w:pPr>
      <w:r>
        <w:rPr>
          <w:rFonts w:hint="eastAsia"/>
        </w:rPr>
        <w:t>其他不遵守评标纪律的行为。</w:t>
      </w:r>
    </w:p>
    <w:p>
      <w:pPr>
        <w:pStyle w:val="52"/>
      </w:pPr>
      <w:r>
        <w:rPr>
          <w:rFonts w:hint="eastAsia"/>
        </w:rPr>
        <w:t>评标委员会成员有前款第一至五项行为之一的，其评审意见无效，并不得获取评审劳务报酬和报销异地评审差旅费。</w:t>
      </w:r>
    </w:p>
    <w:p>
      <w:pPr>
        <w:pStyle w:val="41"/>
        <w:numPr>
          <w:ilvl w:val="1"/>
          <w:numId w:val="14"/>
        </w:numPr>
        <w:ind w:firstLine="482"/>
      </w:pPr>
      <w:bookmarkStart w:id="1505" w:name="_Toc2832"/>
      <w:bookmarkStart w:id="1506" w:name="_Toc13225"/>
      <w:r>
        <w:rPr>
          <w:rFonts w:hint="eastAsia"/>
        </w:rPr>
        <w:t>评标委员会及其成员不得有下列违约情形</w:t>
      </w:r>
      <w:bookmarkEnd w:id="1505"/>
      <w:bookmarkEnd w:id="1506"/>
    </w:p>
    <w:p>
      <w:pPr>
        <w:pStyle w:val="39"/>
        <w:numPr>
          <w:ilvl w:val="1"/>
          <w:numId w:val="42"/>
        </w:numPr>
        <w:ind w:firstLine="480"/>
      </w:pPr>
      <w:r>
        <w:rPr>
          <w:rFonts w:hint="eastAsia"/>
        </w:rPr>
        <w:t>答应参加评审活动后，无正当理由不参加或者迟到，且不及时告知抽取终端工作人员，导致评审活动无法正常进行的；</w:t>
      </w:r>
    </w:p>
    <w:p>
      <w:pPr>
        <w:pStyle w:val="39"/>
        <w:numPr>
          <w:ilvl w:val="1"/>
          <w:numId w:val="42"/>
        </w:numPr>
        <w:ind w:firstLine="480"/>
      </w:pPr>
      <w:r>
        <w:rPr>
          <w:rFonts w:hint="eastAsia"/>
        </w:rPr>
        <w:t>不遵守评审现场工作纪律的；</w:t>
      </w:r>
    </w:p>
    <w:p>
      <w:pPr>
        <w:pStyle w:val="39"/>
        <w:numPr>
          <w:ilvl w:val="1"/>
          <w:numId w:val="42"/>
        </w:numPr>
        <w:ind w:firstLine="480"/>
      </w:pPr>
      <w:r>
        <w:rPr>
          <w:rFonts w:hint="eastAsia"/>
        </w:rPr>
        <w:t>明显故意拖延评审时间的；</w:t>
      </w:r>
    </w:p>
    <w:p>
      <w:pPr>
        <w:pStyle w:val="39"/>
        <w:numPr>
          <w:ilvl w:val="1"/>
          <w:numId w:val="42"/>
        </w:numPr>
        <w:ind w:firstLine="480"/>
      </w:pPr>
      <w:r>
        <w:rPr>
          <w:rFonts w:hint="eastAsia"/>
        </w:rPr>
        <w:t>抄袭其他评审委员会成员的评审意见的；</w:t>
      </w:r>
    </w:p>
    <w:p>
      <w:pPr>
        <w:pStyle w:val="39"/>
        <w:numPr>
          <w:ilvl w:val="1"/>
          <w:numId w:val="42"/>
        </w:numPr>
        <w:ind w:firstLine="480"/>
      </w:pPr>
      <w:r>
        <w:rPr>
          <w:rFonts w:hint="eastAsia"/>
        </w:rPr>
        <w:t>不按照政府采购法律制度和采购文件的规定进行评审，导致评审过程、评审结果违法违规，情节轻微不构成行政处罚的；</w:t>
      </w:r>
    </w:p>
    <w:p>
      <w:pPr>
        <w:pStyle w:val="39"/>
        <w:numPr>
          <w:ilvl w:val="1"/>
          <w:numId w:val="42"/>
        </w:numPr>
        <w:ind w:firstLine="480"/>
      </w:pPr>
      <w:r>
        <w:rPr>
          <w:rFonts w:hint="eastAsia"/>
        </w:rPr>
        <w:t>索取高于规定的劳务报酬，或者要求先给付报酬再进行评审，或者因劳务报酬低而拒绝评审、拒绝签署评审报告的；</w:t>
      </w:r>
    </w:p>
    <w:p>
      <w:pPr>
        <w:pStyle w:val="39"/>
        <w:numPr>
          <w:ilvl w:val="1"/>
          <w:numId w:val="42"/>
        </w:numPr>
        <w:ind w:firstLine="480"/>
      </w:pPr>
      <w:r>
        <w:rPr>
          <w:rFonts w:hint="eastAsia"/>
        </w:rPr>
        <w:t>不按照《四川省政府采购评审专家管理实施办法》的规定记录或者反馈采购人或者采购代理机构的职责履行情况的；</w:t>
      </w:r>
    </w:p>
    <w:p>
      <w:pPr>
        <w:pStyle w:val="39"/>
        <w:numPr>
          <w:ilvl w:val="1"/>
          <w:numId w:val="42"/>
        </w:numPr>
        <w:ind w:firstLine="480"/>
      </w:pPr>
      <w:r>
        <w:rPr>
          <w:rFonts w:hint="eastAsia"/>
        </w:rPr>
        <w:t>存在其他违反政府采购法规制度，但不构成行政处罚行为的。</w:t>
      </w:r>
    </w:p>
    <w:p>
      <w:pPr>
        <w:pStyle w:val="48"/>
      </w:pPr>
    </w:p>
    <w:p>
      <w:pPr>
        <w:pStyle w:val="54"/>
        <w:numPr>
          <w:ilvl w:val="0"/>
          <w:numId w:val="14"/>
        </w:numPr>
        <w:spacing w:before="120" w:after="120"/>
      </w:pPr>
      <w:r>
        <w:rPr>
          <w:rFonts w:hint="eastAsia"/>
        </w:rPr>
        <w:br w:type="page"/>
      </w:r>
      <w:bookmarkEnd w:id="1500"/>
      <w:bookmarkStart w:id="1507" w:name="_Toc18908"/>
      <w:bookmarkStart w:id="1508" w:name="_Toc13264"/>
      <w:bookmarkStart w:id="1509" w:name="_Toc229"/>
      <w:bookmarkStart w:id="1510" w:name="_Toc7547"/>
      <w:bookmarkStart w:id="1511" w:name="_Toc11337"/>
      <w:r>
        <w:rPr>
          <w:rFonts w:hint="eastAsia"/>
        </w:rPr>
        <w:t>政府采购合同</w:t>
      </w:r>
      <w:bookmarkEnd w:id="1507"/>
      <w:bookmarkEnd w:id="1508"/>
      <w:bookmarkEnd w:id="1509"/>
      <w:bookmarkEnd w:id="1510"/>
      <w:r>
        <w:rPr>
          <w:rFonts w:hint="eastAsia"/>
        </w:rPr>
        <w:t>(参考文本)</w:t>
      </w:r>
      <w:bookmarkEnd w:id="1511"/>
    </w:p>
    <w:p>
      <w:pPr>
        <w:pStyle w:val="48"/>
        <w:rPr>
          <w:highlight w:val="none"/>
        </w:rPr>
      </w:pPr>
      <w:r>
        <w:rPr>
          <w:rFonts w:hint="eastAsia"/>
          <w:b/>
          <w:bCs/>
          <w:highlight w:val="none"/>
        </w:rPr>
        <w:t>说明：</w:t>
      </w:r>
      <w:r>
        <w:rPr>
          <w:rFonts w:hint="eastAsia" w:cs="宋体"/>
          <w:b/>
          <w:bCs/>
          <w:highlight w:val="none"/>
        </w:rPr>
        <w:t>此合同为格式模板合同，仅作为采购人与中标人签订合同之时的参考，采购人有权根据实际情况对合同进行调整。</w:t>
      </w:r>
    </w:p>
    <w:p>
      <w:pPr>
        <w:pStyle w:val="48"/>
        <w:ind w:firstLine="480" w:firstLineChars="200"/>
      </w:pPr>
    </w:p>
    <w:p>
      <w:pPr>
        <w:pStyle w:val="48"/>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rPr>
      </w:pPr>
      <w:r>
        <w:rPr>
          <w:rFonts w:hint="eastAsia"/>
        </w:rPr>
        <w:t>合同编号：</w:t>
      </w:r>
      <w:r>
        <w:rPr>
          <w:rFonts w:hint="eastAsia"/>
          <w:u w:val="single"/>
          <w:lang w:val="en-US" w:eastAsia="zh-CN"/>
        </w:rPr>
        <w:t xml:space="preserve">          </w:t>
      </w:r>
      <w:r>
        <w:rPr>
          <w:rFonts w:hint="eastAsia"/>
          <w:lang w:val="en-US" w:eastAsia="zh-CN"/>
        </w:rPr>
        <w:t>(</w:t>
      </w:r>
      <w:r>
        <w:rPr>
          <w:rFonts w:hint="eastAsia"/>
        </w:rPr>
        <w:t>与项目编号一致</w:t>
      </w:r>
      <w:r>
        <w:rPr>
          <w:rFonts w:hint="eastAsia"/>
          <w:lang w:val="en-US" w:eastAsia="zh-CN"/>
        </w:rPr>
        <w:t>)</w:t>
      </w:r>
    </w:p>
    <w:p>
      <w:pPr>
        <w:pStyle w:val="48"/>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u w:val="single"/>
        </w:rPr>
      </w:pPr>
      <w:r>
        <w:rPr>
          <w:rFonts w:hint="eastAsia"/>
        </w:rPr>
        <w:t>计划号/备案号：</w:t>
      </w:r>
      <w:r>
        <w:rPr>
          <w:rFonts w:hint="eastAsia"/>
          <w:u w:val="single"/>
        </w:rPr>
        <w:t xml:space="preserve">                </w:t>
      </w:r>
    </w:p>
    <w:p>
      <w:pPr>
        <w:pStyle w:val="48"/>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u w:val="single"/>
        </w:rPr>
      </w:pPr>
      <w:r>
        <w:rPr>
          <w:rFonts w:hint="eastAsia"/>
        </w:rPr>
        <w:t>签订地点：</w:t>
      </w:r>
      <w:r>
        <w:rPr>
          <w:rFonts w:hint="eastAsia"/>
          <w:u w:val="single"/>
        </w:rPr>
        <w:t xml:space="preserve">                     </w:t>
      </w:r>
    </w:p>
    <w:p>
      <w:pPr>
        <w:pStyle w:val="48"/>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u w:val="single"/>
        </w:rPr>
      </w:pPr>
      <w:r>
        <w:rPr>
          <w:rFonts w:hint="eastAsia"/>
        </w:rPr>
        <w:t>签订时间：</w:t>
      </w:r>
      <w:r>
        <w:rPr>
          <w:rFonts w:hint="eastAsia"/>
          <w:u w:val="single"/>
        </w:rPr>
        <w:t xml:space="preserve">                     </w:t>
      </w:r>
    </w:p>
    <w:p>
      <w:pPr>
        <w:pStyle w:val="48"/>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u w:val="single"/>
        </w:rPr>
      </w:pPr>
      <w:r>
        <w:rPr>
          <w:rFonts w:hint="eastAsia"/>
        </w:rPr>
        <w:t>采购人名称(甲方)：</w:t>
      </w:r>
      <w:r>
        <w:rPr>
          <w:rFonts w:hint="eastAsia"/>
          <w:u w:val="single"/>
        </w:rPr>
        <w:t xml:space="preserve">                              </w:t>
      </w:r>
    </w:p>
    <w:p>
      <w:pPr>
        <w:pStyle w:val="48"/>
        <w:ind w:firstLine="480" w:firstLineChars="200"/>
        <w:rPr>
          <w:u w:val="single"/>
        </w:rPr>
      </w:pPr>
      <w:r>
        <w:rPr>
          <w:rFonts w:hint="eastAsia"/>
          <w:lang w:val="en-US" w:eastAsia="zh-CN"/>
        </w:rPr>
        <w:t>中标人</w:t>
      </w:r>
      <w:r>
        <w:rPr>
          <w:rFonts w:hint="eastAsia"/>
        </w:rPr>
        <w:t>名称(乙方)：</w:t>
      </w:r>
      <w:r>
        <w:rPr>
          <w:rFonts w:hint="eastAsia"/>
          <w:u w:val="single"/>
        </w:rPr>
        <w:t xml:space="preserve">                </w:t>
      </w:r>
      <w:r>
        <w:rPr>
          <w:rFonts w:hint="eastAsia"/>
          <w:u w:val="single"/>
          <w:lang w:val="en-US" w:eastAsia="zh-CN"/>
        </w:rPr>
        <w:t xml:space="preserve">        </w:t>
      </w:r>
      <w:r>
        <w:rPr>
          <w:rFonts w:hint="eastAsia"/>
          <w:u w:val="single"/>
        </w:rPr>
        <w:t xml:space="preserve">  </w:t>
      </w:r>
    </w:p>
    <w:p>
      <w:pPr>
        <w:pStyle w:val="48"/>
      </w:pPr>
    </w:p>
    <w:p>
      <w:pPr>
        <w:pStyle w:val="48"/>
        <w:ind w:firstLine="480" w:firstLineChars="200"/>
      </w:pPr>
      <w:r>
        <w:rPr>
          <w:rFonts w:hint="eastAsia"/>
          <w:color w:val="auto"/>
        </w:rPr>
        <w:t>根据《中华人民共和国民法典》、《中华人民共和国政府采购法》、《中华人民共和国政府采购法实施条例》、《政府采购货物和服务招标投标管理办法》(财政部令第87号)及</w:t>
      </w:r>
      <w:r>
        <w:rPr>
          <w:rFonts w:hint="eastAsia"/>
          <w:color w:val="auto"/>
          <w:lang w:eastAsia="zh-CN"/>
        </w:rPr>
        <w:t>简阳市规划和自然资源局简阳市地下管线普查成果更新探测服务、监理服务、质检服务采购项目</w:t>
      </w:r>
      <w:r>
        <w:rPr>
          <w:rFonts w:hint="eastAsia"/>
          <w:color w:val="auto"/>
        </w:rPr>
        <w:t>(项目编号：采购项目的编号)的《招</w:t>
      </w:r>
      <w:r>
        <w:rPr>
          <w:rFonts w:hint="eastAsia"/>
        </w:rPr>
        <w:t>标文件》、乙方的《投标文件》及《中标通知书》，甲、乙双方同意签订本合同。详细技术说明及其他有关合同项目的特定信息由合同附件予以说明，合同附件及本项目的采购文件、投标文件、《中标通知书》等均为本合同不可分割的部分。双方同意共同遵守如下条款：</w:t>
      </w:r>
    </w:p>
    <w:p>
      <w:pPr>
        <w:pStyle w:val="41"/>
        <w:numPr>
          <w:ilvl w:val="1"/>
          <w:numId w:val="14"/>
        </w:numPr>
        <w:ind w:firstLine="482"/>
      </w:pPr>
      <w:bookmarkStart w:id="1512" w:name="_Toc3121"/>
      <w:bookmarkStart w:id="1513" w:name="_Toc28141"/>
      <w:r>
        <w:rPr>
          <w:rFonts w:hint="eastAsia" w:asciiTheme="minorEastAsia" w:hAnsiTheme="minorEastAsia" w:eastAsiaTheme="minorEastAsia" w:cstheme="minorEastAsia"/>
        </w:rPr>
        <w:t>项目基本情况</w:t>
      </w:r>
      <w:bookmarkEnd w:id="1512"/>
      <w:bookmarkEnd w:id="1513"/>
    </w:p>
    <w:p>
      <w:pPr>
        <w:pStyle w:val="52"/>
      </w:pPr>
    </w:p>
    <w:p>
      <w:pPr>
        <w:pStyle w:val="41"/>
        <w:ind w:firstLine="482"/>
      </w:pPr>
      <w:bookmarkStart w:id="1514" w:name="_Toc24514"/>
      <w:bookmarkStart w:id="1515" w:name="_Toc25129"/>
      <w:bookmarkStart w:id="1516" w:name="_Toc10554"/>
      <w:r>
        <w:rPr>
          <w:rFonts w:hint="eastAsia"/>
        </w:rPr>
        <w:t>合同履行</w:t>
      </w:r>
      <w:bookmarkEnd w:id="1514"/>
      <w:bookmarkEnd w:id="1515"/>
      <w:bookmarkEnd w:id="1516"/>
    </w:p>
    <w:p>
      <w:pPr>
        <w:pStyle w:val="39"/>
        <w:numPr>
          <w:ilvl w:val="1"/>
          <w:numId w:val="43"/>
        </w:numPr>
        <w:ind w:firstLine="480"/>
      </w:pPr>
      <w:r>
        <w:rPr>
          <w:rFonts w:hint="eastAsia"/>
        </w:rPr>
        <w:t>履约期限：</w:t>
      </w:r>
    </w:p>
    <w:p>
      <w:pPr>
        <w:pStyle w:val="39"/>
        <w:numPr>
          <w:ilvl w:val="1"/>
          <w:numId w:val="43"/>
        </w:numPr>
        <w:ind w:firstLine="480"/>
      </w:pPr>
      <w:r>
        <w:rPr>
          <w:rFonts w:hint="eastAsia"/>
        </w:rPr>
        <w:t>履行地点：</w:t>
      </w:r>
    </w:p>
    <w:p>
      <w:pPr>
        <w:pStyle w:val="39"/>
        <w:numPr>
          <w:ilvl w:val="1"/>
          <w:numId w:val="43"/>
        </w:numPr>
        <w:ind w:firstLine="480"/>
      </w:pPr>
      <w:r>
        <w:rPr>
          <w:rFonts w:hint="eastAsia"/>
        </w:rPr>
        <w:t>履约方式：</w:t>
      </w:r>
    </w:p>
    <w:p>
      <w:pPr>
        <w:pStyle w:val="41"/>
        <w:ind w:firstLine="482"/>
      </w:pPr>
      <w:bookmarkStart w:id="1517" w:name="_Toc8893"/>
      <w:bookmarkStart w:id="1518" w:name="_Toc6004"/>
      <w:bookmarkStart w:id="1519" w:name="_Toc32226"/>
      <w:bookmarkStart w:id="1520" w:name="_Toc237145406"/>
      <w:bookmarkStart w:id="1521" w:name="_Toc239233914"/>
      <w:bookmarkStart w:id="1522" w:name="_Toc225244852"/>
      <w:bookmarkStart w:id="1523" w:name="_Toc211911348"/>
      <w:bookmarkStart w:id="1524" w:name="_Toc282696226"/>
      <w:bookmarkStart w:id="1525" w:name="_Toc185395249"/>
      <w:bookmarkStart w:id="1526" w:name="_Toc225654644"/>
      <w:bookmarkStart w:id="1527" w:name="_Toc212019594"/>
      <w:bookmarkStart w:id="1528" w:name="_Toc283019214"/>
      <w:bookmarkStart w:id="1529" w:name="_Toc232492928"/>
      <w:bookmarkStart w:id="1530" w:name="_Toc225670751"/>
      <w:bookmarkStart w:id="1531" w:name="_Toc238984975"/>
      <w:bookmarkStart w:id="1532" w:name="_Toc247334841"/>
      <w:bookmarkStart w:id="1533" w:name="_Toc211854449"/>
      <w:bookmarkStart w:id="1534" w:name="_Toc251768862"/>
      <w:bookmarkStart w:id="1535" w:name="_Toc239568418"/>
      <w:bookmarkStart w:id="1536" w:name="_Toc241833903"/>
      <w:bookmarkStart w:id="1537" w:name="_Toc286993786"/>
      <w:r>
        <w:rPr>
          <w:rFonts w:hint="eastAsia"/>
        </w:rPr>
        <w:t>合同标的</w:t>
      </w:r>
      <w:bookmarkEnd w:id="1517"/>
      <w:bookmarkEnd w:id="1518"/>
      <w:bookmarkEnd w:id="1519"/>
    </w:p>
    <w:p>
      <w:pPr>
        <w:pStyle w:val="39"/>
        <w:numPr>
          <w:ilvl w:val="1"/>
          <w:numId w:val="44"/>
        </w:numPr>
        <w:ind w:firstLine="480"/>
      </w:pPr>
      <w:r>
        <w:rPr>
          <w:rFonts w:hint="eastAsia"/>
        </w:rPr>
        <w:t>XXXX……；</w:t>
      </w:r>
    </w:p>
    <w:p>
      <w:pPr>
        <w:pStyle w:val="39"/>
        <w:numPr>
          <w:ilvl w:val="1"/>
          <w:numId w:val="44"/>
        </w:numPr>
        <w:ind w:firstLine="480"/>
      </w:pPr>
      <w:r>
        <w:rPr>
          <w:rFonts w:hint="eastAsia"/>
        </w:rPr>
        <w:t>数量(如涉及填写)；</w:t>
      </w:r>
    </w:p>
    <w:p>
      <w:pPr>
        <w:pStyle w:val="39"/>
        <w:numPr>
          <w:ilvl w:val="1"/>
          <w:numId w:val="44"/>
        </w:numPr>
        <w:ind w:firstLine="480"/>
      </w:pPr>
      <w:r>
        <w:rPr>
          <w:rFonts w:hint="eastAsia"/>
        </w:rPr>
        <w:t>质量(如涉及填写)；</w:t>
      </w:r>
    </w:p>
    <w:p>
      <w:pPr>
        <w:pStyle w:val="41"/>
        <w:ind w:firstLine="482"/>
      </w:pPr>
      <w:bookmarkStart w:id="1538" w:name="_Toc5577"/>
      <w:bookmarkStart w:id="1539" w:name="_Toc15436"/>
      <w:bookmarkStart w:id="1540" w:name="_Toc32008"/>
      <w:r>
        <w:rPr>
          <w:rFonts w:hint="eastAsia"/>
        </w:rPr>
        <w:t>质量标准</w:t>
      </w:r>
      <w:bookmarkEnd w:id="1538"/>
      <w:bookmarkEnd w:id="1539"/>
      <w:bookmarkEnd w:id="1540"/>
    </w:p>
    <w:p>
      <w:pPr>
        <w:pStyle w:val="39"/>
        <w:numPr>
          <w:ilvl w:val="1"/>
          <w:numId w:val="45"/>
        </w:numPr>
        <w:ind w:firstLine="480"/>
      </w:pPr>
      <w:r>
        <w:rPr>
          <w:rFonts w:hint="eastAsia"/>
        </w:rPr>
        <w:t>XXXX；</w:t>
      </w:r>
    </w:p>
    <w:p>
      <w:pPr>
        <w:pStyle w:val="39"/>
        <w:numPr>
          <w:ilvl w:val="1"/>
          <w:numId w:val="45"/>
        </w:numPr>
        <w:ind w:firstLine="480"/>
      </w:pPr>
      <w:r>
        <w:rPr>
          <w:rFonts w:hint="eastAsia"/>
        </w:rPr>
        <w:t>XXXX；</w:t>
      </w:r>
    </w:p>
    <w:p>
      <w:pPr>
        <w:pStyle w:val="39"/>
        <w:numPr>
          <w:ilvl w:val="1"/>
          <w:numId w:val="45"/>
        </w:numPr>
        <w:ind w:firstLine="480"/>
      </w:pPr>
      <w:r>
        <w:rPr>
          <w:rFonts w:hint="eastAsia"/>
        </w:rPr>
        <w:t>XXXX.</w:t>
      </w:r>
    </w:p>
    <w:p>
      <w:pPr>
        <w:pStyle w:val="41"/>
        <w:ind w:firstLine="482"/>
      </w:pPr>
      <w:bookmarkStart w:id="1541" w:name="_Toc11954"/>
      <w:bookmarkStart w:id="1542" w:name="_Toc1098"/>
      <w:bookmarkStart w:id="1543" w:name="_Toc277"/>
      <w:r>
        <w:rPr>
          <w:rFonts w:hint="eastAsia"/>
        </w:rPr>
        <w:t>验收要求</w:t>
      </w:r>
      <w:bookmarkEnd w:id="1541"/>
      <w:bookmarkEnd w:id="1542"/>
      <w:bookmarkEnd w:id="1543"/>
    </w:p>
    <w:p>
      <w:pPr>
        <w:pStyle w:val="39"/>
        <w:numPr>
          <w:ilvl w:val="1"/>
          <w:numId w:val="46"/>
        </w:numPr>
        <w:ind w:firstLine="480"/>
      </w:pPr>
      <w:r>
        <w:rPr>
          <w:rFonts w:hint="eastAsia"/>
        </w:rPr>
        <w:t>严格按照《财政部关于进一步加强政府采购需求和履约验收管理的指导意见》(财库〔2016〕205号)、《四川省政府采购项目需求论证和履约验收管理办法》(川财采〔2015〕32号)的要求进行验收。须符合国家有关规定、招标文件的质量要求和技术指标、供应商的投标文件及承诺以及合同条款。</w:t>
      </w:r>
    </w:p>
    <w:p>
      <w:pPr>
        <w:pStyle w:val="39"/>
        <w:numPr>
          <w:ilvl w:val="1"/>
          <w:numId w:val="46"/>
        </w:numPr>
        <w:ind w:firstLine="480"/>
      </w:pPr>
      <w:r>
        <w:rPr>
          <w:rFonts w:hint="eastAsia"/>
        </w:rPr>
        <w:t>甲乙双方如对质量要求和技术指标的约定标准有相互抵触或异议的事项，由甲方在投标文件中按质量要求和技术指标比较优胜的原则确定该项的约定标准进行验收；</w:t>
      </w:r>
    </w:p>
    <w:p>
      <w:pPr>
        <w:pStyle w:val="39"/>
        <w:numPr>
          <w:ilvl w:val="1"/>
          <w:numId w:val="46"/>
        </w:numPr>
        <w:ind w:firstLine="480"/>
      </w:pPr>
      <w:r>
        <w:rPr>
          <w:rFonts w:hint="eastAsia"/>
        </w:rPr>
        <w:t>如质量验收合格，双方签署质量验收报告。</w:t>
      </w:r>
    </w:p>
    <w:p>
      <w:pPr>
        <w:pStyle w:val="41"/>
        <w:ind w:firstLine="482"/>
      </w:pPr>
      <w:bookmarkStart w:id="1544" w:name="_Toc31166"/>
      <w:bookmarkStart w:id="1545" w:name="_Toc22768"/>
      <w:bookmarkStart w:id="1546" w:name="_Toc2458"/>
      <w:r>
        <w:rPr>
          <w:rFonts w:hint="eastAsia"/>
        </w:rPr>
        <w:t>合同价款及支付方式</w:t>
      </w:r>
      <w:bookmarkEnd w:id="1544"/>
      <w:bookmarkEnd w:id="1545"/>
      <w:bookmarkEnd w:id="1546"/>
    </w:p>
    <w:p>
      <w:pPr>
        <w:pStyle w:val="52"/>
      </w:pPr>
      <w:r>
        <w:rPr>
          <w:rFonts w:hint="eastAsia"/>
        </w:rPr>
        <w:t>本项目合同价款由以下组成：</w:t>
      </w:r>
    </w:p>
    <w:p>
      <w:pPr>
        <w:pStyle w:val="39"/>
        <w:numPr>
          <w:ilvl w:val="1"/>
          <w:numId w:val="47"/>
        </w:numPr>
        <w:ind w:firstLine="480"/>
      </w:pPr>
      <w:r>
        <w:rPr>
          <w:rFonts w:hint="eastAsia"/>
        </w:rPr>
        <w:t>XX万元；</w:t>
      </w:r>
    </w:p>
    <w:p>
      <w:pPr>
        <w:pStyle w:val="39"/>
        <w:numPr>
          <w:ilvl w:val="1"/>
          <w:numId w:val="47"/>
        </w:numPr>
        <w:ind w:firstLine="480"/>
      </w:pPr>
      <w:r>
        <w:rPr>
          <w:rFonts w:hint="eastAsia"/>
        </w:rPr>
        <w:t>XX万元；</w:t>
      </w:r>
    </w:p>
    <w:p>
      <w:pPr>
        <w:pStyle w:val="39"/>
        <w:numPr>
          <w:ilvl w:val="1"/>
          <w:numId w:val="47"/>
        </w:numPr>
        <w:ind w:firstLine="480"/>
      </w:pPr>
      <w:r>
        <w:rPr>
          <w:rFonts w:hint="eastAsia"/>
        </w:rPr>
        <w:t>XX万元。</w:t>
      </w:r>
    </w:p>
    <w:p>
      <w:pPr>
        <w:pStyle w:val="39"/>
        <w:numPr>
          <w:ilvl w:val="1"/>
          <w:numId w:val="47"/>
        </w:numPr>
        <w:ind w:firstLine="480"/>
      </w:pPr>
      <w:r>
        <w:rPr>
          <w:rFonts w:hint="eastAsia"/>
        </w:rPr>
        <w:t>……</w:t>
      </w:r>
    </w:p>
    <w:p>
      <w:pPr>
        <w:pStyle w:val="39"/>
        <w:numPr>
          <w:ilvl w:val="1"/>
          <w:numId w:val="47"/>
        </w:numPr>
        <w:ind w:firstLine="480"/>
      </w:pPr>
      <w:r>
        <w:rPr>
          <w:rFonts w:hint="eastAsia"/>
        </w:rPr>
        <w:t xml:space="preserve">支付方式： </w:t>
      </w:r>
    </w:p>
    <w:p>
      <w:pPr>
        <w:pStyle w:val="41"/>
        <w:ind w:firstLine="482"/>
      </w:pPr>
      <w:bookmarkStart w:id="1547" w:name="_Toc9855"/>
      <w:bookmarkStart w:id="1548" w:name="_Toc10548"/>
      <w:bookmarkStart w:id="1549" w:name="_Toc20174"/>
      <w:r>
        <w:rPr>
          <w:rFonts w:hint="eastAsia"/>
        </w:rPr>
        <w:t>知识产权</w:t>
      </w:r>
      <w:bookmarkEnd w:id="1547"/>
      <w:bookmarkEnd w:id="1548"/>
      <w:bookmarkEnd w:id="1549"/>
    </w:p>
    <w:p>
      <w:pPr>
        <w:pStyle w:val="52"/>
      </w:pPr>
      <w:r>
        <w:rPr>
          <w:rFonts w:hint="eastAsia"/>
        </w:rPr>
        <w:t>乙方应保证所提供的服务或其任何一部分均不会侵犯任何第三方的专利权、商标权或著作权。</w:t>
      </w:r>
    </w:p>
    <w:p>
      <w:pPr>
        <w:pStyle w:val="41"/>
        <w:ind w:firstLine="482"/>
      </w:pPr>
      <w:bookmarkStart w:id="1550" w:name="_Toc25950"/>
      <w:bookmarkStart w:id="1551" w:name="_Toc11111"/>
      <w:bookmarkStart w:id="1552" w:name="_Toc5702"/>
      <w:r>
        <w:rPr>
          <w:rFonts w:hint="eastAsia"/>
        </w:rPr>
        <w:t>无产权瑕疵条款</w:t>
      </w:r>
      <w:bookmarkEnd w:id="1550"/>
      <w:bookmarkEnd w:id="1551"/>
      <w:bookmarkEnd w:id="1552"/>
    </w:p>
    <w:p>
      <w:pPr>
        <w:pStyle w:val="52"/>
      </w:pPr>
      <w:r>
        <w:rPr>
          <w:rFonts w:hint="eastAsia"/>
        </w:rPr>
        <w:t>乙方保证所提供的服务的所有权完全属于乙方且无任何抵押、查封等产权瑕疵。如有产权瑕疵的，视为乙方违约。乙方应负担由此而产生的一切损失。</w:t>
      </w:r>
    </w:p>
    <w:p>
      <w:pPr>
        <w:pStyle w:val="41"/>
        <w:ind w:firstLine="482"/>
      </w:pPr>
      <w:bookmarkStart w:id="1553" w:name="_Toc30485"/>
      <w:bookmarkStart w:id="1554" w:name="_Toc8015"/>
      <w:bookmarkStart w:id="1555" w:name="_Toc19738"/>
      <w:r>
        <w:rPr>
          <w:rFonts w:hint="eastAsia"/>
        </w:rPr>
        <w:t>甲方的权利和义务</w:t>
      </w:r>
      <w:bookmarkEnd w:id="1553"/>
      <w:bookmarkEnd w:id="1554"/>
      <w:bookmarkEnd w:id="1555"/>
    </w:p>
    <w:p>
      <w:pPr>
        <w:pStyle w:val="39"/>
        <w:numPr>
          <w:ilvl w:val="1"/>
          <w:numId w:val="48"/>
        </w:numPr>
        <w:ind w:firstLine="480"/>
      </w:pPr>
      <w:r>
        <w:rPr>
          <w:rFonts w:hint="eastAsia"/>
        </w:rPr>
        <w:t>甲方有权对合同规定范围内乙方的服务行为进行监督和检查，拥有监管权。有权定期核对乙方提供服务所配备的人员数量。对甲方认为不合理的部分有权下达整改通知书，并要求乙方限期整改。</w:t>
      </w:r>
    </w:p>
    <w:p>
      <w:pPr>
        <w:pStyle w:val="39"/>
        <w:numPr>
          <w:ilvl w:val="1"/>
          <w:numId w:val="48"/>
        </w:numPr>
        <w:ind w:firstLine="480"/>
      </w:pPr>
      <w:r>
        <w:rPr>
          <w:rFonts w:hint="eastAsia"/>
        </w:rPr>
        <w:t>甲方有权依据双方签订的考评办法对乙方提供的服务进行定期考评。当考评结果未达到标准时，有权依据考评办法约定的数额扣除</w:t>
      </w:r>
      <w:r>
        <w:rPr>
          <w:rFonts w:hint="eastAsia"/>
          <w:lang w:val="en-US" w:eastAsia="zh-CN"/>
        </w:rPr>
        <w:t>相应合同价款</w:t>
      </w:r>
      <w:r>
        <w:rPr>
          <w:rFonts w:hint="eastAsia"/>
        </w:rPr>
        <w:t>。</w:t>
      </w:r>
    </w:p>
    <w:p>
      <w:pPr>
        <w:pStyle w:val="39"/>
        <w:numPr>
          <w:ilvl w:val="1"/>
          <w:numId w:val="48"/>
        </w:numPr>
        <w:ind w:firstLine="480"/>
      </w:pPr>
      <w:r>
        <w:rPr>
          <w:rFonts w:hint="eastAsia"/>
        </w:rPr>
        <w:t>负责检查监督乙方管理工作的实施及制度的执行情况。</w:t>
      </w:r>
    </w:p>
    <w:p>
      <w:pPr>
        <w:pStyle w:val="39"/>
        <w:numPr>
          <w:ilvl w:val="1"/>
          <w:numId w:val="48"/>
        </w:numPr>
        <w:ind w:firstLine="480"/>
      </w:pPr>
      <w:r>
        <w:rPr>
          <w:rFonts w:hint="eastAsia"/>
        </w:rPr>
        <w:t>根据本合同规定，按时向乙方支付应付服务费用。</w:t>
      </w:r>
    </w:p>
    <w:p>
      <w:pPr>
        <w:pStyle w:val="39"/>
        <w:numPr>
          <w:ilvl w:val="1"/>
          <w:numId w:val="48"/>
        </w:numPr>
        <w:ind w:firstLine="480"/>
      </w:pPr>
      <w:r>
        <w:rPr>
          <w:rFonts w:hint="eastAsia"/>
        </w:rPr>
        <w:t>国家法律、法规所规定由甲方承担的其它责任。</w:t>
      </w:r>
    </w:p>
    <w:p>
      <w:pPr>
        <w:pStyle w:val="41"/>
        <w:ind w:firstLine="482"/>
      </w:pPr>
      <w:bookmarkStart w:id="1556" w:name="_Toc19761"/>
      <w:bookmarkStart w:id="1557" w:name="_Toc8944"/>
      <w:bookmarkStart w:id="1558" w:name="_Toc19832"/>
      <w:r>
        <w:rPr>
          <w:rFonts w:hint="eastAsia"/>
        </w:rPr>
        <w:t>乙方的权利和义务</w:t>
      </w:r>
      <w:bookmarkEnd w:id="1556"/>
      <w:bookmarkEnd w:id="1557"/>
      <w:bookmarkEnd w:id="1558"/>
    </w:p>
    <w:p>
      <w:pPr>
        <w:pStyle w:val="39"/>
        <w:numPr>
          <w:ilvl w:val="1"/>
          <w:numId w:val="49"/>
        </w:numPr>
        <w:ind w:firstLine="480"/>
      </w:pPr>
      <w:r>
        <w:rPr>
          <w:rFonts w:hint="eastAsia"/>
        </w:rPr>
        <w:t>对本合同规定的委托服务范围内的项目享有管理权及服务义务。</w:t>
      </w:r>
    </w:p>
    <w:p>
      <w:pPr>
        <w:pStyle w:val="39"/>
        <w:numPr>
          <w:ilvl w:val="1"/>
          <w:numId w:val="49"/>
        </w:numPr>
        <w:ind w:firstLine="480"/>
      </w:pPr>
      <w:r>
        <w:rPr>
          <w:rFonts w:hint="eastAsia"/>
        </w:rPr>
        <w:t>根据本合同的规定向甲方收取相关服务费用，并有权在本项目管理范围内管理及合理使用。</w:t>
      </w:r>
    </w:p>
    <w:p>
      <w:pPr>
        <w:pStyle w:val="39"/>
        <w:numPr>
          <w:ilvl w:val="1"/>
          <w:numId w:val="49"/>
        </w:numPr>
        <w:ind w:firstLine="480"/>
      </w:pPr>
      <w:r>
        <w:rPr>
          <w:rFonts w:hint="eastAsia"/>
        </w:rPr>
        <w:t>及时向甲方通告本项目服务范围内有关服务的重大事项，及时配合处理投诉。</w:t>
      </w:r>
    </w:p>
    <w:p>
      <w:pPr>
        <w:pStyle w:val="39"/>
        <w:numPr>
          <w:ilvl w:val="1"/>
          <w:numId w:val="49"/>
        </w:numPr>
        <w:ind w:firstLine="480"/>
      </w:pPr>
      <w:r>
        <w:rPr>
          <w:rFonts w:hint="eastAsia"/>
        </w:rPr>
        <w:t>接受项目行业管理部门及政府有关部门的指导，接受甲方的监督。</w:t>
      </w:r>
    </w:p>
    <w:p>
      <w:pPr>
        <w:pStyle w:val="39"/>
        <w:numPr>
          <w:ilvl w:val="1"/>
          <w:numId w:val="49"/>
        </w:numPr>
        <w:ind w:firstLine="480"/>
      </w:pPr>
      <w:r>
        <w:rPr>
          <w:rFonts w:hint="eastAsia"/>
        </w:rPr>
        <w:t>国家法律、法规所规定由乙方承担的其它责任。</w:t>
      </w:r>
    </w:p>
    <w:p>
      <w:pPr>
        <w:pStyle w:val="41"/>
        <w:ind w:firstLine="482"/>
      </w:pPr>
      <w:bookmarkStart w:id="1559" w:name="_Toc31245"/>
      <w:bookmarkStart w:id="1560" w:name="_Toc17546"/>
      <w:bookmarkStart w:id="1561" w:name="_Toc9698"/>
      <w:r>
        <w:rPr>
          <w:rFonts w:hint="eastAsia"/>
        </w:rPr>
        <w:t>违约责任</w:t>
      </w:r>
      <w:bookmarkEnd w:id="1559"/>
      <w:bookmarkEnd w:id="1560"/>
      <w:bookmarkEnd w:id="1561"/>
    </w:p>
    <w:p>
      <w:pPr>
        <w:pStyle w:val="39"/>
        <w:numPr>
          <w:ilvl w:val="1"/>
          <w:numId w:val="50"/>
        </w:numPr>
        <w:ind w:firstLine="480"/>
      </w:pPr>
      <w:r>
        <w:rPr>
          <w:rFonts w:hint="eastAsia"/>
        </w:rPr>
        <w:t>甲乙双方必须遵守本合同并执行合同中的各项规定，保证本合同的正常履行。</w:t>
      </w:r>
    </w:p>
    <w:p>
      <w:pPr>
        <w:pStyle w:val="39"/>
        <w:numPr>
          <w:ilvl w:val="1"/>
          <w:numId w:val="50"/>
        </w:numPr>
        <w:ind w:firstLine="480"/>
      </w:pPr>
      <w:r>
        <w:rPr>
          <w:rFonts w:hint="eastAsia"/>
        </w:rPr>
        <w:t>如因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pPr>
        <w:pStyle w:val="41"/>
        <w:ind w:firstLine="482"/>
      </w:pPr>
      <w:bookmarkStart w:id="1562" w:name="_Toc5634"/>
      <w:bookmarkStart w:id="1563" w:name="_Toc659"/>
      <w:bookmarkStart w:id="1564" w:name="_Toc5305"/>
      <w:r>
        <w:rPr>
          <w:rFonts w:hint="eastAsia"/>
        </w:rPr>
        <w:t>不可抗力事件处理</w:t>
      </w:r>
      <w:bookmarkEnd w:id="1562"/>
      <w:bookmarkEnd w:id="1563"/>
      <w:bookmarkEnd w:id="1564"/>
    </w:p>
    <w:p>
      <w:pPr>
        <w:pStyle w:val="39"/>
        <w:numPr>
          <w:ilvl w:val="1"/>
          <w:numId w:val="51"/>
        </w:numPr>
        <w:ind w:firstLine="480"/>
      </w:pPr>
      <w:r>
        <w:rPr>
          <w:rFonts w:hint="eastAsia"/>
        </w:rPr>
        <w:t>在合同有效期内，任何一方因不可抗力事件导致不能履行合同，则合同履行期可延长，其延长期与不可抗力影响期相同。</w:t>
      </w:r>
    </w:p>
    <w:p>
      <w:pPr>
        <w:pStyle w:val="39"/>
        <w:numPr>
          <w:ilvl w:val="1"/>
          <w:numId w:val="51"/>
        </w:numPr>
        <w:ind w:firstLine="480"/>
      </w:pPr>
      <w:r>
        <w:rPr>
          <w:rFonts w:hint="eastAsia"/>
        </w:rPr>
        <w:t>不可抗力事件发生后，应立即通知对方，并寄送有关权威机构出具的证明。</w:t>
      </w:r>
    </w:p>
    <w:p>
      <w:pPr>
        <w:pStyle w:val="39"/>
        <w:numPr>
          <w:ilvl w:val="1"/>
          <w:numId w:val="51"/>
        </w:numPr>
        <w:ind w:firstLine="480"/>
      </w:pPr>
      <w:r>
        <w:rPr>
          <w:rFonts w:hint="eastAsia"/>
        </w:rPr>
        <w:t>不可抗力事件延续XX天以上，双方应通过友好协商，确定是否继续履行合同。</w:t>
      </w:r>
    </w:p>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p>
      <w:pPr>
        <w:pStyle w:val="41"/>
        <w:ind w:firstLine="482"/>
      </w:pPr>
      <w:bookmarkStart w:id="1565" w:name="_Toc7347"/>
      <w:bookmarkStart w:id="1566" w:name="_Toc26865"/>
      <w:bookmarkStart w:id="1567" w:name="_Toc15776"/>
      <w:r>
        <w:rPr>
          <w:rFonts w:hint="eastAsia"/>
        </w:rPr>
        <w:t>解决争议的方法</w:t>
      </w:r>
      <w:bookmarkEnd w:id="1565"/>
      <w:bookmarkEnd w:id="1566"/>
      <w:bookmarkEnd w:id="1567"/>
    </w:p>
    <w:p>
      <w:pPr>
        <w:pStyle w:val="39"/>
        <w:numPr>
          <w:ilvl w:val="1"/>
          <w:numId w:val="52"/>
        </w:numPr>
        <w:ind w:firstLine="480"/>
      </w:pPr>
      <w:r>
        <w:rPr>
          <w:rFonts w:hint="eastAsia"/>
        </w:rPr>
        <w:t>因服务的质量问题发生争议，由甲方或其指定的第三方机构进行质量鉴定。服务符合标准的，鉴定费由甲方承担；服务不符合质量标准的，鉴定费由乙方承担。</w:t>
      </w:r>
    </w:p>
    <w:p>
      <w:pPr>
        <w:pStyle w:val="39"/>
        <w:numPr>
          <w:ilvl w:val="1"/>
          <w:numId w:val="52"/>
        </w:numPr>
        <w:ind w:firstLine="480"/>
      </w:pPr>
      <w:r>
        <w:rPr>
          <w:rFonts w:hint="eastAsia"/>
        </w:rPr>
        <w:t>合同履行期间,若双方发生争议，可协商或由有关部门调解解决，协商或调解不成的，按照下列方式解决(任选一项，且只能选择一项，在选定的一项前的方框内打“√”)：</w:t>
      </w:r>
    </w:p>
    <w:p>
      <w:pPr>
        <w:pStyle w:val="52"/>
      </w:pPr>
      <w:r>
        <w:rPr>
          <w:rFonts w:hint="eastAsia"/>
        </w:rPr>
        <w:sym w:font="Wingdings 2" w:char="00A3"/>
      </w:r>
      <w:r>
        <w:rPr>
          <w:rFonts w:hint="eastAsia"/>
        </w:rPr>
        <w:t xml:space="preserve"> 向仲裁委员会申请仲裁；□ 向所在地人民法院起诉。</w:t>
      </w:r>
    </w:p>
    <w:p>
      <w:pPr>
        <w:pStyle w:val="39"/>
        <w:ind w:firstLine="480"/>
      </w:pPr>
      <w:r>
        <w:rPr>
          <w:rFonts w:hint="eastAsia"/>
        </w:rPr>
        <w:t>仲裁裁决应为最终决定，并对双方具有约束力。</w:t>
      </w:r>
    </w:p>
    <w:p>
      <w:pPr>
        <w:pStyle w:val="39"/>
        <w:ind w:firstLine="480"/>
      </w:pPr>
      <w:r>
        <w:rPr>
          <w:rFonts w:hint="eastAsia"/>
        </w:rPr>
        <w:t xml:space="preserve">除另有裁决外，仲裁费应由败诉方负担。 </w:t>
      </w:r>
    </w:p>
    <w:p>
      <w:pPr>
        <w:pStyle w:val="39"/>
        <w:ind w:firstLine="480"/>
      </w:pPr>
      <w:r>
        <w:rPr>
          <w:rFonts w:hint="eastAsia"/>
        </w:rPr>
        <w:t xml:space="preserve">在仲裁期间，除正在进行仲裁部分外，合同其他部分继续执行。  </w:t>
      </w:r>
    </w:p>
    <w:p>
      <w:pPr>
        <w:pStyle w:val="41"/>
        <w:ind w:firstLine="482"/>
      </w:pPr>
      <w:bookmarkStart w:id="1568" w:name="_Toc251768868"/>
      <w:bookmarkStart w:id="1569" w:name="_Toc239233920"/>
      <w:bookmarkStart w:id="1570" w:name="_Toc247334847"/>
      <w:bookmarkStart w:id="1571" w:name="_Toc225244858"/>
      <w:bookmarkStart w:id="1572" w:name="_Toc185395255"/>
      <w:bookmarkStart w:id="1573" w:name="_Toc237145412"/>
      <w:bookmarkStart w:id="1574" w:name="_Toc241833909"/>
      <w:bookmarkStart w:id="1575" w:name="_Toc225670757"/>
      <w:bookmarkStart w:id="1576" w:name="_Toc239568424"/>
      <w:bookmarkStart w:id="1577" w:name="_Toc283019219"/>
      <w:bookmarkStart w:id="1578" w:name="_Toc212019600"/>
      <w:bookmarkStart w:id="1579" w:name="_Toc211911354"/>
      <w:bookmarkStart w:id="1580" w:name="_Toc211854455"/>
      <w:bookmarkStart w:id="1581" w:name="_Toc282696231"/>
      <w:bookmarkStart w:id="1582" w:name="_Toc286993793"/>
      <w:bookmarkStart w:id="1583" w:name="_Toc238984981"/>
      <w:bookmarkStart w:id="1584" w:name="_Toc232492934"/>
      <w:bookmarkStart w:id="1585" w:name="_Toc225654650"/>
      <w:bookmarkStart w:id="1586" w:name="_Toc30170"/>
      <w:bookmarkStart w:id="1587" w:name="_Toc29281"/>
      <w:bookmarkStart w:id="1588" w:name="_Toc3418"/>
      <w:r>
        <w:rPr>
          <w:rFonts w:hint="eastAsia"/>
        </w:rPr>
        <w:t>合同</w:t>
      </w:r>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r>
        <w:rPr>
          <w:rFonts w:hint="eastAsia"/>
        </w:rPr>
        <w:t>生效及其他</w:t>
      </w:r>
      <w:bookmarkEnd w:id="1586"/>
      <w:bookmarkEnd w:id="1587"/>
      <w:bookmarkEnd w:id="1588"/>
    </w:p>
    <w:p>
      <w:pPr>
        <w:pStyle w:val="39"/>
        <w:numPr>
          <w:ilvl w:val="1"/>
          <w:numId w:val="53"/>
        </w:numPr>
        <w:ind w:firstLine="480"/>
      </w:pPr>
      <w:r>
        <w:rPr>
          <w:rFonts w:hint="eastAsia"/>
        </w:rPr>
        <w:t>合同经双方法定代表人或授权委托代理人签字并加盖单位公章后生效。</w:t>
      </w:r>
    </w:p>
    <w:p>
      <w:pPr>
        <w:pStyle w:val="39"/>
        <w:numPr>
          <w:ilvl w:val="1"/>
          <w:numId w:val="53"/>
        </w:numPr>
        <w:ind w:firstLine="480"/>
      </w:pPr>
      <w:r>
        <w:rPr>
          <w:rFonts w:hint="eastAsia"/>
        </w:rPr>
        <w:t>合同执行中涉及采购资金和采购内容修改或补充的，须经政府采购监管部门审批，并签书面补充协议报政府采购监督管理部门备案，方可作为主合同不可分割的一部分。</w:t>
      </w:r>
    </w:p>
    <w:p>
      <w:pPr>
        <w:pStyle w:val="39"/>
        <w:numPr>
          <w:ilvl w:val="1"/>
          <w:numId w:val="53"/>
        </w:numPr>
        <w:ind w:firstLine="480"/>
      </w:pPr>
      <w:r>
        <w:rPr>
          <w:rFonts w:hint="eastAsia"/>
        </w:rPr>
        <w:t>本合同一式XX份，自双方签章之日起起效。甲方XX份，乙方XX份，政府采购代理机构XX份，同级财政部门备案XX份，具有同等法律效力。</w:t>
      </w:r>
    </w:p>
    <w:p>
      <w:pPr>
        <w:pStyle w:val="41"/>
        <w:ind w:firstLine="482"/>
      </w:pPr>
      <w:bookmarkStart w:id="1589" w:name="_Toc27332"/>
      <w:bookmarkStart w:id="1590" w:name="_Toc32461"/>
      <w:bookmarkStart w:id="1591" w:name="_Toc1989"/>
      <w:r>
        <w:rPr>
          <w:rFonts w:hint="eastAsia"/>
        </w:rPr>
        <w:t>附件</w:t>
      </w:r>
      <w:bookmarkEnd w:id="1589"/>
      <w:bookmarkEnd w:id="1590"/>
      <w:bookmarkEnd w:id="1591"/>
    </w:p>
    <w:p>
      <w:pPr>
        <w:pStyle w:val="39"/>
        <w:numPr>
          <w:ilvl w:val="1"/>
          <w:numId w:val="54"/>
        </w:numPr>
        <w:ind w:firstLine="480"/>
      </w:pPr>
      <w:r>
        <w:rPr>
          <w:rFonts w:hint="eastAsia"/>
        </w:rPr>
        <w:t>项目招标文件。</w:t>
      </w:r>
    </w:p>
    <w:p>
      <w:pPr>
        <w:pStyle w:val="39"/>
        <w:numPr>
          <w:ilvl w:val="1"/>
          <w:numId w:val="54"/>
        </w:numPr>
        <w:ind w:firstLine="480"/>
      </w:pPr>
      <w:r>
        <w:rPr>
          <w:rFonts w:hint="eastAsia"/>
        </w:rPr>
        <w:t>项目修改澄清文件。</w:t>
      </w:r>
    </w:p>
    <w:p>
      <w:pPr>
        <w:pStyle w:val="39"/>
        <w:numPr>
          <w:ilvl w:val="1"/>
          <w:numId w:val="54"/>
        </w:numPr>
        <w:ind w:firstLine="480"/>
      </w:pPr>
      <w:r>
        <w:rPr>
          <w:rFonts w:hint="eastAsia"/>
        </w:rPr>
        <w:t>项目投标文件。</w:t>
      </w:r>
    </w:p>
    <w:p>
      <w:pPr>
        <w:pStyle w:val="39"/>
        <w:numPr>
          <w:ilvl w:val="1"/>
          <w:numId w:val="54"/>
        </w:numPr>
        <w:ind w:firstLine="480"/>
      </w:pPr>
      <w:r>
        <w:rPr>
          <w:rFonts w:hint="eastAsia"/>
        </w:rPr>
        <w:t>中标通知书。</w:t>
      </w:r>
    </w:p>
    <w:p>
      <w:pPr>
        <w:pStyle w:val="39"/>
        <w:numPr>
          <w:ilvl w:val="1"/>
          <w:numId w:val="54"/>
        </w:numPr>
        <w:ind w:firstLine="480"/>
      </w:pPr>
      <w:r>
        <w:rPr>
          <w:rFonts w:hint="eastAsia"/>
        </w:rPr>
        <w:t>其他。</w:t>
      </w:r>
    </w:p>
    <w:p>
      <w:pPr>
        <w:pStyle w:val="40"/>
        <w:pageBreakBefore/>
        <w:spacing w:beforeLines="100" w:afterLines="100"/>
        <w:jc w:val="center"/>
        <w:rPr>
          <w:b/>
          <w:bCs/>
        </w:rPr>
      </w:pPr>
      <w:r>
        <w:rPr>
          <w:rFonts w:hint="eastAsia"/>
          <w:b/>
          <w:bCs/>
        </w:rPr>
        <w:t>(本页无正文)</w:t>
      </w:r>
    </w:p>
    <w:tbl>
      <w:tblPr>
        <w:tblStyle w:val="27"/>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8"/>
            </w:pPr>
            <w:r>
              <w:rPr>
                <w:rFonts w:hint="eastAsia"/>
              </w:rPr>
              <w:t>甲方：   (盖章)</w:t>
            </w:r>
          </w:p>
        </w:tc>
        <w:tc>
          <w:tcPr>
            <w:tcW w:w="4981" w:type="dxa"/>
            <w:vAlign w:val="center"/>
          </w:tcPr>
          <w:p>
            <w:pPr>
              <w:pStyle w:val="48"/>
            </w:pPr>
            <w:r>
              <w:rPr>
                <w:rFonts w:hint="eastAsia"/>
              </w:rPr>
              <w:t>乙方：   (盖章)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8"/>
            </w:pPr>
            <w:r>
              <w:rPr>
                <w:rFonts w:hint="eastAsia"/>
              </w:rPr>
              <w:t>法定代表人(授权代表)：</w:t>
            </w:r>
          </w:p>
        </w:tc>
        <w:tc>
          <w:tcPr>
            <w:tcW w:w="4981" w:type="dxa"/>
            <w:vAlign w:val="center"/>
          </w:tcPr>
          <w:p>
            <w:pPr>
              <w:pStyle w:val="48"/>
            </w:pPr>
            <w:r>
              <w:rPr>
                <w:rFonts w:hint="eastAsia"/>
              </w:rPr>
              <w:t>法定代表人(授权代表)：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8"/>
            </w:pPr>
            <w:r>
              <w:rPr>
                <w:rFonts w:hint="eastAsia"/>
              </w:rPr>
              <w:t>地址(住所)：</w:t>
            </w:r>
          </w:p>
        </w:tc>
        <w:tc>
          <w:tcPr>
            <w:tcW w:w="4981" w:type="dxa"/>
            <w:vAlign w:val="center"/>
          </w:tcPr>
          <w:p>
            <w:pPr>
              <w:pStyle w:val="48"/>
            </w:pPr>
            <w:r>
              <w:rPr>
                <w:rFonts w:hint="eastAsia"/>
              </w:rPr>
              <w:t>地址(住所)：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8"/>
            </w:pPr>
            <w:r>
              <w:rPr>
                <w:rFonts w:hint="eastAsia"/>
              </w:rPr>
              <w:t>开户银行：</w:t>
            </w:r>
          </w:p>
        </w:tc>
        <w:tc>
          <w:tcPr>
            <w:tcW w:w="4981" w:type="dxa"/>
            <w:vAlign w:val="center"/>
          </w:tcPr>
          <w:p>
            <w:pPr>
              <w:pStyle w:val="48"/>
            </w:pPr>
            <w:r>
              <w:rPr>
                <w:rFonts w:hint="eastAsia"/>
              </w:rPr>
              <w:t>开户银行：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8"/>
            </w:pPr>
            <w:r>
              <w:rPr>
                <w:rFonts w:hint="eastAsia"/>
              </w:rPr>
              <w:t>账号：</w:t>
            </w:r>
          </w:p>
        </w:tc>
        <w:tc>
          <w:tcPr>
            <w:tcW w:w="4981" w:type="dxa"/>
            <w:vAlign w:val="center"/>
          </w:tcPr>
          <w:p>
            <w:pPr>
              <w:pStyle w:val="48"/>
            </w:pPr>
            <w:r>
              <w:rPr>
                <w:rFonts w:hint="eastAsia"/>
              </w:rPr>
              <w:t>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8"/>
            </w:pPr>
            <w:r>
              <w:rPr>
                <w:rFonts w:hint="eastAsia"/>
              </w:rPr>
              <w:t xml:space="preserve">电话： </w:t>
            </w:r>
          </w:p>
        </w:tc>
        <w:tc>
          <w:tcPr>
            <w:tcW w:w="4981" w:type="dxa"/>
            <w:vAlign w:val="center"/>
          </w:tcPr>
          <w:p>
            <w:pPr>
              <w:pStyle w:val="48"/>
            </w:pPr>
            <w:r>
              <w:rPr>
                <w:rFonts w:hint="eastAsia"/>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pStyle w:val="48"/>
            </w:pPr>
            <w:r>
              <w:rPr>
                <w:rFonts w:hint="eastAsia"/>
              </w:rPr>
              <w:t>传真：</w:t>
            </w:r>
          </w:p>
        </w:tc>
        <w:tc>
          <w:tcPr>
            <w:tcW w:w="4981" w:type="dxa"/>
            <w:vAlign w:val="center"/>
          </w:tcPr>
          <w:p>
            <w:pPr>
              <w:pStyle w:val="48"/>
            </w:pPr>
            <w:r>
              <w:rPr>
                <w:rFonts w:hint="eastAsia"/>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pStyle w:val="48"/>
            </w:pPr>
            <w:r>
              <w:rPr>
                <w:rFonts w:hint="eastAsia"/>
              </w:rPr>
              <w:t>签约日期：XX年XX月XX日</w:t>
            </w:r>
          </w:p>
        </w:tc>
        <w:tc>
          <w:tcPr>
            <w:tcW w:w="4981" w:type="dxa"/>
            <w:vAlign w:val="center"/>
          </w:tcPr>
          <w:p>
            <w:pPr>
              <w:pStyle w:val="48"/>
            </w:pPr>
            <w:r>
              <w:rPr>
                <w:rFonts w:hint="eastAsia"/>
              </w:rPr>
              <w:t>签约日期：XX年XX月XX日</w:t>
            </w:r>
          </w:p>
        </w:tc>
      </w:tr>
    </w:tbl>
    <w:p>
      <w:pPr>
        <w:pStyle w:val="48"/>
      </w:pPr>
      <w:r>
        <w:rPr>
          <w:rFonts w:hint="eastAsia"/>
        </w:rPr>
        <w:br w:type="page"/>
      </w:r>
    </w:p>
    <w:p>
      <w:pPr>
        <w:pStyle w:val="54"/>
        <w:numPr>
          <w:ilvl w:val="0"/>
          <w:numId w:val="14"/>
        </w:numPr>
        <w:spacing w:before="120" w:after="120"/>
      </w:pPr>
      <w:bookmarkStart w:id="1592" w:name="_Toc28848"/>
      <w:bookmarkStart w:id="1593" w:name="_Toc18754"/>
      <w:r>
        <w:rPr>
          <w:rFonts w:hint="eastAsia"/>
        </w:rPr>
        <w:t>附件</w:t>
      </w:r>
      <w:bookmarkEnd w:id="1592"/>
      <w:bookmarkEnd w:id="1593"/>
    </w:p>
    <w:p>
      <w:pPr>
        <w:pStyle w:val="48"/>
        <w:jc w:val="both"/>
        <w:rPr>
          <w:b/>
          <w:bCs/>
          <w:sz w:val="36"/>
          <w:szCs w:val="36"/>
        </w:rPr>
      </w:pPr>
      <w:r>
        <w:rPr>
          <w:rFonts w:hint="eastAsia" w:cs="宋体"/>
          <w:b/>
          <w:bCs/>
        </w:rPr>
        <w:t>附件一：《202</w:t>
      </w:r>
      <w:r>
        <w:rPr>
          <w:rFonts w:hint="eastAsia" w:cs="宋体"/>
          <w:b/>
          <w:bCs/>
          <w:lang w:val="en-US" w:eastAsia="zh-CN"/>
        </w:rPr>
        <w:t>1</w:t>
      </w:r>
      <w:r>
        <w:rPr>
          <w:rFonts w:hint="eastAsia" w:cs="宋体"/>
          <w:b/>
          <w:bCs/>
        </w:rPr>
        <w:t>年度信用评价服务效果调查表(供应商)》</w:t>
      </w:r>
    </w:p>
    <w:p>
      <w:pPr>
        <w:pStyle w:val="48"/>
        <w:jc w:val="center"/>
        <w:rPr>
          <w:b/>
          <w:bCs/>
          <w:sz w:val="36"/>
          <w:szCs w:val="36"/>
        </w:rPr>
      </w:pPr>
      <w:r>
        <w:rPr>
          <w:rFonts w:hint="eastAsia"/>
          <w:b/>
          <w:bCs/>
          <w:sz w:val="36"/>
          <w:szCs w:val="36"/>
        </w:rPr>
        <w:t>202</w:t>
      </w:r>
      <w:r>
        <w:rPr>
          <w:rFonts w:hint="eastAsia"/>
          <w:b/>
          <w:bCs/>
          <w:sz w:val="36"/>
          <w:szCs w:val="36"/>
          <w:lang w:val="en-US" w:eastAsia="zh-CN"/>
        </w:rPr>
        <w:t>1</w:t>
      </w:r>
      <w:r>
        <w:rPr>
          <w:rFonts w:hint="eastAsia"/>
          <w:b/>
          <w:bCs/>
          <w:sz w:val="36"/>
          <w:szCs w:val="36"/>
        </w:rPr>
        <w:t>年度信用评价服务效果调查表(供应商)</w:t>
      </w:r>
    </w:p>
    <w:p>
      <w:pPr>
        <w:pStyle w:val="48"/>
        <w:rPr>
          <w:u w:val="single"/>
        </w:rPr>
      </w:pPr>
      <w:r>
        <w:rPr>
          <w:rFonts w:hint="eastAsia"/>
        </w:rPr>
        <w:t>项目名称：</w:t>
      </w:r>
      <w:r>
        <w:rPr>
          <w:rFonts w:hint="eastAsia"/>
          <w:u w:val="single"/>
          <w:lang w:val="en-US" w:eastAsia="zh-CN"/>
        </w:rPr>
        <w:t xml:space="preserve">                               </w:t>
      </w:r>
    </w:p>
    <w:p>
      <w:pPr>
        <w:pStyle w:val="48"/>
        <w:rPr>
          <w:u w:val="single"/>
        </w:rPr>
      </w:pPr>
      <w:r>
        <w:rPr>
          <w:rFonts w:hint="eastAsia"/>
        </w:rPr>
        <w:t>项目编号：</w:t>
      </w:r>
      <w:r>
        <w:rPr>
          <w:rFonts w:hint="eastAsia"/>
          <w:u w:val="single"/>
          <w:lang w:val="en-US" w:eastAsia="zh-CN"/>
        </w:rPr>
        <w:t xml:space="preserve">                               </w:t>
      </w:r>
    </w:p>
    <w:p>
      <w:pPr>
        <w:pStyle w:val="48"/>
        <w:rPr>
          <w:rFonts w:hint="eastAsia" w:eastAsia="宋体"/>
          <w:lang w:eastAsia="zh-CN"/>
        </w:rPr>
      </w:pPr>
      <w:r>
        <w:rPr>
          <w:rFonts w:hint="eastAsia"/>
        </w:rPr>
        <w:t>被评价代理机构名称：</w:t>
      </w:r>
      <w:r>
        <w:rPr>
          <w:rFonts w:hint="eastAsia"/>
          <w:lang w:eastAsia="zh-CN"/>
        </w:rPr>
        <w:t>四川意惠采购招标代理有限公司</w:t>
      </w:r>
    </w:p>
    <w:tbl>
      <w:tblPr>
        <w:tblStyle w:val="26"/>
        <w:tblW w:w="9770" w:type="dxa"/>
        <w:tblInd w:w="0" w:type="dxa"/>
        <w:tblLayout w:type="fixed"/>
        <w:tblCellMar>
          <w:top w:w="15" w:type="dxa"/>
          <w:left w:w="15" w:type="dxa"/>
          <w:bottom w:w="15" w:type="dxa"/>
          <w:right w:w="15" w:type="dxa"/>
        </w:tblCellMar>
      </w:tblPr>
      <w:tblGrid>
        <w:gridCol w:w="1219"/>
        <w:gridCol w:w="2430"/>
        <w:gridCol w:w="1530"/>
        <w:gridCol w:w="1530"/>
        <w:gridCol w:w="1530"/>
        <w:gridCol w:w="1531"/>
      </w:tblGrid>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1"/>
              <w:rPr>
                <w:b/>
                <w:bCs/>
              </w:rPr>
            </w:pPr>
            <w:r>
              <w:rPr>
                <w:rFonts w:hint="eastAsia"/>
                <w:b/>
                <w:bCs/>
              </w:rPr>
              <w:t>序号</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1"/>
              <w:rPr>
                <w:b/>
                <w:bCs/>
              </w:rPr>
            </w:pPr>
            <w:r>
              <w:rPr>
                <w:rFonts w:hint="eastAsia"/>
                <w:b/>
                <w:bCs/>
              </w:rPr>
              <w:t>测评内容</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b/>
                <w:bCs/>
              </w:rPr>
            </w:pPr>
            <w:r>
              <w:rPr>
                <w:rFonts w:hint="eastAsia"/>
                <w:b/>
                <w:bCs/>
              </w:rPr>
              <w:t xml:space="preserve">满意 </w:t>
            </w:r>
          </w:p>
          <w:p>
            <w:pPr>
              <w:pStyle w:val="51"/>
              <w:rPr>
                <w:b/>
                <w:bCs/>
              </w:rPr>
            </w:pPr>
            <w:r>
              <w:rPr>
                <w:rFonts w:hint="eastAsia"/>
                <w:b/>
                <w:bCs/>
              </w:rPr>
              <w:t>(3分)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b/>
                <w:bCs/>
              </w:rPr>
            </w:pPr>
            <w:r>
              <w:rPr>
                <w:rFonts w:hint="eastAsia"/>
                <w:b/>
                <w:bCs/>
              </w:rPr>
              <w:t xml:space="preserve">基本满意 </w:t>
            </w:r>
          </w:p>
          <w:p>
            <w:pPr>
              <w:pStyle w:val="51"/>
              <w:rPr>
                <w:b/>
                <w:bCs/>
              </w:rPr>
            </w:pPr>
            <w:r>
              <w:rPr>
                <w:rFonts w:hint="eastAsia"/>
                <w:b/>
                <w:bCs/>
              </w:rPr>
              <w:t>(2分)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b/>
                <w:bCs/>
              </w:rPr>
            </w:pPr>
            <w:r>
              <w:rPr>
                <w:rFonts w:hint="eastAsia"/>
                <w:b/>
                <w:bCs/>
              </w:rPr>
              <w:t xml:space="preserve">一般 </w:t>
            </w:r>
          </w:p>
          <w:p>
            <w:pPr>
              <w:pStyle w:val="51"/>
              <w:rPr>
                <w:b/>
                <w:bCs/>
              </w:rPr>
            </w:pPr>
            <w:r>
              <w:rPr>
                <w:rFonts w:hint="eastAsia"/>
                <w:b/>
                <w:bCs/>
              </w:rPr>
              <w:t>(1分)</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1"/>
              <w:rPr>
                <w:b/>
                <w:bCs/>
              </w:rPr>
            </w:pPr>
            <w:r>
              <w:rPr>
                <w:rFonts w:hint="eastAsia"/>
                <w:b/>
                <w:bCs/>
              </w:rPr>
              <w:t>不满意</w:t>
            </w:r>
          </w:p>
          <w:p>
            <w:pPr>
              <w:pStyle w:val="51"/>
              <w:rPr>
                <w:b/>
                <w:bCs/>
              </w:rPr>
            </w:pPr>
            <w:r>
              <w:rPr>
                <w:rFonts w:hint="eastAsia"/>
                <w:b/>
                <w:bCs/>
              </w:rPr>
              <w:t>(0分)</w:t>
            </w: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1"/>
              <w:rPr>
                <w:b/>
                <w:bCs/>
              </w:rPr>
            </w:pPr>
            <w:r>
              <w:rPr>
                <w:rFonts w:hint="eastAsia"/>
                <w:b/>
                <w:bCs/>
              </w:rPr>
              <w:t>1</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1"/>
              <w:rPr>
                <w:b/>
                <w:bCs/>
              </w:rPr>
            </w:pPr>
            <w:r>
              <w:rPr>
                <w:rFonts w:hint="eastAsia"/>
                <w:b/>
                <w:bCs/>
              </w:rPr>
              <w:t>政府采购信息公告</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b/>
                <w:bCs/>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1"/>
              <w:rPr>
                <w:b/>
                <w:bCs/>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1"/>
              <w:rPr>
                <w:b/>
                <w:bCs/>
              </w:rPr>
            </w:pPr>
            <w:r>
              <w:rPr>
                <w:rFonts w:hint="eastAsia"/>
                <w:b/>
                <w:bCs/>
              </w:rPr>
              <w:t>2</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1"/>
              <w:rPr>
                <w:b/>
                <w:bCs/>
              </w:rPr>
            </w:pPr>
            <w:r>
              <w:rPr>
                <w:rFonts w:hint="eastAsia"/>
                <w:b/>
                <w:bCs/>
              </w:rPr>
              <w:t>询问答复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b/>
                <w:bCs/>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1"/>
              <w:rPr>
                <w:b/>
                <w:bCs/>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1"/>
              <w:rPr>
                <w:b/>
                <w:bCs/>
              </w:rPr>
            </w:pPr>
            <w:r>
              <w:rPr>
                <w:rFonts w:hint="eastAsia"/>
                <w:b/>
                <w:bCs/>
              </w:rPr>
              <w:t>3</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1"/>
              <w:rPr>
                <w:b/>
                <w:bCs/>
              </w:rPr>
            </w:pPr>
            <w:r>
              <w:rPr>
                <w:rFonts w:hint="eastAsia"/>
                <w:b/>
                <w:bCs/>
              </w:rPr>
              <w:t>质疑答复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b/>
                <w:bCs/>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1"/>
              <w:rPr>
                <w:b/>
                <w:bCs/>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1"/>
              <w:rPr>
                <w:b/>
                <w:bCs/>
              </w:rPr>
            </w:pPr>
            <w:r>
              <w:rPr>
                <w:rFonts w:hint="eastAsia"/>
                <w:b/>
                <w:bCs/>
              </w:rPr>
              <w:t>4</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1"/>
              <w:rPr>
                <w:b/>
                <w:bCs/>
              </w:rPr>
            </w:pPr>
            <w:r>
              <w:rPr>
                <w:rFonts w:hint="eastAsia"/>
                <w:b/>
                <w:bCs/>
              </w:rPr>
              <w:t>服务态度</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b/>
                <w:bCs/>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1"/>
              <w:rPr>
                <w:b/>
                <w:bCs/>
              </w:rPr>
            </w:pPr>
          </w:p>
        </w:tc>
      </w:tr>
      <w:tr>
        <w:tblPrEx>
          <w:tblCellMar>
            <w:top w:w="15" w:type="dxa"/>
            <w:left w:w="15" w:type="dxa"/>
            <w:bottom w:w="15" w:type="dxa"/>
            <w:right w:w="15" w:type="dxa"/>
          </w:tblCellMar>
        </w:tblPrEx>
        <w:trPr>
          <w:trHeight w:val="480"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7"/>
              <w:rPr>
                <w:b/>
                <w:bCs/>
              </w:rPr>
            </w:pPr>
            <w:r>
              <w:rPr>
                <w:rFonts w:hint="eastAsia"/>
                <w:b/>
                <w:bCs/>
              </w:rPr>
              <w:t>对代理机构工作的其他建议：</w:t>
            </w:r>
          </w:p>
        </w:tc>
      </w:tr>
      <w:tr>
        <w:tblPrEx>
          <w:tblCellMar>
            <w:top w:w="15" w:type="dxa"/>
            <w:left w:w="15" w:type="dxa"/>
            <w:bottom w:w="15" w:type="dxa"/>
            <w:right w:w="15" w:type="dxa"/>
          </w:tblCellMar>
        </w:tblPrEx>
        <w:trPr>
          <w:trHeight w:val="3106"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7"/>
              <w:rPr>
                <w:b/>
                <w:bCs/>
              </w:rPr>
            </w:pPr>
          </w:p>
        </w:tc>
      </w:tr>
      <w:tr>
        <w:tblPrEx>
          <w:tblCellMar>
            <w:top w:w="15" w:type="dxa"/>
            <w:left w:w="15" w:type="dxa"/>
            <w:bottom w:w="15" w:type="dxa"/>
            <w:right w:w="15" w:type="dxa"/>
          </w:tblCellMar>
        </w:tblPrEx>
        <w:trPr>
          <w:trHeight w:val="811"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7"/>
              <w:rPr>
                <w:b/>
                <w:bCs/>
              </w:rPr>
            </w:pPr>
            <w:r>
              <w:rPr>
                <w:rFonts w:hint="eastAsia"/>
                <w:b/>
                <w:bCs/>
              </w:rPr>
              <w:t>供应商名称：(加盖鲜章)</w:t>
            </w:r>
          </w:p>
        </w:tc>
      </w:tr>
    </w:tbl>
    <w:p>
      <w:pPr>
        <w:pStyle w:val="53"/>
        <w:ind w:firstLine="482"/>
      </w:pPr>
      <w:r>
        <w:rPr>
          <w:rFonts w:hint="eastAsia"/>
        </w:rPr>
        <w:t>说明：请贵公司根据政府采购代理机构202</w:t>
      </w:r>
      <w:r>
        <w:rPr>
          <w:rFonts w:hint="eastAsia"/>
          <w:lang w:val="en-US" w:eastAsia="zh-CN"/>
        </w:rPr>
        <w:t>1</w:t>
      </w:r>
      <w:r>
        <w:rPr>
          <w:rFonts w:hint="eastAsia"/>
        </w:rPr>
        <w:t>年度政府采购项目的实际情况，在“满意”、“基本满意”、“一般”、“不满意”四个评价档次栏中选取一栏打“√”，并加盖鲜章。</w:t>
      </w:r>
    </w:p>
    <w:p>
      <w:r>
        <w:rPr>
          <w:rFonts w:hint="eastAsia"/>
        </w:rPr>
        <w:br w:type="page"/>
      </w:r>
    </w:p>
    <w:p>
      <w:pPr>
        <w:pStyle w:val="48"/>
        <w:jc w:val="both"/>
        <w:rPr>
          <w:rFonts w:cs="宋体"/>
          <w:b/>
          <w:bCs/>
        </w:rPr>
      </w:pPr>
      <w:r>
        <w:rPr>
          <w:rFonts w:hint="eastAsia" w:cs="宋体"/>
          <w:b/>
          <w:bCs/>
        </w:rPr>
        <w:t>附件二</w:t>
      </w:r>
    </w:p>
    <w:p>
      <w:pPr>
        <w:widowControl/>
        <w:spacing w:line="330" w:lineRule="atLeast"/>
        <w:jc w:val="center"/>
        <w:rPr>
          <w:rFonts w:cs="宋体"/>
          <w:color w:val="000000"/>
          <w:kern w:val="0"/>
          <w:sz w:val="32"/>
          <w:szCs w:val="32"/>
        </w:rPr>
      </w:pPr>
      <w:r>
        <w:rPr>
          <w:rFonts w:hint="eastAsia" w:cs="宋体"/>
          <w:color w:val="000000"/>
          <w:kern w:val="0"/>
          <w:sz w:val="32"/>
          <w:szCs w:val="32"/>
        </w:rPr>
        <w:t>统计上大中小微型企业划分标准</w:t>
      </w:r>
    </w:p>
    <w:tbl>
      <w:tblPr>
        <w:tblStyle w:val="26"/>
        <w:tblW w:w="10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9"/>
        <w:gridCol w:w="1462"/>
        <w:gridCol w:w="756"/>
        <w:gridCol w:w="1200"/>
        <w:gridCol w:w="1817"/>
        <w:gridCol w:w="1524"/>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2259" w:type="dxa"/>
            <w:vAlign w:val="center"/>
          </w:tcPr>
          <w:p>
            <w:pPr>
              <w:widowControl/>
              <w:spacing w:line="240" w:lineRule="exact"/>
              <w:jc w:val="center"/>
              <w:rPr>
                <w:rFonts w:cs="宋体"/>
                <w:b/>
                <w:bCs/>
                <w:color w:val="000000"/>
                <w:kern w:val="0"/>
                <w:sz w:val="15"/>
                <w:szCs w:val="15"/>
              </w:rPr>
            </w:pPr>
            <w:r>
              <w:rPr>
                <w:rFonts w:hint="eastAsia" w:cs="宋体"/>
                <w:b/>
                <w:bCs/>
                <w:color w:val="000000"/>
                <w:kern w:val="0"/>
                <w:sz w:val="15"/>
                <w:szCs w:val="15"/>
              </w:rPr>
              <w:t>行业名称</w:t>
            </w:r>
          </w:p>
        </w:tc>
        <w:tc>
          <w:tcPr>
            <w:tcW w:w="146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b/>
                <w:bCs/>
                <w:color w:val="000000"/>
                <w:kern w:val="0"/>
                <w:sz w:val="15"/>
                <w:szCs w:val="15"/>
              </w:rPr>
            </w:pPr>
            <w:r>
              <w:rPr>
                <w:rFonts w:hint="eastAsia" w:cs="宋体"/>
                <w:b/>
                <w:bCs/>
                <w:color w:val="000000"/>
                <w:kern w:val="0"/>
                <w:sz w:val="15"/>
                <w:szCs w:val="15"/>
              </w:rPr>
              <w:t>指标名称</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cs="宋体"/>
                <w:b/>
                <w:bCs/>
                <w:color w:val="000000"/>
                <w:kern w:val="0"/>
                <w:sz w:val="15"/>
                <w:szCs w:val="15"/>
              </w:rPr>
            </w:pPr>
            <w:r>
              <w:rPr>
                <w:rFonts w:hint="eastAsia" w:cs="宋体"/>
                <w:b/>
                <w:bCs/>
                <w:color w:val="000000"/>
                <w:kern w:val="0"/>
                <w:sz w:val="15"/>
                <w:szCs w:val="15"/>
              </w:rPr>
              <w:t>计量</w:t>
            </w:r>
            <w:r>
              <w:rPr>
                <w:rFonts w:hint="eastAsia" w:cs="宋体"/>
                <w:b/>
                <w:bCs/>
                <w:color w:val="000000"/>
                <w:kern w:val="0"/>
                <w:sz w:val="15"/>
                <w:szCs w:val="15"/>
              </w:rPr>
              <w:br w:type="textWrapping"/>
            </w:r>
            <w:r>
              <w:rPr>
                <w:rFonts w:hint="eastAsia" w:cs="宋体"/>
                <w:b/>
                <w:bCs/>
                <w:color w:val="000000"/>
                <w:kern w:val="0"/>
                <w:sz w:val="15"/>
                <w:szCs w:val="15"/>
              </w:rPr>
              <w:t>单位</w:t>
            </w:r>
          </w:p>
        </w:tc>
        <w:tc>
          <w:tcPr>
            <w:tcW w:w="120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b/>
                <w:bCs/>
                <w:color w:val="000000"/>
                <w:kern w:val="0"/>
                <w:sz w:val="15"/>
                <w:szCs w:val="15"/>
              </w:rPr>
            </w:pPr>
            <w:r>
              <w:rPr>
                <w:rFonts w:hint="eastAsia" w:cs="宋体"/>
                <w:b/>
                <w:bCs/>
                <w:color w:val="000000"/>
                <w:kern w:val="0"/>
                <w:sz w:val="15"/>
                <w:szCs w:val="15"/>
              </w:rPr>
              <w:t>大型</w:t>
            </w:r>
          </w:p>
        </w:tc>
        <w:tc>
          <w:tcPr>
            <w:tcW w:w="18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b/>
                <w:bCs/>
                <w:color w:val="000000"/>
                <w:kern w:val="0"/>
                <w:sz w:val="15"/>
                <w:szCs w:val="15"/>
              </w:rPr>
            </w:pPr>
            <w:r>
              <w:rPr>
                <w:rFonts w:hint="eastAsia" w:cs="宋体"/>
                <w:b/>
                <w:bCs/>
                <w:color w:val="000000"/>
                <w:kern w:val="0"/>
                <w:sz w:val="15"/>
                <w:szCs w:val="15"/>
              </w:rPr>
              <w:t>中型</w:t>
            </w:r>
          </w:p>
        </w:tc>
        <w:tc>
          <w:tcPr>
            <w:tcW w:w="1524"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b/>
                <w:bCs/>
                <w:color w:val="000000"/>
                <w:kern w:val="0"/>
                <w:sz w:val="15"/>
                <w:szCs w:val="15"/>
              </w:rPr>
            </w:pPr>
            <w:r>
              <w:rPr>
                <w:rFonts w:hint="eastAsia" w:cs="宋体"/>
                <w:b/>
                <w:bCs/>
                <w:color w:val="000000"/>
                <w:kern w:val="0"/>
                <w:sz w:val="15"/>
                <w:szCs w:val="15"/>
              </w:rPr>
              <w:t>小型</w:t>
            </w:r>
          </w:p>
        </w:tc>
        <w:tc>
          <w:tcPr>
            <w:tcW w:w="106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b/>
                <w:bCs/>
                <w:color w:val="000000"/>
                <w:kern w:val="0"/>
                <w:sz w:val="15"/>
                <w:szCs w:val="15"/>
              </w:rPr>
            </w:pPr>
            <w:r>
              <w:rPr>
                <w:rFonts w:hint="eastAsia" w:cs="宋体"/>
                <w:b/>
                <w:bCs/>
                <w:color w:val="000000"/>
                <w:kern w:val="0"/>
                <w:sz w:val="15"/>
                <w:szCs w:val="15"/>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59" w:type="dxa"/>
            <w:vAlign w:val="center"/>
          </w:tcPr>
          <w:p>
            <w:pPr>
              <w:widowControl/>
              <w:spacing w:line="240" w:lineRule="exact"/>
              <w:rPr>
                <w:rFonts w:cs="宋体"/>
                <w:color w:val="000000"/>
                <w:kern w:val="0"/>
                <w:sz w:val="15"/>
                <w:szCs w:val="15"/>
              </w:rPr>
            </w:pPr>
            <w:r>
              <w:rPr>
                <w:rFonts w:hint="eastAsia" w:cs="宋体"/>
                <w:color w:val="000000"/>
                <w:kern w:val="0"/>
                <w:sz w:val="15"/>
                <w:szCs w:val="15"/>
              </w:rPr>
              <w:t>农、林、牧、渔业</w:t>
            </w:r>
          </w:p>
        </w:tc>
        <w:tc>
          <w:tcPr>
            <w:tcW w:w="146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营业收入(Y)</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万元</w:t>
            </w:r>
          </w:p>
        </w:tc>
        <w:tc>
          <w:tcPr>
            <w:tcW w:w="120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Y≥20000</w:t>
            </w:r>
          </w:p>
        </w:tc>
        <w:tc>
          <w:tcPr>
            <w:tcW w:w="18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 xml:space="preserve"> 500≤Y＜20000</w:t>
            </w:r>
          </w:p>
        </w:tc>
        <w:tc>
          <w:tcPr>
            <w:tcW w:w="1524"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 xml:space="preserve"> 50≤Y＜500</w:t>
            </w:r>
          </w:p>
        </w:tc>
        <w:tc>
          <w:tcPr>
            <w:tcW w:w="106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59" w:type="dxa"/>
            <w:vMerge w:val="restart"/>
            <w:vAlign w:val="center"/>
          </w:tcPr>
          <w:p>
            <w:pPr>
              <w:widowControl/>
              <w:spacing w:line="240" w:lineRule="exact"/>
              <w:rPr>
                <w:rFonts w:cs="宋体"/>
                <w:color w:val="000000"/>
                <w:kern w:val="0"/>
                <w:sz w:val="15"/>
                <w:szCs w:val="15"/>
              </w:rPr>
            </w:pPr>
            <w:r>
              <w:rPr>
                <w:rFonts w:hint="eastAsia" w:cs="宋体"/>
                <w:color w:val="000000"/>
                <w:kern w:val="0"/>
                <w:sz w:val="15"/>
                <w:szCs w:val="15"/>
              </w:rPr>
              <w:t>工业 *</w:t>
            </w:r>
          </w:p>
        </w:tc>
        <w:tc>
          <w:tcPr>
            <w:tcW w:w="146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从业人员(X)</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人</w:t>
            </w:r>
          </w:p>
        </w:tc>
        <w:tc>
          <w:tcPr>
            <w:tcW w:w="120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X≥1000</w:t>
            </w:r>
          </w:p>
        </w:tc>
        <w:tc>
          <w:tcPr>
            <w:tcW w:w="18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300≤X＜1000</w:t>
            </w:r>
          </w:p>
        </w:tc>
        <w:tc>
          <w:tcPr>
            <w:tcW w:w="1524"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 xml:space="preserve"> 20≤X＜300</w:t>
            </w:r>
          </w:p>
        </w:tc>
        <w:tc>
          <w:tcPr>
            <w:tcW w:w="106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59" w:type="dxa"/>
            <w:vMerge w:val="continue"/>
            <w:vAlign w:val="center"/>
          </w:tcPr>
          <w:p>
            <w:pPr>
              <w:widowControl/>
              <w:rPr>
                <w:rFonts w:cs="宋体"/>
                <w:color w:val="000000"/>
                <w:kern w:val="0"/>
                <w:sz w:val="15"/>
                <w:szCs w:val="15"/>
              </w:rPr>
            </w:pPr>
          </w:p>
        </w:tc>
        <w:tc>
          <w:tcPr>
            <w:tcW w:w="146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营业收入(Y)</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万元</w:t>
            </w:r>
          </w:p>
        </w:tc>
        <w:tc>
          <w:tcPr>
            <w:tcW w:w="120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Y≥40000</w:t>
            </w:r>
          </w:p>
        </w:tc>
        <w:tc>
          <w:tcPr>
            <w:tcW w:w="18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2000≤Y＜40000</w:t>
            </w:r>
          </w:p>
        </w:tc>
        <w:tc>
          <w:tcPr>
            <w:tcW w:w="1524"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 xml:space="preserve"> 300≤Y＜2000</w:t>
            </w:r>
          </w:p>
        </w:tc>
        <w:tc>
          <w:tcPr>
            <w:tcW w:w="106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59" w:type="dxa"/>
            <w:vMerge w:val="restart"/>
            <w:vAlign w:val="center"/>
          </w:tcPr>
          <w:p>
            <w:pPr>
              <w:widowControl/>
              <w:spacing w:line="240" w:lineRule="exact"/>
              <w:rPr>
                <w:rFonts w:cs="宋体"/>
                <w:color w:val="000000"/>
                <w:kern w:val="0"/>
                <w:sz w:val="15"/>
                <w:szCs w:val="15"/>
              </w:rPr>
            </w:pPr>
            <w:r>
              <w:rPr>
                <w:rFonts w:hint="eastAsia" w:cs="宋体"/>
                <w:color w:val="000000"/>
                <w:kern w:val="0"/>
                <w:sz w:val="15"/>
                <w:szCs w:val="15"/>
              </w:rPr>
              <w:t>建筑业</w:t>
            </w:r>
          </w:p>
        </w:tc>
        <w:tc>
          <w:tcPr>
            <w:tcW w:w="146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营业收入(Y)</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万元</w:t>
            </w:r>
          </w:p>
        </w:tc>
        <w:tc>
          <w:tcPr>
            <w:tcW w:w="120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Y≥80000</w:t>
            </w:r>
          </w:p>
        </w:tc>
        <w:tc>
          <w:tcPr>
            <w:tcW w:w="18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6000≤Y＜80000</w:t>
            </w:r>
          </w:p>
        </w:tc>
        <w:tc>
          <w:tcPr>
            <w:tcW w:w="1524"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 xml:space="preserve"> 300≤Y＜6000</w:t>
            </w:r>
          </w:p>
        </w:tc>
        <w:tc>
          <w:tcPr>
            <w:tcW w:w="106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59" w:type="dxa"/>
            <w:vMerge w:val="continue"/>
            <w:vAlign w:val="center"/>
          </w:tcPr>
          <w:p>
            <w:pPr>
              <w:widowControl/>
              <w:rPr>
                <w:rFonts w:cs="宋体"/>
                <w:color w:val="000000"/>
                <w:kern w:val="0"/>
                <w:sz w:val="15"/>
                <w:szCs w:val="15"/>
              </w:rPr>
            </w:pPr>
          </w:p>
        </w:tc>
        <w:tc>
          <w:tcPr>
            <w:tcW w:w="146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资产总额(Z)</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万元</w:t>
            </w:r>
          </w:p>
        </w:tc>
        <w:tc>
          <w:tcPr>
            <w:tcW w:w="120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Z≥80000</w:t>
            </w:r>
          </w:p>
        </w:tc>
        <w:tc>
          <w:tcPr>
            <w:tcW w:w="18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5000≤Z＜80000</w:t>
            </w:r>
          </w:p>
        </w:tc>
        <w:tc>
          <w:tcPr>
            <w:tcW w:w="1524"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 xml:space="preserve"> 300≤Z＜5000</w:t>
            </w:r>
          </w:p>
        </w:tc>
        <w:tc>
          <w:tcPr>
            <w:tcW w:w="106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59" w:type="dxa"/>
            <w:vMerge w:val="restart"/>
            <w:vAlign w:val="center"/>
          </w:tcPr>
          <w:p>
            <w:pPr>
              <w:widowControl/>
              <w:spacing w:line="240" w:lineRule="exact"/>
              <w:rPr>
                <w:rFonts w:cs="宋体"/>
                <w:color w:val="000000"/>
                <w:kern w:val="0"/>
                <w:sz w:val="15"/>
                <w:szCs w:val="15"/>
              </w:rPr>
            </w:pPr>
            <w:r>
              <w:rPr>
                <w:rFonts w:hint="eastAsia" w:cs="宋体"/>
                <w:color w:val="000000"/>
                <w:kern w:val="0"/>
                <w:sz w:val="15"/>
                <w:szCs w:val="15"/>
              </w:rPr>
              <w:t>批发业</w:t>
            </w:r>
          </w:p>
        </w:tc>
        <w:tc>
          <w:tcPr>
            <w:tcW w:w="146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从业人员(X)</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人</w:t>
            </w:r>
          </w:p>
        </w:tc>
        <w:tc>
          <w:tcPr>
            <w:tcW w:w="120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X≥200</w:t>
            </w:r>
          </w:p>
        </w:tc>
        <w:tc>
          <w:tcPr>
            <w:tcW w:w="18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20≤X＜200</w:t>
            </w:r>
          </w:p>
        </w:tc>
        <w:tc>
          <w:tcPr>
            <w:tcW w:w="1524"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 xml:space="preserve"> 5≤X＜20</w:t>
            </w:r>
          </w:p>
        </w:tc>
        <w:tc>
          <w:tcPr>
            <w:tcW w:w="106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59" w:type="dxa"/>
            <w:vMerge w:val="continue"/>
            <w:vAlign w:val="center"/>
          </w:tcPr>
          <w:p>
            <w:pPr>
              <w:widowControl/>
              <w:rPr>
                <w:rFonts w:cs="宋体"/>
                <w:color w:val="000000"/>
                <w:kern w:val="0"/>
                <w:sz w:val="15"/>
                <w:szCs w:val="15"/>
              </w:rPr>
            </w:pPr>
          </w:p>
        </w:tc>
        <w:tc>
          <w:tcPr>
            <w:tcW w:w="146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营业收入(Y)</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万元</w:t>
            </w:r>
          </w:p>
        </w:tc>
        <w:tc>
          <w:tcPr>
            <w:tcW w:w="120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Y≥40000</w:t>
            </w:r>
          </w:p>
        </w:tc>
        <w:tc>
          <w:tcPr>
            <w:tcW w:w="18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5000≤Y＜40000</w:t>
            </w:r>
          </w:p>
        </w:tc>
        <w:tc>
          <w:tcPr>
            <w:tcW w:w="1524"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1" w:leftChars="-1" w:hanging="1"/>
              <w:jc w:val="center"/>
              <w:textAlignment w:val="auto"/>
              <w:rPr>
                <w:rFonts w:cs="宋体"/>
                <w:color w:val="000000"/>
                <w:kern w:val="0"/>
                <w:sz w:val="15"/>
                <w:szCs w:val="15"/>
              </w:rPr>
            </w:pPr>
            <w:r>
              <w:rPr>
                <w:rFonts w:hint="eastAsia" w:cs="宋体"/>
                <w:color w:val="000000"/>
                <w:kern w:val="0"/>
                <w:sz w:val="15"/>
                <w:szCs w:val="15"/>
              </w:rPr>
              <w:t>1000≤Y＜5000</w:t>
            </w:r>
          </w:p>
        </w:tc>
        <w:tc>
          <w:tcPr>
            <w:tcW w:w="106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59" w:type="dxa"/>
            <w:vMerge w:val="restart"/>
            <w:vAlign w:val="center"/>
          </w:tcPr>
          <w:p>
            <w:pPr>
              <w:widowControl/>
              <w:spacing w:line="240" w:lineRule="exact"/>
              <w:rPr>
                <w:rFonts w:cs="宋体"/>
                <w:color w:val="000000"/>
                <w:kern w:val="0"/>
                <w:sz w:val="15"/>
                <w:szCs w:val="15"/>
              </w:rPr>
            </w:pPr>
            <w:r>
              <w:rPr>
                <w:rFonts w:hint="eastAsia" w:cs="宋体"/>
                <w:color w:val="000000"/>
                <w:kern w:val="0"/>
                <w:sz w:val="15"/>
                <w:szCs w:val="15"/>
              </w:rPr>
              <w:t>零售业</w:t>
            </w:r>
          </w:p>
        </w:tc>
        <w:tc>
          <w:tcPr>
            <w:tcW w:w="146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从业人员(X)</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人</w:t>
            </w:r>
          </w:p>
        </w:tc>
        <w:tc>
          <w:tcPr>
            <w:tcW w:w="120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X≥300</w:t>
            </w:r>
          </w:p>
        </w:tc>
        <w:tc>
          <w:tcPr>
            <w:tcW w:w="18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50≤X＜300</w:t>
            </w:r>
          </w:p>
        </w:tc>
        <w:tc>
          <w:tcPr>
            <w:tcW w:w="1524"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1" w:leftChars="-1" w:hanging="1"/>
              <w:jc w:val="center"/>
              <w:textAlignment w:val="auto"/>
              <w:rPr>
                <w:rFonts w:cs="宋体"/>
                <w:color w:val="000000"/>
                <w:kern w:val="0"/>
                <w:sz w:val="15"/>
                <w:szCs w:val="15"/>
              </w:rPr>
            </w:pPr>
            <w:r>
              <w:rPr>
                <w:rFonts w:hint="eastAsia" w:cs="宋体"/>
                <w:color w:val="000000"/>
                <w:kern w:val="0"/>
                <w:sz w:val="15"/>
                <w:szCs w:val="15"/>
              </w:rPr>
              <w:t xml:space="preserve">10≤X＜50 </w:t>
            </w:r>
          </w:p>
        </w:tc>
        <w:tc>
          <w:tcPr>
            <w:tcW w:w="106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59" w:type="dxa"/>
            <w:vMerge w:val="continue"/>
            <w:vAlign w:val="center"/>
          </w:tcPr>
          <w:p>
            <w:pPr>
              <w:widowControl/>
              <w:rPr>
                <w:rFonts w:cs="宋体"/>
                <w:color w:val="000000"/>
                <w:kern w:val="0"/>
                <w:sz w:val="15"/>
                <w:szCs w:val="15"/>
              </w:rPr>
            </w:pPr>
          </w:p>
        </w:tc>
        <w:tc>
          <w:tcPr>
            <w:tcW w:w="146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营业收入(Y)</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万元</w:t>
            </w:r>
          </w:p>
        </w:tc>
        <w:tc>
          <w:tcPr>
            <w:tcW w:w="120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Y≥20000</w:t>
            </w:r>
          </w:p>
        </w:tc>
        <w:tc>
          <w:tcPr>
            <w:tcW w:w="18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 xml:space="preserve"> 500≤Y＜20000</w:t>
            </w:r>
          </w:p>
        </w:tc>
        <w:tc>
          <w:tcPr>
            <w:tcW w:w="1524"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1" w:leftChars="-1" w:hanging="1"/>
              <w:jc w:val="center"/>
              <w:textAlignment w:val="auto"/>
              <w:rPr>
                <w:rFonts w:cs="宋体"/>
                <w:color w:val="000000"/>
                <w:kern w:val="0"/>
                <w:sz w:val="15"/>
                <w:szCs w:val="15"/>
              </w:rPr>
            </w:pPr>
            <w:r>
              <w:rPr>
                <w:rFonts w:hint="eastAsia" w:cs="宋体"/>
                <w:color w:val="000000"/>
                <w:kern w:val="0"/>
                <w:sz w:val="15"/>
                <w:szCs w:val="15"/>
              </w:rPr>
              <w:t xml:space="preserve">100≤Y＜500 </w:t>
            </w:r>
          </w:p>
        </w:tc>
        <w:tc>
          <w:tcPr>
            <w:tcW w:w="106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59" w:type="dxa"/>
            <w:vMerge w:val="restart"/>
            <w:vAlign w:val="center"/>
          </w:tcPr>
          <w:p>
            <w:pPr>
              <w:widowControl/>
              <w:spacing w:line="240" w:lineRule="exact"/>
              <w:rPr>
                <w:rFonts w:cs="宋体"/>
                <w:color w:val="000000"/>
                <w:kern w:val="0"/>
                <w:sz w:val="15"/>
                <w:szCs w:val="15"/>
              </w:rPr>
            </w:pPr>
            <w:r>
              <w:rPr>
                <w:rFonts w:hint="eastAsia" w:cs="宋体"/>
                <w:color w:val="000000"/>
                <w:kern w:val="0"/>
                <w:sz w:val="15"/>
                <w:szCs w:val="15"/>
              </w:rPr>
              <w:t>交通运输业 *</w:t>
            </w:r>
          </w:p>
        </w:tc>
        <w:tc>
          <w:tcPr>
            <w:tcW w:w="146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从业人员(X)</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人</w:t>
            </w:r>
          </w:p>
        </w:tc>
        <w:tc>
          <w:tcPr>
            <w:tcW w:w="120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X≥1000</w:t>
            </w:r>
          </w:p>
        </w:tc>
        <w:tc>
          <w:tcPr>
            <w:tcW w:w="18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300≤X＜1000</w:t>
            </w:r>
          </w:p>
        </w:tc>
        <w:tc>
          <w:tcPr>
            <w:tcW w:w="1524"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 xml:space="preserve"> 20≤X＜300</w:t>
            </w:r>
          </w:p>
        </w:tc>
        <w:tc>
          <w:tcPr>
            <w:tcW w:w="106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59" w:type="dxa"/>
            <w:vMerge w:val="continue"/>
            <w:vAlign w:val="center"/>
          </w:tcPr>
          <w:p>
            <w:pPr>
              <w:widowControl/>
              <w:rPr>
                <w:rFonts w:cs="宋体"/>
                <w:color w:val="000000"/>
                <w:kern w:val="0"/>
                <w:sz w:val="15"/>
                <w:szCs w:val="15"/>
              </w:rPr>
            </w:pPr>
          </w:p>
        </w:tc>
        <w:tc>
          <w:tcPr>
            <w:tcW w:w="146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营业收入(Y)</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万元</w:t>
            </w:r>
          </w:p>
        </w:tc>
        <w:tc>
          <w:tcPr>
            <w:tcW w:w="120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Y≥30000</w:t>
            </w:r>
          </w:p>
        </w:tc>
        <w:tc>
          <w:tcPr>
            <w:tcW w:w="18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3000≤Y＜30000</w:t>
            </w:r>
          </w:p>
        </w:tc>
        <w:tc>
          <w:tcPr>
            <w:tcW w:w="1524"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 xml:space="preserve"> 200≤Y＜3000</w:t>
            </w:r>
          </w:p>
        </w:tc>
        <w:tc>
          <w:tcPr>
            <w:tcW w:w="106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59" w:type="dxa"/>
            <w:vMerge w:val="restart"/>
            <w:vAlign w:val="center"/>
          </w:tcPr>
          <w:p>
            <w:pPr>
              <w:widowControl/>
              <w:spacing w:line="240" w:lineRule="exact"/>
              <w:rPr>
                <w:rFonts w:cs="宋体"/>
                <w:color w:val="000000"/>
                <w:kern w:val="0"/>
                <w:sz w:val="15"/>
                <w:szCs w:val="15"/>
              </w:rPr>
            </w:pPr>
            <w:r>
              <w:rPr>
                <w:rFonts w:hint="eastAsia" w:cs="宋体"/>
                <w:color w:val="000000"/>
                <w:kern w:val="0"/>
                <w:sz w:val="15"/>
                <w:szCs w:val="15"/>
              </w:rPr>
              <w:t>仓储业*</w:t>
            </w:r>
          </w:p>
        </w:tc>
        <w:tc>
          <w:tcPr>
            <w:tcW w:w="146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从业人员(X)</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人</w:t>
            </w:r>
          </w:p>
        </w:tc>
        <w:tc>
          <w:tcPr>
            <w:tcW w:w="120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X≥200</w:t>
            </w:r>
          </w:p>
        </w:tc>
        <w:tc>
          <w:tcPr>
            <w:tcW w:w="18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32" w:leftChars="-51" w:hanging="90" w:hangingChars="60"/>
              <w:jc w:val="center"/>
              <w:textAlignment w:val="auto"/>
              <w:rPr>
                <w:rFonts w:cs="宋体"/>
                <w:color w:val="000000"/>
                <w:kern w:val="0"/>
                <w:sz w:val="15"/>
                <w:szCs w:val="15"/>
              </w:rPr>
            </w:pPr>
            <w:r>
              <w:rPr>
                <w:rFonts w:hint="eastAsia" w:cs="宋体"/>
                <w:color w:val="000000"/>
                <w:kern w:val="0"/>
                <w:sz w:val="15"/>
                <w:szCs w:val="15"/>
              </w:rPr>
              <w:t>100≤X＜200</w:t>
            </w:r>
          </w:p>
        </w:tc>
        <w:tc>
          <w:tcPr>
            <w:tcW w:w="1524"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 xml:space="preserve"> 20≤X＜100</w:t>
            </w:r>
          </w:p>
        </w:tc>
        <w:tc>
          <w:tcPr>
            <w:tcW w:w="106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59" w:type="dxa"/>
            <w:vMerge w:val="continue"/>
            <w:vAlign w:val="center"/>
          </w:tcPr>
          <w:p>
            <w:pPr>
              <w:widowControl/>
              <w:rPr>
                <w:rFonts w:cs="宋体"/>
                <w:color w:val="000000"/>
                <w:kern w:val="0"/>
                <w:sz w:val="15"/>
                <w:szCs w:val="15"/>
              </w:rPr>
            </w:pPr>
          </w:p>
        </w:tc>
        <w:tc>
          <w:tcPr>
            <w:tcW w:w="146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营业收入(Y)</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万元</w:t>
            </w:r>
          </w:p>
        </w:tc>
        <w:tc>
          <w:tcPr>
            <w:tcW w:w="120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Y≥30000</w:t>
            </w:r>
          </w:p>
        </w:tc>
        <w:tc>
          <w:tcPr>
            <w:tcW w:w="18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1000≤Y＜30000</w:t>
            </w:r>
          </w:p>
        </w:tc>
        <w:tc>
          <w:tcPr>
            <w:tcW w:w="1524"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 xml:space="preserve"> 100≤Y＜1000</w:t>
            </w:r>
          </w:p>
        </w:tc>
        <w:tc>
          <w:tcPr>
            <w:tcW w:w="106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59" w:type="dxa"/>
            <w:vMerge w:val="restart"/>
            <w:vAlign w:val="center"/>
          </w:tcPr>
          <w:p>
            <w:pPr>
              <w:widowControl/>
              <w:spacing w:line="240" w:lineRule="exact"/>
              <w:rPr>
                <w:rFonts w:cs="宋体"/>
                <w:color w:val="000000"/>
                <w:kern w:val="0"/>
                <w:sz w:val="15"/>
                <w:szCs w:val="15"/>
              </w:rPr>
            </w:pPr>
            <w:r>
              <w:rPr>
                <w:rFonts w:hint="eastAsia" w:cs="宋体"/>
                <w:color w:val="000000"/>
                <w:kern w:val="0"/>
                <w:sz w:val="15"/>
                <w:szCs w:val="15"/>
              </w:rPr>
              <w:t>邮政业</w:t>
            </w:r>
          </w:p>
        </w:tc>
        <w:tc>
          <w:tcPr>
            <w:tcW w:w="146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从业人员(X)</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人</w:t>
            </w:r>
          </w:p>
        </w:tc>
        <w:tc>
          <w:tcPr>
            <w:tcW w:w="120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X≥1000</w:t>
            </w:r>
          </w:p>
        </w:tc>
        <w:tc>
          <w:tcPr>
            <w:tcW w:w="18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300≤X＜1000</w:t>
            </w:r>
          </w:p>
        </w:tc>
        <w:tc>
          <w:tcPr>
            <w:tcW w:w="1524"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 xml:space="preserve"> 20≤X＜300</w:t>
            </w:r>
          </w:p>
        </w:tc>
        <w:tc>
          <w:tcPr>
            <w:tcW w:w="106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59" w:type="dxa"/>
            <w:vMerge w:val="continue"/>
            <w:vAlign w:val="center"/>
          </w:tcPr>
          <w:p>
            <w:pPr>
              <w:widowControl/>
              <w:rPr>
                <w:rFonts w:cs="宋体"/>
                <w:color w:val="000000"/>
                <w:kern w:val="0"/>
                <w:sz w:val="15"/>
                <w:szCs w:val="15"/>
              </w:rPr>
            </w:pPr>
          </w:p>
        </w:tc>
        <w:tc>
          <w:tcPr>
            <w:tcW w:w="146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营业收入(Y)</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万元</w:t>
            </w:r>
          </w:p>
        </w:tc>
        <w:tc>
          <w:tcPr>
            <w:tcW w:w="120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Y≥30000</w:t>
            </w:r>
          </w:p>
        </w:tc>
        <w:tc>
          <w:tcPr>
            <w:tcW w:w="18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2000≤Y＜30000</w:t>
            </w:r>
          </w:p>
        </w:tc>
        <w:tc>
          <w:tcPr>
            <w:tcW w:w="1524"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 xml:space="preserve"> 100≤Y＜2000</w:t>
            </w:r>
          </w:p>
        </w:tc>
        <w:tc>
          <w:tcPr>
            <w:tcW w:w="106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59" w:type="dxa"/>
            <w:vMerge w:val="restart"/>
            <w:vAlign w:val="center"/>
          </w:tcPr>
          <w:p>
            <w:pPr>
              <w:widowControl/>
              <w:spacing w:line="240" w:lineRule="exact"/>
              <w:rPr>
                <w:rFonts w:cs="宋体"/>
                <w:color w:val="000000"/>
                <w:kern w:val="0"/>
                <w:sz w:val="15"/>
                <w:szCs w:val="15"/>
              </w:rPr>
            </w:pPr>
            <w:r>
              <w:rPr>
                <w:rFonts w:hint="eastAsia" w:cs="宋体"/>
                <w:color w:val="000000"/>
                <w:kern w:val="0"/>
                <w:sz w:val="15"/>
                <w:szCs w:val="15"/>
              </w:rPr>
              <w:t>住宿业</w:t>
            </w:r>
          </w:p>
        </w:tc>
        <w:tc>
          <w:tcPr>
            <w:tcW w:w="146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从业人员(X)</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人</w:t>
            </w:r>
          </w:p>
        </w:tc>
        <w:tc>
          <w:tcPr>
            <w:tcW w:w="120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X≥300</w:t>
            </w:r>
          </w:p>
        </w:tc>
        <w:tc>
          <w:tcPr>
            <w:tcW w:w="18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32" w:leftChars="-51" w:hanging="90" w:hangingChars="60"/>
              <w:jc w:val="center"/>
              <w:textAlignment w:val="auto"/>
              <w:rPr>
                <w:rFonts w:cs="宋体"/>
                <w:color w:val="000000"/>
                <w:kern w:val="0"/>
                <w:sz w:val="15"/>
                <w:szCs w:val="15"/>
              </w:rPr>
            </w:pPr>
            <w:r>
              <w:rPr>
                <w:rFonts w:hint="eastAsia" w:cs="宋体"/>
                <w:color w:val="000000"/>
                <w:kern w:val="0"/>
                <w:sz w:val="15"/>
                <w:szCs w:val="15"/>
              </w:rPr>
              <w:t xml:space="preserve">100≤X＜300 </w:t>
            </w:r>
          </w:p>
        </w:tc>
        <w:tc>
          <w:tcPr>
            <w:tcW w:w="1524"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 xml:space="preserve"> 10≤X＜100</w:t>
            </w:r>
          </w:p>
        </w:tc>
        <w:tc>
          <w:tcPr>
            <w:tcW w:w="106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59" w:type="dxa"/>
            <w:vMerge w:val="continue"/>
            <w:vAlign w:val="center"/>
          </w:tcPr>
          <w:p>
            <w:pPr>
              <w:widowControl/>
              <w:rPr>
                <w:rFonts w:cs="宋体"/>
                <w:color w:val="000000"/>
                <w:kern w:val="0"/>
                <w:sz w:val="15"/>
                <w:szCs w:val="15"/>
              </w:rPr>
            </w:pPr>
          </w:p>
        </w:tc>
        <w:tc>
          <w:tcPr>
            <w:tcW w:w="146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营业收入(Y)</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万元</w:t>
            </w:r>
          </w:p>
        </w:tc>
        <w:tc>
          <w:tcPr>
            <w:tcW w:w="120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Y≥10000</w:t>
            </w:r>
          </w:p>
        </w:tc>
        <w:tc>
          <w:tcPr>
            <w:tcW w:w="18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2000≤Y＜10000</w:t>
            </w:r>
          </w:p>
        </w:tc>
        <w:tc>
          <w:tcPr>
            <w:tcW w:w="1524"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 xml:space="preserve"> 100≤Y＜2000</w:t>
            </w:r>
          </w:p>
        </w:tc>
        <w:tc>
          <w:tcPr>
            <w:tcW w:w="106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59" w:type="dxa"/>
            <w:vMerge w:val="restart"/>
            <w:vAlign w:val="center"/>
          </w:tcPr>
          <w:p>
            <w:pPr>
              <w:widowControl/>
              <w:spacing w:line="240" w:lineRule="exact"/>
              <w:rPr>
                <w:rFonts w:cs="宋体"/>
                <w:color w:val="000000"/>
                <w:kern w:val="0"/>
                <w:sz w:val="15"/>
                <w:szCs w:val="15"/>
              </w:rPr>
            </w:pPr>
            <w:r>
              <w:rPr>
                <w:rFonts w:hint="eastAsia" w:cs="宋体"/>
                <w:color w:val="000000"/>
                <w:kern w:val="0"/>
                <w:sz w:val="15"/>
                <w:szCs w:val="15"/>
              </w:rPr>
              <w:t>餐饮业</w:t>
            </w:r>
          </w:p>
        </w:tc>
        <w:tc>
          <w:tcPr>
            <w:tcW w:w="146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从业人员(X)</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人</w:t>
            </w:r>
          </w:p>
        </w:tc>
        <w:tc>
          <w:tcPr>
            <w:tcW w:w="120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X≥300</w:t>
            </w:r>
          </w:p>
        </w:tc>
        <w:tc>
          <w:tcPr>
            <w:tcW w:w="18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32" w:leftChars="-51" w:hanging="90" w:hangingChars="60"/>
              <w:jc w:val="center"/>
              <w:textAlignment w:val="auto"/>
              <w:rPr>
                <w:rFonts w:cs="宋体"/>
                <w:color w:val="000000"/>
                <w:kern w:val="0"/>
                <w:sz w:val="15"/>
                <w:szCs w:val="15"/>
              </w:rPr>
            </w:pPr>
            <w:r>
              <w:rPr>
                <w:rFonts w:hint="eastAsia" w:cs="宋体"/>
                <w:color w:val="000000"/>
                <w:kern w:val="0"/>
                <w:sz w:val="15"/>
                <w:szCs w:val="15"/>
              </w:rPr>
              <w:t xml:space="preserve">100≤X＜300 </w:t>
            </w:r>
          </w:p>
        </w:tc>
        <w:tc>
          <w:tcPr>
            <w:tcW w:w="1524"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 xml:space="preserve"> 10≤X＜100</w:t>
            </w:r>
          </w:p>
        </w:tc>
        <w:tc>
          <w:tcPr>
            <w:tcW w:w="106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59" w:type="dxa"/>
            <w:vMerge w:val="continue"/>
            <w:vAlign w:val="center"/>
          </w:tcPr>
          <w:p>
            <w:pPr>
              <w:widowControl/>
              <w:rPr>
                <w:rFonts w:cs="宋体"/>
                <w:color w:val="000000"/>
                <w:kern w:val="0"/>
                <w:sz w:val="15"/>
                <w:szCs w:val="15"/>
              </w:rPr>
            </w:pPr>
          </w:p>
        </w:tc>
        <w:tc>
          <w:tcPr>
            <w:tcW w:w="146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营业收入(Y)</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万元</w:t>
            </w:r>
          </w:p>
        </w:tc>
        <w:tc>
          <w:tcPr>
            <w:tcW w:w="120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Y≥10000</w:t>
            </w:r>
          </w:p>
        </w:tc>
        <w:tc>
          <w:tcPr>
            <w:tcW w:w="18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2000≤Y＜10000</w:t>
            </w:r>
          </w:p>
        </w:tc>
        <w:tc>
          <w:tcPr>
            <w:tcW w:w="1524"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 xml:space="preserve"> 100≤Y＜2000</w:t>
            </w:r>
          </w:p>
        </w:tc>
        <w:tc>
          <w:tcPr>
            <w:tcW w:w="106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59" w:type="dxa"/>
            <w:vMerge w:val="restart"/>
            <w:vAlign w:val="center"/>
          </w:tcPr>
          <w:p>
            <w:pPr>
              <w:widowControl/>
              <w:spacing w:line="240" w:lineRule="exact"/>
              <w:rPr>
                <w:rFonts w:cs="宋体"/>
                <w:color w:val="000000"/>
                <w:kern w:val="0"/>
                <w:sz w:val="15"/>
                <w:szCs w:val="15"/>
              </w:rPr>
            </w:pPr>
            <w:r>
              <w:rPr>
                <w:rFonts w:hint="eastAsia" w:cs="宋体"/>
                <w:color w:val="000000"/>
                <w:kern w:val="0"/>
                <w:sz w:val="15"/>
                <w:szCs w:val="15"/>
              </w:rPr>
              <w:t>信息传输业 *</w:t>
            </w:r>
          </w:p>
        </w:tc>
        <w:tc>
          <w:tcPr>
            <w:tcW w:w="146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从业人员(X)</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人</w:t>
            </w:r>
          </w:p>
        </w:tc>
        <w:tc>
          <w:tcPr>
            <w:tcW w:w="120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X≥2000</w:t>
            </w:r>
          </w:p>
        </w:tc>
        <w:tc>
          <w:tcPr>
            <w:tcW w:w="18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100≤X＜2000</w:t>
            </w:r>
          </w:p>
        </w:tc>
        <w:tc>
          <w:tcPr>
            <w:tcW w:w="1524"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 xml:space="preserve"> 10≤X＜100</w:t>
            </w:r>
          </w:p>
        </w:tc>
        <w:tc>
          <w:tcPr>
            <w:tcW w:w="106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59" w:type="dxa"/>
            <w:vMerge w:val="continue"/>
            <w:vAlign w:val="center"/>
          </w:tcPr>
          <w:p>
            <w:pPr>
              <w:widowControl/>
              <w:rPr>
                <w:rFonts w:cs="宋体"/>
                <w:color w:val="000000"/>
                <w:kern w:val="0"/>
                <w:sz w:val="15"/>
                <w:szCs w:val="15"/>
              </w:rPr>
            </w:pPr>
          </w:p>
        </w:tc>
        <w:tc>
          <w:tcPr>
            <w:tcW w:w="146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营业收入(Y)</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万元</w:t>
            </w:r>
          </w:p>
        </w:tc>
        <w:tc>
          <w:tcPr>
            <w:tcW w:w="120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Y≥100000</w:t>
            </w:r>
          </w:p>
        </w:tc>
        <w:tc>
          <w:tcPr>
            <w:tcW w:w="18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 xml:space="preserve"> 1000≤Y＜100000</w:t>
            </w:r>
          </w:p>
        </w:tc>
        <w:tc>
          <w:tcPr>
            <w:tcW w:w="1524"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 xml:space="preserve"> 100≤Y＜1000</w:t>
            </w:r>
          </w:p>
        </w:tc>
        <w:tc>
          <w:tcPr>
            <w:tcW w:w="106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259" w:type="dxa"/>
            <w:vMerge w:val="restart"/>
            <w:vAlign w:val="center"/>
          </w:tcPr>
          <w:p>
            <w:pPr>
              <w:widowControl/>
              <w:spacing w:line="240" w:lineRule="exact"/>
              <w:rPr>
                <w:rFonts w:cs="宋体"/>
                <w:color w:val="000000"/>
                <w:spacing w:val="-12"/>
                <w:kern w:val="0"/>
                <w:sz w:val="15"/>
                <w:szCs w:val="15"/>
              </w:rPr>
            </w:pPr>
            <w:r>
              <w:rPr>
                <w:rFonts w:hint="eastAsia" w:cs="宋体"/>
                <w:color w:val="000000"/>
                <w:spacing w:val="-12"/>
                <w:kern w:val="0"/>
                <w:sz w:val="15"/>
                <w:szCs w:val="15"/>
              </w:rPr>
              <w:t>软件和信息技术服</w:t>
            </w:r>
            <w:r>
              <w:rPr>
                <w:rFonts w:hint="eastAsia" w:cs="宋体"/>
                <w:color w:val="000000"/>
                <w:kern w:val="0"/>
                <w:sz w:val="15"/>
                <w:szCs w:val="15"/>
              </w:rPr>
              <w:t>务业</w:t>
            </w:r>
          </w:p>
        </w:tc>
        <w:tc>
          <w:tcPr>
            <w:tcW w:w="146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从业人员(X)</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人</w:t>
            </w:r>
          </w:p>
        </w:tc>
        <w:tc>
          <w:tcPr>
            <w:tcW w:w="120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X≥300</w:t>
            </w:r>
          </w:p>
        </w:tc>
        <w:tc>
          <w:tcPr>
            <w:tcW w:w="18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32" w:leftChars="-51" w:hanging="90" w:hangingChars="60"/>
              <w:jc w:val="center"/>
              <w:textAlignment w:val="auto"/>
              <w:rPr>
                <w:rFonts w:cs="宋体"/>
                <w:color w:val="000000"/>
                <w:kern w:val="0"/>
                <w:sz w:val="15"/>
                <w:szCs w:val="15"/>
              </w:rPr>
            </w:pPr>
            <w:r>
              <w:rPr>
                <w:rFonts w:hint="eastAsia" w:cs="宋体"/>
                <w:color w:val="000000"/>
                <w:kern w:val="0"/>
                <w:sz w:val="15"/>
                <w:szCs w:val="15"/>
              </w:rPr>
              <w:t xml:space="preserve">100≤X＜300 </w:t>
            </w:r>
          </w:p>
        </w:tc>
        <w:tc>
          <w:tcPr>
            <w:tcW w:w="1524"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 xml:space="preserve"> 10≤X＜100</w:t>
            </w:r>
          </w:p>
        </w:tc>
        <w:tc>
          <w:tcPr>
            <w:tcW w:w="106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259" w:type="dxa"/>
            <w:vMerge w:val="continue"/>
            <w:vAlign w:val="center"/>
          </w:tcPr>
          <w:p>
            <w:pPr>
              <w:widowControl/>
              <w:rPr>
                <w:rFonts w:cs="宋体"/>
                <w:color w:val="000000"/>
                <w:spacing w:val="-12"/>
                <w:kern w:val="0"/>
                <w:sz w:val="15"/>
                <w:szCs w:val="15"/>
              </w:rPr>
            </w:pPr>
          </w:p>
        </w:tc>
        <w:tc>
          <w:tcPr>
            <w:tcW w:w="146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营业收入(Y)</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万元</w:t>
            </w:r>
          </w:p>
        </w:tc>
        <w:tc>
          <w:tcPr>
            <w:tcW w:w="120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Y≥10000</w:t>
            </w:r>
          </w:p>
        </w:tc>
        <w:tc>
          <w:tcPr>
            <w:tcW w:w="18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1000≤Y＜10000</w:t>
            </w:r>
          </w:p>
        </w:tc>
        <w:tc>
          <w:tcPr>
            <w:tcW w:w="1524"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 xml:space="preserve">  50≤Y＜1000</w:t>
            </w:r>
          </w:p>
        </w:tc>
        <w:tc>
          <w:tcPr>
            <w:tcW w:w="106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259" w:type="dxa"/>
            <w:vMerge w:val="restart"/>
            <w:vAlign w:val="center"/>
          </w:tcPr>
          <w:p>
            <w:pPr>
              <w:widowControl/>
              <w:spacing w:line="240" w:lineRule="exact"/>
              <w:rPr>
                <w:rFonts w:cs="宋体"/>
                <w:color w:val="000000"/>
                <w:kern w:val="0"/>
                <w:sz w:val="15"/>
                <w:szCs w:val="15"/>
              </w:rPr>
            </w:pPr>
            <w:r>
              <w:rPr>
                <w:rFonts w:hint="eastAsia" w:cs="宋体"/>
                <w:color w:val="000000"/>
                <w:kern w:val="0"/>
                <w:sz w:val="15"/>
                <w:szCs w:val="15"/>
              </w:rPr>
              <w:t>房地产开发经营</w:t>
            </w:r>
          </w:p>
        </w:tc>
        <w:tc>
          <w:tcPr>
            <w:tcW w:w="146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营业收入(Y)</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万元</w:t>
            </w:r>
          </w:p>
        </w:tc>
        <w:tc>
          <w:tcPr>
            <w:tcW w:w="120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Y≥200000</w:t>
            </w:r>
          </w:p>
        </w:tc>
        <w:tc>
          <w:tcPr>
            <w:tcW w:w="18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 xml:space="preserve"> 1000≤Y＜200000</w:t>
            </w:r>
          </w:p>
        </w:tc>
        <w:tc>
          <w:tcPr>
            <w:tcW w:w="1524"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 xml:space="preserve"> 100≤Y＜1000</w:t>
            </w:r>
          </w:p>
        </w:tc>
        <w:tc>
          <w:tcPr>
            <w:tcW w:w="106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259" w:type="dxa"/>
            <w:vMerge w:val="continue"/>
            <w:vAlign w:val="center"/>
          </w:tcPr>
          <w:p>
            <w:pPr>
              <w:widowControl/>
              <w:rPr>
                <w:rFonts w:cs="宋体"/>
                <w:color w:val="000000"/>
                <w:kern w:val="0"/>
                <w:sz w:val="15"/>
                <w:szCs w:val="15"/>
              </w:rPr>
            </w:pPr>
          </w:p>
        </w:tc>
        <w:tc>
          <w:tcPr>
            <w:tcW w:w="146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资产总额(Z)</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万元</w:t>
            </w:r>
          </w:p>
        </w:tc>
        <w:tc>
          <w:tcPr>
            <w:tcW w:w="120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Z≥10000</w:t>
            </w:r>
          </w:p>
        </w:tc>
        <w:tc>
          <w:tcPr>
            <w:tcW w:w="18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5000≤Z＜10000</w:t>
            </w:r>
          </w:p>
        </w:tc>
        <w:tc>
          <w:tcPr>
            <w:tcW w:w="1524"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 xml:space="preserve">2000≤Z＜5000   </w:t>
            </w:r>
          </w:p>
        </w:tc>
        <w:tc>
          <w:tcPr>
            <w:tcW w:w="106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259" w:type="dxa"/>
            <w:vMerge w:val="restart"/>
            <w:vAlign w:val="center"/>
          </w:tcPr>
          <w:p>
            <w:pPr>
              <w:widowControl/>
              <w:spacing w:line="240" w:lineRule="exact"/>
              <w:rPr>
                <w:rFonts w:cs="宋体"/>
                <w:color w:val="000000"/>
                <w:kern w:val="0"/>
                <w:sz w:val="15"/>
                <w:szCs w:val="15"/>
              </w:rPr>
            </w:pPr>
            <w:r>
              <w:rPr>
                <w:rFonts w:hint="eastAsia" w:cs="宋体"/>
                <w:color w:val="000000"/>
                <w:kern w:val="0"/>
                <w:sz w:val="15"/>
                <w:szCs w:val="15"/>
              </w:rPr>
              <w:t>物业管理</w:t>
            </w:r>
          </w:p>
        </w:tc>
        <w:tc>
          <w:tcPr>
            <w:tcW w:w="146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从业人员(X)</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人</w:t>
            </w:r>
          </w:p>
        </w:tc>
        <w:tc>
          <w:tcPr>
            <w:tcW w:w="120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X≥1000</w:t>
            </w:r>
          </w:p>
        </w:tc>
        <w:tc>
          <w:tcPr>
            <w:tcW w:w="18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300≤X＜1000</w:t>
            </w:r>
          </w:p>
        </w:tc>
        <w:tc>
          <w:tcPr>
            <w:tcW w:w="1524"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 xml:space="preserve">100≤X＜300 </w:t>
            </w:r>
          </w:p>
        </w:tc>
        <w:tc>
          <w:tcPr>
            <w:tcW w:w="106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259" w:type="dxa"/>
            <w:vMerge w:val="continue"/>
            <w:vAlign w:val="center"/>
          </w:tcPr>
          <w:p>
            <w:pPr>
              <w:widowControl/>
              <w:rPr>
                <w:rFonts w:cs="宋体"/>
                <w:color w:val="000000"/>
                <w:kern w:val="0"/>
                <w:sz w:val="15"/>
                <w:szCs w:val="15"/>
              </w:rPr>
            </w:pPr>
          </w:p>
        </w:tc>
        <w:tc>
          <w:tcPr>
            <w:tcW w:w="146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营业收入(Y)</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万元</w:t>
            </w:r>
          </w:p>
        </w:tc>
        <w:tc>
          <w:tcPr>
            <w:tcW w:w="120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Y≥5000</w:t>
            </w:r>
          </w:p>
        </w:tc>
        <w:tc>
          <w:tcPr>
            <w:tcW w:w="18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32" w:leftChars="-51" w:hanging="90" w:hangingChars="60"/>
              <w:jc w:val="center"/>
              <w:textAlignment w:val="auto"/>
              <w:rPr>
                <w:rFonts w:cs="宋体"/>
                <w:color w:val="000000"/>
                <w:kern w:val="0"/>
                <w:sz w:val="15"/>
                <w:szCs w:val="15"/>
              </w:rPr>
            </w:pPr>
            <w:r>
              <w:rPr>
                <w:rFonts w:hint="eastAsia" w:cs="宋体"/>
                <w:color w:val="000000"/>
                <w:kern w:val="0"/>
                <w:sz w:val="15"/>
                <w:szCs w:val="15"/>
              </w:rPr>
              <w:t xml:space="preserve">1000≤Y＜5000 </w:t>
            </w:r>
          </w:p>
        </w:tc>
        <w:tc>
          <w:tcPr>
            <w:tcW w:w="1524"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 xml:space="preserve"> 500≤Y＜1000</w:t>
            </w:r>
          </w:p>
        </w:tc>
        <w:tc>
          <w:tcPr>
            <w:tcW w:w="106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259" w:type="dxa"/>
            <w:vMerge w:val="restart"/>
            <w:vAlign w:val="center"/>
          </w:tcPr>
          <w:p>
            <w:pPr>
              <w:widowControl/>
              <w:spacing w:line="240" w:lineRule="exact"/>
              <w:rPr>
                <w:rFonts w:cs="宋体"/>
                <w:color w:val="000000"/>
                <w:kern w:val="0"/>
                <w:sz w:val="15"/>
                <w:szCs w:val="15"/>
              </w:rPr>
            </w:pPr>
            <w:r>
              <w:rPr>
                <w:rFonts w:hint="eastAsia" w:cs="宋体"/>
                <w:color w:val="000000"/>
                <w:kern w:val="0"/>
                <w:sz w:val="15"/>
                <w:szCs w:val="15"/>
              </w:rPr>
              <w:t>租赁和商务服务业</w:t>
            </w:r>
          </w:p>
        </w:tc>
        <w:tc>
          <w:tcPr>
            <w:tcW w:w="146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从业人员(X)</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人</w:t>
            </w:r>
          </w:p>
        </w:tc>
        <w:tc>
          <w:tcPr>
            <w:tcW w:w="120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X≥300</w:t>
            </w:r>
          </w:p>
        </w:tc>
        <w:tc>
          <w:tcPr>
            <w:tcW w:w="18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32" w:leftChars="-51" w:hanging="90" w:hangingChars="60"/>
              <w:jc w:val="center"/>
              <w:textAlignment w:val="auto"/>
              <w:rPr>
                <w:rFonts w:cs="宋体"/>
                <w:color w:val="000000"/>
                <w:kern w:val="0"/>
                <w:sz w:val="15"/>
                <w:szCs w:val="15"/>
              </w:rPr>
            </w:pPr>
            <w:r>
              <w:rPr>
                <w:rFonts w:hint="eastAsia" w:cs="宋体"/>
                <w:color w:val="000000"/>
                <w:kern w:val="0"/>
                <w:sz w:val="15"/>
                <w:szCs w:val="15"/>
              </w:rPr>
              <w:t xml:space="preserve">100≤X＜300 </w:t>
            </w:r>
          </w:p>
        </w:tc>
        <w:tc>
          <w:tcPr>
            <w:tcW w:w="1524"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 xml:space="preserve"> 10≤X＜100</w:t>
            </w:r>
          </w:p>
        </w:tc>
        <w:tc>
          <w:tcPr>
            <w:tcW w:w="106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259" w:type="dxa"/>
            <w:vMerge w:val="continue"/>
            <w:vAlign w:val="center"/>
          </w:tcPr>
          <w:p>
            <w:pPr>
              <w:widowControl/>
              <w:rPr>
                <w:rFonts w:cs="宋体"/>
                <w:color w:val="000000"/>
                <w:kern w:val="0"/>
                <w:sz w:val="15"/>
                <w:szCs w:val="15"/>
              </w:rPr>
            </w:pPr>
          </w:p>
        </w:tc>
        <w:tc>
          <w:tcPr>
            <w:tcW w:w="146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资产总额(Z)</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万元</w:t>
            </w:r>
          </w:p>
        </w:tc>
        <w:tc>
          <w:tcPr>
            <w:tcW w:w="120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Z≥120000</w:t>
            </w:r>
          </w:p>
        </w:tc>
        <w:tc>
          <w:tcPr>
            <w:tcW w:w="18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 xml:space="preserve"> 8000≤Z＜120000</w:t>
            </w:r>
          </w:p>
        </w:tc>
        <w:tc>
          <w:tcPr>
            <w:tcW w:w="1524"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 xml:space="preserve"> 100≤Z＜8000</w:t>
            </w:r>
          </w:p>
        </w:tc>
        <w:tc>
          <w:tcPr>
            <w:tcW w:w="106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59" w:type="dxa"/>
            <w:vAlign w:val="center"/>
          </w:tcPr>
          <w:p>
            <w:pPr>
              <w:widowControl/>
              <w:spacing w:line="240" w:lineRule="exact"/>
              <w:rPr>
                <w:rFonts w:cs="宋体"/>
                <w:color w:val="000000"/>
                <w:kern w:val="0"/>
                <w:sz w:val="15"/>
                <w:szCs w:val="15"/>
              </w:rPr>
            </w:pPr>
            <w:r>
              <w:rPr>
                <w:rFonts w:hint="eastAsia" w:cs="宋体"/>
                <w:color w:val="000000"/>
                <w:kern w:val="0"/>
                <w:sz w:val="15"/>
                <w:szCs w:val="15"/>
              </w:rPr>
              <w:t>其他未列明行业 *</w:t>
            </w:r>
          </w:p>
        </w:tc>
        <w:tc>
          <w:tcPr>
            <w:tcW w:w="146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从业人员(X)</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人</w:t>
            </w:r>
          </w:p>
        </w:tc>
        <w:tc>
          <w:tcPr>
            <w:tcW w:w="120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X≥300</w:t>
            </w:r>
          </w:p>
        </w:tc>
        <w:tc>
          <w:tcPr>
            <w:tcW w:w="18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32" w:leftChars="-51" w:hanging="90" w:hangingChars="60"/>
              <w:jc w:val="center"/>
              <w:textAlignment w:val="auto"/>
              <w:rPr>
                <w:rFonts w:cs="宋体"/>
                <w:color w:val="000000"/>
                <w:kern w:val="0"/>
                <w:sz w:val="15"/>
                <w:szCs w:val="15"/>
              </w:rPr>
            </w:pPr>
            <w:r>
              <w:rPr>
                <w:rFonts w:hint="eastAsia" w:cs="宋体"/>
                <w:color w:val="000000"/>
                <w:kern w:val="0"/>
                <w:sz w:val="15"/>
                <w:szCs w:val="15"/>
              </w:rPr>
              <w:t xml:space="preserve">100≤X＜300 </w:t>
            </w:r>
          </w:p>
        </w:tc>
        <w:tc>
          <w:tcPr>
            <w:tcW w:w="1524"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 xml:space="preserve"> 10≤X＜100</w:t>
            </w:r>
          </w:p>
        </w:tc>
        <w:tc>
          <w:tcPr>
            <w:tcW w:w="106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cs="宋体"/>
                <w:color w:val="000000"/>
                <w:kern w:val="0"/>
                <w:sz w:val="15"/>
                <w:szCs w:val="15"/>
              </w:rPr>
            </w:pPr>
            <w:r>
              <w:rPr>
                <w:rFonts w:hint="eastAsia" w:cs="宋体"/>
                <w:color w:val="000000"/>
                <w:kern w:val="0"/>
                <w:sz w:val="15"/>
                <w:szCs w:val="15"/>
              </w:rPr>
              <w:t>X＜10</w:t>
            </w:r>
          </w:p>
        </w:tc>
      </w:tr>
    </w:tbl>
    <w:p>
      <w:pPr>
        <w:widowControl/>
        <w:adjustRightInd/>
        <w:snapToGrid/>
        <w:ind w:firstLine="512" w:firstLineChars="200"/>
        <w:rPr>
          <w:rFonts w:cs="宋体"/>
          <w:color w:val="000000"/>
          <w:spacing w:val="8"/>
          <w:kern w:val="0"/>
        </w:rPr>
      </w:pPr>
      <w:r>
        <w:rPr>
          <w:rFonts w:hint="eastAsia" w:cs="宋体"/>
          <w:color w:val="000000"/>
          <w:spacing w:val="8"/>
          <w:kern w:val="0"/>
        </w:rPr>
        <w:t>说明：</w:t>
      </w:r>
    </w:p>
    <w:p>
      <w:pPr>
        <w:adjustRightInd/>
        <w:snapToGrid/>
        <w:ind w:firstLine="512" w:firstLineChars="200"/>
        <w:rPr>
          <w:rFonts w:cs="宋体"/>
          <w:color w:val="000000"/>
          <w:spacing w:val="8"/>
          <w:kern w:val="0"/>
        </w:rPr>
      </w:pPr>
      <w:r>
        <w:rPr>
          <w:rFonts w:hint="eastAsia" w:cs="宋体"/>
          <w:color w:val="000000"/>
          <w:spacing w:val="8"/>
          <w:kern w:val="0"/>
        </w:rPr>
        <w:t>1.大型、中型和小型企业须同时满足所列指标的下限，否则下划一档；微型企业只须满足所列指标中的一项即可。</w:t>
      </w:r>
    </w:p>
    <w:p>
      <w:pPr>
        <w:adjustRightInd/>
        <w:snapToGrid/>
        <w:ind w:firstLine="512" w:firstLineChars="200"/>
        <w:rPr>
          <w:rFonts w:cs="宋体"/>
          <w:color w:val="000000"/>
          <w:spacing w:val="8"/>
          <w:kern w:val="0"/>
        </w:rPr>
      </w:pPr>
      <w:r>
        <w:rPr>
          <w:rFonts w:hint="eastAsia" w:cs="宋体"/>
          <w:color w:val="000000"/>
          <w:spacing w:val="8"/>
          <w:kern w:val="0"/>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ind w:firstLine="512" w:firstLineChars="200"/>
        <w:rPr>
          <w:rFonts w:cs="宋体"/>
          <w:b/>
          <w:bCs/>
        </w:rPr>
      </w:pPr>
      <w:r>
        <w:rPr>
          <w:rFonts w:hint="eastAsia" w:cs="宋体"/>
          <w:color w:val="000000"/>
          <w:spacing w:val="8"/>
          <w:kern w:val="0"/>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r>
        <w:rPr>
          <w:rFonts w:hint="eastAsia" w:cs="宋体"/>
          <w:b/>
          <w:bCs/>
        </w:rPr>
        <w:br w:type="page"/>
      </w:r>
    </w:p>
    <w:p>
      <w:pPr>
        <w:widowControl/>
        <w:adjustRightInd/>
        <w:snapToGrid/>
        <w:rPr>
          <w:b/>
          <w:bCs/>
        </w:rPr>
      </w:pPr>
      <w:r>
        <w:rPr>
          <w:rFonts w:hint="eastAsia" w:cs="宋体"/>
          <w:b/>
          <w:bCs/>
        </w:rPr>
        <w:t>附件三：</w:t>
      </w:r>
      <w:r>
        <w:rPr>
          <w:rFonts w:hint="eastAsia"/>
          <w:b/>
          <w:bCs/>
        </w:rPr>
        <w:t>《四川省财政厅关于推进四川省政府采购供应商信用融资工作的通知》(川财采〔2018〕123号文)</w:t>
      </w:r>
    </w:p>
    <w:p>
      <w:pPr>
        <w:pStyle w:val="23"/>
        <w:widowControl/>
        <w:wordWrap w:val="0"/>
        <w:adjustRightInd/>
        <w:snapToGrid/>
        <w:spacing w:beforeAutospacing="0" w:afterAutospacing="0"/>
        <w:rPr>
          <w:rFonts w:cs="宋体"/>
          <w:b/>
          <w:bCs/>
        </w:rPr>
      </w:pPr>
      <w:r>
        <w:rPr>
          <w:rFonts w:hint="eastAsia"/>
          <w:b/>
          <w:bCs/>
        </w:rPr>
        <w:t>查询链接：</w:t>
      </w:r>
      <w:r>
        <w:rPr>
          <w:rFonts w:hint="eastAsia" w:cs="宋体"/>
          <w:b/>
          <w:bCs/>
        </w:rPr>
        <w:t>http：//www.ccgp-sichuan.gov.cn/view/staticpags/sjzcfg/40288687657ff75501672fd954532414.html</w:t>
      </w:r>
    </w:p>
    <w:p>
      <w:pPr>
        <w:widowControl/>
        <w:adjustRightInd/>
        <w:snapToGrid/>
      </w:pPr>
    </w:p>
    <w:p>
      <w:pPr>
        <w:widowControl/>
        <w:adjustRightInd/>
        <w:snapToGrid/>
        <w:spacing w:line="240" w:lineRule="auto"/>
        <w:jc w:val="center"/>
        <w:rPr>
          <w:rFonts w:cs="宋体"/>
        </w:rPr>
      </w:pPr>
      <w:r>
        <w:rPr>
          <w:rFonts w:hint="eastAsia" w:cs="宋体"/>
        </w:rPr>
        <w:drawing>
          <wp:inline distT="0" distB="0" distL="114300" distR="114300">
            <wp:extent cx="5302250" cy="1859915"/>
            <wp:effectExtent l="0" t="0" r="6350" b="698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41"/>
                    <a:stretch>
                      <a:fillRect/>
                    </a:stretch>
                  </pic:blipFill>
                  <pic:spPr>
                    <a:xfrm>
                      <a:off x="0" y="0"/>
                      <a:ext cx="5302250" cy="1859915"/>
                    </a:xfrm>
                    <a:prstGeom prst="rect">
                      <a:avLst/>
                    </a:prstGeom>
                    <a:noFill/>
                    <a:ln w="9525">
                      <a:noFill/>
                    </a:ln>
                  </pic:spPr>
                </pic:pic>
              </a:graphicData>
            </a:graphic>
          </wp:inline>
        </w:drawing>
      </w:r>
    </w:p>
    <w:p>
      <w:pPr>
        <w:pStyle w:val="23"/>
        <w:widowControl/>
        <w:adjustRightInd/>
        <w:snapToGrid/>
        <w:spacing w:beforeAutospacing="0" w:afterAutospacing="0"/>
        <w:ind w:firstLine="480" w:firstLineChars="200"/>
        <w:rPr>
          <w:rFonts w:cs="宋体"/>
        </w:rPr>
      </w:pPr>
      <w:r>
        <w:rPr>
          <w:rFonts w:hint="eastAsia" w:cs="宋体"/>
        </w:rPr>
        <w:t>各市(州)、扩权县(市)财政局，各省直机关、事业单位、团体组织，各金融机构，各采购代理机构，各政府采购供应商：</w:t>
      </w:r>
    </w:p>
    <w:p>
      <w:pPr>
        <w:pStyle w:val="23"/>
        <w:widowControl/>
        <w:adjustRightInd/>
        <w:snapToGrid/>
        <w:spacing w:beforeAutospacing="0" w:afterAutospacing="0"/>
        <w:ind w:firstLine="480" w:firstLineChars="200"/>
        <w:rPr>
          <w:rFonts w:cs="宋体"/>
        </w:rPr>
      </w:pPr>
      <w:r>
        <w:rPr>
          <w:rFonts w:hint="eastAsia" w:cs="宋体"/>
        </w:rPr>
        <w:t>为贯彻落实党的十九大精神、国务院“放管服”改革决策部署、省委十一届三次全会“大力推进创新驱动发展战略”精神，助力解决政府采购中标、中标人资金不足、融资难、融资贵的困难，促进供应商依法诚信参加政府采购活动，根据《中华人民共和国政府采购法》、《四川省人民政府关于印发进一步规范政府采购监管和执行若干规定的通知》(川府发〔2018〕14号)等有关规定，现就推进四川省政府采购供应商信用融资工作有关事项通知如下。</w:t>
      </w:r>
    </w:p>
    <w:p>
      <w:pPr>
        <w:pStyle w:val="23"/>
        <w:widowControl/>
        <w:adjustRightInd/>
        <w:snapToGrid/>
        <w:spacing w:beforeAutospacing="0" w:afterAutospacing="0"/>
        <w:ind w:firstLine="480" w:firstLineChars="200"/>
        <w:outlineLvl w:val="0"/>
        <w:rPr>
          <w:rFonts w:cs="宋体"/>
        </w:rPr>
      </w:pPr>
      <w:bookmarkStart w:id="1594" w:name="_Toc28923"/>
      <w:bookmarkStart w:id="1595" w:name="_Toc8068"/>
      <w:bookmarkStart w:id="1596" w:name="_Toc17003"/>
      <w:r>
        <w:rPr>
          <w:rFonts w:hint="eastAsia" w:cs="宋体"/>
        </w:rPr>
        <w:t>一、融资概念</w:t>
      </w:r>
      <w:bookmarkEnd w:id="1594"/>
      <w:bookmarkEnd w:id="1595"/>
      <w:bookmarkEnd w:id="1596"/>
    </w:p>
    <w:p>
      <w:pPr>
        <w:pStyle w:val="23"/>
        <w:widowControl/>
        <w:adjustRightInd/>
        <w:snapToGrid/>
        <w:spacing w:beforeAutospacing="0" w:afterAutospacing="0"/>
        <w:ind w:firstLine="480" w:firstLineChars="200"/>
        <w:rPr>
          <w:rFonts w:cs="宋体"/>
        </w:rPr>
      </w:pPr>
      <w:r>
        <w:rPr>
          <w:rFonts w:hint="eastAsia" w:cs="宋体"/>
        </w:rPr>
        <w:t>政府采购供应商信用融资(以下简称“政采贷”)，是指银行以政府采购供应商信用审查和政府采购信誉为基础，依托政府采购合同，按优于一般企业的贷款程序和利率，直接向申请贷款的供应商发放无财产抵押贷款的一种融资模式。</w:t>
      </w:r>
    </w:p>
    <w:p>
      <w:pPr>
        <w:pStyle w:val="23"/>
        <w:widowControl/>
        <w:adjustRightInd/>
        <w:snapToGrid/>
        <w:spacing w:beforeAutospacing="0" w:afterAutospacing="0"/>
        <w:ind w:firstLine="480" w:firstLineChars="200"/>
        <w:outlineLvl w:val="0"/>
        <w:rPr>
          <w:rFonts w:cs="宋体"/>
        </w:rPr>
      </w:pPr>
      <w:bookmarkStart w:id="1597" w:name="_Toc1471"/>
      <w:bookmarkStart w:id="1598" w:name="_Toc28787"/>
      <w:bookmarkStart w:id="1599" w:name="_Toc8624"/>
      <w:r>
        <w:rPr>
          <w:rFonts w:hint="eastAsia" w:cs="宋体"/>
        </w:rPr>
        <w:t>二、基本原则</w:t>
      </w:r>
      <w:bookmarkEnd w:id="1597"/>
      <w:bookmarkEnd w:id="1598"/>
      <w:bookmarkEnd w:id="1599"/>
    </w:p>
    <w:p>
      <w:pPr>
        <w:pStyle w:val="23"/>
        <w:widowControl/>
        <w:adjustRightInd/>
        <w:snapToGrid/>
        <w:spacing w:beforeAutospacing="0" w:afterAutospacing="0"/>
        <w:ind w:firstLine="482" w:firstLineChars="200"/>
        <w:rPr>
          <w:rFonts w:cs="宋体"/>
        </w:rPr>
      </w:pPr>
      <w:r>
        <w:rPr>
          <w:rFonts w:hint="eastAsia" w:cs="宋体"/>
          <w:b/>
        </w:rPr>
        <w:t>(一)财政引导，市场运行</w:t>
      </w:r>
    </w:p>
    <w:p>
      <w:pPr>
        <w:pStyle w:val="23"/>
        <w:widowControl/>
        <w:adjustRightInd/>
        <w:snapToGrid/>
        <w:spacing w:beforeAutospacing="0" w:afterAutospacing="0"/>
        <w:ind w:firstLine="480" w:firstLineChars="200"/>
        <w:rPr>
          <w:rFonts w:cs="宋体"/>
        </w:rPr>
      </w:pPr>
      <w:r>
        <w:rPr>
          <w:rFonts w:hint="eastAsia" w:cs="宋体"/>
        </w:rPr>
        <w:t>财政部门推进“政采贷”，银行和供应商按照自愿原则参与。供应商自愿选择是否申请“政采贷”，银行依据其内部审查制度和决策程序决定是否为供应商提供融资，自担风险。</w:t>
      </w:r>
    </w:p>
    <w:p>
      <w:pPr>
        <w:pStyle w:val="23"/>
        <w:widowControl/>
        <w:adjustRightInd/>
        <w:snapToGrid/>
        <w:spacing w:beforeAutospacing="0" w:afterAutospacing="0"/>
        <w:ind w:firstLine="482" w:firstLineChars="200"/>
        <w:rPr>
          <w:rFonts w:cs="宋体"/>
        </w:rPr>
      </w:pPr>
      <w:r>
        <w:rPr>
          <w:rFonts w:hint="eastAsia" w:cs="宋体"/>
          <w:b/>
        </w:rPr>
        <w:t>(二)建立机制，服务银企</w:t>
      </w:r>
    </w:p>
    <w:p>
      <w:pPr>
        <w:pStyle w:val="23"/>
        <w:widowControl/>
        <w:adjustRightInd/>
        <w:snapToGrid/>
        <w:spacing w:beforeAutospacing="0" w:afterAutospacing="0"/>
        <w:ind w:firstLine="480" w:firstLineChars="200"/>
        <w:rPr>
          <w:rFonts w:cs="宋体"/>
        </w:rPr>
      </w:pPr>
      <w:r>
        <w:rPr>
          <w:rFonts w:hint="eastAsia" w:cs="宋体"/>
        </w:rPr>
        <w:t>财政部门与银行建立“政采贷”工作机制，推动政府采购政策功能和金融资源的有机结合，拓宽银行的融资业务，助力解决政府采购中标、中标人资金不足、融资难、融资贵的困难，促进企业健康发展。</w:t>
      </w:r>
    </w:p>
    <w:p>
      <w:pPr>
        <w:pStyle w:val="23"/>
        <w:widowControl/>
        <w:adjustRightInd/>
        <w:snapToGrid/>
        <w:spacing w:beforeAutospacing="0" w:afterAutospacing="0"/>
        <w:ind w:firstLine="482" w:firstLineChars="200"/>
        <w:rPr>
          <w:rFonts w:cs="宋体"/>
        </w:rPr>
      </w:pPr>
      <w:r>
        <w:rPr>
          <w:rFonts w:hint="eastAsia" w:cs="宋体"/>
          <w:b/>
        </w:rPr>
        <w:t>(三)优质优惠，加强扶持</w:t>
      </w:r>
    </w:p>
    <w:p>
      <w:pPr>
        <w:pStyle w:val="23"/>
        <w:widowControl/>
        <w:adjustRightInd/>
        <w:snapToGrid/>
        <w:spacing w:beforeAutospacing="0" w:afterAutospacing="0"/>
        <w:ind w:firstLine="480" w:firstLineChars="200"/>
        <w:rPr>
          <w:rFonts w:cs="宋体"/>
        </w:rPr>
      </w:pPr>
      <w:r>
        <w:rPr>
          <w:rFonts w:hint="eastAsia" w:cs="宋体"/>
        </w:rPr>
        <w:t>银行按优于同期一般企业的贷款利率，向政府采购供应商提供信用贷款，贷款额度由银行根据政府采购合同的具体情况确定，不要求申请融资的供应商提供财产抵押或第三方担保，不收取融资利息之外的额外费用。</w:t>
      </w:r>
    </w:p>
    <w:p>
      <w:pPr>
        <w:pStyle w:val="23"/>
        <w:widowControl/>
        <w:adjustRightInd/>
        <w:snapToGrid/>
        <w:spacing w:beforeAutospacing="0" w:afterAutospacing="0"/>
        <w:ind w:firstLine="480" w:firstLineChars="200"/>
        <w:outlineLvl w:val="0"/>
        <w:rPr>
          <w:rFonts w:cs="宋体"/>
        </w:rPr>
      </w:pPr>
      <w:bookmarkStart w:id="1600" w:name="_Toc12014"/>
      <w:bookmarkStart w:id="1601" w:name="_Toc30259"/>
      <w:bookmarkStart w:id="1602" w:name="_Toc4773"/>
      <w:r>
        <w:rPr>
          <w:rFonts w:hint="eastAsia" w:cs="宋体"/>
        </w:rPr>
        <w:t>三、基本条件</w:t>
      </w:r>
      <w:bookmarkEnd w:id="1600"/>
      <w:bookmarkEnd w:id="1601"/>
      <w:bookmarkEnd w:id="1602"/>
    </w:p>
    <w:p>
      <w:pPr>
        <w:pStyle w:val="23"/>
        <w:widowControl/>
        <w:adjustRightInd/>
        <w:snapToGrid/>
        <w:spacing w:beforeAutospacing="0" w:afterAutospacing="0"/>
        <w:ind w:firstLine="482" w:firstLineChars="200"/>
        <w:rPr>
          <w:rFonts w:cs="宋体"/>
        </w:rPr>
      </w:pPr>
      <w:r>
        <w:rPr>
          <w:rFonts w:hint="eastAsia" w:cs="宋体"/>
          <w:b/>
        </w:rPr>
        <w:t>(一)银行暨“政采贷”金融产品</w:t>
      </w:r>
    </w:p>
    <w:p>
      <w:pPr>
        <w:pStyle w:val="23"/>
        <w:widowControl/>
        <w:adjustRightInd/>
        <w:snapToGrid/>
        <w:spacing w:beforeAutospacing="0" w:afterAutospacing="0"/>
        <w:ind w:firstLine="482" w:firstLineChars="200"/>
        <w:rPr>
          <w:rFonts w:cs="宋体"/>
        </w:rPr>
      </w:pPr>
      <w:r>
        <w:rPr>
          <w:rFonts w:hint="eastAsia" w:cs="宋体"/>
          <w:b/>
        </w:rPr>
        <w:t>1、征集。</w:t>
      </w:r>
      <w:r>
        <w:rPr>
          <w:rFonts w:hint="eastAsia" w:cs="宋体"/>
        </w:rPr>
        <w:t>在四川省行政区域内，有意向开展“政采贷”工作的银行，可以于2018年12月21日前，直接向四川省财政厅(政府采购监督管理处)提交书面申请。四川省财政厅可以根据情况每年征集一次有意向开展“政采贷”工作的银行。</w:t>
      </w:r>
    </w:p>
    <w:p>
      <w:pPr>
        <w:pStyle w:val="23"/>
        <w:widowControl/>
        <w:adjustRightInd/>
        <w:snapToGrid/>
        <w:spacing w:beforeAutospacing="0" w:afterAutospacing="0"/>
        <w:ind w:firstLine="480" w:firstLineChars="200"/>
        <w:rPr>
          <w:rFonts w:cs="宋体"/>
        </w:rPr>
      </w:pPr>
      <w:r>
        <w:rPr>
          <w:rFonts w:hint="eastAsia" w:cs="宋体"/>
        </w:rPr>
        <w:t>申请材料应当包括银行基本情况、“政采贷”产品名称、申请贷款条件、申请贷款方式、申请贷款程序、贷款审查流程、贷款额度、发放贷款时间、收款方式及其他优质服务和优惠承诺等。</w:t>
      </w:r>
    </w:p>
    <w:p>
      <w:pPr>
        <w:pStyle w:val="23"/>
        <w:widowControl/>
        <w:adjustRightInd/>
        <w:snapToGrid/>
        <w:spacing w:beforeAutospacing="0" w:afterAutospacing="0"/>
        <w:ind w:firstLine="480" w:firstLineChars="200"/>
        <w:rPr>
          <w:rFonts w:cs="宋体"/>
        </w:rPr>
      </w:pPr>
      <w:r>
        <w:rPr>
          <w:rFonts w:hint="eastAsia" w:cs="宋体"/>
        </w:rPr>
        <w:t>银行提供的“政采贷”产品应当满足“无抵押担保、程序简便、利率优惠、放款及时”的基本条件以及本通知其他相关规定。</w:t>
      </w:r>
    </w:p>
    <w:p>
      <w:pPr>
        <w:pStyle w:val="23"/>
        <w:widowControl/>
        <w:adjustRightInd/>
        <w:snapToGrid/>
        <w:spacing w:beforeAutospacing="0" w:afterAutospacing="0"/>
        <w:ind w:firstLine="480" w:firstLineChars="200"/>
        <w:rPr>
          <w:rFonts w:cs="宋体"/>
        </w:rPr>
      </w:pPr>
      <w:r>
        <w:rPr>
          <w:rFonts w:hint="eastAsia" w:cs="宋体"/>
        </w:rPr>
        <w:t>银行申请材料中应当载明其自愿提供“政采贷”产品，自担风险，不得要求或者变相要求财政部门和采购人为其提供风险担保、承诺。</w:t>
      </w:r>
    </w:p>
    <w:p>
      <w:pPr>
        <w:pStyle w:val="23"/>
        <w:widowControl/>
        <w:adjustRightInd/>
        <w:snapToGrid/>
        <w:spacing w:beforeAutospacing="0" w:afterAutospacing="0"/>
        <w:ind w:firstLine="482" w:firstLineChars="200"/>
        <w:rPr>
          <w:rFonts w:cs="宋体"/>
        </w:rPr>
      </w:pPr>
      <w:r>
        <w:rPr>
          <w:rFonts w:hint="eastAsia" w:cs="宋体"/>
          <w:b/>
        </w:rPr>
        <w:t>2、公示。</w:t>
      </w:r>
      <w:r>
        <w:rPr>
          <w:rFonts w:hint="eastAsia" w:cs="宋体"/>
        </w:rPr>
        <w:t>四川省财政厅收到银行提交的书面申请后，对满足本通知要求的银行及其“政采贷”产品具体信息，及时在“四川政府采购网”向社会公示。银行申请材料中提供的“政采贷”产品不满足本通知要求的，四川省财政厅将退回申请，并告知理由。</w:t>
      </w:r>
    </w:p>
    <w:p>
      <w:pPr>
        <w:pStyle w:val="23"/>
        <w:widowControl/>
        <w:adjustRightInd/>
        <w:snapToGrid/>
        <w:spacing w:beforeAutospacing="0" w:afterAutospacing="0"/>
        <w:ind w:firstLine="482" w:firstLineChars="200"/>
        <w:rPr>
          <w:rFonts w:cs="宋体"/>
        </w:rPr>
      </w:pPr>
      <w:r>
        <w:rPr>
          <w:rFonts w:hint="eastAsia" w:cs="宋体"/>
          <w:b/>
        </w:rPr>
        <w:t>(二)供应商</w:t>
      </w:r>
    </w:p>
    <w:p>
      <w:pPr>
        <w:pStyle w:val="23"/>
        <w:widowControl/>
        <w:adjustRightInd/>
        <w:snapToGrid/>
        <w:spacing w:beforeAutospacing="0" w:afterAutospacing="0"/>
        <w:ind w:firstLine="480" w:firstLineChars="200"/>
        <w:rPr>
          <w:rFonts w:cs="宋体"/>
        </w:rPr>
      </w:pPr>
      <w:r>
        <w:rPr>
          <w:rFonts w:hint="eastAsia" w:cs="宋体"/>
        </w:rPr>
        <w:t>政府采购供应商向银行申请“政采贷”，应当满足下列基本条件：</w:t>
      </w:r>
    </w:p>
    <w:p>
      <w:pPr>
        <w:pStyle w:val="23"/>
        <w:widowControl/>
        <w:adjustRightInd/>
        <w:snapToGrid/>
        <w:spacing w:beforeAutospacing="0" w:afterAutospacing="0"/>
        <w:ind w:firstLine="482" w:firstLineChars="200"/>
        <w:rPr>
          <w:rFonts w:cs="宋体"/>
        </w:rPr>
      </w:pPr>
      <w:r>
        <w:rPr>
          <w:rFonts w:hint="eastAsia" w:cs="宋体"/>
          <w:b/>
        </w:rPr>
        <w:t>1、</w:t>
      </w:r>
      <w:r>
        <w:rPr>
          <w:rFonts w:hint="eastAsia" w:cs="宋体"/>
        </w:rPr>
        <w:t>具有依法承担民事责任的能力；</w:t>
      </w:r>
    </w:p>
    <w:p>
      <w:pPr>
        <w:pStyle w:val="23"/>
        <w:widowControl/>
        <w:adjustRightInd/>
        <w:snapToGrid/>
        <w:spacing w:beforeAutospacing="0" w:afterAutospacing="0"/>
        <w:ind w:firstLine="482" w:firstLineChars="200"/>
        <w:rPr>
          <w:rFonts w:cs="宋体"/>
        </w:rPr>
      </w:pPr>
      <w:r>
        <w:rPr>
          <w:rFonts w:hint="eastAsia" w:cs="宋体"/>
          <w:b/>
        </w:rPr>
        <w:t>2、</w:t>
      </w:r>
      <w:r>
        <w:rPr>
          <w:rFonts w:hint="eastAsia" w:cs="宋体"/>
        </w:rPr>
        <w:t>具有依法履行政府采购合同的能力；</w:t>
      </w:r>
    </w:p>
    <w:p>
      <w:pPr>
        <w:pStyle w:val="23"/>
        <w:widowControl/>
        <w:adjustRightInd/>
        <w:snapToGrid/>
        <w:spacing w:beforeAutospacing="0" w:afterAutospacing="0"/>
        <w:ind w:firstLine="482" w:firstLineChars="200"/>
        <w:rPr>
          <w:rFonts w:cs="宋体"/>
        </w:rPr>
      </w:pPr>
      <w:r>
        <w:rPr>
          <w:rFonts w:hint="eastAsia" w:cs="宋体"/>
          <w:b/>
        </w:rPr>
        <w:t>3、</w:t>
      </w:r>
      <w:r>
        <w:rPr>
          <w:rFonts w:hint="eastAsia" w:cs="宋体"/>
        </w:rPr>
        <w:t>参加的政府采购活动未被财政部门依法暂停、责令重新开展或者认定中标、成交无效；</w:t>
      </w:r>
    </w:p>
    <w:p>
      <w:pPr>
        <w:pStyle w:val="23"/>
        <w:widowControl/>
        <w:adjustRightInd/>
        <w:snapToGrid/>
        <w:spacing w:beforeAutospacing="0" w:afterAutospacing="0"/>
        <w:ind w:firstLine="482" w:firstLineChars="200"/>
        <w:rPr>
          <w:rFonts w:cs="宋体"/>
        </w:rPr>
      </w:pPr>
      <w:r>
        <w:rPr>
          <w:rFonts w:hint="eastAsia" w:cs="宋体"/>
          <w:b/>
        </w:rPr>
        <w:t>4、</w:t>
      </w:r>
      <w:r>
        <w:rPr>
          <w:rFonts w:hint="eastAsia" w:cs="宋体"/>
        </w:rPr>
        <w:t>无《政府采购法》第二十二条第一款第(五)项所称的重大违法记录；</w:t>
      </w:r>
    </w:p>
    <w:p>
      <w:pPr>
        <w:pStyle w:val="23"/>
        <w:widowControl/>
        <w:adjustRightInd/>
        <w:snapToGrid/>
        <w:spacing w:beforeAutospacing="0" w:afterAutospacing="0"/>
        <w:ind w:firstLine="482" w:firstLineChars="200"/>
        <w:rPr>
          <w:rFonts w:cs="宋体"/>
        </w:rPr>
      </w:pPr>
      <w:r>
        <w:rPr>
          <w:rFonts w:hint="eastAsia" w:cs="宋体"/>
          <w:b/>
        </w:rPr>
        <w:t>5、</w:t>
      </w:r>
      <w:r>
        <w:rPr>
          <w:rFonts w:hint="eastAsia" w:cs="宋体"/>
        </w:rPr>
        <w:t>未被法院、市场监管、税务、银行等部门单位纳入失信名单且在有效期内；</w:t>
      </w:r>
    </w:p>
    <w:p>
      <w:pPr>
        <w:pStyle w:val="23"/>
        <w:widowControl/>
        <w:adjustRightInd/>
        <w:snapToGrid/>
        <w:spacing w:beforeAutospacing="0" w:afterAutospacing="0"/>
        <w:ind w:firstLine="482" w:firstLineChars="200"/>
        <w:rPr>
          <w:rFonts w:cs="宋体"/>
        </w:rPr>
      </w:pPr>
      <w:r>
        <w:rPr>
          <w:rFonts w:hint="eastAsia" w:cs="宋体"/>
          <w:b/>
        </w:rPr>
        <w:t>6、</w:t>
      </w:r>
      <w:r>
        <w:rPr>
          <w:rFonts w:hint="eastAsia" w:cs="宋体"/>
        </w:rPr>
        <w:t>在一定期限内的(银行可以具体确定)政府采购合同履约过程中或者其他经营活动履约过程中，无不依法履约被有关行政部门行政处罚的或者产生法律纠纷被法院、仲裁机构判决、裁决败诉的；</w:t>
      </w:r>
    </w:p>
    <w:p>
      <w:pPr>
        <w:pStyle w:val="23"/>
        <w:widowControl/>
        <w:adjustRightInd/>
        <w:snapToGrid/>
        <w:spacing w:beforeAutospacing="0" w:afterAutospacing="0"/>
        <w:ind w:firstLine="482" w:firstLineChars="200"/>
        <w:rPr>
          <w:rFonts w:cs="宋体"/>
        </w:rPr>
      </w:pPr>
      <w:r>
        <w:rPr>
          <w:rFonts w:hint="eastAsia" w:cs="宋体"/>
          <w:b/>
        </w:rPr>
        <w:t>7、</w:t>
      </w:r>
      <w:r>
        <w:rPr>
          <w:rFonts w:hint="eastAsia" w:cs="宋体"/>
        </w:rPr>
        <w:t>其他银行要求的不属于提供财产抵押或第三方担保的条件。</w:t>
      </w:r>
    </w:p>
    <w:p>
      <w:pPr>
        <w:pStyle w:val="23"/>
        <w:widowControl/>
        <w:adjustRightInd/>
        <w:snapToGrid/>
        <w:spacing w:beforeAutospacing="0" w:afterAutospacing="0"/>
        <w:ind w:firstLine="480" w:firstLineChars="200"/>
        <w:outlineLvl w:val="0"/>
        <w:rPr>
          <w:rFonts w:cs="宋体"/>
        </w:rPr>
      </w:pPr>
      <w:bookmarkStart w:id="1603" w:name="_Toc18426"/>
      <w:bookmarkStart w:id="1604" w:name="_Toc24862"/>
      <w:bookmarkStart w:id="1605" w:name="_Toc1661"/>
      <w:r>
        <w:rPr>
          <w:rFonts w:hint="eastAsia" w:cs="宋体"/>
        </w:rPr>
        <w:t>四、构建平台</w:t>
      </w:r>
      <w:bookmarkEnd w:id="1603"/>
      <w:bookmarkEnd w:id="1604"/>
      <w:bookmarkEnd w:id="1605"/>
    </w:p>
    <w:p>
      <w:pPr>
        <w:pStyle w:val="23"/>
        <w:widowControl/>
        <w:adjustRightInd/>
        <w:snapToGrid/>
        <w:spacing w:beforeAutospacing="0" w:afterAutospacing="0"/>
        <w:ind w:firstLine="480" w:firstLineChars="200"/>
        <w:rPr>
          <w:rFonts w:cs="宋体"/>
        </w:rPr>
      </w:pPr>
      <w:r>
        <w:rPr>
          <w:rFonts w:hint="eastAsia" w:cs="宋体"/>
        </w:rPr>
        <w:t>四川省财政厅将在“四川政府采购网”统一构建四川省“政采贷”信息化服务平台，推进四川省“政采贷”工作信息化建设。</w:t>
      </w:r>
    </w:p>
    <w:p>
      <w:pPr>
        <w:pStyle w:val="23"/>
        <w:widowControl/>
        <w:adjustRightInd/>
        <w:snapToGrid/>
        <w:spacing w:beforeAutospacing="0" w:afterAutospacing="0"/>
        <w:ind w:firstLine="480" w:firstLineChars="200"/>
        <w:outlineLvl w:val="0"/>
        <w:rPr>
          <w:rFonts w:cs="宋体"/>
        </w:rPr>
      </w:pPr>
      <w:bookmarkStart w:id="1606" w:name="_Toc9986"/>
      <w:bookmarkStart w:id="1607" w:name="_Toc26828"/>
      <w:bookmarkStart w:id="1608" w:name="_Toc32197"/>
      <w:r>
        <w:rPr>
          <w:rFonts w:hint="eastAsia" w:cs="宋体"/>
        </w:rPr>
        <w:t>五、财金互动</w:t>
      </w:r>
      <w:bookmarkEnd w:id="1606"/>
      <w:bookmarkEnd w:id="1607"/>
      <w:bookmarkEnd w:id="1608"/>
    </w:p>
    <w:p>
      <w:pPr>
        <w:pStyle w:val="23"/>
        <w:widowControl/>
        <w:adjustRightInd/>
        <w:snapToGrid/>
        <w:spacing w:beforeAutospacing="0" w:afterAutospacing="0"/>
        <w:ind w:firstLine="480" w:firstLineChars="200"/>
        <w:rPr>
          <w:rFonts w:cs="宋体"/>
        </w:rPr>
      </w:pPr>
      <w:r>
        <w:rPr>
          <w:rFonts w:hint="eastAsia" w:cs="宋体"/>
        </w:rPr>
        <w:t>各级财政部门应当按照《四川省政府采购促进中小企业发展的若干规定》(川财采[2016]35号)等有关规定，对金融机构向小微企业提供“政采贷”贷款产生的损失，纳入财政金融互动政策范围给予风险补贴。</w:t>
      </w:r>
    </w:p>
    <w:p>
      <w:pPr>
        <w:pStyle w:val="23"/>
        <w:widowControl/>
        <w:adjustRightInd/>
        <w:snapToGrid/>
        <w:spacing w:beforeAutospacing="0" w:afterAutospacing="0"/>
        <w:ind w:firstLine="480" w:firstLineChars="200"/>
        <w:outlineLvl w:val="0"/>
        <w:rPr>
          <w:rFonts w:cs="宋体"/>
        </w:rPr>
      </w:pPr>
      <w:bookmarkStart w:id="1609" w:name="_Toc13667"/>
      <w:bookmarkStart w:id="1610" w:name="_Toc416"/>
      <w:bookmarkStart w:id="1611" w:name="_Toc8379"/>
      <w:r>
        <w:rPr>
          <w:rFonts w:hint="eastAsia" w:cs="宋体"/>
        </w:rPr>
        <w:t>六、基本流程</w:t>
      </w:r>
      <w:bookmarkEnd w:id="1609"/>
      <w:bookmarkEnd w:id="1610"/>
      <w:bookmarkEnd w:id="1611"/>
    </w:p>
    <w:p>
      <w:pPr>
        <w:pStyle w:val="23"/>
        <w:widowControl/>
        <w:adjustRightInd/>
        <w:snapToGrid/>
        <w:spacing w:beforeAutospacing="0" w:afterAutospacing="0"/>
        <w:ind w:firstLine="482" w:firstLineChars="200"/>
        <w:rPr>
          <w:rFonts w:cs="宋体"/>
        </w:rPr>
      </w:pPr>
      <w:r>
        <w:rPr>
          <w:rFonts w:hint="eastAsia" w:cs="宋体"/>
          <w:b/>
        </w:rPr>
        <w:t>(一)意向申请</w:t>
      </w:r>
    </w:p>
    <w:p>
      <w:pPr>
        <w:pStyle w:val="23"/>
        <w:widowControl/>
        <w:adjustRightInd/>
        <w:snapToGrid/>
        <w:spacing w:beforeAutospacing="0" w:afterAutospacing="0"/>
        <w:ind w:firstLine="480" w:firstLineChars="200"/>
        <w:rPr>
          <w:rFonts w:cs="宋体"/>
        </w:rPr>
      </w:pPr>
      <w:r>
        <w:rPr>
          <w:rFonts w:hint="eastAsia" w:cs="宋体"/>
        </w:rPr>
        <w:t>有融资需求的供应商可根据“四川政府采购网”公示的银行及其“政采贷”产品，自行选择符合自身情况的“政采贷”银行及其产品，凭中标(成交)通知书向银行提出贷款意向申请。银行应及时按照有关规定完成对供应商的信用审查以及开设账户等相关工作。</w:t>
      </w:r>
    </w:p>
    <w:p>
      <w:pPr>
        <w:pStyle w:val="23"/>
        <w:widowControl/>
        <w:adjustRightInd/>
        <w:snapToGrid/>
        <w:spacing w:beforeAutospacing="0" w:afterAutospacing="0"/>
        <w:ind w:firstLine="482" w:firstLineChars="200"/>
        <w:rPr>
          <w:rFonts w:cs="宋体"/>
          <w:b/>
        </w:rPr>
      </w:pPr>
      <w:r>
        <w:rPr>
          <w:rFonts w:hint="eastAsia" w:cs="宋体"/>
          <w:b/>
        </w:rPr>
        <w:t>(二)正式申请</w:t>
      </w:r>
    </w:p>
    <w:p>
      <w:pPr>
        <w:pStyle w:val="23"/>
        <w:widowControl/>
        <w:adjustRightInd/>
        <w:snapToGrid/>
        <w:spacing w:beforeAutospacing="0" w:afterAutospacing="0"/>
        <w:ind w:firstLine="480" w:firstLineChars="200"/>
        <w:rPr>
          <w:rFonts w:cs="宋体"/>
        </w:rPr>
      </w:pPr>
      <w:r>
        <w:rPr>
          <w:rFonts w:hint="eastAsia" w:cs="宋体"/>
        </w:rPr>
        <w:t>供应商与采购人在法定时间依法签订政府采购合同(政府采购合同签订后，应当依法在7个工作日内向同级财政部门备案，2个工作日内在“四川政府采购网”公告)后，可凭政府采购合同向银行提出“政采贷”正式申请。</w:t>
      </w:r>
    </w:p>
    <w:p>
      <w:pPr>
        <w:pStyle w:val="23"/>
        <w:widowControl/>
        <w:adjustRightInd/>
        <w:snapToGrid/>
        <w:spacing w:beforeAutospacing="0" w:afterAutospacing="0"/>
        <w:ind w:firstLine="480" w:firstLineChars="200"/>
        <w:rPr>
          <w:rFonts w:cs="宋体"/>
        </w:rPr>
      </w:pPr>
      <w:r>
        <w:rPr>
          <w:rFonts w:hint="eastAsia" w:cs="宋体"/>
        </w:rPr>
        <w:t>对拟用于“政采贷”的政府采购合同，应在合同中注明贷款银行名称及账号，作为供应商本次采购的唯一收款账号。因发生特殊情况需要在还款前变更收款账号的，供应商应当事前书面告知采购人和放款银行，并获得采购人和放款银行同意。采购人和放款银行同意后，采购人与供应商应当就该条款重新签订政府采购合同或者签订补充协议作为原政府采购合同的一部分，并在签订后依法在7个工作日内向同级财政部门备案，2个工作日内在“四川政府采购网”公告。</w:t>
      </w:r>
    </w:p>
    <w:p>
      <w:pPr>
        <w:pStyle w:val="23"/>
        <w:widowControl/>
        <w:adjustRightInd/>
        <w:snapToGrid/>
        <w:spacing w:beforeAutospacing="0" w:afterAutospacing="0"/>
        <w:ind w:firstLine="482" w:firstLineChars="200"/>
        <w:rPr>
          <w:rFonts w:cs="宋体"/>
        </w:rPr>
      </w:pPr>
      <w:r>
        <w:rPr>
          <w:rFonts w:hint="eastAsia" w:cs="宋体"/>
          <w:b/>
        </w:rPr>
        <w:t>(三)贷款审查</w:t>
      </w:r>
    </w:p>
    <w:p>
      <w:pPr>
        <w:pStyle w:val="23"/>
        <w:widowControl/>
        <w:adjustRightInd/>
        <w:snapToGrid/>
        <w:spacing w:beforeAutospacing="0" w:afterAutospacing="0"/>
        <w:ind w:firstLine="480" w:firstLineChars="200"/>
        <w:rPr>
          <w:rFonts w:cs="宋体"/>
        </w:rPr>
      </w:pPr>
      <w:r>
        <w:rPr>
          <w:rFonts w:hint="eastAsia" w:cs="宋体"/>
        </w:rPr>
        <w:t>银行按规定对申请“政采贷”的供应商及其提供的政府采购合同等信息进行审查。审查过程中，银行认为有必要的，可以到采购人、采购代理机构或者财政部门对该政府采购合同的书面信息与备案信息进行核实，有关单位应当配合。银行审查通过后，应当按照其在“四川政府采购网”公示的“政采贷”产品服务承诺事项及时放款。</w:t>
      </w:r>
    </w:p>
    <w:p>
      <w:pPr>
        <w:pStyle w:val="23"/>
        <w:widowControl/>
        <w:adjustRightInd/>
        <w:snapToGrid/>
        <w:spacing w:beforeAutospacing="0" w:afterAutospacing="0"/>
        <w:ind w:firstLine="482" w:firstLineChars="200"/>
        <w:rPr>
          <w:rFonts w:cs="宋体"/>
        </w:rPr>
      </w:pPr>
      <w:r>
        <w:rPr>
          <w:rFonts w:hint="eastAsia" w:cs="宋体"/>
          <w:b/>
        </w:rPr>
        <w:t>(四)信息报送</w:t>
      </w:r>
    </w:p>
    <w:p>
      <w:pPr>
        <w:pStyle w:val="23"/>
        <w:widowControl/>
        <w:adjustRightInd/>
        <w:snapToGrid/>
        <w:spacing w:beforeAutospacing="0" w:afterAutospacing="0"/>
        <w:ind w:firstLine="480" w:firstLineChars="200"/>
        <w:rPr>
          <w:rFonts w:cs="宋体"/>
        </w:rPr>
      </w:pPr>
      <w:r>
        <w:rPr>
          <w:rFonts w:hint="eastAsia" w:cs="宋体"/>
        </w:rPr>
        <w:t>银行完成放款后，应当通过四川省“政采贷”信息化服务平台，填写《四川省“政采贷”信息统计表》(详见附件)，每季度终了5个工作日内，向四川省财政厅(政府采购监督管理处)报送，以便相关部门及时掌握和分析“政采贷”信息，不断推进“政采贷”工作。</w:t>
      </w:r>
    </w:p>
    <w:p>
      <w:pPr>
        <w:pStyle w:val="23"/>
        <w:widowControl/>
        <w:adjustRightInd/>
        <w:snapToGrid/>
        <w:spacing w:beforeAutospacing="0" w:afterAutospacing="0"/>
        <w:ind w:firstLine="482" w:firstLineChars="200"/>
        <w:rPr>
          <w:rFonts w:cs="宋体"/>
        </w:rPr>
      </w:pPr>
      <w:r>
        <w:rPr>
          <w:rFonts w:hint="eastAsia" w:cs="宋体"/>
          <w:b/>
        </w:rPr>
        <w:t>(五)资金支付</w:t>
      </w:r>
    </w:p>
    <w:p>
      <w:pPr>
        <w:pStyle w:val="23"/>
        <w:widowControl/>
        <w:adjustRightInd/>
        <w:snapToGrid/>
        <w:spacing w:beforeAutospacing="0" w:afterAutospacing="0"/>
        <w:ind w:firstLine="480" w:firstLineChars="200"/>
        <w:rPr>
          <w:rFonts w:cs="宋体"/>
        </w:rPr>
      </w:pPr>
      <w:r>
        <w:rPr>
          <w:rFonts w:hint="eastAsia" w:cs="宋体"/>
        </w:rPr>
        <w:t>政府采购资金支付时，采购人必须将采购资金支付到政府采购合同中注明的贷款银行名称及账号，以保障贷款资金的安全回收。采购人不得将采购资金支付在政府采购合同约定以外的收款账号。</w:t>
      </w:r>
    </w:p>
    <w:p>
      <w:pPr>
        <w:pStyle w:val="23"/>
        <w:widowControl/>
        <w:adjustRightInd/>
        <w:snapToGrid/>
        <w:spacing w:beforeAutospacing="0" w:afterAutospacing="0"/>
        <w:ind w:firstLine="480" w:firstLineChars="200"/>
        <w:rPr>
          <w:rFonts w:cs="宋体"/>
        </w:rPr>
      </w:pPr>
      <w:r>
        <w:rPr>
          <w:rFonts w:hint="eastAsia" w:cs="宋体"/>
        </w:rPr>
        <w:t>政府采购资金支付过程中，银行需要查询采购资金支付进程有关信息的，财政部门和采购人应当支持。</w:t>
      </w:r>
    </w:p>
    <w:p>
      <w:pPr>
        <w:pStyle w:val="23"/>
        <w:widowControl/>
        <w:adjustRightInd/>
        <w:snapToGrid/>
        <w:spacing w:beforeAutospacing="0" w:afterAutospacing="0"/>
        <w:ind w:firstLine="480" w:firstLineChars="200"/>
        <w:outlineLvl w:val="0"/>
        <w:rPr>
          <w:rFonts w:cs="宋体"/>
        </w:rPr>
      </w:pPr>
      <w:bookmarkStart w:id="1612" w:name="_Toc10936"/>
      <w:bookmarkStart w:id="1613" w:name="_Toc29540"/>
      <w:bookmarkStart w:id="1614" w:name="_Toc19450"/>
      <w:r>
        <w:rPr>
          <w:rFonts w:hint="eastAsia" w:cs="宋体"/>
        </w:rPr>
        <w:t>七、职责要求</w:t>
      </w:r>
      <w:bookmarkEnd w:id="1612"/>
      <w:bookmarkEnd w:id="1613"/>
      <w:bookmarkEnd w:id="1614"/>
    </w:p>
    <w:p>
      <w:pPr>
        <w:pStyle w:val="23"/>
        <w:widowControl/>
        <w:adjustRightInd/>
        <w:snapToGrid/>
        <w:spacing w:beforeAutospacing="0" w:afterAutospacing="0"/>
        <w:ind w:firstLine="482" w:firstLineChars="200"/>
        <w:rPr>
          <w:rFonts w:cs="宋体"/>
        </w:rPr>
      </w:pPr>
      <w:r>
        <w:rPr>
          <w:rFonts w:hint="eastAsia" w:cs="宋体"/>
          <w:b/>
        </w:rPr>
        <w:t>(一)</w:t>
      </w:r>
      <w:r>
        <w:rPr>
          <w:rFonts w:hint="eastAsia" w:cs="宋体"/>
        </w:rPr>
        <w:t>各级财政部门应当高度重视“政采贷”工作，提高认识，充分发挥自身职能作用。不断完善政策措施，加强对“政采贷”采购项目的跟踪监督，对于银行向采购人、采购代理机构核实或者获取合法范围内的相关政府采购信息有困难的，可以积极进行协调。财政部门不得为“政采贷”提供任何形式的担保和承诺。</w:t>
      </w:r>
    </w:p>
    <w:p>
      <w:pPr>
        <w:pStyle w:val="23"/>
        <w:widowControl/>
        <w:adjustRightInd/>
        <w:snapToGrid/>
        <w:spacing w:beforeAutospacing="0" w:afterAutospacing="0"/>
        <w:ind w:firstLine="482" w:firstLineChars="200"/>
        <w:rPr>
          <w:rFonts w:cs="宋体"/>
        </w:rPr>
      </w:pPr>
      <w:r>
        <w:rPr>
          <w:rFonts w:hint="eastAsia" w:cs="宋体"/>
          <w:b/>
        </w:rPr>
        <w:t>(二)</w:t>
      </w:r>
      <w:r>
        <w:rPr>
          <w:rFonts w:hint="eastAsia" w:cs="宋体"/>
        </w:rPr>
        <w:t>银行应当切实转变注重抵押担保的传统信贷理念，积极服务经济社会发展的大局，不断完善“政采贷”产品，优化贷款审查流程，简化贷款审查手续，提供更多优质服务，同时做好风险防控工作。银行对于供应商是否如期还款情况及未如期还款的主要原因等信息，应当及时向财政部门反馈。</w:t>
      </w:r>
    </w:p>
    <w:p>
      <w:pPr>
        <w:pStyle w:val="23"/>
        <w:widowControl/>
        <w:adjustRightInd/>
        <w:snapToGrid/>
        <w:spacing w:beforeAutospacing="0" w:afterAutospacing="0"/>
        <w:ind w:firstLine="482" w:firstLineChars="200"/>
        <w:rPr>
          <w:rFonts w:cs="宋体"/>
        </w:rPr>
      </w:pPr>
      <w:r>
        <w:rPr>
          <w:rFonts w:hint="eastAsia" w:cs="宋体"/>
          <w:b/>
        </w:rPr>
        <w:t>(三)</w:t>
      </w:r>
      <w:r>
        <w:rPr>
          <w:rFonts w:hint="eastAsia" w:cs="宋体"/>
        </w:rPr>
        <w:t>采购人应当积极支持“政采贷”工作，对于银行、供应商提出的合理需求，应当支持。对于已融资采购项目，供应商履约完成后，要及时开展履约验收工作，及时支付采购资金，不得无故拖延和拒付采购资金。</w:t>
      </w:r>
    </w:p>
    <w:p>
      <w:pPr>
        <w:pStyle w:val="23"/>
        <w:widowControl/>
        <w:adjustRightInd/>
        <w:snapToGrid/>
        <w:spacing w:beforeAutospacing="0" w:afterAutospacing="0"/>
        <w:ind w:firstLine="482" w:firstLineChars="200"/>
        <w:rPr>
          <w:rFonts w:cs="宋体"/>
        </w:rPr>
      </w:pPr>
      <w:r>
        <w:rPr>
          <w:rFonts w:hint="eastAsia" w:cs="宋体"/>
          <w:b/>
        </w:rPr>
        <w:t>(四)</w:t>
      </w:r>
      <w:r>
        <w:rPr>
          <w:rFonts w:hint="eastAsia" w:cs="宋体"/>
        </w:rPr>
        <w:t>采购代理机构在组织实施政府采购活动中，应当采取有效方式，向供应商宣传“政采贷”政策。银行需要借用采购代理机构的场所直接向供应商介绍其“政采贷”产品的，采购代理机构应当支持。</w:t>
      </w:r>
    </w:p>
    <w:p>
      <w:pPr>
        <w:pStyle w:val="23"/>
        <w:widowControl/>
        <w:adjustRightInd/>
        <w:snapToGrid/>
        <w:spacing w:beforeAutospacing="0" w:afterAutospacing="0"/>
        <w:ind w:firstLine="482" w:firstLineChars="200"/>
        <w:rPr>
          <w:rFonts w:cs="宋体"/>
        </w:rPr>
      </w:pPr>
      <w:r>
        <w:rPr>
          <w:rFonts w:hint="eastAsia" w:cs="宋体"/>
          <w:b/>
        </w:rPr>
        <w:t>(五)</w:t>
      </w:r>
      <w:r>
        <w:rPr>
          <w:rFonts w:hint="eastAsia" w:cs="宋体"/>
        </w:rPr>
        <w:t>供应商应当依法参加政府采购活动，公平竞争，诚实守信，严格按照政府采购合同履约，严格按照借款合同偿还债务。</w:t>
      </w:r>
    </w:p>
    <w:p>
      <w:pPr>
        <w:pStyle w:val="23"/>
        <w:widowControl/>
        <w:adjustRightInd/>
        <w:snapToGrid/>
        <w:spacing w:beforeAutospacing="0" w:afterAutospacing="0"/>
        <w:ind w:firstLine="482" w:firstLineChars="200"/>
        <w:rPr>
          <w:rFonts w:cs="宋体"/>
        </w:rPr>
      </w:pPr>
      <w:r>
        <w:rPr>
          <w:rFonts w:hint="eastAsia" w:cs="宋体"/>
          <w:b/>
        </w:rPr>
        <w:t>(六)</w:t>
      </w:r>
      <w:r>
        <w:rPr>
          <w:rFonts w:hint="eastAsia" w:cs="宋体"/>
        </w:rPr>
        <w:t>财政部门、采购人、采购代理机构及其他有关单位和个人不得违规干预供应商选择“政采贷”银行及其产品，也不得违规干预银行向供应商进行贷款。</w:t>
      </w:r>
    </w:p>
    <w:p>
      <w:pPr>
        <w:pStyle w:val="23"/>
        <w:widowControl/>
        <w:adjustRightInd/>
        <w:snapToGrid/>
        <w:spacing w:beforeAutospacing="0" w:afterAutospacing="0"/>
        <w:ind w:firstLine="482" w:firstLineChars="200"/>
        <w:rPr>
          <w:rFonts w:cs="宋体"/>
        </w:rPr>
      </w:pPr>
      <w:r>
        <w:rPr>
          <w:rFonts w:hint="eastAsia" w:cs="宋体"/>
          <w:b/>
        </w:rPr>
        <w:t>(七)</w:t>
      </w:r>
      <w:r>
        <w:rPr>
          <w:rFonts w:hint="eastAsia" w:cs="宋体"/>
        </w:rPr>
        <w:t>相关单位和个人在开展“政采贷”工作过程中，发现新问题、新情况或者有意见建议的，请及时向四川省财政厅反馈。</w:t>
      </w:r>
    </w:p>
    <w:p>
      <w:pPr>
        <w:pStyle w:val="23"/>
        <w:widowControl/>
        <w:adjustRightInd/>
        <w:snapToGrid/>
        <w:spacing w:beforeAutospacing="0" w:afterAutospacing="0"/>
        <w:ind w:firstLine="480" w:firstLineChars="200"/>
        <w:outlineLvl w:val="0"/>
        <w:rPr>
          <w:rFonts w:cs="宋体"/>
        </w:rPr>
      </w:pPr>
      <w:bookmarkStart w:id="1615" w:name="_Toc1751"/>
      <w:bookmarkStart w:id="1616" w:name="_Toc284"/>
      <w:bookmarkStart w:id="1617" w:name="_Toc16537"/>
      <w:r>
        <w:rPr>
          <w:rFonts w:hint="eastAsia" w:cs="宋体"/>
        </w:rPr>
        <w:t>八、违规处理</w:t>
      </w:r>
      <w:bookmarkEnd w:id="1615"/>
      <w:bookmarkEnd w:id="1616"/>
      <w:bookmarkEnd w:id="1617"/>
    </w:p>
    <w:p>
      <w:pPr>
        <w:pStyle w:val="23"/>
        <w:widowControl/>
        <w:adjustRightInd/>
        <w:snapToGrid/>
        <w:spacing w:beforeAutospacing="0" w:afterAutospacing="0"/>
        <w:ind w:firstLine="482" w:firstLineChars="200"/>
        <w:rPr>
          <w:rFonts w:cs="宋体"/>
        </w:rPr>
      </w:pPr>
      <w:r>
        <w:rPr>
          <w:rFonts w:hint="eastAsia" w:cs="宋体"/>
          <w:b/>
        </w:rPr>
        <w:t>(一)银行违规处理</w:t>
      </w:r>
    </w:p>
    <w:p>
      <w:pPr>
        <w:pStyle w:val="23"/>
        <w:widowControl/>
        <w:adjustRightInd/>
        <w:snapToGrid/>
        <w:spacing w:beforeAutospacing="0" w:afterAutospacing="0"/>
        <w:ind w:firstLine="480" w:firstLineChars="200"/>
        <w:rPr>
          <w:rFonts w:cs="宋体"/>
        </w:rPr>
      </w:pPr>
      <w:r>
        <w:rPr>
          <w:rFonts w:hint="eastAsia" w:cs="宋体"/>
        </w:rPr>
        <w:t>银行不按照其在“四川政府采购网”公示的“政采贷”产品服务承诺事项办理供应商信用融资贷款申请的，由四川省财政厅进行约谈，责令限期整改；拒不整改或者变相拒不整改的，撤销其在“四川政府采购网”的公示信息，取消其资格，并在1-3年内拒绝接收其再次申请。</w:t>
      </w:r>
    </w:p>
    <w:p>
      <w:pPr>
        <w:pStyle w:val="23"/>
        <w:widowControl/>
        <w:adjustRightInd/>
        <w:snapToGrid/>
        <w:spacing w:beforeAutospacing="0" w:afterAutospacing="0"/>
        <w:ind w:firstLine="482" w:firstLineChars="200"/>
        <w:outlineLvl w:val="0"/>
        <w:rPr>
          <w:rFonts w:cs="宋体"/>
        </w:rPr>
      </w:pPr>
      <w:bookmarkStart w:id="1618" w:name="_Toc32262"/>
      <w:bookmarkStart w:id="1619" w:name="_Toc27923"/>
      <w:bookmarkStart w:id="1620" w:name="_Toc2404"/>
      <w:r>
        <w:rPr>
          <w:rFonts w:hint="eastAsia" w:cs="宋体"/>
          <w:b/>
        </w:rPr>
        <w:t>(二)供应商违规处理</w:t>
      </w:r>
      <w:bookmarkEnd w:id="1618"/>
      <w:bookmarkEnd w:id="1619"/>
      <w:bookmarkEnd w:id="1620"/>
    </w:p>
    <w:p>
      <w:pPr>
        <w:pStyle w:val="23"/>
        <w:widowControl/>
        <w:adjustRightInd/>
        <w:snapToGrid/>
        <w:spacing w:beforeAutospacing="0" w:afterAutospacing="0"/>
        <w:ind w:firstLine="480" w:firstLineChars="200"/>
        <w:rPr>
          <w:rFonts w:cs="宋体"/>
        </w:rPr>
      </w:pPr>
      <w:r>
        <w:rPr>
          <w:rFonts w:hint="eastAsia" w:cs="宋体"/>
        </w:rPr>
        <w:t>供应商以政府采购合同造假或者其他造假方式违规申请信用融资的，或者违反有关规定或者约定，导致无法偿还信用融资贷款的，或者拒绝或无故拖延还款付息的，由有关部门单位依法处理，纳入“不具备《中华人民共和国政府采购法》第二十二条第一款第(二)项规定的具有良好的商业信誉条件”名单，并在“四川政府采购网”公示。</w:t>
      </w:r>
    </w:p>
    <w:p>
      <w:pPr>
        <w:pStyle w:val="23"/>
        <w:widowControl/>
        <w:adjustRightInd/>
        <w:snapToGrid/>
        <w:spacing w:beforeAutospacing="0" w:afterAutospacing="0"/>
        <w:ind w:firstLine="482" w:firstLineChars="200"/>
        <w:outlineLvl w:val="0"/>
        <w:rPr>
          <w:rFonts w:cs="宋体"/>
        </w:rPr>
      </w:pPr>
      <w:bookmarkStart w:id="1621" w:name="_Toc28489"/>
      <w:bookmarkStart w:id="1622" w:name="_Toc28027"/>
      <w:bookmarkStart w:id="1623" w:name="_Toc26243"/>
      <w:r>
        <w:rPr>
          <w:rFonts w:hint="eastAsia" w:cs="宋体"/>
          <w:b/>
        </w:rPr>
        <w:t>(三)其他违规处理</w:t>
      </w:r>
      <w:bookmarkEnd w:id="1621"/>
      <w:bookmarkEnd w:id="1622"/>
      <w:bookmarkEnd w:id="1623"/>
    </w:p>
    <w:p>
      <w:pPr>
        <w:pStyle w:val="23"/>
        <w:widowControl/>
        <w:adjustRightInd/>
        <w:snapToGrid/>
        <w:spacing w:beforeAutospacing="0" w:afterAutospacing="0"/>
        <w:ind w:firstLine="480" w:firstLineChars="200"/>
        <w:rPr>
          <w:rFonts w:cs="宋体"/>
        </w:rPr>
      </w:pPr>
      <w:r>
        <w:rPr>
          <w:rFonts w:hint="eastAsia" w:cs="宋体"/>
        </w:rPr>
        <w:t>采购人无正当理由拖延和拒付采购资金的，或者采购代理机构拒绝支持银行借用场所向供应商介绍其“政采贷”产品的，或者有关单位或个人违规干预供应商选择“政采贷”银行及其产品的，或者有关单位或个人违规干预银行向供应商进行贷款的，由采购项目同级财政部门进行约谈，责令限期整改；拒不整改或者变相拒不整改的，按照有关规定依法处理。</w:t>
      </w:r>
    </w:p>
    <w:p>
      <w:pPr>
        <w:pStyle w:val="23"/>
        <w:widowControl/>
        <w:adjustRightInd/>
        <w:snapToGrid/>
        <w:spacing w:beforeAutospacing="0" w:afterAutospacing="0"/>
        <w:ind w:firstLine="480" w:firstLineChars="200"/>
        <w:rPr>
          <w:rFonts w:cs="宋体"/>
        </w:rPr>
      </w:pPr>
      <w:r>
        <w:rPr>
          <w:rFonts w:hint="eastAsia" w:cs="宋体"/>
        </w:rPr>
        <w:t> </w:t>
      </w:r>
    </w:p>
    <w:p>
      <w:pPr>
        <w:rPr>
          <w:rFonts w:cs="宋体"/>
        </w:rPr>
      </w:pPr>
      <w:r>
        <w:rPr>
          <w:rFonts w:hint="eastAsia" w:cs="宋体"/>
          <w:kern w:val="0"/>
        </w:rPr>
        <w:drawing>
          <wp:anchor distT="0" distB="0" distL="114300" distR="114300" simplePos="0" relativeHeight="251662336" behindDoc="0" locked="0" layoutInCell="1" allowOverlap="1">
            <wp:simplePos x="0" y="0"/>
            <wp:positionH relativeFrom="column">
              <wp:posOffset>3808095</wp:posOffset>
            </wp:positionH>
            <wp:positionV relativeFrom="paragraph">
              <wp:posOffset>1694180</wp:posOffset>
            </wp:positionV>
            <wp:extent cx="1771650" cy="1781175"/>
            <wp:effectExtent l="0" t="0" r="6350" b="9525"/>
            <wp:wrapSquare wrapText="bothSides"/>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42"/>
                    <a:stretch>
                      <a:fillRect/>
                    </a:stretch>
                  </pic:blipFill>
                  <pic:spPr>
                    <a:xfrm>
                      <a:off x="0" y="0"/>
                      <a:ext cx="1771650" cy="1781175"/>
                    </a:xfrm>
                    <a:prstGeom prst="rect">
                      <a:avLst/>
                    </a:prstGeom>
                    <a:noFill/>
                    <a:ln w="9525">
                      <a:noFill/>
                    </a:ln>
                  </pic:spPr>
                </pic:pic>
              </a:graphicData>
            </a:graphic>
          </wp:anchor>
        </w:drawing>
      </w:r>
      <w:r>
        <w:rPr>
          <w:rFonts w:hint="eastAsia" w:cs="宋体"/>
        </w:rPr>
        <w:br w:type="page"/>
      </w:r>
    </w:p>
    <w:p>
      <w:pPr>
        <w:widowControl/>
        <w:adjustRightInd/>
        <w:snapToGrid/>
        <w:rPr>
          <w:rFonts w:cs="宋体"/>
          <w:b/>
          <w:bCs/>
        </w:rPr>
      </w:pPr>
      <w:r>
        <w:rPr>
          <w:rFonts w:hint="eastAsia" w:cs="宋体"/>
          <w:b/>
          <w:bCs/>
        </w:rPr>
        <w:t>附件四：成都市财政局  中国人民银行成都分行营业管理部关于印发《成都市中小企业政府采购信用融资暂行办法》和《成都市级支持中小企业政府采购信用融资实施方案》的通知(成财采〔2019〕17号)</w:t>
      </w:r>
    </w:p>
    <w:p>
      <w:pPr>
        <w:widowControl/>
        <w:wordWrap w:val="0"/>
        <w:adjustRightInd/>
        <w:snapToGrid/>
        <w:rPr>
          <w:rFonts w:cs="宋体"/>
          <w:b/>
          <w:bCs/>
        </w:rPr>
      </w:pPr>
      <w:r>
        <w:rPr>
          <w:rFonts w:hint="eastAsia" w:cs="宋体"/>
          <w:b/>
          <w:bCs/>
        </w:rPr>
        <w:t>查询链接：</w:t>
      </w:r>
      <w:r>
        <w:fldChar w:fldCharType="begin"/>
      </w:r>
      <w:r>
        <w:instrText xml:space="preserve"> HYPERLINK "http://cdcz.chengdu.gov.cn/cdsczj/c116726/2019-03/13/content_7d81ae9c2a1e48968c7839a9c5b88ccd.shtml" </w:instrText>
      </w:r>
      <w:r>
        <w:fldChar w:fldCharType="separate"/>
      </w:r>
      <w:r>
        <w:rPr>
          <w:rStyle w:val="30"/>
          <w:rFonts w:hint="eastAsia" w:cs="宋体"/>
          <w:b/>
          <w:bCs/>
        </w:rPr>
        <w:t>http：//cdcz.chengdu.gov.cn/cdsczj/c116726/2019-03/13/content_7d81ae9c2a1e48968c7839a9c5b88ccd.shtml</w:t>
      </w:r>
      <w:r>
        <w:rPr>
          <w:rStyle w:val="30"/>
          <w:rFonts w:hint="eastAsia" w:cs="宋体"/>
          <w:b/>
          <w:bCs/>
        </w:rPr>
        <w:fldChar w:fldCharType="end"/>
      </w:r>
    </w:p>
    <w:p>
      <w:pPr>
        <w:widowControl/>
        <w:wordWrap w:val="0"/>
        <w:adjustRightInd/>
        <w:snapToGrid/>
        <w:rPr>
          <w:rFonts w:cs="宋体"/>
          <w:b/>
          <w:bCs/>
        </w:rPr>
      </w:pPr>
    </w:p>
    <w:tbl>
      <w:tblPr>
        <w:tblStyle w:val="26"/>
        <w:tblW w:w="9062" w:type="dxa"/>
        <w:jc w:val="center"/>
        <w:tblLayout w:type="fixed"/>
        <w:tblCellMar>
          <w:top w:w="0" w:type="dxa"/>
          <w:left w:w="108" w:type="dxa"/>
          <w:bottom w:w="0" w:type="dxa"/>
          <w:right w:w="108" w:type="dxa"/>
        </w:tblCellMar>
      </w:tblPr>
      <w:tblGrid>
        <w:gridCol w:w="7482"/>
        <w:gridCol w:w="1580"/>
      </w:tblGrid>
      <w:tr>
        <w:tblPrEx>
          <w:tblCellMar>
            <w:top w:w="0" w:type="dxa"/>
            <w:left w:w="108" w:type="dxa"/>
            <w:bottom w:w="0" w:type="dxa"/>
            <w:right w:w="108" w:type="dxa"/>
          </w:tblCellMar>
        </w:tblPrEx>
        <w:trPr>
          <w:cantSplit/>
          <w:trHeight w:val="1156" w:hRule="atLeast"/>
          <w:jc w:val="center"/>
        </w:trPr>
        <w:tc>
          <w:tcPr>
            <w:tcW w:w="7482" w:type="dxa"/>
            <w:vAlign w:val="center"/>
          </w:tcPr>
          <w:p>
            <w:pPr>
              <w:spacing w:line="240" w:lineRule="auto"/>
              <w:jc w:val="distribute"/>
              <w:rPr>
                <w:rFonts w:eastAsia="方正小标宋简体"/>
                <w:color w:val="FF0000"/>
                <w:sz w:val="66"/>
                <w:szCs w:val="66"/>
              </w:rPr>
            </w:pPr>
            <w:r>
              <w:rPr>
                <w:rFonts w:hint="eastAsia" w:eastAsia="方正小标宋简体"/>
                <w:color w:val="FF0000"/>
                <w:sz w:val="66"/>
                <w:szCs w:val="66"/>
              </w:rPr>
              <w:t>成都市财政局</w:t>
            </w:r>
          </w:p>
        </w:tc>
        <w:tc>
          <w:tcPr>
            <w:tcW w:w="1580" w:type="dxa"/>
            <w:vMerge w:val="restart"/>
            <w:vAlign w:val="center"/>
          </w:tcPr>
          <w:p>
            <w:pPr>
              <w:spacing w:line="240" w:lineRule="auto"/>
              <w:jc w:val="center"/>
              <w:rPr>
                <w:rFonts w:eastAsia="方正小标宋简体"/>
                <w:color w:val="FF0000"/>
                <w:sz w:val="66"/>
                <w:szCs w:val="66"/>
              </w:rPr>
            </w:pPr>
            <w:r>
              <w:rPr>
                <w:rFonts w:hint="eastAsia" w:eastAsia="方正小标宋简体"/>
                <w:color w:val="FF0000"/>
                <w:sz w:val="66"/>
                <w:szCs w:val="66"/>
              </w:rPr>
              <w:t>文件</w:t>
            </w:r>
          </w:p>
        </w:tc>
      </w:tr>
      <w:tr>
        <w:tblPrEx>
          <w:tblCellMar>
            <w:top w:w="0" w:type="dxa"/>
            <w:left w:w="108" w:type="dxa"/>
            <w:bottom w:w="0" w:type="dxa"/>
            <w:right w:w="108" w:type="dxa"/>
          </w:tblCellMar>
        </w:tblPrEx>
        <w:trPr>
          <w:cantSplit/>
          <w:trHeight w:val="1335" w:hRule="atLeast"/>
          <w:jc w:val="center"/>
        </w:trPr>
        <w:tc>
          <w:tcPr>
            <w:tcW w:w="7482" w:type="dxa"/>
            <w:vAlign w:val="center"/>
          </w:tcPr>
          <w:p>
            <w:pPr>
              <w:spacing w:line="240" w:lineRule="auto"/>
              <w:jc w:val="distribute"/>
              <w:rPr>
                <w:rFonts w:eastAsia="方正小标宋简体"/>
                <w:color w:val="FF0000"/>
                <w:spacing w:val="-20"/>
                <w:w w:val="82"/>
                <w:sz w:val="62"/>
                <w:szCs w:val="62"/>
              </w:rPr>
            </w:pPr>
            <w:r>
              <w:rPr>
                <w:rFonts w:hint="eastAsia" w:eastAsia="方正小标宋简体"/>
                <w:color w:val="FF0000"/>
                <w:spacing w:val="-20"/>
                <w:w w:val="82"/>
                <w:sz w:val="62"/>
                <w:szCs w:val="62"/>
              </w:rPr>
              <w:t>中国人民银行成都分行营业管理部</w:t>
            </w:r>
          </w:p>
        </w:tc>
        <w:tc>
          <w:tcPr>
            <w:tcW w:w="1580" w:type="dxa"/>
            <w:vMerge w:val="continue"/>
            <w:vAlign w:val="center"/>
          </w:tcPr>
          <w:p>
            <w:pPr>
              <w:spacing w:line="240" w:lineRule="auto"/>
              <w:jc w:val="center"/>
              <w:rPr>
                <w:rFonts w:eastAsia="方正小标宋简体"/>
                <w:color w:val="FF0000"/>
                <w:sz w:val="66"/>
                <w:szCs w:val="66"/>
              </w:rPr>
            </w:pPr>
          </w:p>
        </w:tc>
      </w:tr>
    </w:tbl>
    <w:p>
      <w:pPr>
        <w:jc w:val="center"/>
        <w:rPr>
          <w:rFonts w:eastAsia="方正仿宋_GBK"/>
        </w:rPr>
      </w:pPr>
    </w:p>
    <w:p>
      <w:pPr>
        <w:jc w:val="center"/>
        <w:rPr>
          <w:rFonts w:eastAsia="方正仿宋_GBK"/>
          <w:color w:val="000000"/>
        </w:rPr>
      </w:pPr>
      <w:r>
        <w:rPr>
          <w:rFonts w:eastAsia="方正仿宋_GBK"/>
          <w:color w:val="FF0000"/>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320675</wp:posOffset>
                </wp:positionV>
                <wp:extent cx="5618480" cy="0"/>
                <wp:effectExtent l="0" t="9525" r="1270" b="9525"/>
                <wp:wrapNone/>
                <wp:docPr id="9" name="直接连接符 9"/>
                <wp:cNvGraphicFramePr/>
                <a:graphic xmlns:a="http://schemas.openxmlformats.org/drawingml/2006/main">
                  <a:graphicData uri="http://schemas.microsoft.com/office/word/2010/wordprocessingShape">
                    <wps:wsp>
                      <wps:cNvCnPr/>
                      <wps:spPr>
                        <a:xfrm>
                          <a:off x="0" y="0"/>
                          <a:ext cx="5618480" cy="0"/>
                        </a:xfrm>
                        <a:prstGeom prst="line">
                          <a:avLst/>
                        </a:prstGeom>
                        <a:ln w="19050"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pt;margin-top:25.25pt;height:0pt;width:442.4pt;z-index:251663360;mso-width-relative:page;mso-height-relative:page;" filled="f" stroked="t" coordsize="21600,21600" o:gfxdata="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zv7j71gAAAAYBAAAPAAAAAAAAAAEAIAAAACIAAABkcnMvZG93bnJldi54&#10;bWxQSwECFAAUAAAACACHTuJAKrj9B/wBAADzAwAADgAAAAAAAAABACAAAAAlAQAAZHJzL2Uyb0Rv&#10;Yy54bWxQSwUGAAAAAAYABgBZAQAAkwUAAAAA&#10;">
                <v:fill on="f" focussize="0,0"/>
                <v:stroke weight="1.5pt" color="#FF0000" joinstyle="round"/>
                <v:imagedata o:title=""/>
                <o:lock v:ext="edit" aspectratio="f"/>
              </v:line>
            </w:pict>
          </mc:Fallback>
        </mc:AlternateContent>
      </w:r>
      <w:r>
        <w:rPr>
          <w:rFonts w:eastAsia="方正仿宋_GBK"/>
        </w:rPr>
        <w:t>成财</w:t>
      </w:r>
      <w:r>
        <w:rPr>
          <w:rFonts w:hint="eastAsia" w:eastAsia="方正仿宋_GBK"/>
        </w:rPr>
        <w:t>采</w:t>
      </w:r>
      <w:r>
        <w:rPr>
          <w:rFonts w:eastAsia="方正仿宋_GBK"/>
        </w:rPr>
        <w:t>〔201</w:t>
      </w:r>
      <w:r>
        <w:rPr>
          <w:rFonts w:hint="eastAsia" w:eastAsia="方正仿宋_GBK"/>
        </w:rPr>
        <w:t>9</w:t>
      </w:r>
      <w:r>
        <w:rPr>
          <w:rFonts w:eastAsia="方正仿宋_GBK"/>
        </w:rPr>
        <w:t>〕</w:t>
      </w:r>
      <w:r>
        <w:rPr>
          <w:rFonts w:hint="eastAsia" w:eastAsia="方正仿宋_GBK"/>
        </w:rPr>
        <w:t>17</w:t>
      </w:r>
      <w:r>
        <w:rPr>
          <w:rFonts w:eastAsia="方正仿宋_GBK"/>
        </w:rPr>
        <w:t>号</w:t>
      </w:r>
    </w:p>
    <w:p>
      <w:pPr>
        <w:topLinePunct/>
        <w:jc w:val="center"/>
        <w:rPr>
          <w:rFonts w:ascii="方正小标宋_GBK" w:hAnsi="方正小标宋_GBK" w:eastAsia="方正小标宋_GBK"/>
        </w:rPr>
      </w:pPr>
    </w:p>
    <w:p>
      <w:pPr>
        <w:topLinePunct/>
        <w:jc w:val="center"/>
        <w:rPr>
          <w:rFonts w:ascii="方正小标宋_GBK" w:hAnsi="方正小标宋_GBK" w:eastAsia="方正小标宋_GBK"/>
          <w:spacing w:val="-18"/>
          <w:sz w:val="44"/>
          <w:szCs w:val="44"/>
        </w:rPr>
      </w:pPr>
      <w:r>
        <w:rPr>
          <w:rFonts w:hint="eastAsia" w:ascii="方正小标宋_GBK" w:hAnsi="方正小标宋_GBK" w:eastAsia="方正小标宋_GBK"/>
          <w:spacing w:val="-18"/>
          <w:sz w:val="44"/>
          <w:szCs w:val="44"/>
        </w:rPr>
        <w:t>成都市财政局  中国人民银行成都分行营业管理部</w:t>
      </w:r>
    </w:p>
    <w:p>
      <w:pPr>
        <w:topLinePunct/>
        <w:jc w:val="center"/>
        <w:rPr>
          <w:rFonts w:ascii="方正小标宋_GBK" w:hAnsi="方正小标宋_GBK" w:eastAsia="方正小标宋_GBK"/>
          <w:sz w:val="44"/>
          <w:szCs w:val="44"/>
        </w:rPr>
      </w:pPr>
      <w:r>
        <w:rPr>
          <w:rFonts w:hint="eastAsia" w:ascii="方正小标宋_GBK" w:hAnsi="方正小标宋_GBK" w:eastAsia="方正小标宋_GBK"/>
          <w:sz w:val="44"/>
          <w:szCs w:val="44"/>
        </w:rPr>
        <w:t>关于印发《成都市中小企业政府采购信用融资</w:t>
      </w:r>
    </w:p>
    <w:p>
      <w:pPr>
        <w:topLinePunct/>
        <w:jc w:val="center"/>
        <w:rPr>
          <w:rFonts w:ascii="方正小标宋_GBK" w:hAnsi="方正小标宋_GBK" w:eastAsia="方正小标宋_GBK"/>
          <w:sz w:val="44"/>
          <w:szCs w:val="44"/>
        </w:rPr>
      </w:pPr>
      <w:r>
        <w:rPr>
          <w:rFonts w:hint="eastAsia" w:ascii="方正小标宋_GBK" w:hAnsi="方正小标宋_GBK" w:eastAsia="方正小标宋_GBK"/>
          <w:sz w:val="44"/>
          <w:szCs w:val="44"/>
        </w:rPr>
        <w:t>暂行办法》和《成都市级支持中小企业</w:t>
      </w:r>
    </w:p>
    <w:p>
      <w:pPr>
        <w:topLinePunct/>
        <w:jc w:val="center"/>
        <w:rPr>
          <w:rFonts w:ascii="方正小标宋_GBK" w:hAnsi="方正小标宋_GBK" w:eastAsia="方正小标宋_GBK"/>
          <w:sz w:val="44"/>
          <w:szCs w:val="44"/>
        </w:rPr>
      </w:pPr>
      <w:r>
        <w:rPr>
          <w:rFonts w:hint="eastAsia" w:ascii="方正小标宋_GBK" w:hAnsi="方正小标宋_GBK" w:eastAsia="方正小标宋_GBK"/>
          <w:sz w:val="44"/>
          <w:szCs w:val="44"/>
        </w:rPr>
        <w:t>政府采购信用融资实施方案》的通知</w:t>
      </w:r>
    </w:p>
    <w:p>
      <w:pPr>
        <w:jc w:val="center"/>
        <w:rPr>
          <w:rFonts w:eastAsia="方正仿宋_GBK"/>
        </w:rPr>
      </w:pPr>
    </w:p>
    <w:p>
      <w:pPr>
        <w:widowControl/>
        <w:adjustRightInd/>
        <w:snapToGrid/>
        <w:ind w:firstLine="480" w:firstLineChars="200"/>
        <w:rPr>
          <w:rFonts w:cs="宋体"/>
        </w:rPr>
      </w:pPr>
      <w:r>
        <w:rPr>
          <w:rFonts w:hint="eastAsia" w:cs="宋体"/>
        </w:rPr>
        <w:t>成都天府新区、高新区财政金融局，各区(市)县财政局，市级各部门、单位，各银行业金融机构：</w:t>
      </w:r>
    </w:p>
    <w:p>
      <w:pPr>
        <w:widowControl/>
        <w:adjustRightInd/>
        <w:snapToGrid/>
        <w:ind w:firstLine="480" w:firstLineChars="200"/>
        <w:rPr>
          <w:rFonts w:cs="宋体"/>
        </w:rPr>
      </w:pPr>
      <w:r>
        <w:rPr>
          <w:rFonts w:hint="eastAsia" w:cs="宋体"/>
        </w:rPr>
        <w:t>为深入贯彻落实中央、省、市关于支持民营经济健康发展有关精神，进一步发挥政府采购在促进中小企业发展中的政策引导作用，有效缓解中小企业融资难、融资贵问题，市财政局、中国人民银行成都分行营业管理部制定了《成都市中小企业政府采购信用融资暂行办法》和《成都市级支持中小企业政府采购信用融资实施方案》(以下简称《暂行办法》和《实施方案》)，现印发给你们，请按要求贯彻执行。</w:t>
      </w:r>
    </w:p>
    <w:p>
      <w:pPr>
        <w:widowControl/>
        <w:adjustRightInd/>
        <w:snapToGrid/>
        <w:ind w:firstLine="480" w:firstLineChars="200"/>
        <w:outlineLvl w:val="0"/>
        <w:rPr>
          <w:rFonts w:cs="宋体"/>
        </w:rPr>
      </w:pPr>
      <w:bookmarkStart w:id="1624" w:name="_Toc12528"/>
      <w:bookmarkStart w:id="1625" w:name="_Toc7623"/>
      <w:bookmarkStart w:id="1626" w:name="_Toc22187"/>
      <w:r>
        <w:rPr>
          <w:rFonts w:hint="eastAsia" w:cs="宋体"/>
        </w:rPr>
        <w:t>一、高度重视、迅速行动</w:t>
      </w:r>
      <w:bookmarkEnd w:id="1624"/>
      <w:bookmarkEnd w:id="1625"/>
      <w:bookmarkEnd w:id="1626"/>
    </w:p>
    <w:p>
      <w:pPr>
        <w:widowControl/>
        <w:adjustRightInd/>
        <w:snapToGrid/>
        <w:ind w:firstLine="480" w:firstLineChars="200"/>
        <w:rPr>
          <w:rFonts w:cs="宋体"/>
        </w:rPr>
      </w:pPr>
      <w:r>
        <w:rPr>
          <w:rFonts w:hint="eastAsia" w:cs="宋体"/>
        </w:rPr>
        <w:t>政府采购信用融资是缓解中小企业资金短缺压力，优化中小企业发展环境，促进经济发展的重要举措，各相关单位要统一思想，充分认识政府采购信用融资工作的重要意义，结合政府采购工作实际精心组织、周密部署，赓即推进政府采购信用融资工作，支持有融资需求、符合条件的中小微企业实现高效融资。</w:t>
      </w:r>
    </w:p>
    <w:p>
      <w:pPr>
        <w:widowControl/>
        <w:adjustRightInd/>
        <w:snapToGrid/>
        <w:ind w:firstLine="480" w:firstLineChars="200"/>
        <w:outlineLvl w:val="0"/>
        <w:rPr>
          <w:rFonts w:cs="宋体"/>
        </w:rPr>
      </w:pPr>
      <w:bookmarkStart w:id="1627" w:name="_Toc7328"/>
      <w:bookmarkStart w:id="1628" w:name="_Toc8225"/>
      <w:bookmarkStart w:id="1629" w:name="_Toc21355"/>
      <w:r>
        <w:rPr>
          <w:rFonts w:hint="eastAsia" w:cs="宋体"/>
        </w:rPr>
        <w:t>二、明确责任、压茬推进</w:t>
      </w:r>
      <w:bookmarkEnd w:id="1627"/>
      <w:bookmarkEnd w:id="1628"/>
      <w:bookmarkEnd w:id="1629"/>
    </w:p>
    <w:p>
      <w:pPr>
        <w:widowControl/>
        <w:adjustRightInd/>
        <w:snapToGrid/>
        <w:ind w:firstLine="480" w:firstLineChars="200"/>
        <w:rPr>
          <w:rFonts w:cs="宋体"/>
        </w:rPr>
      </w:pPr>
      <w:r>
        <w:rPr>
          <w:rFonts w:hint="eastAsia" w:cs="宋体"/>
        </w:rPr>
        <w:t>市级各部门、单位即日起严格按照《暂行办法》和《实施方案》相关规定和工作要求，结合职能职责认真抓好贯彻执行。各区(市)县财政部门要根据《暂行办法》，结合本地实际制定具体实施方案，在涵盖市级确定的融资机构基础上明确融资机构名单，并于2019年6月30日前全面推进政府采购信用融资工作。</w:t>
      </w:r>
    </w:p>
    <w:p>
      <w:pPr>
        <w:widowControl/>
        <w:adjustRightInd/>
        <w:snapToGrid/>
        <w:ind w:firstLine="480" w:firstLineChars="200"/>
        <w:outlineLvl w:val="0"/>
        <w:rPr>
          <w:rFonts w:cs="宋体"/>
        </w:rPr>
      </w:pPr>
      <w:bookmarkStart w:id="1630" w:name="_Toc32357"/>
      <w:bookmarkStart w:id="1631" w:name="_Toc17416"/>
      <w:bookmarkStart w:id="1632" w:name="_Toc7880"/>
      <w:r>
        <w:rPr>
          <w:rFonts w:hint="eastAsia" w:cs="宋体"/>
        </w:rPr>
        <w:t>三、优化服务、营造氛围</w:t>
      </w:r>
      <w:bookmarkEnd w:id="1630"/>
      <w:bookmarkEnd w:id="1631"/>
      <w:bookmarkEnd w:id="1632"/>
    </w:p>
    <w:p>
      <w:pPr>
        <w:widowControl/>
        <w:adjustRightInd/>
        <w:snapToGrid/>
        <w:ind w:firstLine="480" w:firstLineChars="200"/>
        <w:rPr>
          <w:rFonts w:cs="宋体"/>
        </w:rPr>
      </w:pPr>
      <w:r>
        <w:rPr>
          <w:rFonts w:hint="eastAsia" w:cs="宋体"/>
        </w:rPr>
        <w:t>各相关单位要充分发挥市场在资源配置中的决定性作用，强化宣传引导、优化工作机制、加强跟踪问效，积极创造条件主动服务，为融资双方提供优质高效的服务，让政府采购信用融资政策惠及更多中小微企业，并将工作落实的经验做法及时形成信息反馈市财政局，为推动中小微企业高质量发展营造法治化、国际化、便利化的营商环境。</w:t>
      </w:r>
    </w:p>
    <w:p>
      <w:pPr>
        <w:widowControl/>
        <w:adjustRightInd/>
        <w:snapToGrid/>
        <w:ind w:firstLine="480" w:firstLineChars="200"/>
        <w:rPr>
          <w:rFonts w:cs="宋体"/>
        </w:rPr>
      </w:pPr>
    </w:p>
    <w:p>
      <w:pPr>
        <w:widowControl/>
        <w:adjustRightInd/>
        <w:snapToGrid/>
        <w:ind w:firstLine="480" w:firstLineChars="200"/>
        <w:rPr>
          <w:rFonts w:cs="宋体"/>
        </w:rPr>
      </w:pPr>
      <w:r>
        <w:rPr>
          <w:rFonts w:hint="eastAsia" w:cs="宋体"/>
        </w:rPr>
        <w:t xml:space="preserve">附件：1．成都市中小企业政府采购信用融资暂行办法 </w:t>
      </w:r>
    </w:p>
    <w:p>
      <w:pPr>
        <w:widowControl/>
        <w:adjustRightInd/>
        <w:snapToGrid/>
        <w:ind w:firstLine="480" w:firstLineChars="200"/>
        <w:rPr>
          <w:rFonts w:cs="宋体"/>
        </w:rPr>
      </w:pPr>
      <w:r>
        <w:rPr>
          <w:rFonts w:hint="eastAsia" w:cs="宋体"/>
        </w:rPr>
        <w:t>2．成都市级支持中小企业政府采购信用融资实施方案</w:t>
      </w:r>
    </w:p>
    <w:p>
      <w:pPr>
        <w:pStyle w:val="15"/>
        <w:widowControl/>
        <w:topLinePunct/>
        <w:adjustRightInd/>
        <w:snapToGrid/>
        <w:ind w:firstLine="480" w:firstLineChars="200"/>
        <w:rPr>
          <w:rFonts w:ascii="宋体" w:eastAsia="宋体" w:cs="宋体"/>
          <w:sz w:val="24"/>
        </w:rPr>
      </w:pPr>
    </w:p>
    <w:p>
      <w:pPr>
        <w:pStyle w:val="15"/>
        <w:widowControl/>
        <w:topLinePunct/>
        <w:adjustRightInd/>
        <w:snapToGrid/>
        <w:ind w:firstLine="480" w:firstLineChars="200"/>
        <w:rPr>
          <w:rFonts w:ascii="宋体" w:eastAsia="宋体" w:cs="宋体"/>
          <w:sz w:val="24"/>
        </w:rPr>
      </w:pPr>
    </w:p>
    <w:p>
      <w:pPr>
        <w:pStyle w:val="15"/>
        <w:widowControl/>
        <w:topLinePunct/>
        <w:adjustRightInd/>
        <w:snapToGrid/>
        <w:ind w:firstLine="480" w:firstLineChars="200"/>
        <w:rPr>
          <w:rFonts w:ascii="宋体" w:eastAsia="宋体" w:cs="宋体"/>
          <w:sz w:val="24"/>
        </w:rPr>
      </w:pPr>
    </w:p>
    <w:p>
      <w:pPr>
        <w:widowControl/>
        <w:tabs>
          <w:tab w:val="left" w:pos="7584"/>
          <w:tab w:val="clear" w:pos="0"/>
        </w:tabs>
        <w:topLinePunct/>
        <w:adjustRightInd/>
        <w:snapToGrid/>
        <w:ind w:firstLine="480" w:firstLineChars="200"/>
        <w:jc w:val="right"/>
        <w:rPr>
          <w:rFonts w:cs="宋体"/>
        </w:rPr>
      </w:pPr>
      <w:r>
        <w:rPr>
          <w:rFonts w:hint="eastAsia" w:cs="宋体"/>
        </w:rPr>
        <w:t>成都市财政局         中国人民银行成都分行营业管理部</w:t>
      </w:r>
    </w:p>
    <w:p>
      <w:pPr>
        <w:widowControl/>
        <w:tabs>
          <w:tab w:val="left" w:pos="7584"/>
          <w:tab w:val="clear" w:pos="0"/>
        </w:tabs>
        <w:topLinePunct/>
        <w:adjustRightInd/>
        <w:snapToGrid/>
        <w:ind w:firstLine="480" w:firstLineChars="200"/>
        <w:jc w:val="right"/>
        <w:rPr>
          <w:rFonts w:cs="宋体"/>
        </w:rPr>
      </w:pPr>
      <w:r>
        <w:rPr>
          <w:rFonts w:hint="eastAsia" w:cs="宋体"/>
        </w:rPr>
        <w:t>2019年2月26日</w:t>
      </w:r>
    </w:p>
    <w:p>
      <w:pPr>
        <w:rPr>
          <w:rFonts w:cs="宋体"/>
        </w:rPr>
      </w:pPr>
      <w:r>
        <w:rPr>
          <w:rFonts w:hint="eastAsia" w:cs="宋体"/>
        </w:rPr>
        <w:br w:type="page"/>
      </w:r>
    </w:p>
    <w:p>
      <w:pPr>
        <w:topLinePunct/>
        <w:adjustRightInd/>
        <w:rPr>
          <w:rFonts w:cs="宋体"/>
        </w:rPr>
      </w:pPr>
      <w:r>
        <w:rPr>
          <w:rFonts w:hint="eastAsia" w:cs="宋体"/>
        </w:rPr>
        <w:t>附件1</w:t>
      </w:r>
    </w:p>
    <w:p>
      <w:pPr>
        <w:topLinePunct/>
        <w:adjustRightInd/>
        <w:rPr>
          <w:rFonts w:cs="宋体"/>
        </w:rPr>
      </w:pPr>
    </w:p>
    <w:p>
      <w:pPr>
        <w:topLinePunct/>
        <w:adjustRightInd/>
        <w:jc w:val="center"/>
        <w:rPr>
          <w:rFonts w:cs="宋体"/>
        </w:rPr>
      </w:pPr>
      <w:r>
        <w:rPr>
          <w:rFonts w:hint="eastAsia" w:cs="宋体"/>
        </w:rPr>
        <w:t>成都市中小企业</w:t>
      </w:r>
      <w:r>
        <w:rPr>
          <w:rFonts w:hint="eastAsia" w:cs="宋体"/>
          <w:color w:val="000000"/>
        </w:rPr>
        <w:t>政府采购信用融资暂行</w:t>
      </w:r>
      <w:r>
        <w:rPr>
          <w:rFonts w:hint="eastAsia" w:cs="宋体"/>
        </w:rPr>
        <w:t>办法</w:t>
      </w:r>
    </w:p>
    <w:p>
      <w:pPr>
        <w:topLinePunct/>
        <w:adjustRightInd/>
        <w:jc w:val="center"/>
        <w:rPr>
          <w:rFonts w:cs="宋体"/>
        </w:rPr>
      </w:pPr>
      <w:r>
        <w:rPr>
          <w:rFonts w:hint="eastAsia" w:cs="宋体"/>
        </w:rPr>
        <w:t>第一章  总  则</w:t>
      </w:r>
    </w:p>
    <w:p>
      <w:pPr>
        <w:topLinePunct/>
        <w:adjustRightInd/>
        <w:ind w:firstLine="480" w:firstLineChars="200"/>
        <w:rPr>
          <w:rFonts w:cs="宋体"/>
        </w:rPr>
      </w:pPr>
      <w:r>
        <w:rPr>
          <w:rFonts w:hint="eastAsia" w:cs="宋体"/>
        </w:rPr>
        <w:t>第一条(政策依据)</w:t>
      </w:r>
    </w:p>
    <w:p>
      <w:pPr>
        <w:topLinePunct/>
        <w:adjustRightInd/>
        <w:ind w:firstLine="480" w:firstLineChars="200"/>
        <w:rPr>
          <w:rFonts w:cs="宋体"/>
        </w:rPr>
      </w:pPr>
      <w:r>
        <w:rPr>
          <w:rFonts w:hint="eastAsia" w:cs="宋体"/>
        </w:rPr>
        <w:t>为进一步贯彻落实国务院、四川省、成都市关于支持和促进中小企业发展的政策措施，充分发挥政府采购政策导向作用，有效缓解中小企业融资难、融资贵问题，支持中小企业参与政府采购活动，根据《政府采购法》《四川省政府采购促进中小企业发展的若干规定》(川财采〔2016〕35号)和《四川省财政厅关于推进四川省政府采购供应商信用融资工作的通知》(川财采〔2018〕123号)有关精神，结合我市实际，制定本办法。</w:t>
      </w:r>
    </w:p>
    <w:p>
      <w:pPr>
        <w:topLinePunct/>
        <w:adjustRightInd/>
        <w:ind w:firstLine="480" w:firstLineChars="200"/>
        <w:rPr>
          <w:rFonts w:cs="宋体"/>
        </w:rPr>
      </w:pPr>
      <w:r>
        <w:rPr>
          <w:rFonts w:hint="eastAsia" w:cs="宋体"/>
        </w:rPr>
        <w:t>第二条(适用范围)</w:t>
      </w:r>
    </w:p>
    <w:p>
      <w:pPr>
        <w:topLinePunct/>
        <w:adjustRightInd/>
        <w:ind w:firstLine="480" w:firstLineChars="200"/>
        <w:rPr>
          <w:rFonts w:cs="宋体"/>
        </w:rPr>
      </w:pPr>
      <w:r>
        <w:rPr>
          <w:rFonts w:hint="eastAsia" w:cs="宋体"/>
        </w:rPr>
        <w:t>成都市行政区域内政府采购信用融资适用本办法。</w:t>
      </w:r>
    </w:p>
    <w:p>
      <w:pPr>
        <w:topLinePunct/>
        <w:adjustRightInd/>
        <w:ind w:firstLine="480" w:firstLineChars="200"/>
        <w:rPr>
          <w:rFonts w:cs="宋体"/>
        </w:rPr>
      </w:pPr>
      <w:r>
        <w:rPr>
          <w:rFonts w:hint="eastAsia" w:cs="宋体"/>
        </w:rPr>
        <w:t>第三条(术语定义)</w:t>
      </w:r>
    </w:p>
    <w:p>
      <w:pPr>
        <w:topLinePunct/>
        <w:adjustRightInd/>
        <w:ind w:firstLine="480" w:firstLineChars="200"/>
        <w:rPr>
          <w:rFonts w:cs="宋体"/>
        </w:rPr>
      </w:pPr>
      <w:r>
        <w:rPr>
          <w:rFonts w:hint="eastAsia" w:cs="宋体"/>
        </w:rPr>
        <w:t>本办法所称政府采购信用融资，是指融资机构以信用审查为基础，依据政府采购合同，按相应的优惠政策向申请融资的中小企业(以下简称供应商)提供资金支持的融资模式。</w:t>
      </w:r>
    </w:p>
    <w:p>
      <w:pPr>
        <w:topLinePunct/>
        <w:adjustRightInd/>
        <w:ind w:firstLine="480" w:firstLineChars="200"/>
        <w:rPr>
          <w:rFonts w:cs="宋体"/>
        </w:rPr>
      </w:pPr>
      <w:r>
        <w:rPr>
          <w:rFonts w:hint="eastAsia" w:cs="宋体"/>
        </w:rPr>
        <w:t>本办法所称融资机构，是指在成都市属地注册或设立分支机构，有意向按照本办法开展政府采购信用融资业务，经同级财政部门确定的银行机构。</w:t>
      </w:r>
    </w:p>
    <w:p>
      <w:pPr>
        <w:topLinePunct/>
        <w:adjustRightInd/>
        <w:ind w:firstLine="480" w:firstLineChars="200"/>
        <w:rPr>
          <w:rFonts w:cs="宋体"/>
        </w:rPr>
      </w:pPr>
      <w:r>
        <w:rPr>
          <w:rFonts w:hint="eastAsia" w:cs="宋体"/>
        </w:rPr>
        <w:t>本办法所称中小企业，包括中型、小型及微型企业，其划型标准按照国家相关规定执行。</w:t>
      </w:r>
    </w:p>
    <w:p>
      <w:pPr>
        <w:topLinePunct/>
        <w:adjustRightInd/>
        <w:ind w:firstLine="480" w:firstLineChars="200"/>
        <w:rPr>
          <w:rFonts w:cs="宋体"/>
        </w:rPr>
      </w:pPr>
      <w:r>
        <w:rPr>
          <w:rFonts w:hint="eastAsia" w:cs="宋体"/>
        </w:rPr>
        <w:t>第四条(基本原则)</w:t>
      </w:r>
    </w:p>
    <w:p>
      <w:pPr>
        <w:topLinePunct/>
        <w:adjustRightInd/>
        <w:ind w:firstLine="480" w:firstLineChars="200"/>
        <w:rPr>
          <w:rFonts w:cs="宋体"/>
        </w:rPr>
      </w:pPr>
      <w:r>
        <w:rPr>
          <w:rFonts w:hint="eastAsia" w:cs="宋体"/>
        </w:rPr>
        <w:t>政府采购信用融资工作坚持政府引导、市场主导，自愿选择、自担风险，诚实信用、互惠共赢的原则，切实发挥市场在资源配置中的决定性作用。</w:t>
      </w:r>
    </w:p>
    <w:p>
      <w:pPr>
        <w:topLinePunct/>
        <w:adjustRightInd/>
        <w:ind w:firstLine="480" w:firstLineChars="200"/>
        <w:jc w:val="center"/>
        <w:rPr>
          <w:rFonts w:cs="宋体"/>
        </w:rPr>
      </w:pPr>
      <w:r>
        <w:rPr>
          <w:rFonts w:hint="eastAsia" w:cs="宋体"/>
        </w:rPr>
        <w:t>第二章  融资优惠</w:t>
      </w:r>
    </w:p>
    <w:p>
      <w:pPr>
        <w:topLinePunct/>
        <w:adjustRightInd/>
        <w:ind w:firstLine="480" w:firstLineChars="200"/>
        <w:rPr>
          <w:rFonts w:cs="宋体"/>
        </w:rPr>
      </w:pPr>
      <w:r>
        <w:rPr>
          <w:rFonts w:hint="eastAsia" w:cs="宋体"/>
        </w:rPr>
        <w:t>第五条(融资方式)</w:t>
      </w:r>
    </w:p>
    <w:p>
      <w:pPr>
        <w:topLinePunct/>
        <w:adjustRightInd/>
        <w:ind w:firstLine="480" w:firstLineChars="200"/>
        <w:rPr>
          <w:rFonts w:cs="宋体"/>
        </w:rPr>
      </w:pPr>
      <w:r>
        <w:rPr>
          <w:rFonts w:hint="eastAsia" w:cs="宋体"/>
        </w:rPr>
        <w:t>供应商无需提供财产抵押或第三方担保，凭借政府采购合同向融资机构申请融资，融资机构根据其授信政策为供应商提供信用贷款。</w:t>
      </w:r>
    </w:p>
    <w:p>
      <w:pPr>
        <w:topLinePunct/>
        <w:adjustRightInd/>
        <w:ind w:firstLine="480" w:firstLineChars="200"/>
        <w:rPr>
          <w:rFonts w:cs="宋体"/>
        </w:rPr>
      </w:pPr>
      <w:r>
        <w:rPr>
          <w:rFonts w:hint="eastAsia" w:cs="宋体"/>
        </w:rPr>
        <w:t>第六条(融资额度)</w:t>
      </w:r>
    </w:p>
    <w:p>
      <w:pPr>
        <w:topLinePunct/>
        <w:adjustRightInd/>
        <w:ind w:firstLine="480" w:firstLineChars="200"/>
        <w:rPr>
          <w:rFonts w:cs="宋体"/>
        </w:rPr>
      </w:pPr>
      <w:r>
        <w:rPr>
          <w:rFonts w:hint="eastAsia" w:cs="宋体"/>
        </w:rPr>
        <w:t>融资额度原则上不超过政府采购合同金额。</w:t>
      </w:r>
    </w:p>
    <w:p>
      <w:pPr>
        <w:topLinePunct/>
        <w:adjustRightInd/>
        <w:ind w:firstLine="480" w:firstLineChars="200"/>
        <w:rPr>
          <w:rFonts w:cs="宋体"/>
        </w:rPr>
      </w:pPr>
      <w:r>
        <w:rPr>
          <w:rFonts w:hint="eastAsia" w:cs="宋体"/>
        </w:rPr>
        <w:t>第七条(融资利率)</w:t>
      </w:r>
    </w:p>
    <w:p>
      <w:pPr>
        <w:topLinePunct/>
        <w:adjustRightInd/>
        <w:ind w:firstLine="480" w:firstLineChars="200"/>
        <w:rPr>
          <w:rFonts w:cs="宋体"/>
        </w:rPr>
      </w:pPr>
      <w:r>
        <w:rPr>
          <w:rFonts w:hint="eastAsia" w:cs="宋体"/>
        </w:rPr>
        <w:t>融资机构向供应商提供融资的利率应低于同期一般中小企业的贷款利率。融资利率上浮比例原则上不超过中国人民银行公布的同期贷款基准利率的30%。</w:t>
      </w:r>
    </w:p>
    <w:p>
      <w:pPr>
        <w:topLinePunct/>
        <w:adjustRightInd/>
        <w:ind w:firstLine="480" w:firstLineChars="200"/>
        <w:rPr>
          <w:rFonts w:cs="宋体"/>
        </w:rPr>
      </w:pPr>
      <w:r>
        <w:rPr>
          <w:rFonts w:hint="eastAsia" w:cs="宋体"/>
        </w:rPr>
        <w:t>第八条(融资期限)</w:t>
      </w:r>
    </w:p>
    <w:p>
      <w:pPr>
        <w:topLinePunct/>
        <w:adjustRightInd/>
        <w:ind w:firstLine="480" w:firstLineChars="200"/>
        <w:rPr>
          <w:rFonts w:cs="宋体"/>
        </w:rPr>
      </w:pPr>
      <w:r>
        <w:rPr>
          <w:rFonts w:hint="eastAsia" w:cs="宋体"/>
        </w:rPr>
        <w:t>融资期限原则上与政府采购合同履行期限一致。</w:t>
      </w:r>
    </w:p>
    <w:p>
      <w:pPr>
        <w:topLinePunct/>
        <w:adjustRightInd/>
        <w:ind w:firstLine="480" w:firstLineChars="200"/>
        <w:rPr>
          <w:rFonts w:cs="宋体"/>
        </w:rPr>
      </w:pPr>
      <w:r>
        <w:rPr>
          <w:rFonts w:hint="eastAsia" w:cs="宋体"/>
        </w:rPr>
        <w:t>第九条(融资效率)</w:t>
      </w:r>
    </w:p>
    <w:p>
      <w:pPr>
        <w:topLinePunct/>
        <w:adjustRightInd/>
        <w:ind w:firstLine="480" w:firstLineChars="200"/>
        <w:rPr>
          <w:rFonts w:cs="宋体"/>
        </w:rPr>
      </w:pPr>
      <w:r>
        <w:rPr>
          <w:rFonts w:hint="eastAsia" w:cs="宋体"/>
        </w:rPr>
        <w:t>融资机构应当建立政府采购信用融资绿色通道，配备专业人员定向服务，简化融资审批程序。对申报材料齐全完备的供应商，原则上应在5个工作日内完成审批，对审批通过且具备放款条件的供应商，原则上应在5个工作日内完成放款。</w:t>
      </w:r>
    </w:p>
    <w:p>
      <w:pPr>
        <w:topLinePunct/>
        <w:adjustRightInd/>
        <w:ind w:firstLine="480" w:firstLineChars="200"/>
        <w:rPr>
          <w:rFonts w:cs="宋体"/>
        </w:rPr>
      </w:pPr>
      <w:r>
        <w:rPr>
          <w:rFonts w:hint="eastAsia" w:cs="宋体"/>
        </w:rPr>
        <w:t>第十条(融资业务升级)</w:t>
      </w:r>
    </w:p>
    <w:p>
      <w:pPr>
        <w:topLinePunct/>
        <w:adjustRightInd/>
        <w:ind w:firstLine="480" w:firstLineChars="200"/>
        <w:rPr>
          <w:rFonts w:cs="宋体"/>
        </w:rPr>
      </w:pPr>
      <w:r>
        <w:rPr>
          <w:rFonts w:hint="eastAsia" w:cs="宋体"/>
        </w:rPr>
        <w:t>对履约记录良好、诚信资质高的供应商，融资机构应当在授信额度、融资审查、融资利率等方面给予更大支持，促进供应商依法诚信经营。</w:t>
      </w:r>
    </w:p>
    <w:p>
      <w:pPr>
        <w:topLinePunct/>
        <w:adjustRightInd/>
        <w:ind w:firstLine="480" w:firstLineChars="200"/>
        <w:rPr>
          <w:rFonts w:cs="宋体"/>
        </w:rPr>
      </w:pPr>
      <w:r>
        <w:rPr>
          <w:rFonts w:hint="eastAsia" w:cs="宋体"/>
        </w:rPr>
        <w:t>第十一条(贷款风险补贴)</w:t>
      </w:r>
    </w:p>
    <w:p>
      <w:pPr>
        <w:topLinePunct/>
        <w:adjustRightInd/>
        <w:ind w:firstLine="480" w:firstLineChars="200"/>
        <w:rPr>
          <w:rFonts w:cs="宋体"/>
        </w:rPr>
      </w:pPr>
      <w:r>
        <w:rPr>
          <w:rFonts w:hint="eastAsia" w:cs="宋体"/>
        </w:rPr>
        <w:t>对银行业金融机构向小微企业发放的贷款(无需抵押、质押或担保的贷款)损失，财政部门按最高不超过年度新增损失类贷款额的60%予以风险补贴，具体分担比例由各地根据金融机构小微企业贷款发放总量、损失情况、财力状况等因素综合确定。</w:t>
      </w:r>
    </w:p>
    <w:p>
      <w:pPr>
        <w:topLinePunct/>
        <w:adjustRightInd/>
        <w:ind w:firstLine="480" w:firstLineChars="200"/>
        <w:jc w:val="center"/>
        <w:rPr>
          <w:rFonts w:cs="宋体"/>
        </w:rPr>
      </w:pPr>
      <w:r>
        <w:rPr>
          <w:rFonts w:hint="eastAsia" w:cs="宋体"/>
        </w:rPr>
        <w:t>第三章  融资流程</w:t>
      </w:r>
    </w:p>
    <w:p>
      <w:pPr>
        <w:topLinePunct/>
        <w:adjustRightInd/>
        <w:ind w:firstLine="480" w:firstLineChars="200"/>
        <w:rPr>
          <w:rFonts w:cs="宋体"/>
        </w:rPr>
      </w:pPr>
      <w:r>
        <w:rPr>
          <w:rFonts w:hint="eastAsia" w:cs="宋体"/>
        </w:rPr>
        <w:t>第十二条(融资流程)</w:t>
      </w:r>
    </w:p>
    <w:p>
      <w:pPr>
        <w:topLinePunct/>
        <w:adjustRightInd/>
        <w:ind w:firstLine="480" w:firstLineChars="200"/>
        <w:rPr>
          <w:rFonts w:cs="宋体"/>
        </w:rPr>
      </w:pPr>
      <w:r>
        <w:rPr>
          <w:rFonts w:hint="eastAsia" w:cs="宋体"/>
        </w:rPr>
        <w:t>(一)信息发布。采购人应当在发布的采购公告和采购文件中载明采购项目可提供信用融资的信息。</w:t>
      </w:r>
    </w:p>
    <w:p>
      <w:pPr>
        <w:topLinePunct/>
        <w:adjustRightInd/>
        <w:ind w:firstLine="480" w:firstLineChars="200"/>
        <w:rPr>
          <w:rFonts w:cs="宋体"/>
        </w:rPr>
      </w:pPr>
      <w:r>
        <w:rPr>
          <w:rFonts w:hint="eastAsia" w:cs="宋体"/>
        </w:rPr>
        <w:t>(二)融资申请。有融资需求的供应商自主选择提供政府采购信用融资服务的融资机构及产品，并按要求提供申请资料。</w:t>
      </w:r>
    </w:p>
    <w:p>
      <w:pPr>
        <w:topLinePunct/>
        <w:adjustRightInd/>
        <w:ind w:firstLine="480" w:firstLineChars="200"/>
        <w:rPr>
          <w:rFonts w:cs="宋体"/>
        </w:rPr>
      </w:pPr>
      <w:r>
        <w:rPr>
          <w:rFonts w:hint="eastAsia" w:cs="宋体"/>
        </w:rPr>
        <w:t>(三)融资审查。融资机构对供应商的融资申请进行审查，并向供应商反馈审查及融资额度等情况。</w:t>
      </w:r>
    </w:p>
    <w:p>
      <w:pPr>
        <w:topLinePunct/>
        <w:adjustRightInd/>
        <w:ind w:firstLine="480" w:firstLineChars="200"/>
        <w:rPr>
          <w:rFonts w:cs="宋体"/>
        </w:rPr>
      </w:pPr>
      <w:r>
        <w:rPr>
          <w:rFonts w:hint="eastAsia" w:cs="宋体"/>
        </w:rPr>
        <w:t>(四)账户确认。供应商须在合作融资机构开立结算账户，并与采购人在政府采购合同中或通过签订补充协议的方式约定唯一收款账户，融资机构对唯一收款账户进行确认和锁定。</w:t>
      </w:r>
    </w:p>
    <w:p>
      <w:pPr>
        <w:topLinePunct/>
        <w:adjustRightInd/>
        <w:ind w:firstLine="480" w:firstLineChars="200"/>
        <w:rPr>
          <w:rFonts w:cs="宋体"/>
        </w:rPr>
      </w:pPr>
      <w:r>
        <w:rPr>
          <w:rFonts w:hint="eastAsia" w:cs="宋体"/>
        </w:rPr>
        <w:t>(五)放款。融资机构对政府采购合同及融资相关信息进行确认，并向供应商提供相应的融资产品。</w:t>
      </w:r>
    </w:p>
    <w:p>
      <w:pPr>
        <w:topLinePunct/>
        <w:adjustRightInd/>
        <w:ind w:firstLine="480" w:firstLineChars="200"/>
        <w:rPr>
          <w:rFonts w:cs="宋体"/>
        </w:rPr>
      </w:pPr>
      <w:r>
        <w:rPr>
          <w:rFonts w:hint="eastAsia" w:cs="宋体"/>
        </w:rPr>
        <w:t>(六)贷款归还。采购人按相关规定和合同约定将合同资金支付至约定的唯一收款账户。</w:t>
      </w:r>
    </w:p>
    <w:p>
      <w:pPr>
        <w:topLinePunct/>
        <w:adjustRightInd/>
        <w:ind w:firstLine="480" w:firstLineChars="200"/>
        <w:jc w:val="center"/>
        <w:rPr>
          <w:rFonts w:cs="宋体"/>
        </w:rPr>
      </w:pPr>
      <w:r>
        <w:rPr>
          <w:rFonts w:hint="eastAsia" w:cs="宋体"/>
        </w:rPr>
        <w:t>第四章  职责分工</w:t>
      </w:r>
    </w:p>
    <w:p>
      <w:pPr>
        <w:topLinePunct/>
        <w:adjustRightInd/>
        <w:ind w:firstLine="480" w:firstLineChars="200"/>
        <w:rPr>
          <w:rFonts w:cs="宋体"/>
        </w:rPr>
      </w:pPr>
      <w:r>
        <w:rPr>
          <w:rFonts w:hint="eastAsia" w:cs="宋体"/>
        </w:rPr>
        <w:t>第十三条(财政部门职责)</w:t>
      </w:r>
    </w:p>
    <w:p>
      <w:pPr>
        <w:topLinePunct/>
        <w:adjustRightInd/>
        <w:ind w:firstLine="480" w:firstLineChars="200"/>
        <w:rPr>
          <w:rFonts w:cs="宋体"/>
        </w:rPr>
      </w:pPr>
      <w:r>
        <w:rPr>
          <w:rFonts w:hint="eastAsia" w:cs="宋体"/>
        </w:rPr>
        <w:t>牵头政府采购信用融资工作，做好政策引导和支持协调，为开展政府采购信用融资提供便利。向融资机构提供相关必要信息，推进政府采购中标(成交)信息、合同信息、融资信息和信用信息等信息资源共享。适时调整开展政府采购信用融资业务的融资机构名单。但在政府采购信用融资工作中，财政部门不得提供任何形式的担保和承诺。</w:t>
      </w:r>
    </w:p>
    <w:p>
      <w:pPr>
        <w:topLinePunct/>
        <w:adjustRightInd/>
        <w:ind w:firstLine="480" w:firstLineChars="200"/>
        <w:rPr>
          <w:rFonts w:cs="宋体"/>
        </w:rPr>
      </w:pPr>
      <w:r>
        <w:rPr>
          <w:rFonts w:hint="eastAsia" w:cs="宋体"/>
        </w:rPr>
        <w:t>第十四条(融资机构主管部门职责)</w:t>
      </w:r>
    </w:p>
    <w:p>
      <w:pPr>
        <w:topLinePunct/>
        <w:adjustRightInd/>
        <w:ind w:firstLine="480" w:firstLineChars="200"/>
        <w:rPr>
          <w:rFonts w:cs="宋体"/>
        </w:rPr>
      </w:pPr>
      <w:r>
        <w:rPr>
          <w:rFonts w:hint="eastAsia" w:cs="宋体"/>
        </w:rPr>
        <w:t>引导融资机构依法依规开展政府采购信用融资。推动成都市政府采购监督管理系统与中征应收账款融资服务平台直联，实现政府采购信用融资线上办理，加强与财政部门的信息共享。</w:t>
      </w:r>
    </w:p>
    <w:p>
      <w:pPr>
        <w:topLinePunct/>
        <w:adjustRightInd/>
        <w:ind w:firstLine="480" w:firstLineChars="200"/>
        <w:rPr>
          <w:rFonts w:cs="宋体"/>
        </w:rPr>
      </w:pPr>
      <w:r>
        <w:rPr>
          <w:rFonts w:hint="eastAsia" w:cs="宋体"/>
        </w:rPr>
        <w:t>第十五条(采购人职责)</w:t>
      </w:r>
    </w:p>
    <w:p>
      <w:pPr>
        <w:topLinePunct/>
        <w:adjustRightInd/>
        <w:ind w:firstLine="480" w:firstLineChars="200"/>
        <w:rPr>
          <w:rFonts w:cs="宋体"/>
        </w:rPr>
      </w:pPr>
      <w:r>
        <w:rPr>
          <w:rFonts w:hint="eastAsia" w:cs="宋体"/>
        </w:rPr>
        <w:t>执行并宣传政府采购信用融资政策，在采购公告和采购文件中载明政府采购信用融资政策。在采购代理机构委托协议中明确政府采购信用融资工作相关要求。畅通银企对接渠道，支持供应商开展政府采购信用融资。依法及时公开政府采购合同信息，协助融资机构确认或更改合同支付信息。及时开展履约验收和资金支付工作，不得无故拖延和拒付采购资金。</w:t>
      </w:r>
    </w:p>
    <w:p>
      <w:pPr>
        <w:topLinePunct/>
        <w:adjustRightInd/>
        <w:ind w:firstLine="480" w:firstLineChars="200"/>
        <w:rPr>
          <w:rFonts w:cs="宋体"/>
        </w:rPr>
      </w:pPr>
      <w:r>
        <w:rPr>
          <w:rFonts w:hint="eastAsia" w:cs="宋体"/>
        </w:rPr>
        <w:t>第十六条(融资机构职责)</w:t>
      </w:r>
    </w:p>
    <w:p>
      <w:pPr>
        <w:topLinePunct/>
        <w:adjustRightInd/>
        <w:ind w:firstLine="480" w:firstLineChars="200"/>
        <w:rPr>
          <w:rFonts w:cs="宋体"/>
        </w:rPr>
      </w:pPr>
      <w:r>
        <w:rPr>
          <w:rFonts w:hint="eastAsia" w:cs="宋体"/>
        </w:rPr>
        <w:t>宣传和推广政府采购信用融资政策，开发符合政府采购信用融资政策的产品。在做好授信调查的基础上合理确定授信额度。做好融资业务与政府采购业务的系统对接。制定业务管理规范，做好相关风险防控工作。定期向同级财政部门反馈业务开展情况。</w:t>
      </w:r>
    </w:p>
    <w:p>
      <w:pPr>
        <w:topLinePunct/>
        <w:adjustRightInd/>
        <w:ind w:firstLine="480" w:firstLineChars="200"/>
        <w:rPr>
          <w:rFonts w:cs="宋体"/>
        </w:rPr>
      </w:pPr>
      <w:r>
        <w:rPr>
          <w:rFonts w:hint="eastAsia" w:cs="宋体"/>
        </w:rPr>
        <w:t>第十七条(供应商职责)</w:t>
      </w:r>
    </w:p>
    <w:p>
      <w:pPr>
        <w:topLinePunct/>
        <w:adjustRightInd/>
        <w:ind w:firstLine="480" w:firstLineChars="200"/>
        <w:rPr>
          <w:rFonts w:cs="宋体"/>
        </w:rPr>
      </w:pPr>
      <w:r>
        <w:rPr>
          <w:rFonts w:hint="eastAsia" w:cs="宋体"/>
        </w:rPr>
        <w:t>依法诚信参与政府采购活动，严格遵守国家法律、法规和政府采购合同约定，对投标(响应)文件的真实性和相关承诺承担法律责任。真实、完整、准确地向融资机构提供信用融资审查所需相关资料。遵照融资约定及时还本付息。</w:t>
      </w:r>
    </w:p>
    <w:p>
      <w:pPr>
        <w:topLinePunct/>
        <w:adjustRightInd/>
        <w:ind w:firstLine="480" w:firstLineChars="200"/>
        <w:jc w:val="center"/>
        <w:rPr>
          <w:rFonts w:cs="宋体"/>
        </w:rPr>
      </w:pPr>
      <w:r>
        <w:rPr>
          <w:rFonts w:hint="eastAsia" w:cs="宋体"/>
        </w:rPr>
        <w:t>第五章 监督管理</w:t>
      </w:r>
    </w:p>
    <w:p>
      <w:pPr>
        <w:topLinePunct/>
        <w:adjustRightInd/>
        <w:ind w:firstLine="480" w:firstLineChars="200"/>
        <w:rPr>
          <w:rFonts w:cs="宋体"/>
        </w:rPr>
      </w:pPr>
      <w:r>
        <w:rPr>
          <w:rFonts w:hint="eastAsia" w:cs="宋体"/>
        </w:rPr>
        <w:t>第十八条(采购人监管)</w:t>
      </w:r>
    </w:p>
    <w:p>
      <w:pPr>
        <w:topLinePunct/>
        <w:adjustRightInd/>
        <w:ind w:firstLine="480" w:firstLineChars="200"/>
        <w:rPr>
          <w:rFonts w:cs="宋体"/>
        </w:rPr>
      </w:pPr>
      <w:r>
        <w:rPr>
          <w:rFonts w:hint="eastAsia" w:cs="宋体"/>
        </w:rPr>
        <w:t>采购人不执行政府采购信用融资政策，或不正当干预供应商选择合作融资机构，或无故拖延和拒付采购资金的，财政部门视情节进行约谈、通报直至暂停拨付财政资金。</w:t>
      </w:r>
    </w:p>
    <w:p>
      <w:pPr>
        <w:topLinePunct/>
        <w:adjustRightInd/>
        <w:ind w:firstLine="480" w:firstLineChars="200"/>
        <w:rPr>
          <w:rFonts w:cs="宋体"/>
        </w:rPr>
      </w:pPr>
      <w:r>
        <w:rPr>
          <w:rFonts w:hint="eastAsia" w:cs="宋体"/>
        </w:rPr>
        <w:t>第十九条(融资机构监管)</w:t>
      </w:r>
    </w:p>
    <w:p>
      <w:pPr>
        <w:topLinePunct/>
        <w:adjustRightInd/>
        <w:ind w:firstLine="480" w:firstLineChars="200"/>
        <w:rPr>
          <w:rFonts w:cs="宋体"/>
        </w:rPr>
      </w:pPr>
      <w:r>
        <w:rPr>
          <w:rFonts w:hint="eastAsia" w:cs="宋体"/>
        </w:rPr>
        <w:t>融资机构违反规定开展政府采购信用融资业务，对政府采购造成负面影响的，财政部门视情节取消其参与政府采购信用融资的业务权限。</w:t>
      </w:r>
    </w:p>
    <w:p>
      <w:pPr>
        <w:topLinePunct/>
        <w:adjustRightInd/>
        <w:ind w:firstLine="480" w:firstLineChars="200"/>
        <w:rPr>
          <w:rFonts w:cs="宋体"/>
        </w:rPr>
      </w:pPr>
      <w:r>
        <w:rPr>
          <w:rFonts w:hint="eastAsia" w:cs="宋体"/>
        </w:rPr>
        <w:t>第二十条(供应商监管)</w:t>
      </w:r>
    </w:p>
    <w:p>
      <w:pPr>
        <w:topLinePunct/>
        <w:adjustRightInd/>
        <w:ind w:firstLine="480" w:firstLineChars="200"/>
        <w:rPr>
          <w:rFonts w:cs="宋体"/>
        </w:rPr>
      </w:pPr>
      <w:r>
        <w:rPr>
          <w:rFonts w:hint="eastAsia" w:cs="宋体"/>
        </w:rPr>
        <w:t>供应商弄虚作假或以伪造政府采购合同等方式违规获取政府采购信用融资，或不按约定按时还款付息的，融资机构依法追究相关责任。财政部门将其纳入“不具备《政府采购法》第二十二条第一款第(二)项规定的具有良好的商业信誉条件”名单并予以公示。</w:t>
      </w:r>
    </w:p>
    <w:p>
      <w:pPr>
        <w:topLinePunct/>
        <w:adjustRightInd/>
        <w:ind w:firstLine="480" w:firstLineChars="200"/>
        <w:rPr>
          <w:rFonts w:cs="宋体"/>
        </w:rPr>
      </w:pPr>
      <w:r>
        <w:rPr>
          <w:rFonts w:hint="eastAsia" w:cs="宋体"/>
        </w:rPr>
        <w:t>第二十一条</w:t>
      </w:r>
      <w:bookmarkStart w:id="1633" w:name="BM24558847_25425864_3"/>
      <w:bookmarkEnd w:id="1633"/>
      <w:r>
        <w:rPr>
          <w:rFonts w:hint="eastAsia" w:cs="宋体"/>
        </w:rPr>
        <w:t>(相关单位及工作人员监管)</w:t>
      </w:r>
    </w:p>
    <w:p>
      <w:pPr>
        <w:topLinePunct/>
        <w:adjustRightInd/>
        <w:ind w:firstLine="480" w:firstLineChars="200"/>
        <w:rPr>
          <w:rFonts w:cs="宋体"/>
        </w:rPr>
      </w:pPr>
      <w:r>
        <w:rPr>
          <w:rFonts w:hint="eastAsia" w:cs="宋体"/>
        </w:rPr>
        <w:t>各相关单位及其工作人员在履行职责中存在滥用职权、玩忽职守、徇私舞弊等违法违纪行为的，依照有关规定处理，涉嫌犯罪的，移送司法机关处理。</w:t>
      </w:r>
    </w:p>
    <w:p>
      <w:pPr>
        <w:topLinePunct/>
        <w:adjustRightInd/>
        <w:ind w:firstLine="480" w:firstLineChars="200"/>
        <w:jc w:val="center"/>
        <w:rPr>
          <w:rFonts w:cs="宋体"/>
        </w:rPr>
      </w:pPr>
      <w:r>
        <w:rPr>
          <w:rFonts w:hint="eastAsia" w:cs="宋体"/>
        </w:rPr>
        <w:t>第六章  附  则</w:t>
      </w:r>
    </w:p>
    <w:p>
      <w:pPr>
        <w:topLinePunct/>
        <w:adjustRightInd/>
        <w:ind w:firstLine="480" w:firstLineChars="200"/>
        <w:rPr>
          <w:rFonts w:cs="宋体"/>
        </w:rPr>
      </w:pPr>
      <w:r>
        <w:rPr>
          <w:rFonts w:hint="eastAsia" w:cs="宋体"/>
        </w:rPr>
        <w:t>第二十二条(解释相关)</w:t>
      </w:r>
    </w:p>
    <w:p>
      <w:pPr>
        <w:topLinePunct/>
        <w:adjustRightInd/>
        <w:ind w:firstLine="480" w:firstLineChars="200"/>
        <w:rPr>
          <w:rFonts w:cs="宋体"/>
        </w:rPr>
      </w:pPr>
      <w:r>
        <w:rPr>
          <w:rFonts w:hint="eastAsia" w:cs="宋体"/>
        </w:rPr>
        <w:t>本办法由市财政局会同中国人民银行成都分行营业管理部负责解释。</w:t>
      </w:r>
    </w:p>
    <w:p>
      <w:pPr>
        <w:topLinePunct/>
        <w:adjustRightInd/>
        <w:ind w:firstLine="480" w:firstLineChars="200"/>
        <w:rPr>
          <w:rFonts w:cs="宋体"/>
        </w:rPr>
      </w:pPr>
      <w:r>
        <w:rPr>
          <w:rFonts w:hint="eastAsia" w:cs="宋体"/>
        </w:rPr>
        <w:t>第二十三条(施行相关)</w:t>
      </w:r>
    </w:p>
    <w:p>
      <w:pPr>
        <w:topLinePunct/>
        <w:adjustRightInd/>
        <w:ind w:firstLine="480" w:firstLineChars="200"/>
        <w:rPr>
          <w:rFonts w:cs="宋体"/>
        </w:rPr>
      </w:pPr>
      <w:r>
        <w:rPr>
          <w:rFonts w:hint="eastAsia" w:cs="宋体"/>
        </w:rPr>
        <w:t>本办法自印发之日起施行。市财政局、市金融办2013年12月9日印发的《关于开展中小企业政府采购信用担保及融资试点工作的通知》(成财采〔2013〕200号)同时废止。</w:t>
      </w:r>
    </w:p>
    <w:p>
      <w:pPr>
        <w:rPr>
          <w:rFonts w:cs="宋体"/>
        </w:rPr>
      </w:pPr>
      <w:r>
        <w:rPr>
          <w:rFonts w:hint="eastAsia" w:cs="宋体"/>
        </w:rPr>
        <w:br w:type="page"/>
      </w:r>
    </w:p>
    <w:p>
      <w:pPr>
        <w:topLinePunct/>
        <w:adjustRightInd/>
        <w:rPr>
          <w:rFonts w:cs="宋体"/>
        </w:rPr>
      </w:pPr>
      <w:r>
        <w:rPr>
          <w:rFonts w:hint="eastAsia" w:cs="宋体"/>
        </w:rPr>
        <w:t>附件2</w:t>
      </w:r>
    </w:p>
    <w:p>
      <w:pPr>
        <w:topLinePunct/>
        <w:adjustRightInd/>
        <w:ind w:firstLine="480" w:firstLineChars="200"/>
        <w:rPr>
          <w:rFonts w:cs="宋体"/>
        </w:rPr>
      </w:pPr>
    </w:p>
    <w:p>
      <w:pPr>
        <w:topLinePunct/>
        <w:adjustRightInd/>
        <w:jc w:val="center"/>
        <w:rPr>
          <w:rFonts w:cs="宋体"/>
        </w:rPr>
      </w:pPr>
      <w:r>
        <w:rPr>
          <w:rFonts w:hint="eastAsia" w:cs="宋体"/>
        </w:rPr>
        <w:t>成都市级支持中小企业政府采购</w:t>
      </w:r>
    </w:p>
    <w:p>
      <w:pPr>
        <w:topLinePunct/>
        <w:adjustRightInd/>
        <w:jc w:val="center"/>
        <w:rPr>
          <w:rFonts w:cs="宋体"/>
        </w:rPr>
      </w:pPr>
      <w:r>
        <w:rPr>
          <w:rFonts w:hint="eastAsia" w:cs="宋体"/>
        </w:rPr>
        <w:t>信用融资实施方案</w:t>
      </w:r>
    </w:p>
    <w:p>
      <w:pPr>
        <w:topLinePunct/>
        <w:adjustRightInd/>
        <w:ind w:firstLine="480" w:firstLineChars="200"/>
        <w:rPr>
          <w:rFonts w:cs="宋体"/>
        </w:rPr>
      </w:pPr>
    </w:p>
    <w:p>
      <w:pPr>
        <w:topLinePunct/>
        <w:adjustRightInd/>
        <w:ind w:firstLine="480" w:firstLineChars="200"/>
        <w:rPr>
          <w:rFonts w:cs="宋体"/>
        </w:rPr>
      </w:pPr>
      <w:r>
        <w:rPr>
          <w:rFonts w:hint="eastAsia" w:cs="宋体"/>
        </w:rPr>
        <w:t>为贯彻落实中央、省、市关于支持民营经济健康发展相关精神和政府采购支持中小企业发展政策，有效缓解中小企业融资难、融资贵问题，支持中小企业参与政府采购活动，促进中小企业发展，根据《成都市中小企业政府采购信用融资暂行办法》(以下简称《暂行办法》)，制定本实施方案(以下简称《实施方案》)。</w:t>
      </w:r>
    </w:p>
    <w:p>
      <w:pPr>
        <w:topLinePunct/>
        <w:adjustRightInd/>
        <w:ind w:firstLine="480" w:firstLineChars="200"/>
        <w:outlineLvl w:val="0"/>
        <w:rPr>
          <w:rFonts w:cs="宋体"/>
        </w:rPr>
      </w:pPr>
      <w:bookmarkStart w:id="1634" w:name="_Toc22821"/>
      <w:bookmarkStart w:id="1635" w:name="_Toc3317"/>
      <w:bookmarkStart w:id="1636" w:name="_Toc11138"/>
      <w:r>
        <w:rPr>
          <w:rFonts w:hint="eastAsia" w:cs="宋体"/>
        </w:rPr>
        <w:t>一、目标任务</w:t>
      </w:r>
      <w:bookmarkEnd w:id="1634"/>
      <w:bookmarkEnd w:id="1635"/>
      <w:bookmarkEnd w:id="1636"/>
    </w:p>
    <w:p>
      <w:pPr>
        <w:topLinePunct/>
        <w:adjustRightInd/>
        <w:ind w:firstLine="480" w:firstLineChars="200"/>
        <w:rPr>
          <w:rFonts w:cs="宋体"/>
        </w:rPr>
      </w:pPr>
      <w:r>
        <w:rPr>
          <w:rFonts w:hint="eastAsia" w:cs="宋体"/>
        </w:rPr>
        <w:t>全面贯彻落实国务院、四川省、成都市关于支持中小企业发展精神，充分发挥政府采购扶持中小企业发展的政策功能，持续推进和完善政府采购诚信体系建设，引导融资机构扩大对政府采购中标(成交)中小企业供应商(以下简称供应商)的融资规模，积极营造良好的营商环境，促进中小企业高质量发展。</w:t>
      </w:r>
    </w:p>
    <w:p>
      <w:pPr>
        <w:topLinePunct/>
        <w:adjustRightInd/>
        <w:ind w:firstLine="480" w:firstLineChars="200"/>
        <w:outlineLvl w:val="0"/>
        <w:rPr>
          <w:rFonts w:cs="宋体"/>
        </w:rPr>
      </w:pPr>
      <w:bookmarkStart w:id="1637" w:name="_Toc13247"/>
      <w:bookmarkStart w:id="1638" w:name="_Toc21059"/>
      <w:bookmarkStart w:id="1639" w:name="_Toc31797"/>
      <w:r>
        <w:rPr>
          <w:rFonts w:hint="eastAsia" w:cs="宋体"/>
        </w:rPr>
        <w:t>二、适用范围</w:t>
      </w:r>
      <w:bookmarkEnd w:id="1637"/>
      <w:bookmarkEnd w:id="1638"/>
      <w:bookmarkEnd w:id="1639"/>
    </w:p>
    <w:p>
      <w:pPr>
        <w:topLinePunct/>
        <w:adjustRightInd/>
        <w:ind w:firstLine="480" w:firstLineChars="200"/>
        <w:rPr>
          <w:rFonts w:cs="宋体"/>
        </w:rPr>
      </w:pPr>
      <w:r>
        <w:rPr>
          <w:rFonts w:hint="eastAsia" w:cs="宋体"/>
        </w:rPr>
        <w:t>本《实施方案》适用于成都市本级政府采购信用融资工作。</w:t>
      </w:r>
    </w:p>
    <w:p>
      <w:pPr>
        <w:topLinePunct/>
        <w:adjustRightInd/>
        <w:ind w:firstLine="480" w:firstLineChars="200"/>
        <w:outlineLvl w:val="0"/>
        <w:rPr>
          <w:rFonts w:cs="宋体"/>
        </w:rPr>
      </w:pPr>
      <w:bookmarkStart w:id="1640" w:name="_Toc3457"/>
      <w:bookmarkStart w:id="1641" w:name="_Toc28220"/>
      <w:bookmarkStart w:id="1642" w:name="_Toc12968"/>
      <w:r>
        <w:rPr>
          <w:rFonts w:hint="eastAsia" w:cs="宋体"/>
        </w:rPr>
        <w:t>三、基本原则</w:t>
      </w:r>
      <w:bookmarkEnd w:id="1640"/>
      <w:bookmarkEnd w:id="1641"/>
      <w:bookmarkEnd w:id="1642"/>
      <w:r>
        <w:rPr>
          <w:rFonts w:hint="eastAsia" w:cs="宋体"/>
        </w:rPr>
        <w:t xml:space="preserve"> </w:t>
      </w:r>
    </w:p>
    <w:p>
      <w:pPr>
        <w:topLinePunct/>
        <w:adjustRightInd/>
        <w:ind w:firstLine="480" w:firstLineChars="200"/>
        <w:rPr>
          <w:rFonts w:cs="宋体"/>
        </w:rPr>
      </w:pPr>
      <w:r>
        <w:rPr>
          <w:rFonts w:hint="eastAsia" w:cs="宋体"/>
        </w:rPr>
        <w:t>(一)政府引导、市场主导。坚持政采搭台、市场运作，市财政局、中国人民银行成都分行营业管理部牵头组织并指导市级政府采购信用融资工作，但不参与政府采购信用融资具体业务。融资机构和供应商通过市场化运作的方式开展政府采购信用融资工作。</w:t>
      </w:r>
    </w:p>
    <w:p>
      <w:pPr>
        <w:topLinePunct/>
        <w:adjustRightInd/>
        <w:ind w:firstLine="480" w:firstLineChars="200"/>
        <w:rPr>
          <w:rFonts w:cs="宋体"/>
        </w:rPr>
      </w:pPr>
      <w:r>
        <w:rPr>
          <w:rFonts w:hint="eastAsia" w:cs="宋体"/>
        </w:rPr>
        <w:t>(二)自愿选择、自担风险。融资机构自愿选择是否开展政府采购信用融资业务。供应商自主决定是否享受政府采购信用融资政策，并自由选择信用融资合作方。融资机构与供应商自行承担政府采购信用融资的业务风险。</w:t>
      </w:r>
    </w:p>
    <w:p>
      <w:pPr>
        <w:topLinePunct/>
        <w:adjustRightInd/>
        <w:ind w:firstLine="480" w:firstLineChars="200"/>
        <w:rPr>
          <w:rFonts w:cs="宋体"/>
        </w:rPr>
      </w:pPr>
      <w:r>
        <w:rPr>
          <w:rFonts w:hint="eastAsia" w:cs="宋体"/>
        </w:rPr>
        <w:t>(三)诚实信用、互惠共赢。引导供应商树立“诚信创造价值”的理念，通过政府采购信用融资支持供应商依法、诚信经营。利用信息化技术搭建信息互通平台，在诚实信用、互惠互利基础上，促进供应商与融资机构实现良性互动、合作共赢。</w:t>
      </w:r>
    </w:p>
    <w:p>
      <w:pPr>
        <w:topLinePunct/>
        <w:adjustRightInd/>
        <w:ind w:firstLine="480" w:firstLineChars="200"/>
        <w:outlineLvl w:val="0"/>
        <w:rPr>
          <w:rFonts w:cs="宋体"/>
        </w:rPr>
      </w:pPr>
      <w:bookmarkStart w:id="1643" w:name="_Toc11803"/>
      <w:bookmarkStart w:id="1644" w:name="_Toc12872"/>
      <w:bookmarkStart w:id="1645" w:name="_Toc22987"/>
      <w:r>
        <w:rPr>
          <w:rFonts w:hint="eastAsia" w:cs="宋体"/>
        </w:rPr>
        <w:t>四、组织实施</w:t>
      </w:r>
      <w:bookmarkEnd w:id="1643"/>
      <w:bookmarkEnd w:id="1644"/>
      <w:bookmarkEnd w:id="1645"/>
    </w:p>
    <w:p>
      <w:pPr>
        <w:topLinePunct/>
        <w:adjustRightInd/>
        <w:ind w:firstLine="480" w:firstLineChars="200"/>
        <w:rPr>
          <w:rFonts w:cs="宋体"/>
        </w:rPr>
      </w:pPr>
      <w:r>
        <w:rPr>
          <w:rFonts w:hint="eastAsia" w:cs="宋体"/>
        </w:rPr>
        <w:t>(一)宣传动员</w:t>
      </w:r>
    </w:p>
    <w:p>
      <w:pPr>
        <w:topLinePunct/>
        <w:adjustRightInd/>
        <w:ind w:firstLine="480" w:firstLineChars="200"/>
        <w:rPr>
          <w:rFonts w:cs="宋体"/>
          <w:color w:val="000000"/>
        </w:rPr>
      </w:pPr>
      <w:r>
        <w:rPr>
          <w:rFonts w:hint="eastAsia" w:cs="宋体"/>
        </w:rPr>
        <w:t>相关部门和单位采取多种方式积极宣传《暂行办法》和《实</w:t>
      </w:r>
      <w:r>
        <w:rPr>
          <w:rFonts w:hint="eastAsia" w:cs="宋体"/>
          <w:color w:val="000000"/>
        </w:rPr>
        <w:t>施方案》，落实财政部门、融资机构主管部门、采购人、融资机构等职责任务，明确各项工作目标任务，确保成都市级政府采购信用融资工作有序推进。</w:t>
      </w:r>
    </w:p>
    <w:p>
      <w:pPr>
        <w:topLinePunct/>
        <w:adjustRightInd/>
        <w:ind w:firstLine="480" w:firstLineChars="200"/>
        <w:rPr>
          <w:rFonts w:cs="宋体"/>
        </w:rPr>
      </w:pPr>
      <w:r>
        <w:rPr>
          <w:rFonts w:hint="eastAsia" w:cs="宋体"/>
        </w:rPr>
        <w:t>(二)融资机构选择</w:t>
      </w:r>
    </w:p>
    <w:p>
      <w:pPr>
        <w:topLinePunct/>
        <w:adjustRightInd/>
        <w:ind w:firstLine="480" w:firstLineChars="200"/>
        <w:rPr>
          <w:rFonts w:cs="宋体"/>
          <w:color w:val="000000"/>
        </w:rPr>
      </w:pPr>
      <w:r>
        <w:rPr>
          <w:rFonts w:hint="eastAsia" w:cs="宋体"/>
          <w:color w:val="000000"/>
        </w:rPr>
        <w:t>1．报名。有意向按照《暂行办法》和《实施方案》开展政府采购信用融资业务的融资机构，由其在蓉最高机构或在蓉最高机构指定的分支机构在市财政局政府采购监督管理处报名。报名需提供以下材料：</w:t>
      </w:r>
    </w:p>
    <w:p>
      <w:pPr>
        <w:topLinePunct/>
        <w:adjustRightInd/>
        <w:ind w:firstLine="480" w:firstLineChars="200"/>
        <w:rPr>
          <w:rFonts w:cs="宋体"/>
          <w:color w:val="000000"/>
        </w:rPr>
      </w:pPr>
      <w:r>
        <w:rPr>
          <w:rFonts w:hint="eastAsia" w:cs="宋体"/>
          <w:color w:val="000000"/>
        </w:rPr>
        <w:t>(1)融资机构基本情况；</w:t>
      </w:r>
    </w:p>
    <w:p>
      <w:pPr>
        <w:topLinePunct/>
        <w:adjustRightInd/>
        <w:ind w:firstLine="480" w:firstLineChars="200"/>
        <w:rPr>
          <w:rFonts w:cs="宋体"/>
          <w:color w:val="000000"/>
        </w:rPr>
      </w:pPr>
      <w:r>
        <w:rPr>
          <w:rFonts w:hint="eastAsia" w:cs="宋体"/>
          <w:color w:val="000000"/>
        </w:rPr>
        <w:t>(2)政府采购信用融资实施方案(包括授信政策、融资产品、贷款利率及其它优惠措施、业务流程及各环节办结时间、联系方式等)；</w:t>
      </w:r>
    </w:p>
    <w:p>
      <w:pPr>
        <w:topLinePunct/>
        <w:adjustRightInd/>
        <w:ind w:firstLine="480" w:firstLineChars="200"/>
        <w:rPr>
          <w:rFonts w:cs="宋体"/>
          <w:color w:val="000000"/>
        </w:rPr>
      </w:pPr>
      <w:r>
        <w:rPr>
          <w:rFonts w:hint="eastAsia" w:cs="宋体"/>
          <w:color w:val="000000"/>
        </w:rPr>
        <w:t>(3)关于遵照《暂行办法》和《实施方案》开展政府采购信用融资业务的承诺；</w:t>
      </w:r>
    </w:p>
    <w:p>
      <w:pPr>
        <w:topLinePunct/>
        <w:adjustRightInd/>
        <w:ind w:firstLine="480" w:firstLineChars="200"/>
        <w:rPr>
          <w:rFonts w:cs="宋体"/>
          <w:color w:val="000000"/>
        </w:rPr>
      </w:pPr>
      <w:r>
        <w:rPr>
          <w:rFonts w:hint="eastAsia" w:cs="宋体"/>
          <w:color w:val="000000"/>
        </w:rPr>
        <w:t>(4)关于政府采购信用融资业务风险及系统对接研发费用自行承担的承诺。</w:t>
      </w:r>
    </w:p>
    <w:p>
      <w:pPr>
        <w:topLinePunct/>
        <w:adjustRightInd/>
        <w:ind w:firstLine="480" w:firstLineChars="200"/>
        <w:rPr>
          <w:rFonts w:cs="宋体"/>
          <w:color w:val="000000"/>
        </w:rPr>
      </w:pPr>
      <w:r>
        <w:rPr>
          <w:rFonts w:hint="eastAsia" w:cs="宋体"/>
          <w:color w:val="000000"/>
        </w:rPr>
        <w:t>2．系统对接。融资机构成功报名后，须按要求完成政府采购信用融资业务与成都市政府采购监督管理系统的技术对接。</w:t>
      </w:r>
    </w:p>
    <w:p>
      <w:pPr>
        <w:topLinePunct/>
        <w:adjustRightInd/>
        <w:ind w:firstLine="480" w:firstLineChars="200"/>
        <w:rPr>
          <w:rFonts w:cs="宋体"/>
          <w:color w:val="000000"/>
        </w:rPr>
      </w:pPr>
      <w:r>
        <w:rPr>
          <w:rFonts w:hint="eastAsia" w:cs="宋体"/>
          <w:color w:val="000000"/>
        </w:rPr>
        <w:t>3．确定融资机构。市财政局将完成系统对接的融资机构确定为我市开展政府采购信用融资业务的融资机构，并在成都市政府采购监督管理系统集中展示，为供应商开展融资提供指引。</w:t>
      </w:r>
    </w:p>
    <w:p>
      <w:pPr>
        <w:topLinePunct/>
        <w:adjustRightInd/>
        <w:ind w:firstLine="480" w:firstLineChars="200"/>
        <w:rPr>
          <w:rFonts w:cs="宋体"/>
        </w:rPr>
      </w:pPr>
      <w:r>
        <w:rPr>
          <w:rFonts w:hint="eastAsia" w:cs="宋体"/>
        </w:rPr>
        <w:t>(三)其他事项</w:t>
      </w:r>
    </w:p>
    <w:p>
      <w:pPr>
        <w:topLinePunct/>
        <w:adjustRightInd/>
        <w:ind w:firstLine="480" w:firstLineChars="200"/>
        <w:rPr>
          <w:rFonts w:cs="宋体"/>
          <w:color w:val="000000"/>
        </w:rPr>
      </w:pPr>
      <w:r>
        <w:rPr>
          <w:rFonts w:hint="eastAsia" w:cs="宋体"/>
          <w:color w:val="000000"/>
        </w:rPr>
        <w:t>成都市级政府采购信用融资工作通过成都市政府采购监督管理系统实行全流程在线管理。成都市政府采购监督管理系统启用前或升级维护期间，市级政府采购信用融资业务按照《暂行办法》相关规定进行离线办理，并在系统正常运行后上传相关信息。</w:t>
      </w:r>
    </w:p>
    <w:p>
      <w:pPr>
        <w:topLinePunct/>
        <w:adjustRightInd/>
        <w:ind w:firstLine="480" w:firstLineChars="200"/>
        <w:outlineLvl w:val="0"/>
        <w:rPr>
          <w:rFonts w:cs="宋体"/>
        </w:rPr>
      </w:pPr>
      <w:bookmarkStart w:id="1646" w:name="_Toc23662"/>
      <w:bookmarkStart w:id="1647" w:name="_Toc22025"/>
      <w:bookmarkStart w:id="1648" w:name="_Toc21612"/>
      <w:r>
        <w:rPr>
          <w:rFonts w:hint="eastAsia" w:cs="宋体"/>
        </w:rPr>
        <w:t>五、相关要求</w:t>
      </w:r>
      <w:bookmarkEnd w:id="1646"/>
      <w:bookmarkEnd w:id="1647"/>
      <w:bookmarkEnd w:id="1648"/>
    </w:p>
    <w:p>
      <w:pPr>
        <w:topLinePunct/>
        <w:adjustRightInd/>
        <w:ind w:firstLine="480" w:firstLineChars="200"/>
        <w:rPr>
          <w:rFonts w:cs="宋体"/>
        </w:rPr>
      </w:pPr>
      <w:r>
        <w:rPr>
          <w:rFonts w:hint="eastAsia" w:cs="宋体"/>
        </w:rPr>
        <w:t>(一)加强组织领导。</w:t>
      </w:r>
      <w:r>
        <w:rPr>
          <w:rFonts w:hint="eastAsia" w:cs="宋体"/>
          <w:color w:val="000000"/>
          <w:kern w:val="0"/>
        </w:rPr>
        <w:t>政府采购信用融资是缓解中小企业资金短缺压力，优化中小企业发展环境，促进我市经济发展的重要举措。市级各部门、单位要统一思想，充分认识此项工作的重要意义，认真抓好政策落实，</w:t>
      </w:r>
      <w:r>
        <w:rPr>
          <w:rFonts w:hint="eastAsia" w:cs="宋体"/>
        </w:rPr>
        <w:t>全面、有序、科学推进政府采购信用融资工作。</w:t>
      </w:r>
    </w:p>
    <w:p>
      <w:pPr>
        <w:topLinePunct/>
        <w:adjustRightInd/>
        <w:ind w:firstLine="480" w:firstLineChars="200"/>
        <w:rPr>
          <w:rFonts w:cs="宋体"/>
        </w:rPr>
      </w:pPr>
      <w:r>
        <w:rPr>
          <w:rFonts w:hint="eastAsia" w:cs="宋体"/>
        </w:rPr>
        <w:t>(二)注重协调配合。</w:t>
      </w:r>
      <w:r>
        <w:rPr>
          <w:rFonts w:hint="eastAsia" w:cs="宋体"/>
          <w:color w:val="000000"/>
          <w:kern w:val="0"/>
        </w:rPr>
        <w:t>市财政局、中国人民银行成都分行营业管理部及采购人</w:t>
      </w:r>
      <w:r>
        <w:rPr>
          <w:rFonts w:hint="eastAsia" w:cs="宋体"/>
        </w:rPr>
        <w:t>等有关单位要根据职责任务，及时协调解决工作中遇到的困难和问题，积极</w:t>
      </w:r>
      <w:r>
        <w:rPr>
          <w:rFonts w:hint="eastAsia" w:cs="宋体"/>
          <w:color w:val="000000"/>
          <w:kern w:val="0"/>
        </w:rPr>
        <w:t>创造条件主动服务，帮助有融资需求、符合条件的供应商实现政府采购信用融资，促进中小企业又好又快发展</w:t>
      </w:r>
      <w:r>
        <w:rPr>
          <w:rFonts w:hint="eastAsia" w:cs="宋体"/>
        </w:rPr>
        <w:t>。</w:t>
      </w:r>
    </w:p>
    <w:p>
      <w:pPr>
        <w:topLinePunct/>
        <w:adjustRightInd/>
        <w:ind w:firstLine="480" w:firstLineChars="200"/>
        <w:rPr>
          <w:rFonts w:cs="宋体"/>
        </w:rPr>
      </w:pPr>
      <w:r>
        <w:rPr>
          <w:rFonts w:hint="eastAsia" w:cs="宋体"/>
        </w:rPr>
        <w:t>(三)强化宣传引导。各相关部门、单位要不断优化工作机制，为中小企业供应商提供优质服务。强化宣传引导，不断扩大政府采购信用融资政策的知晓度。加强跟踪问效，让政府采购信用融资惠及更多中小企业，积极营造良好的营商环境。</w:t>
      </w:r>
    </w:p>
    <w:p>
      <w:pPr>
        <w:pStyle w:val="53"/>
        <w:ind w:firstLine="482"/>
        <w:sectPr>
          <w:headerReference r:id="rId11" w:type="first"/>
          <w:footerReference r:id="rId13" w:type="first"/>
          <w:headerReference r:id="rId10" w:type="default"/>
          <w:footerReference r:id="rId12" w:type="default"/>
          <w:pgSz w:w="11906" w:h="16838"/>
          <w:pgMar w:top="1247" w:right="1020" w:bottom="1247" w:left="1020" w:header="851" w:footer="992" w:gutter="0"/>
          <w:pgNumType w:start="1"/>
          <w:cols w:space="0" w:num="1"/>
          <w:titlePg/>
          <w:docGrid w:linePitch="312" w:charSpace="0"/>
        </w:sectPr>
      </w:pPr>
    </w:p>
    <w:p>
      <w:pPr>
        <w:jc w:val="center"/>
        <w:outlineLvl w:val="1"/>
        <w:rPr>
          <w:rFonts w:ascii="宋体" w:hAnsi="宋体"/>
          <w:b/>
          <w:bCs/>
          <w:sz w:val="30"/>
          <w:szCs w:val="30"/>
        </w:rPr>
      </w:pPr>
      <w:r>
        <w:rPr>
          <w:rFonts w:hint="eastAsia" w:ascii="宋体" w:hAnsi="宋体" w:cs="宋体"/>
          <w:b/>
          <w:sz w:val="30"/>
          <w:szCs w:val="30"/>
        </w:rPr>
        <w:t>附录</w:t>
      </w:r>
    </w:p>
    <w:p>
      <w:pPr>
        <w:jc w:val="center"/>
        <w:outlineLvl w:val="1"/>
        <w:rPr>
          <w:rFonts w:eastAsia="仿宋"/>
          <w:b/>
          <w:bCs/>
          <w:sz w:val="28"/>
          <w:szCs w:val="28"/>
        </w:rPr>
      </w:pPr>
      <w:bookmarkStart w:id="1649" w:name="_Toc22250"/>
      <w:bookmarkStart w:id="1650" w:name="_Toc12647"/>
      <w:bookmarkStart w:id="1651" w:name="_Toc19004"/>
      <w:bookmarkStart w:id="1652" w:name="_Toc30982"/>
      <w:bookmarkStart w:id="1653" w:name="_Toc5506"/>
      <w:bookmarkStart w:id="1654" w:name="_Toc30748"/>
      <w:bookmarkStart w:id="1655" w:name="_Toc7468"/>
      <w:r>
        <w:rPr>
          <w:rFonts w:hint="eastAsia" w:eastAsia="仿宋"/>
          <w:b/>
          <w:bCs/>
          <w:sz w:val="28"/>
          <w:szCs w:val="28"/>
        </w:rPr>
        <w:t>附录A 成都市地下管线普查成果更新管线数据规定</w:t>
      </w:r>
      <w:bookmarkEnd w:id="1649"/>
      <w:bookmarkEnd w:id="1650"/>
      <w:bookmarkEnd w:id="1651"/>
      <w:bookmarkEnd w:id="1652"/>
      <w:bookmarkEnd w:id="1653"/>
      <w:bookmarkEnd w:id="1654"/>
      <w:bookmarkEnd w:id="1655"/>
    </w:p>
    <w:p>
      <w:pPr>
        <w:jc w:val="left"/>
        <w:rPr>
          <w:rFonts w:eastAsia="仿宋"/>
          <w:b/>
          <w:sz w:val="28"/>
          <w:szCs w:val="28"/>
        </w:rPr>
      </w:pPr>
      <w:r>
        <w:rPr>
          <w:rFonts w:hint="eastAsia" w:eastAsia="仿宋"/>
          <w:b/>
          <w:sz w:val="28"/>
          <w:szCs w:val="28"/>
        </w:rPr>
        <w:t>一、</w:t>
      </w:r>
      <w:r>
        <w:rPr>
          <w:rFonts w:eastAsia="仿宋"/>
          <w:b/>
          <w:sz w:val="28"/>
          <w:szCs w:val="28"/>
        </w:rPr>
        <w:t>一般规定</w:t>
      </w:r>
    </w:p>
    <w:p>
      <w:pPr>
        <w:spacing w:line="360" w:lineRule="auto"/>
        <w:ind w:firstLine="560" w:firstLineChars="200"/>
        <w:jc w:val="left"/>
        <w:rPr>
          <w:rFonts w:ascii="仿宋" w:hAnsi="仿宋" w:eastAsia="仿宋"/>
          <w:sz w:val="24"/>
        </w:rPr>
      </w:pPr>
      <w:r>
        <w:rPr>
          <w:rFonts w:hint="eastAsia" w:eastAsia="仿宋"/>
          <w:sz w:val="28"/>
          <w:szCs w:val="28"/>
        </w:rPr>
        <w:t>1、管线分类、代号、代码及颜色按附表</w:t>
      </w:r>
      <w:r>
        <w:rPr>
          <w:rFonts w:eastAsia="仿宋"/>
          <w:sz w:val="28"/>
          <w:szCs w:val="28"/>
        </w:rPr>
        <w:t>A.</w:t>
      </w:r>
      <w:r>
        <w:rPr>
          <w:rFonts w:hint="eastAsia" w:eastAsia="仿宋"/>
          <w:sz w:val="28"/>
          <w:szCs w:val="28"/>
        </w:rPr>
        <w:t>8执行。</w:t>
      </w:r>
    </w:p>
    <w:p>
      <w:pPr>
        <w:spacing w:line="360" w:lineRule="auto"/>
        <w:ind w:firstLine="560" w:firstLineChars="200"/>
        <w:jc w:val="left"/>
      </w:pPr>
      <w:r>
        <w:rPr>
          <w:rFonts w:eastAsia="仿宋"/>
          <w:sz w:val="28"/>
          <w:szCs w:val="28"/>
        </w:rPr>
        <w:t>2</w:t>
      </w:r>
      <w:r>
        <w:rPr>
          <w:rFonts w:hint="eastAsia" w:eastAsia="仿宋"/>
          <w:sz w:val="28"/>
          <w:szCs w:val="28"/>
        </w:rPr>
        <w:t>、管线要素代码：管线要素应在管线分类基础上，按照点、线、面进行分类，由管线的基础地理信息要素代码、管线分类代码、管线要素类型码组成，采用</w:t>
      </w:r>
      <w:r>
        <w:rPr>
          <w:rFonts w:eastAsia="仿宋"/>
          <w:sz w:val="28"/>
          <w:szCs w:val="28"/>
        </w:rPr>
        <w:t>8</w:t>
      </w:r>
      <w:r>
        <w:rPr>
          <w:rFonts w:hint="eastAsia" w:eastAsia="仿宋"/>
          <w:sz w:val="28"/>
          <w:szCs w:val="28"/>
        </w:rPr>
        <w:t>位数字表示，编码规则见附表</w:t>
      </w:r>
      <w:r>
        <w:rPr>
          <w:rFonts w:eastAsia="仿宋"/>
          <w:sz w:val="28"/>
          <w:szCs w:val="28"/>
        </w:rPr>
        <w:t>A.</w:t>
      </w:r>
      <w:r>
        <w:rPr>
          <w:rFonts w:hint="eastAsia" w:eastAsia="仿宋"/>
          <w:sz w:val="28"/>
          <w:szCs w:val="28"/>
        </w:rPr>
        <w:t>9，要素代码结构如下图：</w:t>
      </w:r>
    </w:p>
    <w:p>
      <w:pPr>
        <w:pStyle w:val="95"/>
        <w:spacing w:line="360" w:lineRule="auto"/>
        <w:ind w:firstLine="0" w:firstLineChars="0"/>
        <w:jc w:val="center"/>
      </w:pPr>
      <w:r>
        <w:drawing>
          <wp:inline distT="0" distB="0" distL="0" distR="0">
            <wp:extent cx="4457700" cy="1933575"/>
            <wp:effectExtent l="0" t="0" r="0" b="9525"/>
            <wp:docPr id="214" name="图片 214" descr="E:\00-成都市地下管线普查成果更新\05-成都市地下管线普查成果更新技术方案\要素编码图20201214 .jpg要素编码图202012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E:\00-成都市地下管线普查成果更新\05-成都市地下管线普查成果更新技术方案\要素编码图20201214 .jpg要素编码图20201214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457700" cy="1933575"/>
                    </a:xfrm>
                    <a:prstGeom prst="rect">
                      <a:avLst/>
                    </a:prstGeom>
                    <a:noFill/>
                    <a:ln>
                      <a:noFill/>
                    </a:ln>
                  </pic:spPr>
                </pic:pic>
              </a:graphicData>
            </a:graphic>
          </wp:inline>
        </w:drawing>
      </w:r>
    </w:p>
    <w:p>
      <w:pPr>
        <w:spacing w:line="360" w:lineRule="auto"/>
        <w:ind w:firstLine="2409" w:firstLineChars="1000"/>
        <w:jc w:val="left"/>
        <w:rPr>
          <w:rFonts w:eastAsia="仿宋"/>
          <w:b/>
          <w:sz w:val="28"/>
          <w:szCs w:val="28"/>
        </w:rPr>
      </w:pPr>
      <w:r>
        <w:rPr>
          <w:rFonts w:hint="eastAsia" w:ascii="仿宋" w:hAnsi="仿宋" w:eastAsia="仿宋"/>
          <w:b/>
          <w:sz w:val="24"/>
        </w:rPr>
        <w:t>图</w:t>
      </w:r>
      <w:r>
        <w:rPr>
          <w:rFonts w:ascii="仿宋" w:hAnsi="仿宋" w:eastAsia="仿宋"/>
          <w:b/>
          <w:sz w:val="24"/>
        </w:rPr>
        <w:t>A-1</w:t>
      </w:r>
      <w:r>
        <w:rPr>
          <w:rFonts w:hint="eastAsia" w:ascii="仿宋" w:hAnsi="仿宋" w:eastAsia="仿宋"/>
          <w:b/>
          <w:sz w:val="24"/>
        </w:rPr>
        <w:t>管线要素代码结构</w:t>
      </w:r>
    </w:p>
    <w:p>
      <w:pPr>
        <w:spacing w:line="360" w:lineRule="auto"/>
        <w:ind w:firstLine="560" w:firstLineChars="200"/>
        <w:jc w:val="left"/>
        <w:rPr>
          <w:rFonts w:eastAsia="仿宋"/>
          <w:sz w:val="28"/>
          <w:szCs w:val="28"/>
        </w:rPr>
      </w:pPr>
      <w:r>
        <w:rPr>
          <w:rFonts w:hint="eastAsia" w:eastAsia="仿宋"/>
          <w:sz w:val="28"/>
          <w:szCs w:val="28"/>
        </w:rPr>
        <w:t>3、管线点符号见附表</w:t>
      </w:r>
      <w:r>
        <w:rPr>
          <w:rFonts w:eastAsia="仿宋"/>
          <w:sz w:val="28"/>
          <w:szCs w:val="28"/>
        </w:rPr>
        <w:t>A.</w:t>
      </w:r>
      <w:r>
        <w:rPr>
          <w:rFonts w:hint="eastAsia" w:eastAsia="仿宋"/>
          <w:sz w:val="28"/>
          <w:szCs w:val="28"/>
        </w:rPr>
        <w:t>10地下管线点图例。</w:t>
      </w:r>
    </w:p>
    <w:p>
      <w:pPr>
        <w:spacing w:line="360" w:lineRule="auto"/>
        <w:ind w:firstLine="560" w:firstLineChars="200"/>
        <w:jc w:val="left"/>
        <w:rPr>
          <w:rFonts w:eastAsia="仿宋"/>
          <w:sz w:val="28"/>
          <w:szCs w:val="28"/>
        </w:rPr>
      </w:pPr>
      <w:r>
        <w:rPr>
          <w:rFonts w:hint="eastAsia" w:eastAsia="仿宋"/>
          <w:sz w:val="28"/>
          <w:szCs w:val="28"/>
        </w:rPr>
        <w:t>4、</w:t>
      </w:r>
      <w:r>
        <w:rPr>
          <w:rFonts w:eastAsia="仿宋"/>
          <w:sz w:val="28"/>
          <w:szCs w:val="28"/>
        </w:rPr>
        <w:t>管线线型图例及</w:t>
      </w:r>
      <w:r>
        <w:rPr>
          <w:rFonts w:hint="eastAsia" w:eastAsia="仿宋"/>
          <w:sz w:val="28"/>
          <w:szCs w:val="28"/>
        </w:rPr>
        <w:t>颜色按附表</w:t>
      </w:r>
      <w:r>
        <w:rPr>
          <w:rFonts w:eastAsia="仿宋"/>
          <w:sz w:val="28"/>
          <w:szCs w:val="28"/>
        </w:rPr>
        <w:t>A.1</w:t>
      </w:r>
      <w:r>
        <w:rPr>
          <w:rFonts w:hint="eastAsia" w:eastAsia="仿宋"/>
          <w:sz w:val="28"/>
          <w:szCs w:val="28"/>
        </w:rPr>
        <w:t>1</w:t>
      </w:r>
      <w:r>
        <w:rPr>
          <w:rFonts w:eastAsia="仿宋"/>
          <w:sz w:val="28"/>
          <w:szCs w:val="28"/>
        </w:rPr>
        <w:t>的规定执行</w:t>
      </w:r>
      <w:r>
        <w:rPr>
          <w:rFonts w:hint="eastAsia" w:eastAsia="仿宋"/>
          <w:sz w:val="28"/>
          <w:szCs w:val="28"/>
        </w:rPr>
        <w:t>。</w:t>
      </w:r>
    </w:p>
    <w:p>
      <w:pPr>
        <w:spacing w:line="360" w:lineRule="auto"/>
        <w:ind w:firstLine="560" w:firstLineChars="200"/>
        <w:jc w:val="left"/>
        <w:rPr>
          <w:rFonts w:eastAsia="仿宋"/>
          <w:sz w:val="28"/>
          <w:szCs w:val="28"/>
        </w:rPr>
      </w:pPr>
      <w:r>
        <w:rPr>
          <w:rFonts w:hint="eastAsia" w:eastAsia="仿宋"/>
          <w:sz w:val="28"/>
          <w:szCs w:val="28"/>
        </w:rPr>
        <w:t>5、</w:t>
      </w:r>
      <w:r>
        <w:rPr>
          <w:rFonts w:eastAsia="仿宋"/>
          <w:sz w:val="28"/>
          <w:szCs w:val="28"/>
        </w:rPr>
        <w:t>管线</w:t>
      </w:r>
      <w:r>
        <w:rPr>
          <w:rFonts w:hint="eastAsia" w:eastAsia="仿宋"/>
          <w:sz w:val="28"/>
          <w:szCs w:val="28"/>
        </w:rPr>
        <w:t>要</w:t>
      </w:r>
      <w:r>
        <w:rPr>
          <w:rFonts w:eastAsia="仿宋"/>
          <w:sz w:val="28"/>
          <w:szCs w:val="28"/>
        </w:rPr>
        <w:t>素代码按</w:t>
      </w:r>
      <w:r>
        <w:rPr>
          <w:rFonts w:hint="eastAsia" w:eastAsia="仿宋"/>
          <w:sz w:val="28"/>
          <w:szCs w:val="28"/>
        </w:rPr>
        <w:t>附表</w:t>
      </w:r>
      <w:r>
        <w:rPr>
          <w:rFonts w:eastAsia="仿宋"/>
          <w:sz w:val="28"/>
          <w:szCs w:val="28"/>
        </w:rPr>
        <w:t>A.1</w:t>
      </w:r>
      <w:r>
        <w:rPr>
          <w:rFonts w:hint="eastAsia" w:eastAsia="仿宋"/>
          <w:sz w:val="28"/>
          <w:szCs w:val="28"/>
        </w:rPr>
        <w:t>2</w:t>
      </w:r>
      <w:r>
        <w:rPr>
          <w:rFonts w:eastAsia="仿宋"/>
          <w:sz w:val="28"/>
          <w:szCs w:val="28"/>
        </w:rPr>
        <w:t>的规定执行。</w:t>
      </w:r>
    </w:p>
    <w:p>
      <w:pPr>
        <w:spacing w:line="360" w:lineRule="auto"/>
        <w:ind w:firstLine="560" w:firstLineChars="200"/>
        <w:jc w:val="left"/>
        <w:rPr>
          <w:rFonts w:eastAsia="仿宋"/>
          <w:sz w:val="28"/>
          <w:szCs w:val="28"/>
        </w:rPr>
      </w:pPr>
      <w:r>
        <w:rPr>
          <w:rFonts w:eastAsia="仿宋"/>
          <w:sz w:val="28"/>
          <w:szCs w:val="28"/>
        </w:rPr>
        <w:t>6</w:t>
      </w:r>
      <w:r>
        <w:rPr>
          <w:rFonts w:hint="eastAsia" w:eastAsia="仿宋"/>
          <w:sz w:val="28"/>
          <w:szCs w:val="28"/>
        </w:rPr>
        <w:t>、管线属性值域见</w:t>
      </w:r>
      <w:r>
        <w:rPr>
          <w:rFonts w:eastAsia="仿宋"/>
          <w:sz w:val="28"/>
          <w:szCs w:val="28"/>
        </w:rPr>
        <w:t>附表A.1</w:t>
      </w:r>
      <w:r>
        <w:rPr>
          <w:rFonts w:hint="eastAsia" w:eastAsia="仿宋"/>
          <w:sz w:val="28"/>
          <w:szCs w:val="28"/>
        </w:rPr>
        <w:t>3</w:t>
      </w:r>
      <w:r>
        <w:rPr>
          <w:rFonts w:eastAsia="仿宋"/>
          <w:sz w:val="28"/>
          <w:szCs w:val="28"/>
        </w:rPr>
        <w:t>。</w:t>
      </w:r>
    </w:p>
    <w:p>
      <w:pPr>
        <w:spacing w:line="360" w:lineRule="auto"/>
        <w:ind w:firstLine="560" w:firstLineChars="200"/>
        <w:jc w:val="left"/>
        <w:rPr>
          <w:rFonts w:eastAsia="仿宋"/>
          <w:sz w:val="28"/>
          <w:szCs w:val="28"/>
        </w:rPr>
      </w:pPr>
      <w:r>
        <w:rPr>
          <w:rFonts w:hint="eastAsia" w:eastAsia="仿宋"/>
          <w:sz w:val="28"/>
          <w:szCs w:val="28"/>
        </w:rPr>
        <w:t>7、</w:t>
      </w:r>
      <w:r>
        <w:rPr>
          <w:rFonts w:eastAsia="仿宋"/>
          <w:sz w:val="28"/>
          <w:szCs w:val="28"/>
        </w:rPr>
        <w:t>管线分类、代码和符号可根据需要进行扩充。</w:t>
      </w:r>
    </w:p>
    <w:p>
      <w:pPr>
        <w:spacing w:line="360" w:lineRule="auto"/>
        <w:ind w:firstLine="560" w:firstLineChars="200"/>
        <w:jc w:val="left"/>
        <w:rPr>
          <w:rFonts w:eastAsia="仿宋"/>
          <w:sz w:val="28"/>
          <w:szCs w:val="28"/>
        </w:rPr>
      </w:pPr>
      <w:r>
        <w:rPr>
          <w:rFonts w:hint="eastAsia" w:eastAsia="仿宋"/>
          <w:sz w:val="28"/>
          <w:szCs w:val="28"/>
        </w:rPr>
        <w:t>8、管线点号采用25位编号方式，分别按行政区划代码（6位）、管类代号（2位）、更新日期（8位）、测区号（3位）和自然顺序数（6位）排列，自然顺序数位数不够用前置“0”补齐。行政区划代码按GB/T 2260执行。如：</w:t>
      </w:r>
      <w:r>
        <w:rPr>
          <w:rFonts w:eastAsia="仿宋"/>
          <w:sz w:val="28"/>
          <w:szCs w:val="28"/>
        </w:rPr>
        <w:t>5101</w:t>
      </w:r>
      <w:r>
        <w:rPr>
          <w:rFonts w:hint="eastAsia" w:eastAsia="仿宋"/>
          <w:sz w:val="28"/>
          <w:szCs w:val="28"/>
        </w:rPr>
        <w:t>02YS</w:t>
      </w:r>
      <w:r>
        <w:rPr>
          <w:rFonts w:eastAsia="仿宋"/>
          <w:sz w:val="28"/>
          <w:szCs w:val="28"/>
        </w:rPr>
        <w:t>20</w:t>
      </w:r>
      <w:r>
        <w:rPr>
          <w:rFonts w:hint="eastAsia" w:eastAsia="仿宋"/>
          <w:sz w:val="28"/>
          <w:szCs w:val="28"/>
        </w:rPr>
        <w:t>20121201</w:t>
      </w:r>
      <w:r>
        <w:rPr>
          <w:rFonts w:eastAsia="仿宋"/>
          <w:sz w:val="28"/>
          <w:szCs w:val="28"/>
        </w:rPr>
        <w:t>00</w:t>
      </w:r>
      <w:r>
        <w:rPr>
          <w:rFonts w:hint="eastAsia" w:eastAsia="仿宋"/>
          <w:sz w:val="28"/>
          <w:szCs w:val="28"/>
        </w:rPr>
        <w:t>0</w:t>
      </w:r>
      <w:r>
        <w:rPr>
          <w:rFonts w:eastAsia="仿宋"/>
          <w:sz w:val="28"/>
          <w:szCs w:val="28"/>
        </w:rPr>
        <w:t>00</w:t>
      </w:r>
      <w:r>
        <w:rPr>
          <w:rFonts w:hint="eastAsia" w:eastAsia="仿宋"/>
          <w:sz w:val="28"/>
          <w:szCs w:val="28"/>
        </w:rPr>
        <w:t>24。</w:t>
      </w:r>
    </w:p>
    <w:p>
      <w:pPr>
        <w:spacing w:line="360" w:lineRule="auto"/>
        <w:jc w:val="center"/>
        <w:rPr>
          <w:rFonts w:ascii="仿宋" w:hAnsi="仿宋" w:eastAsia="仿宋"/>
          <w:sz w:val="24"/>
        </w:rPr>
      </w:pPr>
      <w:r>
        <w:rPr>
          <w:rFonts w:ascii="仿宋" w:hAnsi="仿宋" w:eastAsia="仿宋"/>
          <w:sz w:val="24"/>
        </w:rPr>
        <w:drawing>
          <wp:inline distT="0" distB="0" distL="0" distR="0">
            <wp:extent cx="3752850" cy="1647825"/>
            <wp:effectExtent l="0" t="0" r="0" b="9525"/>
            <wp:docPr id="213" name="图片 213" descr="E:\00-成都市地下管线普查成果更新\05-成都市地下管线普查成果更新技术方案\点号编码图20201214.jpg点号编码图2020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E:\00-成都市地下管线普查成果更新\05-成都市地下管线普查成果更新技术方案\点号编码图20201214.jpg点号编码图202012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3752850" cy="1647825"/>
                    </a:xfrm>
                    <a:prstGeom prst="rect">
                      <a:avLst/>
                    </a:prstGeom>
                    <a:noFill/>
                    <a:ln>
                      <a:noFill/>
                    </a:ln>
                  </pic:spPr>
                </pic:pic>
              </a:graphicData>
            </a:graphic>
          </wp:inline>
        </w:drawing>
      </w:r>
    </w:p>
    <w:p>
      <w:pPr>
        <w:ind w:firstLine="420"/>
        <w:jc w:val="left"/>
        <w:rPr>
          <w:rFonts w:ascii="仿宋" w:hAnsi="仿宋" w:eastAsia="仿宋"/>
          <w:sz w:val="24"/>
        </w:rPr>
      </w:pPr>
      <w:r>
        <w:rPr>
          <w:rFonts w:hint="eastAsia" w:ascii="仿宋" w:hAnsi="仿宋" w:eastAsia="仿宋"/>
          <w:sz w:val="24"/>
        </w:rPr>
        <w:t>注：更新日期为监理检查通过后的日期。管类代号见</w:t>
      </w:r>
      <w:r>
        <w:rPr>
          <w:rFonts w:ascii="仿宋" w:hAnsi="仿宋" w:eastAsia="仿宋"/>
          <w:sz w:val="24"/>
        </w:rPr>
        <w:t>附</w:t>
      </w:r>
      <w:r>
        <w:rPr>
          <w:rFonts w:hint="eastAsia" w:ascii="仿宋" w:hAnsi="仿宋" w:eastAsia="仿宋"/>
          <w:sz w:val="24"/>
        </w:rPr>
        <w:t>表</w:t>
      </w:r>
      <w:r>
        <w:rPr>
          <w:rFonts w:ascii="仿宋" w:hAnsi="仿宋" w:eastAsia="仿宋"/>
          <w:sz w:val="24"/>
        </w:rPr>
        <w:t>A.</w:t>
      </w:r>
      <w:r>
        <w:rPr>
          <w:rFonts w:hint="eastAsia" w:ascii="仿宋" w:hAnsi="仿宋" w:eastAsia="仿宋"/>
          <w:sz w:val="24"/>
        </w:rPr>
        <w:t>8小类代号。</w:t>
      </w:r>
    </w:p>
    <w:p>
      <w:pPr>
        <w:spacing w:line="360" w:lineRule="auto"/>
        <w:jc w:val="left"/>
        <w:rPr>
          <w:rFonts w:eastAsia="仿宋"/>
          <w:b/>
          <w:sz w:val="28"/>
          <w:szCs w:val="28"/>
        </w:rPr>
      </w:pPr>
      <w:r>
        <w:rPr>
          <w:rFonts w:hint="eastAsia" w:eastAsia="仿宋"/>
          <w:b/>
          <w:sz w:val="28"/>
          <w:szCs w:val="28"/>
        </w:rPr>
        <w:t>二、管线属性数据分层</w:t>
      </w:r>
    </w:p>
    <w:p>
      <w:pPr>
        <w:spacing w:line="560" w:lineRule="exact"/>
        <w:ind w:firstLine="560" w:firstLineChars="200"/>
        <w:jc w:val="left"/>
        <w:rPr>
          <w:rFonts w:eastAsia="仿宋"/>
          <w:sz w:val="28"/>
          <w:szCs w:val="28"/>
        </w:rPr>
      </w:pPr>
      <w:r>
        <w:rPr>
          <w:rFonts w:eastAsia="仿宋"/>
          <w:sz w:val="28"/>
          <w:szCs w:val="28"/>
        </w:rPr>
        <w:t>地下管线数据按数据分层组织管理，管线数据分层命名分别为管线点、管线线、管线面、管线辅助点、管线辅助线、管线注记。管线要素分层及命名规则见表A-2。</w:t>
      </w:r>
    </w:p>
    <w:p>
      <w:pPr>
        <w:spacing w:line="360" w:lineRule="auto"/>
        <w:jc w:val="center"/>
        <w:rPr>
          <w:rFonts w:ascii="仿宋" w:hAnsi="仿宋" w:eastAsia="仿宋"/>
          <w:b/>
          <w:sz w:val="24"/>
        </w:rPr>
      </w:pPr>
      <w:r>
        <w:rPr>
          <w:rFonts w:ascii="仿宋" w:hAnsi="仿宋" w:eastAsia="仿宋"/>
          <w:b/>
          <w:sz w:val="24"/>
        </w:rPr>
        <w:t>表A-2 管线要素分层及命名表</w:t>
      </w:r>
    </w:p>
    <w:tbl>
      <w:tblPr>
        <w:tblStyle w:val="26"/>
        <w:tblW w:w="8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2220"/>
        <w:gridCol w:w="1185"/>
        <w:gridCol w:w="1095"/>
        <w:gridCol w:w="2295"/>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0" w:type="dxa"/>
            <w:vAlign w:val="center"/>
          </w:tcPr>
          <w:p>
            <w:pPr>
              <w:jc w:val="center"/>
              <w:rPr>
                <w:rFonts w:ascii="仿宋" w:hAnsi="仿宋" w:eastAsia="仿宋"/>
                <w:color w:val="000000"/>
                <w:szCs w:val="21"/>
              </w:rPr>
            </w:pPr>
            <w:r>
              <w:rPr>
                <w:rFonts w:ascii="仿宋" w:hAnsi="仿宋" w:eastAsia="仿宋"/>
                <w:color w:val="000000"/>
                <w:szCs w:val="21"/>
              </w:rPr>
              <w:t>要素分类</w:t>
            </w:r>
          </w:p>
        </w:tc>
        <w:tc>
          <w:tcPr>
            <w:tcW w:w="2220" w:type="dxa"/>
            <w:vAlign w:val="center"/>
          </w:tcPr>
          <w:p>
            <w:pPr>
              <w:jc w:val="center"/>
              <w:rPr>
                <w:rFonts w:ascii="仿宋" w:hAnsi="仿宋" w:eastAsia="仿宋"/>
                <w:color w:val="000000"/>
                <w:szCs w:val="21"/>
              </w:rPr>
            </w:pPr>
            <w:r>
              <w:rPr>
                <w:rFonts w:ascii="仿宋" w:hAnsi="仿宋" w:eastAsia="仿宋"/>
                <w:color w:val="000000"/>
                <w:szCs w:val="21"/>
              </w:rPr>
              <w:t>数据分层</w:t>
            </w:r>
          </w:p>
        </w:tc>
        <w:tc>
          <w:tcPr>
            <w:tcW w:w="1185" w:type="dxa"/>
            <w:vAlign w:val="center"/>
          </w:tcPr>
          <w:p>
            <w:pPr>
              <w:jc w:val="center"/>
              <w:rPr>
                <w:rFonts w:ascii="仿宋" w:hAnsi="仿宋" w:eastAsia="仿宋"/>
                <w:color w:val="000000"/>
                <w:szCs w:val="21"/>
              </w:rPr>
            </w:pPr>
            <w:r>
              <w:rPr>
                <w:rFonts w:ascii="仿宋" w:hAnsi="仿宋" w:eastAsia="仿宋"/>
                <w:color w:val="000000"/>
                <w:szCs w:val="21"/>
              </w:rPr>
              <w:t>几何特征</w:t>
            </w:r>
          </w:p>
        </w:tc>
        <w:tc>
          <w:tcPr>
            <w:tcW w:w="1095" w:type="dxa"/>
            <w:vAlign w:val="center"/>
          </w:tcPr>
          <w:p>
            <w:pPr>
              <w:jc w:val="center"/>
              <w:rPr>
                <w:rFonts w:ascii="仿宋" w:hAnsi="仿宋" w:eastAsia="仿宋"/>
                <w:color w:val="000000"/>
                <w:szCs w:val="21"/>
              </w:rPr>
            </w:pPr>
            <w:r>
              <w:rPr>
                <w:rFonts w:ascii="仿宋" w:hAnsi="仿宋" w:eastAsia="仿宋"/>
                <w:color w:val="000000"/>
                <w:szCs w:val="21"/>
              </w:rPr>
              <w:t>表名</w:t>
            </w:r>
          </w:p>
        </w:tc>
        <w:tc>
          <w:tcPr>
            <w:tcW w:w="2295" w:type="dxa"/>
            <w:vAlign w:val="center"/>
          </w:tcPr>
          <w:p>
            <w:pPr>
              <w:jc w:val="center"/>
              <w:rPr>
                <w:rFonts w:ascii="仿宋" w:hAnsi="仿宋" w:eastAsia="仿宋"/>
                <w:color w:val="000000"/>
                <w:szCs w:val="21"/>
              </w:rPr>
            </w:pPr>
            <w:r>
              <w:rPr>
                <w:rFonts w:ascii="仿宋" w:hAnsi="仿宋" w:eastAsia="仿宋"/>
                <w:color w:val="000000"/>
                <w:szCs w:val="21"/>
              </w:rPr>
              <w:t>说明</w:t>
            </w:r>
          </w:p>
        </w:tc>
        <w:tc>
          <w:tcPr>
            <w:tcW w:w="723" w:type="dxa"/>
            <w:vAlign w:val="center"/>
          </w:tcPr>
          <w:p>
            <w:pPr>
              <w:jc w:val="center"/>
              <w:rPr>
                <w:rFonts w:ascii="仿宋" w:hAnsi="仿宋" w:eastAsia="仿宋"/>
                <w:color w:val="000000"/>
                <w:szCs w:val="21"/>
              </w:rPr>
            </w:pPr>
            <w:r>
              <w:rPr>
                <w:rFonts w:hint="eastAsia" w:ascii="仿宋" w:hAnsi="仿宋" w:eastAsia="仿宋"/>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0" w:type="dxa"/>
            <w:vMerge w:val="restart"/>
            <w:vAlign w:val="center"/>
          </w:tcPr>
          <w:p>
            <w:pPr>
              <w:jc w:val="center"/>
              <w:rPr>
                <w:rFonts w:ascii="仿宋" w:hAnsi="仿宋" w:eastAsia="仿宋"/>
                <w:color w:val="000000"/>
                <w:szCs w:val="21"/>
              </w:rPr>
            </w:pPr>
            <w:r>
              <w:rPr>
                <w:rFonts w:hint="eastAsia" w:ascii="仿宋" w:hAnsi="仿宋" w:eastAsia="仿宋"/>
                <w:szCs w:val="21"/>
              </w:rPr>
              <w:t>XX</w:t>
            </w:r>
            <w:r>
              <w:rPr>
                <w:rFonts w:hint="eastAsia" w:ascii="仿宋" w:hAnsi="仿宋" w:eastAsia="仿宋"/>
                <w:color w:val="000000"/>
                <w:szCs w:val="21"/>
              </w:rPr>
              <w:t>xx</w:t>
            </w:r>
          </w:p>
        </w:tc>
        <w:tc>
          <w:tcPr>
            <w:tcW w:w="2220" w:type="dxa"/>
            <w:vAlign w:val="center"/>
          </w:tcPr>
          <w:p>
            <w:pPr>
              <w:jc w:val="center"/>
              <w:rPr>
                <w:rFonts w:ascii="仿宋" w:hAnsi="仿宋" w:eastAsia="仿宋"/>
                <w:color w:val="000000"/>
                <w:szCs w:val="21"/>
              </w:rPr>
            </w:pPr>
            <w:r>
              <w:rPr>
                <w:rFonts w:ascii="仿宋" w:hAnsi="仿宋" w:eastAsia="仿宋"/>
                <w:color w:val="000000"/>
                <w:szCs w:val="21"/>
              </w:rPr>
              <w:t>储存管线点信息</w:t>
            </w:r>
          </w:p>
        </w:tc>
        <w:tc>
          <w:tcPr>
            <w:tcW w:w="1185" w:type="dxa"/>
            <w:vAlign w:val="center"/>
          </w:tcPr>
          <w:p>
            <w:pPr>
              <w:jc w:val="center"/>
              <w:rPr>
                <w:rFonts w:ascii="仿宋" w:hAnsi="仿宋" w:eastAsia="仿宋"/>
                <w:color w:val="000000"/>
                <w:szCs w:val="21"/>
              </w:rPr>
            </w:pPr>
            <w:r>
              <w:rPr>
                <w:rFonts w:ascii="仿宋" w:hAnsi="仿宋" w:eastAsia="仿宋"/>
                <w:color w:val="000000"/>
                <w:szCs w:val="21"/>
              </w:rPr>
              <w:t>点状</w:t>
            </w:r>
          </w:p>
        </w:tc>
        <w:tc>
          <w:tcPr>
            <w:tcW w:w="1095" w:type="dxa"/>
            <w:vAlign w:val="center"/>
          </w:tcPr>
          <w:p>
            <w:pPr>
              <w:jc w:val="center"/>
              <w:rPr>
                <w:rFonts w:ascii="仿宋" w:hAnsi="仿宋" w:eastAsia="仿宋"/>
                <w:color w:val="000000"/>
                <w:szCs w:val="21"/>
              </w:rPr>
            </w:pPr>
            <w:r>
              <w:rPr>
                <w:rFonts w:ascii="仿宋" w:hAnsi="仿宋" w:eastAsia="仿宋"/>
                <w:color w:val="000000"/>
                <w:szCs w:val="21"/>
              </w:rPr>
              <w:t>XXxxP</w:t>
            </w:r>
          </w:p>
        </w:tc>
        <w:tc>
          <w:tcPr>
            <w:tcW w:w="2295" w:type="dxa"/>
            <w:vAlign w:val="center"/>
          </w:tcPr>
          <w:p>
            <w:pPr>
              <w:jc w:val="center"/>
              <w:rPr>
                <w:rFonts w:ascii="仿宋" w:hAnsi="仿宋" w:eastAsia="仿宋"/>
                <w:color w:val="000000"/>
                <w:szCs w:val="21"/>
              </w:rPr>
            </w:pPr>
            <w:r>
              <w:rPr>
                <w:rFonts w:hint="eastAsia" w:ascii="仿宋" w:hAnsi="仿宋" w:eastAsia="仿宋"/>
                <w:color w:val="000000"/>
                <w:szCs w:val="21"/>
              </w:rPr>
              <w:t>属性结构见附表A</w:t>
            </w:r>
            <w:r>
              <w:rPr>
                <w:rFonts w:ascii="仿宋" w:hAnsi="仿宋" w:eastAsia="仿宋"/>
                <w:color w:val="000000"/>
                <w:szCs w:val="21"/>
              </w:rPr>
              <w:t>.1</w:t>
            </w:r>
          </w:p>
        </w:tc>
        <w:tc>
          <w:tcPr>
            <w:tcW w:w="723" w:type="dxa"/>
            <w:vAlign w:val="center"/>
          </w:tcPr>
          <w:p>
            <w:pPr>
              <w:jc w:val="cente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0" w:type="dxa"/>
            <w:vMerge w:val="continue"/>
            <w:vAlign w:val="center"/>
          </w:tcPr>
          <w:p>
            <w:pPr>
              <w:jc w:val="center"/>
              <w:rPr>
                <w:rFonts w:ascii="仿宋" w:hAnsi="仿宋" w:eastAsia="仿宋"/>
                <w:color w:val="000000"/>
                <w:szCs w:val="21"/>
              </w:rPr>
            </w:pPr>
          </w:p>
        </w:tc>
        <w:tc>
          <w:tcPr>
            <w:tcW w:w="2220" w:type="dxa"/>
            <w:vAlign w:val="center"/>
          </w:tcPr>
          <w:p>
            <w:pPr>
              <w:jc w:val="center"/>
              <w:rPr>
                <w:rFonts w:ascii="仿宋" w:hAnsi="仿宋" w:eastAsia="仿宋"/>
                <w:color w:val="000000"/>
                <w:szCs w:val="21"/>
              </w:rPr>
            </w:pPr>
            <w:r>
              <w:rPr>
                <w:rFonts w:ascii="仿宋" w:hAnsi="仿宋" w:eastAsia="仿宋"/>
                <w:color w:val="000000"/>
                <w:szCs w:val="21"/>
              </w:rPr>
              <w:t>储存管线线信息</w:t>
            </w:r>
          </w:p>
        </w:tc>
        <w:tc>
          <w:tcPr>
            <w:tcW w:w="1185" w:type="dxa"/>
            <w:vAlign w:val="center"/>
          </w:tcPr>
          <w:p>
            <w:pPr>
              <w:jc w:val="center"/>
              <w:rPr>
                <w:rFonts w:ascii="仿宋" w:hAnsi="仿宋" w:eastAsia="仿宋"/>
                <w:color w:val="000000"/>
                <w:szCs w:val="21"/>
              </w:rPr>
            </w:pPr>
            <w:r>
              <w:rPr>
                <w:rFonts w:ascii="仿宋" w:hAnsi="仿宋" w:eastAsia="仿宋"/>
                <w:color w:val="000000"/>
                <w:szCs w:val="21"/>
              </w:rPr>
              <w:t>线状</w:t>
            </w:r>
          </w:p>
        </w:tc>
        <w:tc>
          <w:tcPr>
            <w:tcW w:w="1095" w:type="dxa"/>
            <w:vAlign w:val="center"/>
          </w:tcPr>
          <w:p>
            <w:pPr>
              <w:jc w:val="center"/>
              <w:rPr>
                <w:rFonts w:ascii="仿宋" w:hAnsi="仿宋" w:eastAsia="仿宋"/>
                <w:color w:val="000000"/>
                <w:szCs w:val="21"/>
              </w:rPr>
            </w:pPr>
            <w:r>
              <w:rPr>
                <w:rFonts w:ascii="仿宋" w:hAnsi="仿宋" w:eastAsia="仿宋"/>
                <w:color w:val="000000"/>
                <w:szCs w:val="21"/>
              </w:rPr>
              <w:t>XXxxL</w:t>
            </w:r>
          </w:p>
        </w:tc>
        <w:tc>
          <w:tcPr>
            <w:tcW w:w="2295" w:type="dxa"/>
            <w:vAlign w:val="center"/>
          </w:tcPr>
          <w:p>
            <w:pPr>
              <w:jc w:val="center"/>
              <w:rPr>
                <w:rFonts w:ascii="仿宋" w:hAnsi="仿宋" w:eastAsia="仿宋"/>
                <w:color w:val="000000"/>
                <w:szCs w:val="21"/>
              </w:rPr>
            </w:pPr>
            <w:r>
              <w:rPr>
                <w:rFonts w:hint="eastAsia" w:ascii="仿宋" w:hAnsi="仿宋" w:eastAsia="仿宋"/>
                <w:color w:val="000000"/>
                <w:szCs w:val="21"/>
              </w:rPr>
              <w:t>属性结构见附表A</w:t>
            </w:r>
            <w:r>
              <w:rPr>
                <w:rFonts w:ascii="仿宋" w:hAnsi="仿宋" w:eastAsia="仿宋"/>
                <w:color w:val="000000"/>
                <w:szCs w:val="21"/>
              </w:rPr>
              <w:t>.2</w:t>
            </w:r>
          </w:p>
        </w:tc>
        <w:tc>
          <w:tcPr>
            <w:tcW w:w="723" w:type="dxa"/>
            <w:vAlign w:val="center"/>
          </w:tcPr>
          <w:p>
            <w:pPr>
              <w:jc w:val="cente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0" w:type="dxa"/>
            <w:vMerge w:val="continue"/>
            <w:vAlign w:val="center"/>
          </w:tcPr>
          <w:p>
            <w:pPr>
              <w:jc w:val="center"/>
              <w:rPr>
                <w:rFonts w:ascii="仿宋" w:hAnsi="仿宋" w:eastAsia="仿宋"/>
                <w:color w:val="000000"/>
                <w:szCs w:val="21"/>
              </w:rPr>
            </w:pPr>
          </w:p>
        </w:tc>
        <w:tc>
          <w:tcPr>
            <w:tcW w:w="2220" w:type="dxa"/>
            <w:vAlign w:val="center"/>
          </w:tcPr>
          <w:p>
            <w:pPr>
              <w:jc w:val="center"/>
              <w:rPr>
                <w:rFonts w:ascii="仿宋" w:hAnsi="仿宋" w:eastAsia="仿宋"/>
                <w:color w:val="000000"/>
                <w:szCs w:val="21"/>
              </w:rPr>
            </w:pPr>
            <w:r>
              <w:rPr>
                <w:rFonts w:ascii="仿宋" w:hAnsi="仿宋" w:eastAsia="仿宋"/>
                <w:color w:val="000000"/>
                <w:szCs w:val="21"/>
              </w:rPr>
              <w:t>储存管线面信息</w:t>
            </w:r>
          </w:p>
        </w:tc>
        <w:tc>
          <w:tcPr>
            <w:tcW w:w="1185" w:type="dxa"/>
            <w:vAlign w:val="center"/>
          </w:tcPr>
          <w:p>
            <w:pPr>
              <w:jc w:val="center"/>
              <w:rPr>
                <w:rFonts w:ascii="仿宋" w:hAnsi="仿宋" w:eastAsia="仿宋"/>
                <w:color w:val="000000"/>
                <w:szCs w:val="21"/>
              </w:rPr>
            </w:pPr>
            <w:r>
              <w:rPr>
                <w:rFonts w:ascii="仿宋" w:hAnsi="仿宋" w:eastAsia="仿宋"/>
                <w:color w:val="000000"/>
                <w:szCs w:val="21"/>
              </w:rPr>
              <w:t>面状</w:t>
            </w:r>
          </w:p>
        </w:tc>
        <w:tc>
          <w:tcPr>
            <w:tcW w:w="1095" w:type="dxa"/>
            <w:vAlign w:val="center"/>
          </w:tcPr>
          <w:p>
            <w:pPr>
              <w:jc w:val="center"/>
              <w:rPr>
                <w:rFonts w:ascii="仿宋" w:hAnsi="仿宋" w:eastAsia="仿宋"/>
                <w:color w:val="000000"/>
                <w:szCs w:val="21"/>
              </w:rPr>
            </w:pPr>
            <w:r>
              <w:rPr>
                <w:rFonts w:ascii="仿宋" w:hAnsi="仿宋" w:eastAsia="仿宋"/>
                <w:color w:val="000000"/>
                <w:szCs w:val="21"/>
              </w:rPr>
              <w:t>XXxxA</w:t>
            </w:r>
          </w:p>
        </w:tc>
        <w:tc>
          <w:tcPr>
            <w:tcW w:w="2295" w:type="dxa"/>
            <w:vAlign w:val="center"/>
          </w:tcPr>
          <w:p>
            <w:pPr>
              <w:jc w:val="center"/>
              <w:rPr>
                <w:rFonts w:ascii="仿宋" w:hAnsi="仿宋" w:eastAsia="仿宋"/>
                <w:color w:val="000000"/>
                <w:szCs w:val="21"/>
              </w:rPr>
            </w:pPr>
            <w:r>
              <w:rPr>
                <w:rFonts w:hint="eastAsia" w:ascii="仿宋" w:hAnsi="仿宋" w:eastAsia="仿宋"/>
                <w:color w:val="000000"/>
                <w:szCs w:val="21"/>
              </w:rPr>
              <w:t>属性结构见附表A</w:t>
            </w:r>
            <w:r>
              <w:rPr>
                <w:rFonts w:ascii="仿宋" w:hAnsi="仿宋" w:eastAsia="仿宋"/>
                <w:color w:val="000000"/>
                <w:szCs w:val="21"/>
              </w:rPr>
              <w:t>.3</w:t>
            </w:r>
          </w:p>
        </w:tc>
        <w:tc>
          <w:tcPr>
            <w:tcW w:w="723" w:type="dxa"/>
            <w:vAlign w:val="center"/>
          </w:tcPr>
          <w:p>
            <w:pPr>
              <w:jc w:val="cente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0" w:type="dxa"/>
            <w:vMerge w:val="continue"/>
            <w:vAlign w:val="center"/>
          </w:tcPr>
          <w:p>
            <w:pPr>
              <w:jc w:val="center"/>
              <w:rPr>
                <w:rFonts w:ascii="仿宋" w:hAnsi="仿宋" w:eastAsia="仿宋"/>
                <w:color w:val="000000"/>
                <w:szCs w:val="21"/>
              </w:rPr>
            </w:pPr>
          </w:p>
        </w:tc>
        <w:tc>
          <w:tcPr>
            <w:tcW w:w="2220" w:type="dxa"/>
            <w:vAlign w:val="center"/>
          </w:tcPr>
          <w:p>
            <w:pPr>
              <w:jc w:val="center"/>
              <w:rPr>
                <w:rFonts w:ascii="仿宋" w:hAnsi="仿宋" w:eastAsia="仿宋"/>
                <w:color w:val="000000"/>
                <w:szCs w:val="21"/>
              </w:rPr>
            </w:pPr>
            <w:r>
              <w:rPr>
                <w:rFonts w:ascii="仿宋" w:hAnsi="仿宋" w:eastAsia="仿宋"/>
                <w:color w:val="000000"/>
                <w:szCs w:val="21"/>
              </w:rPr>
              <w:t>储存管线辅助点信息</w:t>
            </w:r>
          </w:p>
        </w:tc>
        <w:tc>
          <w:tcPr>
            <w:tcW w:w="1185" w:type="dxa"/>
            <w:vAlign w:val="center"/>
          </w:tcPr>
          <w:p>
            <w:pPr>
              <w:jc w:val="center"/>
              <w:rPr>
                <w:rFonts w:ascii="仿宋" w:hAnsi="仿宋" w:eastAsia="仿宋"/>
                <w:color w:val="000000"/>
                <w:szCs w:val="21"/>
              </w:rPr>
            </w:pPr>
            <w:r>
              <w:rPr>
                <w:rFonts w:ascii="仿宋" w:hAnsi="仿宋" w:eastAsia="仿宋"/>
                <w:color w:val="000000"/>
                <w:szCs w:val="21"/>
              </w:rPr>
              <w:t>辅助点</w:t>
            </w:r>
          </w:p>
        </w:tc>
        <w:tc>
          <w:tcPr>
            <w:tcW w:w="1095" w:type="dxa"/>
            <w:vAlign w:val="center"/>
          </w:tcPr>
          <w:p>
            <w:pPr>
              <w:jc w:val="center"/>
              <w:rPr>
                <w:rFonts w:ascii="仿宋" w:hAnsi="仿宋" w:eastAsia="仿宋"/>
                <w:color w:val="000000"/>
                <w:szCs w:val="21"/>
              </w:rPr>
            </w:pPr>
            <w:r>
              <w:rPr>
                <w:rFonts w:ascii="仿宋" w:hAnsi="仿宋" w:eastAsia="仿宋"/>
                <w:color w:val="000000"/>
                <w:szCs w:val="21"/>
              </w:rPr>
              <w:t>XXxxFZP</w:t>
            </w:r>
          </w:p>
        </w:tc>
        <w:tc>
          <w:tcPr>
            <w:tcW w:w="2295" w:type="dxa"/>
            <w:vAlign w:val="center"/>
          </w:tcPr>
          <w:p>
            <w:pPr>
              <w:jc w:val="center"/>
              <w:rPr>
                <w:rFonts w:ascii="仿宋" w:hAnsi="仿宋" w:eastAsia="仿宋"/>
                <w:color w:val="000000"/>
                <w:szCs w:val="21"/>
              </w:rPr>
            </w:pPr>
            <w:r>
              <w:rPr>
                <w:rFonts w:hint="eastAsia" w:ascii="仿宋" w:hAnsi="仿宋" w:eastAsia="仿宋"/>
                <w:color w:val="000000"/>
                <w:szCs w:val="21"/>
              </w:rPr>
              <w:t>属性结构见附表A</w:t>
            </w:r>
            <w:r>
              <w:rPr>
                <w:rFonts w:ascii="仿宋" w:hAnsi="仿宋" w:eastAsia="仿宋"/>
                <w:color w:val="000000"/>
                <w:szCs w:val="21"/>
              </w:rPr>
              <w:t>.4</w:t>
            </w:r>
          </w:p>
        </w:tc>
        <w:tc>
          <w:tcPr>
            <w:tcW w:w="723" w:type="dxa"/>
            <w:vAlign w:val="center"/>
          </w:tcPr>
          <w:p>
            <w:pPr>
              <w:jc w:val="cente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0" w:type="dxa"/>
            <w:vMerge w:val="continue"/>
            <w:vAlign w:val="center"/>
          </w:tcPr>
          <w:p>
            <w:pPr>
              <w:jc w:val="center"/>
              <w:rPr>
                <w:rFonts w:ascii="仿宋" w:hAnsi="仿宋" w:eastAsia="仿宋"/>
                <w:color w:val="000000"/>
                <w:szCs w:val="21"/>
              </w:rPr>
            </w:pPr>
          </w:p>
        </w:tc>
        <w:tc>
          <w:tcPr>
            <w:tcW w:w="2220" w:type="dxa"/>
            <w:vAlign w:val="center"/>
          </w:tcPr>
          <w:p>
            <w:pPr>
              <w:jc w:val="center"/>
              <w:rPr>
                <w:rFonts w:ascii="仿宋" w:hAnsi="仿宋" w:eastAsia="仿宋"/>
                <w:color w:val="000000"/>
                <w:szCs w:val="21"/>
              </w:rPr>
            </w:pPr>
            <w:r>
              <w:rPr>
                <w:rFonts w:ascii="仿宋" w:hAnsi="仿宋" w:eastAsia="仿宋"/>
                <w:color w:val="000000"/>
                <w:szCs w:val="21"/>
              </w:rPr>
              <w:t>储存管线辅助</w:t>
            </w:r>
            <w:r>
              <w:rPr>
                <w:rFonts w:hint="eastAsia" w:ascii="仿宋" w:hAnsi="仿宋" w:eastAsia="仿宋"/>
                <w:color w:val="000000"/>
                <w:szCs w:val="21"/>
              </w:rPr>
              <w:t>线</w:t>
            </w:r>
            <w:r>
              <w:rPr>
                <w:rFonts w:ascii="仿宋" w:hAnsi="仿宋" w:eastAsia="仿宋"/>
                <w:color w:val="000000"/>
                <w:szCs w:val="21"/>
              </w:rPr>
              <w:t>信息</w:t>
            </w:r>
          </w:p>
        </w:tc>
        <w:tc>
          <w:tcPr>
            <w:tcW w:w="1185" w:type="dxa"/>
            <w:vAlign w:val="center"/>
          </w:tcPr>
          <w:p>
            <w:pPr>
              <w:jc w:val="center"/>
              <w:rPr>
                <w:rFonts w:ascii="仿宋" w:hAnsi="仿宋" w:eastAsia="仿宋"/>
                <w:color w:val="000000"/>
                <w:szCs w:val="21"/>
              </w:rPr>
            </w:pPr>
            <w:r>
              <w:rPr>
                <w:rFonts w:ascii="仿宋" w:hAnsi="仿宋" w:eastAsia="仿宋"/>
                <w:color w:val="000000"/>
                <w:szCs w:val="21"/>
              </w:rPr>
              <w:t>辅助线</w:t>
            </w:r>
          </w:p>
        </w:tc>
        <w:tc>
          <w:tcPr>
            <w:tcW w:w="1095" w:type="dxa"/>
            <w:vAlign w:val="center"/>
          </w:tcPr>
          <w:p>
            <w:pPr>
              <w:jc w:val="center"/>
              <w:rPr>
                <w:rFonts w:ascii="仿宋" w:hAnsi="仿宋" w:eastAsia="仿宋"/>
                <w:color w:val="000000"/>
                <w:szCs w:val="21"/>
              </w:rPr>
            </w:pPr>
            <w:r>
              <w:rPr>
                <w:rFonts w:ascii="仿宋" w:hAnsi="仿宋" w:eastAsia="仿宋"/>
                <w:color w:val="000000"/>
                <w:szCs w:val="21"/>
              </w:rPr>
              <w:t>XXxxFZL</w:t>
            </w:r>
          </w:p>
        </w:tc>
        <w:tc>
          <w:tcPr>
            <w:tcW w:w="2295" w:type="dxa"/>
            <w:vAlign w:val="center"/>
          </w:tcPr>
          <w:p>
            <w:pPr>
              <w:jc w:val="center"/>
              <w:rPr>
                <w:rFonts w:ascii="仿宋" w:hAnsi="仿宋" w:eastAsia="仿宋"/>
                <w:color w:val="000000"/>
                <w:szCs w:val="21"/>
              </w:rPr>
            </w:pPr>
            <w:r>
              <w:rPr>
                <w:rFonts w:hint="eastAsia" w:ascii="仿宋" w:hAnsi="仿宋" w:eastAsia="仿宋"/>
                <w:color w:val="000000"/>
                <w:szCs w:val="21"/>
              </w:rPr>
              <w:t>属性结构见附表A</w:t>
            </w:r>
            <w:r>
              <w:rPr>
                <w:rFonts w:ascii="仿宋" w:hAnsi="仿宋" w:eastAsia="仿宋"/>
                <w:color w:val="000000"/>
                <w:szCs w:val="21"/>
              </w:rPr>
              <w:t>.5</w:t>
            </w:r>
          </w:p>
        </w:tc>
        <w:tc>
          <w:tcPr>
            <w:tcW w:w="723" w:type="dxa"/>
            <w:vAlign w:val="center"/>
          </w:tcPr>
          <w:p>
            <w:pPr>
              <w:jc w:val="cente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0" w:type="dxa"/>
            <w:vMerge w:val="continue"/>
            <w:vAlign w:val="center"/>
          </w:tcPr>
          <w:p>
            <w:pPr>
              <w:jc w:val="center"/>
              <w:rPr>
                <w:rFonts w:ascii="仿宋" w:hAnsi="仿宋" w:eastAsia="仿宋"/>
                <w:color w:val="000000"/>
                <w:szCs w:val="21"/>
              </w:rPr>
            </w:pPr>
          </w:p>
        </w:tc>
        <w:tc>
          <w:tcPr>
            <w:tcW w:w="2220" w:type="dxa"/>
            <w:vAlign w:val="center"/>
          </w:tcPr>
          <w:p>
            <w:pPr>
              <w:jc w:val="center"/>
              <w:rPr>
                <w:rFonts w:ascii="仿宋" w:hAnsi="仿宋" w:eastAsia="仿宋"/>
                <w:color w:val="000000"/>
                <w:szCs w:val="21"/>
              </w:rPr>
            </w:pPr>
            <w:r>
              <w:rPr>
                <w:rFonts w:ascii="仿宋" w:hAnsi="仿宋" w:eastAsia="仿宋"/>
                <w:color w:val="000000"/>
                <w:szCs w:val="21"/>
              </w:rPr>
              <w:t>储存管线</w:t>
            </w:r>
            <w:r>
              <w:rPr>
                <w:rFonts w:hint="eastAsia" w:ascii="仿宋" w:hAnsi="仿宋" w:eastAsia="仿宋"/>
                <w:color w:val="000000"/>
                <w:szCs w:val="21"/>
              </w:rPr>
              <w:t>注记</w:t>
            </w:r>
            <w:r>
              <w:rPr>
                <w:rFonts w:ascii="仿宋" w:hAnsi="仿宋" w:eastAsia="仿宋"/>
                <w:color w:val="000000"/>
                <w:szCs w:val="21"/>
              </w:rPr>
              <w:t>信息</w:t>
            </w:r>
          </w:p>
        </w:tc>
        <w:tc>
          <w:tcPr>
            <w:tcW w:w="1185" w:type="dxa"/>
            <w:vAlign w:val="center"/>
          </w:tcPr>
          <w:p>
            <w:pPr>
              <w:jc w:val="center"/>
              <w:rPr>
                <w:rFonts w:ascii="仿宋" w:hAnsi="仿宋" w:eastAsia="仿宋"/>
                <w:color w:val="000000"/>
                <w:szCs w:val="21"/>
              </w:rPr>
            </w:pPr>
            <w:r>
              <w:rPr>
                <w:rFonts w:ascii="仿宋" w:hAnsi="仿宋" w:eastAsia="仿宋"/>
                <w:color w:val="000000"/>
                <w:szCs w:val="21"/>
              </w:rPr>
              <w:t>注记</w:t>
            </w:r>
          </w:p>
        </w:tc>
        <w:tc>
          <w:tcPr>
            <w:tcW w:w="1095" w:type="dxa"/>
            <w:vAlign w:val="center"/>
          </w:tcPr>
          <w:p>
            <w:pPr>
              <w:jc w:val="center"/>
              <w:rPr>
                <w:rFonts w:ascii="仿宋" w:hAnsi="仿宋" w:eastAsia="仿宋"/>
                <w:color w:val="000000"/>
                <w:szCs w:val="21"/>
              </w:rPr>
            </w:pPr>
            <w:r>
              <w:rPr>
                <w:rFonts w:ascii="仿宋" w:hAnsi="仿宋" w:eastAsia="仿宋"/>
                <w:color w:val="000000"/>
                <w:szCs w:val="21"/>
              </w:rPr>
              <w:t>XXxxT</w:t>
            </w:r>
          </w:p>
        </w:tc>
        <w:tc>
          <w:tcPr>
            <w:tcW w:w="2295" w:type="dxa"/>
            <w:vAlign w:val="center"/>
          </w:tcPr>
          <w:p>
            <w:pPr>
              <w:jc w:val="center"/>
              <w:rPr>
                <w:rFonts w:ascii="仿宋" w:hAnsi="仿宋" w:eastAsia="仿宋"/>
                <w:color w:val="000000"/>
                <w:szCs w:val="21"/>
              </w:rPr>
            </w:pPr>
            <w:r>
              <w:rPr>
                <w:rFonts w:hint="eastAsia" w:ascii="仿宋" w:hAnsi="仿宋" w:eastAsia="仿宋"/>
                <w:color w:val="000000"/>
                <w:szCs w:val="21"/>
              </w:rPr>
              <w:t>属性结构见附表A</w:t>
            </w:r>
            <w:r>
              <w:rPr>
                <w:rFonts w:ascii="仿宋" w:hAnsi="仿宋" w:eastAsia="仿宋"/>
                <w:color w:val="000000"/>
                <w:szCs w:val="21"/>
              </w:rPr>
              <w:t>.6</w:t>
            </w:r>
          </w:p>
        </w:tc>
        <w:tc>
          <w:tcPr>
            <w:tcW w:w="723" w:type="dxa"/>
            <w:vAlign w:val="center"/>
          </w:tcPr>
          <w:p>
            <w:pPr>
              <w:jc w:val="cente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628" w:type="dxa"/>
            <w:gridSpan w:val="6"/>
            <w:vAlign w:val="center"/>
          </w:tcPr>
          <w:p>
            <w:pPr>
              <w:jc w:val="left"/>
              <w:rPr>
                <w:rFonts w:ascii="仿宋" w:hAnsi="仿宋" w:eastAsia="仿宋"/>
                <w:color w:val="000000"/>
                <w:szCs w:val="21"/>
              </w:rPr>
            </w:pPr>
            <w:r>
              <w:rPr>
                <w:rFonts w:hint="eastAsia" w:ascii="仿宋" w:hAnsi="仿宋" w:eastAsia="仿宋"/>
                <w:szCs w:val="21"/>
              </w:rPr>
              <w:t>注：XX—管线大类代号，</w:t>
            </w:r>
            <w:r>
              <w:rPr>
                <w:rFonts w:ascii="仿宋" w:hAnsi="仿宋" w:eastAsia="仿宋"/>
                <w:szCs w:val="21"/>
              </w:rPr>
              <w:t>xx-</w:t>
            </w:r>
            <w:r>
              <w:rPr>
                <w:rFonts w:hint="eastAsia" w:ascii="仿宋" w:hAnsi="仿宋" w:eastAsia="仿宋"/>
                <w:szCs w:val="21"/>
              </w:rPr>
              <w:t>管线小类代号，见</w:t>
            </w:r>
            <w:r>
              <w:rPr>
                <w:rFonts w:ascii="仿宋" w:hAnsi="仿宋" w:eastAsia="仿宋"/>
                <w:szCs w:val="21"/>
              </w:rPr>
              <w:t>附</w:t>
            </w:r>
            <w:r>
              <w:rPr>
                <w:rFonts w:hint="eastAsia" w:ascii="仿宋" w:hAnsi="仿宋" w:eastAsia="仿宋"/>
                <w:szCs w:val="21"/>
              </w:rPr>
              <w:t>表</w:t>
            </w:r>
            <w:r>
              <w:rPr>
                <w:rFonts w:ascii="仿宋" w:hAnsi="仿宋" w:eastAsia="仿宋"/>
                <w:szCs w:val="21"/>
              </w:rPr>
              <w:t>A.</w:t>
            </w:r>
            <w:r>
              <w:rPr>
                <w:rFonts w:hint="eastAsia" w:ascii="仿宋" w:hAnsi="仿宋" w:eastAsia="仿宋"/>
                <w:szCs w:val="21"/>
              </w:rPr>
              <w:t>8</w:t>
            </w:r>
            <w:r>
              <w:rPr>
                <w:rFonts w:ascii="仿宋" w:hAnsi="仿宋" w:eastAsia="仿宋"/>
                <w:szCs w:val="21"/>
              </w:rPr>
              <w:t>。</w:t>
            </w:r>
          </w:p>
        </w:tc>
      </w:tr>
    </w:tbl>
    <w:p>
      <w:pPr>
        <w:pStyle w:val="2"/>
        <w:jc w:val="left"/>
      </w:pPr>
    </w:p>
    <w:p>
      <w:pPr>
        <w:spacing w:line="360" w:lineRule="auto"/>
        <w:jc w:val="left"/>
        <w:rPr>
          <w:rFonts w:eastAsia="仿宋"/>
          <w:b/>
          <w:sz w:val="28"/>
          <w:szCs w:val="28"/>
        </w:rPr>
      </w:pPr>
      <w:r>
        <w:rPr>
          <w:rFonts w:hint="eastAsia" w:eastAsia="仿宋"/>
          <w:b/>
          <w:sz w:val="28"/>
          <w:szCs w:val="28"/>
        </w:rPr>
        <w:t>三、 CAD图形</w:t>
      </w:r>
      <w:r>
        <w:rPr>
          <w:rFonts w:eastAsia="仿宋"/>
          <w:b/>
          <w:sz w:val="28"/>
          <w:szCs w:val="28"/>
        </w:rPr>
        <w:t>分层</w:t>
      </w:r>
    </w:p>
    <w:p>
      <w:pPr>
        <w:spacing w:line="560" w:lineRule="exact"/>
        <w:ind w:firstLine="560" w:firstLineChars="200"/>
        <w:jc w:val="left"/>
        <w:rPr>
          <w:rFonts w:eastAsia="仿宋"/>
          <w:sz w:val="28"/>
          <w:szCs w:val="28"/>
        </w:rPr>
      </w:pPr>
      <w:r>
        <w:rPr>
          <w:rFonts w:hint="eastAsia" w:eastAsia="仿宋"/>
          <w:sz w:val="28"/>
          <w:szCs w:val="28"/>
        </w:rPr>
        <w:t>地下管线数据采用分层的方法进行组织管理，管线图形文件除应叠加基础地形图相关数据外，还需设置不同图层进行存放管线要素及相关辅助要素，主要由各种管线的管线点、管线线、管线面、管线辅助点、管线辅助线、管线注记（</w:t>
      </w:r>
      <w:r>
        <w:rPr>
          <w:rFonts w:eastAsia="仿宋"/>
          <w:sz w:val="28"/>
          <w:szCs w:val="28"/>
        </w:rPr>
        <w:t>管线点注记</w:t>
      </w:r>
      <w:r>
        <w:rPr>
          <w:rFonts w:hint="eastAsia" w:eastAsia="仿宋"/>
          <w:sz w:val="28"/>
          <w:szCs w:val="28"/>
        </w:rPr>
        <w:t>、</w:t>
      </w:r>
      <w:r>
        <w:rPr>
          <w:rFonts w:eastAsia="仿宋"/>
          <w:sz w:val="28"/>
          <w:szCs w:val="28"/>
        </w:rPr>
        <w:t>管线线注记</w:t>
      </w:r>
      <w:r>
        <w:rPr>
          <w:rFonts w:hint="eastAsia" w:eastAsia="仿宋"/>
          <w:sz w:val="28"/>
          <w:szCs w:val="28"/>
        </w:rPr>
        <w:t>、管</w:t>
      </w:r>
      <w:r>
        <w:rPr>
          <w:rFonts w:eastAsia="仿宋"/>
          <w:sz w:val="28"/>
          <w:szCs w:val="28"/>
        </w:rPr>
        <w:t>线</w:t>
      </w:r>
      <w:r>
        <w:rPr>
          <w:rFonts w:hint="eastAsia" w:eastAsia="仿宋"/>
          <w:sz w:val="28"/>
          <w:szCs w:val="28"/>
        </w:rPr>
        <w:t>高</w:t>
      </w:r>
      <w:r>
        <w:rPr>
          <w:rFonts w:eastAsia="仿宋"/>
          <w:sz w:val="28"/>
          <w:szCs w:val="28"/>
        </w:rPr>
        <w:t>程注记</w:t>
      </w:r>
      <w:r>
        <w:rPr>
          <w:rFonts w:hint="eastAsia" w:eastAsia="仿宋"/>
          <w:sz w:val="28"/>
          <w:szCs w:val="28"/>
        </w:rPr>
        <w:t>）等组成。CAD图形分层见表</w:t>
      </w:r>
      <w:r>
        <w:rPr>
          <w:rFonts w:eastAsia="仿宋"/>
          <w:sz w:val="28"/>
          <w:szCs w:val="28"/>
        </w:rPr>
        <w:t>A-3</w:t>
      </w:r>
      <w:r>
        <w:rPr>
          <w:rFonts w:hint="eastAsia" w:eastAsia="仿宋"/>
          <w:sz w:val="28"/>
          <w:szCs w:val="28"/>
        </w:rPr>
        <w:t>。</w:t>
      </w:r>
    </w:p>
    <w:p>
      <w:pPr>
        <w:jc w:val="center"/>
        <w:rPr>
          <w:rFonts w:ascii="仿宋" w:hAnsi="仿宋" w:eastAsia="仿宋"/>
          <w:b/>
          <w:sz w:val="24"/>
        </w:rPr>
      </w:pPr>
      <w:r>
        <w:rPr>
          <w:rFonts w:ascii="仿宋" w:hAnsi="仿宋" w:eastAsia="仿宋"/>
          <w:b/>
          <w:sz w:val="24"/>
        </w:rPr>
        <w:t>表A-3 CAD</w:t>
      </w:r>
      <w:r>
        <w:rPr>
          <w:rFonts w:hint="eastAsia" w:ascii="仿宋" w:hAnsi="仿宋" w:eastAsia="仿宋"/>
          <w:b/>
          <w:sz w:val="24"/>
        </w:rPr>
        <w:t>图形分层及命名</w:t>
      </w:r>
    </w:p>
    <w:tbl>
      <w:tblPr>
        <w:tblStyle w:val="26"/>
        <w:tblW w:w="8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8"/>
        <w:gridCol w:w="2373"/>
        <w:gridCol w:w="3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858" w:type="dxa"/>
            <w:vAlign w:val="center"/>
          </w:tcPr>
          <w:p>
            <w:pPr>
              <w:pStyle w:val="96"/>
              <w:spacing w:line="240" w:lineRule="auto"/>
              <w:ind w:firstLine="600" w:firstLineChars="250"/>
              <w:jc w:val="left"/>
              <w:rPr>
                <w:rFonts w:ascii="仿宋" w:hAnsi="仿宋" w:eastAsia="仿宋"/>
                <w:color w:val="auto"/>
                <w:sz w:val="24"/>
                <w:szCs w:val="24"/>
              </w:rPr>
            </w:pPr>
            <w:r>
              <w:rPr>
                <w:rFonts w:ascii="仿宋" w:hAnsi="仿宋" w:eastAsia="仿宋"/>
                <w:color w:val="auto"/>
                <w:sz w:val="24"/>
                <w:szCs w:val="24"/>
              </w:rPr>
              <w:t>图层</w:t>
            </w:r>
          </w:p>
        </w:tc>
        <w:tc>
          <w:tcPr>
            <w:tcW w:w="2373" w:type="dxa"/>
            <w:vAlign w:val="center"/>
          </w:tcPr>
          <w:p>
            <w:pPr>
              <w:pStyle w:val="96"/>
              <w:spacing w:line="240" w:lineRule="auto"/>
              <w:ind w:left="960"/>
              <w:jc w:val="left"/>
              <w:rPr>
                <w:rFonts w:ascii="仿宋" w:hAnsi="仿宋" w:eastAsia="仿宋"/>
                <w:color w:val="auto"/>
                <w:sz w:val="24"/>
                <w:szCs w:val="24"/>
              </w:rPr>
            </w:pPr>
            <w:r>
              <w:rPr>
                <w:rFonts w:ascii="仿宋" w:hAnsi="仿宋" w:eastAsia="仿宋"/>
                <w:color w:val="auto"/>
                <w:sz w:val="24"/>
                <w:szCs w:val="24"/>
              </w:rPr>
              <w:t>图层名</w:t>
            </w:r>
          </w:p>
        </w:tc>
        <w:tc>
          <w:tcPr>
            <w:tcW w:w="3830" w:type="dxa"/>
            <w:vAlign w:val="center"/>
          </w:tcPr>
          <w:p>
            <w:pPr>
              <w:pStyle w:val="96"/>
              <w:spacing w:line="240" w:lineRule="auto"/>
              <w:ind w:left="960"/>
              <w:jc w:val="left"/>
              <w:rPr>
                <w:rFonts w:ascii="仿宋" w:hAnsi="仿宋" w:eastAsia="仿宋"/>
                <w:color w:val="auto"/>
                <w:sz w:val="24"/>
                <w:szCs w:val="24"/>
              </w:rPr>
            </w:pPr>
            <w:r>
              <w:rPr>
                <w:rFonts w:ascii="仿宋" w:hAnsi="仿宋" w:eastAsia="仿宋"/>
                <w:color w:val="auto"/>
                <w:sz w:val="24"/>
                <w:szCs w:val="24"/>
              </w:rPr>
              <w:t>说明内容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58" w:type="dxa"/>
            <w:vMerge w:val="restart"/>
            <w:vAlign w:val="center"/>
          </w:tcPr>
          <w:p>
            <w:pPr>
              <w:pStyle w:val="96"/>
              <w:spacing w:line="240" w:lineRule="auto"/>
              <w:ind w:firstLine="600" w:firstLineChars="250"/>
              <w:jc w:val="left"/>
              <w:rPr>
                <w:rFonts w:ascii="仿宋" w:hAnsi="仿宋" w:eastAsia="仿宋"/>
                <w:color w:val="auto"/>
                <w:sz w:val="24"/>
                <w:szCs w:val="24"/>
              </w:rPr>
            </w:pPr>
            <w:r>
              <w:rPr>
                <w:rFonts w:ascii="仿宋" w:hAnsi="仿宋" w:eastAsia="仿宋"/>
                <w:color w:val="auto"/>
                <w:sz w:val="24"/>
                <w:szCs w:val="24"/>
              </w:rPr>
              <w:t>管线</w:t>
            </w:r>
          </w:p>
        </w:tc>
        <w:tc>
          <w:tcPr>
            <w:tcW w:w="2373" w:type="dxa"/>
            <w:vAlign w:val="center"/>
          </w:tcPr>
          <w:p>
            <w:pPr>
              <w:pStyle w:val="96"/>
              <w:spacing w:line="240" w:lineRule="auto"/>
              <w:ind w:left="960"/>
              <w:jc w:val="left"/>
              <w:rPr>
                <w:rFonts w:ascii="仿宋" w:hAnsi="仿宋" w:eastAsia="仿宋"/>
                <w:color w:val="auto"/>
                <w:sz w:val="24"/>
                <w:szCs w:val="24"/>
              </w:rPr>
            </w:pPr>
            <w:r>
              <w:rPr>
                <w:rFonts w:ascii="仿宋" w:hAnsi="仿宋" w:eastAsia="仿宋"/>
                <w:color w:val="auto"/>
                <w:sz w:val="24"/>
                <w:szCs w:val="24"/>
              </w:rPr>
              <w:t>XXxxP</w:t>
            </w:r>
          </w:p>
        </w:tc>
        <w:tc>
          <w:tcPr>
            <w:tcW w:w="3830" w:type="dxa"/>
            <w:vAlign w:val="center"/>
          </w:tcPr>
          <w:p>
            <w:pPr>
              <w:pStyle w:val="96"/>
              <w:spacing w:line="240" w:lineRule="auto"/>
              <w:ind w:left="960"/>
              <w:jc w:val="left"/>
              <w:rPr>
                <w:rFonts w:ascii="仿宋" w:hAnsi="仿宋" w:eastAsia="仿宋"/>
                <w:color w:val="auto"/>
                <w:sz w:val="24"/>
                <w:szCs w:val="24"/>
              </w:rPr>
            </w:pPr>
            <w:r>
              <w:rPr>
                <w:rFonts w:ascii="仿宋" w:hAnsi="仿宋" w:eastAsia="仿宋"/>
                <w:color w:val="auto"/>
                <w:sz w:val="24"/>
                <w:szCs w:val="24"/>
              </w:rPr>
              <w:t>管线点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58" w:type="dxa"/>
            <w:vMerge w:val="continue"/>
            <w:vAlign w:val="center"/>
          </w:tcPr>
          <w:p>
            <w:pPr>
              <w:pStyle w:val="96"/>
              <w:spacing w:line="240" w:lineRule="auto"/>
              <w:ind w:left="960"/>
              <w:jc w:val="left"/>
              <w:rPr>
                <w:rFonts w:ascii="仿宋" w:hAnsi="仿宋" w:eastAsia="仿宋"/>
                <w:color w:val="auto"/>
                <w:sz w:val="24"/>
                <w:szCs w:val="24"/>
              </w:rPr>
            </w:pPr>
          </w:p>
        </w:tc>
        <w:tc>
          <w:tcPr>
            <w:tcW w:w="2373" w:type="dxa"/>
            <w:vAlign w:val="center"/>
          </w:tcPr>
          <w:p>
            <w:pPr>
              <w:pStyle w:val="96"/>
              <w:spacing w:line="240" w:lineRule="auto"/>
              <w:ind w:left="960"/>
              <w:jc w:val="left"/>
              <w:rPr>
                <w:rFonts w:ascii="仿宋" w:hAnsi="仿宋" w:eastAsia="仿宋"/>
                <w:color w:val="auto"/>
                <w:sz w:val="24"/>
                <w:szCs w:val="24"/>
              </w:rPr>
            </w:pPr>
            <w:r>
              <w:rPr>
                <w:rFonts w:ascii="仿宋" w:hAnsi="仿宋" w:eastAsia="仿宋"/>
                <w:color w:val="auto"/>
                <w:sz w:val="24"/>
                <w:szCs w:val="24"/>
              </w:rPr>
              <w:t>XXxxL</w:t>
            </w:r>
          </w:p>
        </w:tc>
        <w:tc>
          <w:tcPr>
            <w:tcW w:w="3830" w:type="dxa"/>
            <w:vAlign w:val="center"/>
          </w:tcPr>
          <w:p>
            <w:pPr>
              <w:pStyle w:val="96"/>
              <w:spacing w:line="240" w:lineRule="auto"/>
              <w:ind w:left="960"/>
              <w:jc w:val="left"/>
              <w:rPr>
                <w:rFonts w:ascii="仿宋" w:hAnsi="仿宋" w:eastAsia="仿宋"/>
                <w:color w:val="auto"/>
                <w:sz w:val="24"/>
                <w:szCs w:val="24"/>
              </w:rPr>
            </w:pPr>
            <w:r>
              <w:rPr>
                <w:rFonts w:ascii="仿宋" w:hAnsi="仿宋" w:eastAsia="仿宋"/>
                <w:color w:val="auto"/>
                <w:sz w:val="24"/>
                <w:szCs w:val="24"/>
              </w:rPr>
              <w:t>管线线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58" w:type="dxa"/>
            <w:vMerge w:val="continue"/>
            <w:vAlign w:val="center"/>
          </w:tcPr>
          <w:p>
            <w:pPr>
              <w:pStyle w:val="96"/>
              <w:spacing w:line="240" w:lineRule="auto"/>
              <w:ind w:left="960"/>
              <w:jc w:val="left"/>
              <w:rPr>
                <w:rFonts w:ascii="仿宋" w:hAnsi="仿宋" w:eastAsia="仿宋"/>
                <w:color w:val="auto"/>
                <w:sz w:val="24"/>
                <w:szCs w:val="24"/>
              </w:rPr>
            </w:pPr>
          </w:p>
        </w:tc>
        <w:tc>
          <w:tcPr>
            <w:tcW w:w="2373" w:type="dxa"/>
            <w:vAlign w:val="center"/>
          </w:tcPr>
          <w:p>
            <w:pPr>
              <w:pStyle w:val="96"/>
              <w:spacing w:line="240" w:lineRule="auto"/>
              <w:ind w:left="960"/>
              <w:jc w:val="left"/>
              <w:rPr>
                <w:rFonts w:ascii="仿宋" w:hAnsi="仿宋" w:eastAsia="仿宋"/>
                <w:color w:val="auto"/>
                <w:sz w:val="24"/>
                <w:szCs w:val="24"/>
              </w:rPr>
            </w:pPr>
            <w:r>
              <w:rPr>
                <w:rFonts w:ascii="仿宋" w:hAnsi="仿宋" w:eastAsia="仿宋"/>
                <w:color w:val="auto"/>
                <w:sz w:val="24"/>
                <w:szCs w:val="24"/>
              </w:rPr>
              <w:t>XXxx</w:t>
            </w:r>
            <w:r>
              <w:rPr>
                <w:rFonts w:hint="eastAsia" w:ascii="仿宋" w:hAnsi="仿宋" w:eastAsia="仿宋"/>
                <w:color w:val="auto"/>
                <w:sz w:val="24"/>
                <w:szCs w:val="24"/>
              </w:rPr>
              <w:t>A</w:t>
            </w:r>
          </w:p>
        </w:tc>
        <w:tc>
          <w:tcPr>
            <w:tcW w:w="3830" w:type="dxa"/>
            <w:vAlign w:val="center"/>
          </w:tcPr>
          <w:p>
            <w:pPr>
              <w:pStyle w:val="96"/>
              <w:spacing w:line="240" w:lineRule="auto"/>
              <w:ind w:left="960"/>
              <w:jc w:val="left"/>
              <w:rPr>
                <w:rFonts w:ascii="仿宋" w:hAnsi="仿宋" w:eastAsia="仿宋"/>
                <w:color w:val="auto"/>
                <w:sz w:val="24"/>
                <w:szCs w:val="24"/>
              </w:rPr>
            </w:pPr>
            <w:r>
              <w:rPr>
                <w:rFonts w:hint="eastAsia" w:ascii="仿宋" w:hAnsi="仿宋" w:eastAsia="仿宋"/>
                <w:color w:val="auto"/>
                <w:sz w:val="24"/>
                <w:szCs w:val="24"/>
              </w:rPr>
              <w:t>管线</w:t>
            </w:r>
            <w:r>
              <w:rPr>
                <w:rFonts w:ascii="仿宋" w:hAnsi="仿宋" w:eastAsia="仿宋"/>
                <w:color w:val="auto"/>
                <w:sz w:val="24"/>
                <w:szCs w:val="24"/>
              </w:rPr>
              <w:t>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58" w:type="dxa"/>
            <w:vMerge w:val="continue"/>
            <w:vAlign w:val="center"/>
          </w:tcPr>
          <w:p>
            <w:pPr>
              <w:pStyle w:val="96"/>
              <w:spacing w:line="240" w:lineRule="auto"/>
              <w:ind w:left="960"/>
              <w:jc w:val="left"/>
              <w:rPr>
                <w:rFonts w:ascii="仿宋" w:hAnsi="仿宋" w:eastAsia="仿宋"/>
                <w:color w:val="auto"/>
                <w:sz w:val="24"/>
                <w:szCs w:val="24"/>
              </w:rPr>
            </w:pPr>
          </w:p>
        </w:tc>
        <w:tc>
          <w:tcPr>
            <w:tcW w:w="2373" w:type="dxa"/>
            <w:vAlign w:val="center"/>
          </w:tcPr>
          <w:p>
            <w:pPr>
              <w:pStyle w:val="96"/>
              <w:spacing w:line="240" w:lineRule="auto"/>
              <w:ind w:left="960"/>
              <w:jc w:val="left"/>
              <w:rPr>
                <w:rFonts w:ascii="仿宋" w:hAnsi="仿宋" w:eastAsia="仿宋"/>
                <w:color w:val="auto"/>
                <w:sz w:val="24"/>
                <w:szCs w:val="24"/>
              </w:rPr>
            </w:pPr>
            <w:r>
              <w:rPr>
                <w:rFonts w:hint="eastAsia" w:ascii="仿宋" w:hAnsi="仿宋" w:eastAsia="仿宋"/>
                <w:color w:val="auto"/>
                <w:sz w:val="24"/>
                <w:szCs w:val="24"/>
              </w:rPr>
              <w:t>XX</w:t>
            </w:r>
            <w:r>
              <w:rPr>
                <w:rFonts w:ascii="仿宋" w:hAnsi="仿宋" w:eastAsia="仿宋"/>
                <w:color w:val="auto"/>
                <w:sz w:val="24"/>
                <w:szCs w:val="24"/>
              </w:rPr>
              <w:t>xx</w:t>
            </w:r>
            <w:r>
              <w:rPr>
                <w:rFonts w:hint="eastAsia" w:ascii="仿宋" w:hAnsi="仿宋" w:eastAsia="仿宋"/>
                <w:color w:val="auto"/>
                <w:sz w:val="24"/>
                <w:szCs w:val="24"/>
              </w:rPr>
              <w:t>FZP</w:t>
            </w:r>
          </w:p>
        </w:tc>
        <w:tc>
          <w:tcPr>
            <w:tcW w:w="3830" w:type="dxa"/>
            <w:vAlign w:val="center"/>
          </w:tcPr>
          <w:p>
            <w:pPr>
              <w:pStyle w:val="96"/>
              <w:spacing w:line="240" w:lineRule="auto"/>
              <w:ind w:left="960"/>
              <w:jc w:val="left"/>
              <w:rPr>
                <w:rFonts w:ascii="仿宋" w:hAnsi="仿宋" w:eastAsia="仿宋"/>
                <w:color w:val="auto"/>
                <w:sz w:val="24"/>
                <w:szCs w:val="24"/>
              </w:rPr>
            </w:pPr>
            <w:r>
              <w:rPr>
                <w:rFonts w:hint="eastAsia" w:ascii="仿宋" w:hAnsi="仿宋" w:eastAsia="仿宋"/>
                <w:color w:val="auto"/>
                <w:sz w:val="24"/>
                <w:szCs w:val="24"/>
              </w:rPr>
              <w:t>管线辅助点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58" w:type="dxa"/>
            <w:vMerge w:val="continue"/>
            <w:vAlign w:val="center"/>
          </w:tcPr>
          <w:p>
            <w:pPr>
              <w:pStyle w:val="96"/>
              <w:spacing w:line="240" w:lineRule="auto"/>
              <w:ind w:left="960"/>
              <w:jc w:val="left"/>
              <w:rPr>
                <w:rFonts w:ascii="仿宋" w:hAnsi="仿宋" w:eastAsia="仿宋"/>
                <w:color w:val="auto"/>
                <w:sz w:val="24"/>
                <w:szCs w:val="24"/>
              </w:rPr>
            </w:pPr>
          </w:p>
        </w:tc>
        <w:tc>
          <w:tcPr>
            <w:tcW w:w="2373" w:type="dxa"/>
            <w:vAlign w:val="center"/>
          </w:tcPr>
          <w:p>
            <w:pPr>
              <w:pStyle w:val="96"/>
              <w:spacing w:line="240" w:lineRule="auto"/>
              <w:ind w:left="960"/>
              <w:jc w:val="left"/>
              <w:rPr>
                <w:rFonts w:ascii="仿宋" w:hAnsi="仿宋" w:eastAsia="仿宋"/>
                <w:color w:val="auto"/>
                <w:sz w:val="24"/>
                <w:szCs w:val="24"/>
              </w:rPr>
            </w:pPr>
            <w:r>
              <w:rPr>
                <w:rFonts w:hint="eastAsia" w:ascii="仿宋" w:hAnsi="仿宋" w:eastAsia="仿宋"/>
                <w:color w:val="auto"/>
                <w:sz w:val="24"/>
                <w:szCs w:val="24"/>
              </w:rPr>
              <w:t>XX</w:t>
            </w:r>
            <w:r>
              <w:rPr>
                <w:rFonts w:ascii="仿宋" w:hAnsi="仿宋" w:eastAsia="仿宋"/>
                <w:color w:val="auto"/>
                <w:sz w:val="24"/>
                <w:szCs w:val="24"/>
              </w:rPr>
              <w:t>xx</w:t>
            </w:r>
            <w:r>
              <w:rPr>
                <w:rFonts w:hint="eastAsia" w:ascii="仿宋" w:hAnsi="仿宋" w:eastAsia="仿宋"/>
                <w:color w:val="auto"/>
                <w:sz w:val="24"/>
                <w:szCs w:val="24"/>
              </w:rPr>
              <w:t>FZL</w:t>
            </w:r>
          </w:p>
        </w:tc>
        <w:tc>
          <w:tcPr>
            <w:tcW w:w="3830" w:type="dxa"/>
            <w:vAlign w:val="center"/>
          </w:tcPr>
          <w:p>
            <w:pPr>
              <w:pStyle w:val="96"/>
              <w:spacing w:line="240" w:lineRule="auto"/>
              <w:ind w:left="960"/>
              <w:jc w:val="left"/>
              <w:rPr>
                <w:rFonts w:ascii="仿宋" w:hAnsi="仿宋" w:eastAsia="仿宋"/>
                <w:color w:val="auto"/>
                <w:sz w:val="24"/>
                <w:szCs w:val="24"/>
              </w:rPr>
            </w:pPr>
            <w:r>
              <w:rPr>
                <w:rFonts w:hint="eastAsia" w:ascii="仿宋" w:hAnsi="仿宋" w:eastAsia="仿宋"/>
                <w:color w:val="auto"/>
                <w:sz w:val="24"/>
                <w:szCs w:val="24"/>
              </w:rPr>
              <w:t>管线辅助线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58" w:type="dxa"/>
            <w:vMerge w:val="continue"/>
            <w:vAlign w:val="center"/>
          </w:tcPr>
          <w:p>
            <w:pPr>
              <w:pStyle w:val="96"/>
              <w:spacing w:line="240" w:lineRule="auto"/>
              <w:ind w:left="960"/>
              <w:jc w:val="left"/>
              <w:rPr>
                <w:rFonts w:ascii="仿宋" w:hAnsi="仿宋" w:eastAsia="仿宋"/>
                <w:color w:val="auto"/>
                <w:sz w:val="24"/>
                <w:szCs w:val="24"/>
              </w:rPr>
            </w:pPr>
          </w:p>
        </w:tc>
        <w:tc>
          <w:tcPr>
            <w:tcW w:w="2373" w:type="dxa"/>
            <w:vAlign w:val="center"/>
          </w:tcPr>
          <w:p>
            <w:pPr>
              <w:pStyle w:val="96"/>
              <w:spacing w:line="240" w:lineRule="auto"/>
              <w:ind w:left="960"/>
              <w:jc w:val="left"/>
              <w:rPr>
                <w:rFonts w:ascii="仿宋" w:hAnsi="仿宋" w:eastAsia="仿宋"/>
                <w:color w:val="auto"/>
                <w:sz w:val="24"/>
                <w:szCs w:val="24"/>
              </w:rPr>
            </w:pPr>
            <w:r>
              <w:rPr>
                <w:rFonts w:ascii="仿宋" w:hAnsi="仿宋" w:eastAsia="仿宋"/>
                <w:color w:val="auto"/>
                <w:sz w:val="24"/>
                <w:szCs w:val="24"/>
              </w:rPr>
              <w:t>XXxxTEXTP</w:t>
            </w:r>
          </w:p>
        </w:tc>
        <w:tc>
          <w:tcPr>
            <w:tcW w:w="3830" w:type="dxa"/>
            <w:vAlign w:val="center"/>
          </w:tcPr>
          <w:p>
            <w:pPr>
              <w:pStyle w:val="96"/>
              <w:spacing w:line="240" w:lineRule="auto"/>
              <w:ind w:left="960"/>
              <w:jc w:val="left"/>
              <w:rPr>
                <w:rFonts w:ascii="仿宋" w:hAnsi="仿宋" w:eastAsia="仿宋"/>
                <w:color w:val="auto"/>
                <w:sz w:val="24"/>
                <w:szCs w:val="24"/>
              </w:rPr>
            </w:pPr>
            <w:r>
              <w:rPr>
                <w:rFonts w:ascii="仿宋" w:hAnsi="仿宋" w:eastAsia="仿宋"/>
                <w:color w:val="auto"/>
                <w:sz w:val="24"/>
                <w:szCs w:val="24"/>
              </w:rPr>
              <w:t>管线点注记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58" w:type="dxa"/>
            <w:vMerge w:val="continue"/>
            <w:vAlign w:val="center"/>
          </w:tcPr>
          <w:p>
            <w:pPr>
              <w:pStyle w:val="96"/>
              <w:spacing w:line="240" w:lineRule="auto"/>
              <w:ind w:left="960"/>
              <w:jc w:val="left"/>
              <w:rPr>
                <w:rFonts w:ascii="仿宋" w:hAnsi="仿宋" w:eastAsia="仿宋"/>
                <w:color w:val="auto"/>
                <w:sz w:val="24"/>
                <w:szCs w:val="24"/>
              </w:rPr>
            </w:pPr>
          </w:p>
        </w:tc>
        <w:tc>
          <w:tcPr>
            <w:tcW w:w="2373" w:type="dxa"/>
            <w:vAlign w:val="center"/>
          </w:tcPr>
          <w:p>
            <w:pPr>
              <w:pStyle w:val="96"/>
              <w:spacing w:line="240" w:lineRule="auto"/>
              <w:ind w:left="960"/>
              <w:jc w:val="left"/>
              <w:rPr>
                <w:rFonts w:ascii="仿宋" w:hAnsi="仿宋" w:eastAsia="仿宋"/>
                <w:color w:val="auto"/>
                <w:sz w:val="24"/>
                <w:szCs w:val="24"/>
              </w:rPr>
            </w:pPr>
            <w:r>
              <w:rPr>
                <w:rFonts w:ascii="仿宋" w:hAnsi="仿宋" w:eastAsia="仿宋"/>
                <w:color w:val="auto"/>
                <w:sz w:val="24"/>
                <w:szCs w:val="24"/>
              </w:rPr>
              <w:t>XXxxTEXTL</w:t>
            </w:r>
          </w:p>
        </w:tc>
        <w:tc>
          <w:tcPr>
            <w:tcW w:w="3830" w:type="dxa"/>
            <w:vAlign w:val="center"/>
          </w:tcPr>
          <w:p>
            <w:pPr>
              <w:pStyle w:val="96"/>
              <w:spacing w:line="240" w:lineRule="auto"/>
              <w:ind w:left="960"/>
              <w:jc w:val="left"/>
              <w:rPr>
                <w:rFonts w:ascii="仿宋" w:hAnsi="仿宋" w:eastAsia="仿宋"/>
                <w:color w:val="auto"/>
                <w:sz w:val="24"/>
                <w:szCs w:val="24"/>
              </w:rPr>
            </w:pPr>
            <w:r>
              <w:rPr>
                <w:rFonts w:ascii="仿宋" w:hAnsi="仿宋" w:eastAsia="仿宋"/>
                <w:color w:val="auto"/>
                <w:sz w:val="24"/>
                <w:szCs w:val="24"/>
              </w:rPr>
              <w:t>管线线注记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58" w:type="dxa"/>
            <w:vMerge w:val="continue"/>
            <w:vAlign w:val="center"/>
          </w:tcPr>
          <w:p>
            <w:pPr>
              <w:pStyle w:val="96"/>
              <w:spacing w:line="240" w:lineRule="auto"/>
              <w:ind w:left="960"/>
              <w:jc w:val="left"/>
              <w:rPr>
                <w:rFonts w:ascii="仿宋" w:hAnsi="仿宋" w:eastAsia="仿宋"/>
                <w:color w:val="auto"/>
                <w:sz w:val="24"/>
                <w:szCs w:val="24"/>
              </w:rPr>
            </w:pPr>
          </w:p>
        </w:tc>
        <w:tc>
          <w:tcPr>
            <w:tcW w:w="2373" w:type="dxa"/>
            <w:vAlign w:val="center"/>
          </w:tcPr>
          <w:p>
            <w:pPr>
              <w:pStyle w:val="96"/>
              <w:spacing w:line="240" w:lineRule="auto"/>
              <w:ind w:left="960"/>
              <w:jc w:val="left"/>
              <w:rPr>
                <w:rFonts w:ascii="仿宋" w:hAnsi="仿宋" w:eastAsia="仿宋"/>
                <w:color w:val="auto"/>
                <w:sz w:val="24"/>
                <w:szCs w:val="24"/>
              </w:rPr>
            </w:pPr>
            <w:r>
              <w:rPr>
                <w:rFonts w:hint="eastAsia" w:ascii="仿宋" w:hAnsi="仿宋" w:eastAsia="仿宋"/>
                <w:color w:val="auto"/>
                <w:sz w:val="24"/>
                <w:szCs w:val="24"/>
              </w:rPr>
              <w:t>XX</w:t>
            </w:r>
            <w:r>
              <w:rPr>
                <w:rFonts w:ascii="仿宋" w:hAnsi="仿宋" w:eastAsia="仿宋"/>
                <w:color w:val="auto"/>
                <w:sz w:val="24"/>
                <w:szCs w:val="24"/>
              </w:rPr>
              <w:t>xx</w:t>
            </w:r>
            <w:r>
              <w:rPr>
                <w:rFonts w:hint="eastAsia" w:ascii="仿宋" w:hAnsi="仿宋" w:eastAsia="仿宋"/>
                <w:color w:val="auto"/>
                <w:sz w:val="24"/>
                <w:szCs w:val="24"/>
              </w:rPr>
              <w:t>LINEH</w:t>
            </w:r>
          </w:p>
        </w:tc>
        <w:tc>
          <w:tcPr>
            <w:tcW w:w="3830" w:type="dxa"/>
            <w:vAlign w:val="center"/>
          </w:tcPr>
          <w:p>
            <w:pPr>
              <w:pStyle w:val="96"/>
              <w:spacing w:line="240" w:lineRule="auto"/>
              <w:ind w:left="960"/>
              <w:jc w:val="left"/>
              <w:rPr>
                <w:rFonts w:ascii="仿宋" w:hAnsi="仿宋" w:eastAsia="仿宋"/>
                <w:color w:val="auto"/>
                <w:sz w:val="24"/>
                <w:szCs w:val="24"/>
              </w:rPr>
            </w:pPr>
            <w:r>
              <w:rPr>
                <w:rFonts w:hint="eastAsia" w:ascii="仿宋" w:hAnsi="仿宋" w:eastAsia="仿宋"/>
                <w:color w:val="auto"/>
                <w:sz w:val="24"/>
                <w:szCs w:val="24"/>
              </w:rPr>
              <w:t>管</w:t>
            </w:r>
            <w:r>
              <w:rPr>
                <w:rFonts w:ascii="仿宋" w:hAnsi="仿宋" w:eastAsia="仿宋"/>
                <w:color w:val="auto"/>
                <w:sz w:val="24"/>
                <w:szCs w:val="24"/>
              </w:rPr>
              <w:t>线</w:t>
            </w:r>
            <w:r>
              <w:rPr>
                <w:rFonts w:hint="eastAsia" w:ascii="仿宋" w:hAnsi="仿宋" w:eastAsia="仿宋"/>
                <w:color w:val="auto"/>
                <w:sz w:val="24"/>
                <w:szCs w:val="24"/>
              </w:rPr>
              <w:t>高</w:t>
            </w:r>
            <w:r>
              <w:rPr>
                <w:rFonts w:ascii="仿宋" w:hAnsi="仿宋" w:eastAsia="仿宋"/>
                <w:color w:val="auto"/>
                <w:sz w:val="24"/>
                <w:szCs w:val="24"/>
              </w:rPr>
              <w:t>程注记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8" w:type="dxa"/>
            <w:vAlign w:val="center"/>
          </w:tcPr>
          <w:p>
            <w:pPr>
              <w:pStyle w:val="96"/>
              <w:spacing w:line="240" w:lineRule="auto"/>
              <w:ind w:firstLine="480" w:firstLineChars="200"/>
              <w:jc w:val="left"/>
              <w:rPr>
                <w:rFonts w:ascii="仿宋" w:hAnsi="仿宋" w:eastAsia="仿宋"/>
                <w:color w:val="auto"/>
                <w:sz w:val="24"/>
                <w:szCs w:val="24"/>
              </w:rPr>
            </w:pPr>
            <w:r>
              <w:rPr>
                <w:rFonts w:ascii="仿宋" w:hAnsi="仿宋" w:eastAsia="仿宋"/>
                <w:color w:val="auto"/>
                <w:sz w:val="24"/>
                <w:szCs w:val="24"/>
              </w:rPr>
              <w:t>辅助</w:t>
            </w:r>
          </w:p>
        </w:tc>
        <w:tc>
          <w:tcPr>
            <w:tcW w:w="2373" w:type="dxa"/>
            <w:vAlign w:val="center"/>
          </w:tcPr>
          <w:p>
            <w:pPr>
              <w:pStyle w:val="96"/>
              <w:spacing w:line="240" w:lineRule="auto"/>
              <w:ind w:left="960"/>
              <w:jc w:val="left"/>
              <w:rPr>
                <w:rFonts w:ascii="仿宋" w:hAnsi="仿宋" w:eastAsia="仿宋"/>
                <w:color w:val="auto"/>
                <w:sz w:val="24"/>
                <w:szCs w:val="24"/>
              </w:rPr>
            </w:pPr>
            <w:r>
              <w:rPr>
                <w:rFonts w:ascii="仿宋" w:hAnsi="仿宋" w:eastAsia="仿宋"/>
                <w:color w:val="auto"/>
                <w:sz w:val="24"/>
                <w:szCs w:val="24"/>
              </w:rPr>
              <w:t>FUZHU</w:t>
            </w:r>
          </w:p>
        </w:tc>
        <w:tc>
          <w:tcPr>
            <w:tcW w:w="3830" w:type="dxa"/>
            <w:vAlign w:val="center"/>
          </w:tcPr>
          <w:p>
            <w:pPr>
              <w:pStyle w:val="96"/>
              <w:spacing w:line="240" w:lineRule="auto"/>
              <w:ind w:left="960"/>
              <w:jc w:val="left"/>
              <w:rPr>
                <w:rFonts w:ascii="仿宋" w:hAnsi="仿宋" w:eastAsia="仿宋"/>
                <w:color w:val="auto"/>
                <w:sz w:val="24"/>
                <w:szCs w:val="24"/>
              </w:rPr>
            </w:pPr>
            <w:r>
              <w:rPr>
                <w:rFonts w:hint="eastAsia" w:ascii="仿宋" w:hAnsi="仿宋" w:eastAsia="仿宋"/>
                <w:color w:val="auto"/>
                <w:sz w:val="24"/>
                <w:szCs w:val="24"/>
              </w:rPr>
              <w:t>其他相</w:t>
            </w:r>
            <w:r>
              <w:rPr>
                <w:rFonts w:ascii="仿宋" w:hAnsi="仿宋" w:eastAsia="仿宋"/>
                <w:color w:val="auto"/>
                <w:sz w:val="24"/>
                <w:szCs w:val="24"/>
              </w:rPr>
              <w:t>关图形</w:t>
            </w:r>
            <w:r>
              <w:rPr>
                <w:rFonts w:hint="eastAsia" w:ascii="仿宋" w:hAnsi="仿宋" w:eastAsia="仿宋"/>
                <w:color w:val="auto"/>
                <w:sz w:val="24"/>
                <w:szCs w:val="24"/>
              </w:rPr>
              <w:t>注记</w:t>
            </w:r>
            <w:r>
              <w:rPr>
                <w:rFonts w:ascii="仿宋" w:hAnsi="仿宋" w:eastAsia="仿宋"/>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61" w:type="dxa"/>
            <w:gridSpan w:val="3"/>
            <w:vAlign w:val="center"/>
          </w:tcPr>
          <w:p>
            <w:pPr>
              <w:pStyle w:val="96"/>
              <w:spacing w:line="240" w:lineRule="auto"/>
              <w:jc w:val="left"/>
              <w:rPr>
                <w:rFonts w:ascii="仿宋" w:hAnsi="仿宋" w:eastAsia="仿宋"/>
                <w:color w:val="auto"/>
                <w:sz w:val="24"/>
                <w:szCs w:val="24"/>
              </w:rPr>
            </w:pPr>
            <w:r>
              <w:rPr>
                <w:rFonts w:hint="eastAsia" w:ascii="仿宋" w:hAnsi="仿宋" w:eastAsia="仿宋"/>
                <w:sz w:val="24"/>
              </w:rPr>
              <w:t>注：XX—管线大类代号，</w:t>
            </w:r>
            <w:r>
              <w:rPr>
                <w:rFonts w:ascii="仿宋" w:hAnsi="仿宋" w:eastAsia="仿宋"/>
                <w:sz w:val="24"/>
              </w:rPr>
              <w:t>xx-</w:t>
            </w:r>
            <w:r>
              <w:rPr>
                <w:rFonts w:hint="eastAsia" w:ascii="仿宋" w:hAnsi="仿宋" w:eastAsia="仿宋"/>
                <w:sz w:val="24"/>
              </w:rPr>
              <w:t>管线小类代号，见</w:t>
            </w:r>
            <w:r>
              <w:rPr>
                <w:rFonts w:ascii="仿宋" w:hAnsi="仿宋" w:eastAsia="仿宋"/>
                <w:color w:val="auto"/>
                <w:sz w:val="24"/>
              </w:rPr>
              <w:t>附</w:t>
            </w:r>
            <w:r>
              <w:rPr>
                <w:rFonts w:hint="eastAsia" w:ascii="仿宋" w:hAnsi="仿宋" w:eastAsia="仿宋"/>
                <w:color w:val="auto"/>
                <w:sz w:val="24"/>
              </w:rPr>
              <w:t>表</w:t>
            </w:r>
            <w:r>
              <w:rPr>
                <w:rFonts w:ascii="仿宋" w:hAnsi="仿宋" w:eastAsia="仿宋"/>
                <w:color w:val="auto"/>
                <w:sz w:val="24"/>
              </w:rPr>
              <w:t>A.</w:t>
            </w:r>
            <w:r>
              <w:rPr>
                <w:rFonts w:hint="eastAsia" w:ascii="仿宋" w:hAnsi="仿宋" w:eastAsia="仿宋"/>
                <w:color w:val="auto"/>
                <w:sz w:val="24"/>
              </w:rPr>
              <w:t>8</w:t>
            </w:r>
            <w:r>
              <w:rPr>
                <w:rFonts w:ascii="仿宋" w:hAnsi="仿宋" w:eastAsia="仿宋"/>
                <w:color w:val="auto"/>
                <w:sz w:val="24"/>
              </w:rPr>
              <w:t>。</w:t>
            </w:r>
          </w:p>
        </w:tc>
      </w:tr>
    </w:tbl>
    <w:p>
      <w:pPr>
        <w:pStyle w:val="2"/>
        <w:jc w:val="left"/>
      </w:pPr>
    </w:p>
    <w:p>
      <w:pPr>
        <w:pStyle w:val="2"/>
        <w:jc w:val="left"/>
      </w:pPr>
    </w:p>
    <w:p>
      <w:pPr>
        <w:pStyle w:val="2"/>
        <w:jc w:val="left"/>
      </w:pPr>
    </w:p>
    <w:p>
      <w:pPr>
        <w:pStyle w:val="2"/>
        <w:jc w:val="left"/>
      </w:pPr>
    </w:p>
    <w:p>
      <w:pPr>
        <w:pStyle w:val="2"/>
        <w:jc w:val="left"/>
      </w:pPr>
    </w:p>
    <w:p>
      <w:pPr>
        <w:pStyle w:val="2"/>
        <w:jc w:val="left"/>
      </w:pPr>
    </w:p>
    <w:p>
      <w:pPr>
        <w:pStyle w:val="2"/>
        <w:jc w:val="left"/>
      </w:pPr>
    </w:p>
    <w:p>
      <w:pPr>
        <w:pStyle w:val="2"/>
        <w:jc w:val="left"/>
        <w:sectPr>
          <w:footerReference r:id="rId14" w:type="default"/>
          <w:pgSz w:w="11906" w:h="16838"/>
          <w:pgMar w:top="1417" w:right="1474" w:bottom="1134" w:left="1587" w:header="851" w:footer="992" w:gutter="0"/>
          <w:cols w:space="720" w:num="1"/>
          <w:docGrid w:type="lines" w:linePitch="312" w:charSpace="0"/>
        </w:sectPr>
      </w:pPr>
    </w:p>
    <w:p>
      <w:pPr>
        <w:pStyle w:val="5"/>
        <w:spacing w:line="360" w:lineRule="auto"/>
        <w:jc w:val="center"/>
        <w:rPr>
          <w:rFonts w:ascii="仿宋" w:hAnsi="仿宋" w:eastAsia="仿宋" w:cs="仿宋"/>
          <w:sz w:val="24"/>
          <w:szCs w:val="24"/>
        </w:rPr>
      </w:pPr>
      <w:bookmarkStart w:id="1656" w:name="_Toc14124"/>
      <w:bookmarkStart w:id="1657" w:name="_Toc28292"/>
      <w:bookmarkStart w:id="1658" w:name="_Toc7627"/>
      <w:bookmarkStart w:id="1659" w:name="_Toc30734"/>
      <w:bookmarkStart w:id="1660" w:name="_Toc3210"/>
      <w:bookmarkStart w:id="1661" w:name="_Toc23964"/>
      <w:bookmarkStart w:id="1662" w:name="_Toc14959"/>
      <w:bookmarkStart w:id="1663" w:name="_Toc21633"/>
      <w:r>
        <w:rPr>
          <w:rFonts w:hint="eastAsia" w:ascii="仿宋" w:hAnsi="仿宋" w:eastAsia="仿宋" w:cs="仿宋"/>
          <w:sz w:val="24"/>
          <w:szCs w:val="24"/>
        </w:rPr>
        <w:t>附表A.1 管线点属性结构表</w:t>
      </w:r>
      <w:bookmarkEnd w:id="1656"/>
      <w:bookmarkEnd w:id="1657"/>
      <w:bookmarkEnd w:id="1658"/>
      <w:bookmarkEnd w:id="1659"/>
      <w:bookmarkEnd w:id="1660"/>
      <w:bookmarkEnd w:id="1661"/>
      <w:bookmarkEnd w:id="1662"/>
      <w:bookmarkEnd w:id="1663"/>
    </w:p>
    <w:tbl>
      <w:tblPr>
        <w:tblStyle w:val="26"/>
        <w:tblW w:w="13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1453"/>
        <w:gridCol w:w="1559"/>
        <w:gridCol w:w="1196"/>
        <w:gridCol w:w="992"/>
        <w:gridCol w:w="931"/>
        <w:gridCol w:w="1337"/>
        <w:gridCol w:w="2371"/>
        <w:gridCol w:w="3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07" w:type="dxa"/>
            <w:shd w:val="clear" w:color="auto" w:fill="BFBFBF"/>
            <w:vAlign w:val="center"/>
          </w:tcPr>
          <w:p>
            <w:pPr>
              <w:jc w:val="center"/>
              <w:rPr>
                <w:rFonts w:ascii="仿宋" w:hAnsi="仿宋" w:eastAsia="仿宋" w:cs="仿宋"/>
                <w:sz w:val="18"/>
                <w:szCs w:val="18"/>
              </w:rPr>
            </w:pPr>
            <w:r>
              <w:rPr>
                <w:rFonts w:hint="eastAsia" w:ascii="仿宋" w:hAnsi="仿宋" w:eastAsia="仿宋" w:cs="仿宋"/>
                <w:sz w:val="18"/>
                <w:szCs w:val="18"/>
              </w:rPr>
              <w:t>序号</w:t>
            </w:r>
          </w:p>
        </w:tc>
        <w:tc>
          <w:tcPr>
            <w:tcW w:w="1453" w:type="dxa"/>
            <w:shd w:val="clear" w:color="auto" w:fill="BFBFBF"/>
            <w:vAlign w:val="center"/>
          </w:tcPr>
          <w:p>
            <w:pPr>
              <w:jc w:val="center"/>
              <w:rPr>
                <w:rFonts w:ascii="仿宋" w:hAnsi="仿宋" w:eastAsia="仿宋" w:cs="仿宋"/>
                <w:sz w:val="18"/>
                <w:szCs w:val="18"/>
              </w:rPr>
            </w:pPr>
            <w:r>
              <w:rPr>
                <w:rFonts w:hint="eastAsia" w:ascii="仿宋" w:hAnsi="仿宋" w:eastAsia="仿宋" w:cs="仿宋"/>
                <w:sz w:val="18"/>
                <w:szCs w:val="18"/>
              </w:rPr>
              <w:t>中文名称</w:t>
            </w:r>
          </w:p>
        </w:tc>
        <w:tc>
          <w:tcPr>
            <w:tcW w:w="1559" w:type="dxa"/>
            <w:shd w:val="clear" w:color="auto" w:fill="BFBFBF"/>
            <w:vAlign w:val="center"/>
          </w:tcPr>
          <w:p>
            <w:pPr>
              <w:jc w:val="center"/>
              <w:rPr>
                <w:rFonts w:ascii="仿宋" w:hAnsi="仿宋" w:eastAsia="仿宋" w:cs="仿宋"/>
                <w:sz w:val="18"/>
                <w:szCs w:val="18"/>
              </w:rPr>
            </w:pPr>
            <w:r>
              <w:rPr>
                <w:rFonts w:hint="eastAsia" w:ascii="仿宋" w:hAnsi="仿宋" w:eastAsia="仿宋" w:cs="仿宋"/>
                <w:sz w:val="18"/>
                <w:szCs w:val="18"/>
              </w:rPr>
              <w:t>英文名称</w:t>
            </w:r>
          </w:p>
        </w:tc>
        <w:tc>
          <w:tcPr>
            <w:tcW w:w="1196" w:type="dxa"/>
            <w:shd w:val="clear" w:color="auto" w:fill="BFBFBF"/>
            <w:vAlign w:val="center"/>
          </w:tcPr>
          <w:p>
            <w:pPr>
              <w:jc w:val="center"/>
              <w:rPr>
                <w:rFonts w:ascii="仿宋" w:hAnsi="仿宋" w:eastAsia="仿宋" w:cs="仿宋"/>
                <w:sz w:val="18"/>
                <w:szCs w:val="18"/>
              </w:rPr>
            </w:pPr>
            <w:r>
              <w:rPr>
                <w:rFonts w:hint="eastAsia" w:ascii="仿宋" w:hAnsi="仿宋" w:eastAsia="仿宋" w:cs="仿宋"/>
                <w:sz w:val="18"/>
                <w:szCs w:val="18"/>
              </w:rPr>
              <w:t>字段类型</w:t>
            </w:r>
          </w:p>
        </w:tc>
        <w:tc>
          <w:tcPr>
            <w:tcW w:w="992" w:type="dxa"/>
            <w:shd w:val="clear" w:color="auto" w:fill="BFBFBF"/>
            <w:vAlign w:val="center"/>
          </w:tcPr>
          <w:p>
            <w:pPr>
              <w:jc w:val="center"/>
              <w:rPr>
                <w:rFonts w:ascii="仿宋" w:hAnsi="仿宋" w:eastAsia="仿宋" w:cs="仿宋"/>
                <w:sz w:val="18"/>
                <w:szCs w:val="18"/>
              </w:rPr>
            </w:pPr>
            <w:r>
              <w:rPr>
                <w:rFonts w:hint="eastAsia" w:ascii="仿宋" w:hAnsi="仿宋" w:eastAsia="仿宋" w:cs="仿宋"/>
                <w:sz w:val="18"/>
                <w:szCs w:val="18"/>
              </w:rPr>
              <w:t>字段长度</w:t>
            </w:r>
          </w:p>
        </w:tc>
        <w:tc>
          <w:tcPr>
            <w:tcW w:w="931" w:type="dxa"/>
            <w:shd w:val="clear" w:color="auto" w:fill="BFBFBF"/>
            <w:vAlign w:val="center"/>
          </w:tcPr>
          <w:p>
            <w:pPr>
              <w:jc w:val="center"/>
              <w:rPr>
                <w:rFonts w:ascii="仿宋" w:hAnsi="仿宋" w:eastAsia="仿宋" w:cs="仿宋"/>
                <w:sz w:val="18"/>
                <w:szCs w:val="18"/>
              </w:rPr>
            </w:pPr>
            <w:r>
              <w:rPr>
                <w:rFonts w:hint="eastAsia" w:ascii="仿宋" w:hAnsi="仿宋" w:eastAsia="仿宋" w:cs="仿宋"/>
                <w:sz w:val="18"/>
                <w:szCs w:val="18"/>
              </w:rPr>
              <w:t>小数位数</w:t>
            </w:r>
          </w:p>
        </w:tc>
        <w:tc>
          <w:tcPr>
            <w:tcW w:w="1337" w:type="dxa"/>
            <w:shd w:val="clear" w:color="auto" w:fill="BFBFBF"/>
            <w:vAlign w:val="center"/>
          </w:tcPr>
          <w:p>
            <w:pPr>
              <w:jc w:val="center"/>
              <w:rPr>
                <w:rFonts w:ascii="仿宋" w:hAnsi="仿宋" w:eastAsia="仿宋" w:cs="仿宋"/>
                <w:sz w:val="18"/>
                <w:szCs w:val="18"/>
              </w:rPr>
            </w:pPr>
            <w:r>
              <w:rPr>
                <w:rFonts w:hint="eastAsia" w:ascii="仿宋" w:hAnsi="仿宋" w:eastAsia="仿宋" w:cs="仿宋"/>
                <w:sz w:val="18"/>
                <w:szCs w:val="18"/>
              </w:rPr>
              <w:t>值域</w:t>
            </w:r>
          </w:p>
        </w:tc>
        <w:tc>
          <w:tcPr>
            <w:tcW w:w="2371" w:type="dxa"/>
            <w:shd w:val="clear" w:color="auto" w:fill="BFBFBF"/>
            <w:vAlign w:val="center"/>
          </w:tcPr>
          <w:p>
            <w:pPr>
              <w:widowControl/>
              <w:jc w:val="center"/>
              <w:rPr>
                <w:rFonts w:ascii="仿宋" w:hAnsi="仿宋" w:eastAsia="仿宋" w:cs="仿宋"/>
                <w:color w:val="000000"/>
                <w:kern w:val="0"/>
                <w:sz w:val="18"/>
                <w:szCs w:val="18"/>
              </w:rPr>
            </w:pPr>
            <w:r>
              <w:rPr>
                <w:rFonts w:hint="eastAsia" w:ascii="仿宋" w:hAnsi="仿宋" w:eastAsia="仿宋" w:cs="仿宋"/>
                <w:color w:val="000000"/>
                <w:kern w:val="0"/>
                <w:sz w:val="18"/>
                <w:szCs w:val="18"/>
              </w:rPr>
              <w:t>是否必填（</w:t>
            </w:r>
            <w:r>
              <w:rPr>
                <w:rFonts w:hint="eastAsia" w:ascii="仿宋" w:hAnsi="仿宋" w:eastAsia="仿宋" w:cs="仿宋"/>
                <w:kern w:val="0"/>
                <w:szCs w:val="21"/>
              </w:rPr>
              <w:t>▲</w:t>
            </w:r>
            <w:r>
              <w:rPr>
                <w:rFonts w:hint="eastAsia" w:ascii="仿宋" w:hAnsi="仿宋" w:eastAsia="仿宋" w:cs="仿宋"/>
                <w:color w:val="000000"/>
                <w:kern w:val="0"/>
                <w:sz w:val="18"/>
                <w:szCs w:val="18"/>
              </w:rPr>
              <w:t>为必填，△为条件必填，○为选填）</w:t>
            </w:r>
          </w:p>
        </w:tc>
        <w:tc>
          <w:tcPr>
            <w:tcW w:w="3274" w:type="dxa"/>
            <w:shd w:val="clear" w:color="auto" w:fill="BFBFBF"/>
            <w:vAlign w:val="center"/>
          </w:tcPr>
          <w:p>
            <w:pPr>
              <w:jc w:val="center"/>
              <w:rPr>
                <w:rFonts w:ascii="仿宋" w:hAnsi="仿宋" w:eastAsia="仿宋" w:cs="仿宋"/>
                <w:sz w:val="18"/>
                <w:szCs w:val="18"/>
              </w:rPr>
            </w:pPr>
            <w:r>
              <w:rPr>
                <w:rFonts w:hint="eastAsia" w:ascii="仿宋" w:hAnsi="仿宋" w:eastAsia="仿宋" w:cs="仿宋"/>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07" w:type="dxa"/>
            <w:vAlign w:val="center"/>
          </w:tcPr>
          <w:p>
            <w:pPr>
              <w:pStyle w:val="80"/>
              <w:numPr>
                <w:ilvl w:val="0"/>
                <w:numId w:val="55"/>
              </w:numPr>
              <w:autoSpaceDE w:val="0"/>
              <w:autoSpaceDN w:val="0"/>
              <w:adjustRightInd w:val="0"/>
              <w:spacing w:line="360" w:lineRule="auto"/>
              <w:ind w:firstLineChars="0"/>
              <w:jc w:val="center"/>
              <w:rPr>
                <w:rFonts w:ascii="仿宋" w:hAnsi="仿宋" w:eastAsia="仿宋" w:cs="仿宋"/>
                <w:color w:val="000000"/>
              </w:rPr>
            </w:pPr>
          </w:p>
        </w:tc>
        <w:tc>
          <w:tcPr>
            <w:tcW w:w="1453" w:type="dxa"/>
            <w:vAlign w:val="center"/>
          </w:tcPr>
          <w:p>
            <w:pPr>
              <w:jc w:val="center"/>
              <w:rPr>
                <w:rFonts w:ascii="仿宋" w:hAnsi="仿宋" w:eastAsia="仿宋" w:cs="仿宋"/>
                <w:sz w:val="18"/>
                <w:szCs w:val="18"/>
              </w:rPr>
            </w:pPr>
            <w:r>
              <w:rPr>
                <w:rFonts w:hint="eastAsia" w:ascii="仿宋" w:hAnsi="仿宋" w:eastAsia="仿宋" w:cs="仿宋"/>
                <w:sz w:val="18"/>
                <w:szCs w:val="18"/>
              </w:rPr>
              <w:t>项目编号</w:t>
            </w:r>
          </w:p>
        </w:tc>
        <w:tc>
          <w:tcPr>
            <w:tcW w:w="1559" w:type="dxa"/>
            <w:vAlign w:val="center"/>
          </w:tcPr>
          <w:p>
            <w:pPr>
              <w:jc w:val="center"/>
              <w:rPr>
                <w:rFonts w:ascii="仿宋" w:hAnsi="仿宋" w:eastAsia="仿宋" w:cs="仿宋"/>
                <w:sz w:val="18"/>
                <w:szCs w:val="18"/>
              </w:rPr>
            </w:pPr>
            <w:r>
              <w:rPr>
                <w:rFonts w:hint="eastAsia" w:ascii="仿宋" w:hAnsi="仿宋" w:eastAsia="仿宋" w:cs="仿宋"/>
                <w:sz w:val="18"/>
                <w:szCs w:val="18"/>
              </w:rPr>
              <w:t>Work_No</w:t>
            </w:r>
          </w:p>
        </w:tc>
        <w:tc>
          <w:tcPr>
            <w:tcW w:w="1196"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992" w:type="dxa"/>
            <w:vAlign w:val="center"/>
          </w:tcPr>
          <w:p>
            <w:pPr>
              <w:jc w:val="center"/>
              <w:rPr>
                <w:rFonts w:ascii="仿宋" w:hAnsi="仿宋" w:eastAsia="仿宋" w:cs="仿宋"/>
                <w:sz w:val="18"/>
                <w:szCs w:val="18"/>
              </w:rPr>
            </w:pPr>
            <w:r>
              <w:rPr>
                <w:rFonts w:hint="eastAsia" w:ascii="仿宋" w:hAnsi="仿宋" w:eastAsia="仿宋" w:cs="仿宋"/>
                <w:sz w:val="18"/>
                <w:szCs w:val="18"/>
              </w:rPr>
              <w:t>25</w:t>
            </w:r>
          </w:p>
        </w:tc>
        <w:tc>
          <w:tcPr>
            <w:tcW w:w="931" w:type="dxa"/>
            <w:vAlign w:val="center"/>
          </w:tcPr>
          <w:p>
            <w:pPr>
              <w:jc w:val="center"/>
              <w:rPr>
                <w:rFonts w:ascii="仿宋" w:hAnsi="仿宋" w:eastAsia="仿宋" w:cs="仿宋"/>
                <w:sz w:val="18"/>
                <w:szCs w:val="18"/>
              </w:rPr>
            </w:pPr>
          </w:p>
        </w:tc>
        <w:tc>
          <w:tcPr>
            <w:tcW w:w="1337" w:type="dxa"/>
            <w:vAlign w:val="center"/>
          </w:tcPr>
          <w:p>
            <w:pPr>
              <w:jc w:val="center"/>
              <w:rPr>
                <w:rFonts w:ascii="仿宋" w:hAnsi="仿宋" w:eastAsia="仿宋" w:cs="仿宋"/>
                <w:sz w:val="18"/>
                <w:szCs w:val="18"/>
              </w:rPr>
            </w:pPr>
          </w:p>
        </w:tc>
        <w:tc>
          <w:tcPr>
            <w:tcW w:w="2371" w:type="dxa"/>
            <w:vAlign w:val="center"/>
          </w:tcPr>
          <w:p>
            <w:pPr>
              <w:jc w:val="center"/>
              <w:rPr>
                <w:rFonts w:ascii="仿宋" w:hAnsi="仿宋" w:eastAsia="仿宋" w:cs="仿宋"/>
                <w:sz w:val="18"/>
                <w:szCs w:val="18"/>
              </w:rPr>
            </w:pPr>
            <w:r>
              <w:rPr>
                <w:rFonts w:hint="eastAsia" w:ascii="仿宋" w:hAnsi="仿宋" w:eastAsia="仿宋" w:cs="仿宋"/>
                <w:kern w:val="0"/>
                <w:szCs w:val="21"/>
              </w:rPr>
              <w:t>▲</w:t>
            </w:r>
          </w:p>
        </w:tc>
        <w:tc>
          <w:tcPr>
            <w:tcW w:w="3274" w:type="dxa"/>
            <w:vAlign w:val="center"/>
          </w:tcPr>
          <w:p>
            <w:pPr>
              <w:pStyle w:val="97"/>
              <w:jc w:val="center"/>
              <w:rPr>
                <w:rFonts w:ascii="仿宋" w:hAnsi="仿宋" w:eastAsia="仿宋" w:cs="仿宋"/>
                <w:sz w:val="18"/>
                <w:szCs w:val="18"/>
              </w:rPr>
            </w:pPr>
            <w:r>
              <w:rPr>
                <w:rFonts w:hint="eastAsia" w:ascii="仿宋" w:hAnsi="仿宋" w:eastAsia="仿宋" w:cs="仿宋"/>
                <w:sz w:val="18"/>
                <w:szCs w:val="18"/>
              </w:rPr>
              <w:t>行政区代码</w:t>
            </w:r>
            <w:r>
              <w:rPr>
                <w:rFonts w:ascii="仿宋" w:hAnsi="仿宋" w:eastAsia="仿宋" w:cs="仿宋"/>
                <w:sz w:val="18"/>
                <w:szCs w:val="18"/>
              </w:rPr>
              <w:t>+年份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vAlign w:val="center"/>
          </w:tcPr>
          <w:p>
            <w:pPr>
              <w:pStyle w:val="80"/>
              <w:numPr>
                <w:ilvl w:val="0"/>
                <w:numId w:val="55"/>
              </w:numPr>
              <w:autoSpaceDE w:val="0"/>
              <w:autoSpaceDN w:val="0"/>
              <w:adjustRightInd w:val="0"/>
              <w:spacing w:line="360" w:lineRule="auto"/>
              <w:ind w:firstLineChars="0"/>
              <w:jc w:val="center"/>
              <w:rPr>
                <w:rFonts w:ascii="仿宋" w:hAnsi="仿宋" w:eastAsia="仿宋" w:cs="仿宋"/>
                <w:color w:val="000000"/>
              </w:rPr>
            </w:pPr>
          </w:p>
        </w:tc>
        <w:tc>
          <w:tcPr>
            <w:tcW w:w="1453" w:type="dxa"/>
            <w:vAlign w:val="center"/>
          </w:tcPr>
          <w:p>
            <w:pPr>
              <w:jc w:val="center"/>
              <w:rPr>
                <w:rFonts w:ascii="仿宋" w:hAnsi="仿宋" w:eastAsia="仿宋" w:cs="仿宋"/>
                <w:sz w:val="18"/>
                <w:szCs w:val="18"/>
              </w:rPr>
            </w:pPr>
            <w:r>
              <w:rPr>
                <w:rFonts w:hint="eastAsia" w:ascii="仿宋" w:hAnsi="仿宋" w:eastAsia="仿宋" w:cs="仿宋"/>
                <w:sz w:val="18"/>
                <w:szCs w:val="18"/>
              </w:rPr>
              <w:t>工程编号</w:t>
            </w:r>
          </w:p>
        </w:tc>
        <w:tc>
          <w:tcPr>
            <w:tcW w:w="1559" w:type="dxa"/>
            <w:vAlign w:val="center"/>
          </w:tcPr>
          <w:p>
            <w:pPr>
              <w:jc w:val="center"/>
              <w:rPr>
                <w:rFonts w:ascii="仿宋" w:hAnsi="仿宋" w:eastAsia="仿宋" w:cs="仿宋"/>
                <w:sz w:val="18"/>
                <w:szCs w:val="18"/>
              </w:rPr>
            </w:pPr>
            <w:r>
              <w:rPr>
                <w:rFonts w:hint="eastAsia" w:ascii="仿宋" w:hAnsi="仿宋" w:eastAsia="仿宋" w:cs="仿宋"/>
                <w:sz w:val="18"/>
                <w:szCs w:val="18"/>
              </w:rPr>
              <w:t>Prj_No</w:t>
            </w:r>
          </w:p>
        </w:tc>
        <w:tc>
          <w:tcPr>
            <w:tcW w:w="1196"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992"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931" w:type="dxa"/>
            <w:vAlign w:val="center"/>
          </w:tcPr>
          <w:p>
            <w:pPr>
              <w:jc w:val="center"/>
              <w:rPr>
                <w:rFonts w:ascii="仿宋" w:hAnsi="仿宋" w:eastAsia="仿宋" w:cs="仿宋"/>
                <w:sz w:val="18"/>
                <w:szCs w:val="18"/>
              </w:rPr>
            </w:pPr>
          </w:p>
        </w:tc>
        <w:tc>
          <w:tcPr>
            <w:tcW w:w="1337" w:type="dxa"/>
            <w:vAlign w:val="center"/>
          </w:tcPr>
          <w:p>
            <w:pPr>
              <w:jc w:val="center"/>
              <w:rPr>
                <w:rFonts w:ascii="仿宋" w:hAnsi="仿宋" w:eastAsia="仿宋" w:cs="仿宋"/>
                <w:sz w:val="18"/>
                <w:szCs w:val="18"/>
              </w:rPr>
            </w:pPr>
          </w:p>
        </w:tc>
        <w:tc>
          <w:tcPr>
            <w:tcW w:w="2371" w:type="dxa"/>
            <w:vAlign w:val="center"/>
          </w:tcPr>
          <w:p>
            <w:pPr>
              <w:jc w:val="center"/>
              <w:rPr>
                <w:rFonts w:ascii="仿宋" w:hAnsi="仿宋" w:eastAsia="仿宋" w:cs="仿宋"/>
                <w:color w:val="000000"/>
                <w:kern w:val="0"/>
                <w:sz w:val="18"/>
                <w:szCs w:val="18"/>
              </w:rPr>
            </w:pPr>
            <w:r>
              <w:rPr>
                <w:rFonts w:hint="eastAsia" w:ascii="仿宋" w:hAnsi="仿宋" w:eastAsia="仿宋" w:cs="仿宋"/>
                <w:kern w:val="0"/>
                <w:szCs w:val="21"/>
              </w:rPr>
              <w:t>▲</w:t>
            </w:r>
          </w:p>
        </w:tc>
        <w:tc>
          <w:tcPr>
            <w:tcW w:w="3274" w:type="dxa"/>
            <w:vAlign w:val="center"/>
          </w:tcPr>
          <w:p>
            <w:pPr>
              <w:jc w:val="center"/>
              <w:rPr>
                <w:rFonts w:ascii="仿宋" w:hAnsi="仿宋" w:eastAsia="仿宋" w:cs="仿宋"/>
                <w:sz w:val="18"/>
                <w:szCs w:val="18"/>
              </w:rPr>
            </w:pPr>
            <w:r>
              <w:rPr>
                <w:rFonts w:hint="eastAsia" w:ascii="仿宋" w:hAnsi="仿宋" w:eastAsia="仿宋" w:cs="仿宋"/>
                <w:sz w:val="18"/>
                <w:szCs w:val="18"/>
              </w:rPr>
              <w:t>标段号+测区号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vAlign w:val="center"/>
          </w:tcPr>
          <w:p>
            <w:pPr>
              <w:pStyle w:val="80"/>
              <w:numPr>
                <w:ilvl w:val="0"/>
                <w:numId w:val="55"/>
              </w:numPr>
              <w:autoSpaceDE w:val="0"/>
              <w:autoSpaceDN w:val="0"/>
              <w:adjustRightInd w:val="0"/>
              <w:spacing w:line="360" w:lineRule="auto"/>
              <w:ind w:firstLineChars="0"/>
              <w:jc w:val="center"/>
              <w:rPr>
                <w:rFonts w:ascii="仿宋" w:hAnsi="仿宋" w:eastAsia="仿宋" w:cs="仿宋"/>
                <w:color w:val="000000"/>
              </w:rPr>
            </w:pPr>
          </w:p>
        </w:tc>
        <w:tc>
          <w:tcPr>
            <w:tcW w:w="1453" w:type="dxa"/>
            <w:vAlign w:val="center"/>
          </w:tcPr>
          <w:p>
            <w:pPr>
              <w:jc w:val="center"/>
              <w:rPr>
                <w:rFonts w:ascii="仿宋" w:hAnsi="仿宋" w:eastAsia="仿宋" w:cs="仿宋"/>
                <w:sz w:val="18"/>
                <w:szCs w:val="18"/>
              </w:rPr>
            </w:pPr>
            <w:r>
              <w:rPr>
                <w:rFonts w:hint="eastAsia" w:ascii="仿宋" w:hAnsi="仿宋" w:eastAsia="仿宋" w:cs="仿宋"/>
                <w:sz w:val="18"/>
                <w:szCs w:val="18"/>
              </w:rPr>
              <w:t>管线点号</w:t>
            </w:r>
          </w:p>
        </w:tc>
        <w:tc>
          <w:tcPr>
            <w:tcW w:w="1559" w:type="dxa"/>
            <w:vAlign w:val="center"/>
          </w:tcPr>
          <w:p>
            <w:pPr>
              <w:jc w:val="center"/>
              <w:rPr>
                <w:rFonts w:ascii="仿宋" w:hAnsi="仿宋" w:eastAsia="仿宋" w:cs="仿宋"/>
                <w:sz w:val="18"/>
                <w:szCs w:val="18"/>
              </w:rPr>
            </w:pPr>
            <w:r>
              <w:rPr>
                <w:rFonts w:hint="eastAsia" w:ascii="仿宋" w:hAnsi="仿宋" w:eastAsia="仿宋" w:cs="仿宋"/>
                <w:sz w:val="18"/>
                <w:szCs w:val="18"/>
              </w:rPr>
              <w:t>Exp_No</w:t>
            </w:r>
          </w:p>
        </w:tc>
        <w:tc>
          <w:tcPr>
            <w:tcW w:w="1196"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992" w:type="dxa"/>
            <w:vAlign w:val="center"/>
          </w:tcPr>
          <w:p>
            <w:pPr>
              <w:jc w:val="center"/>
              <w:rPr>
                <w:rFonts w:ascii="仿宋" w:hAnsi="仿宋" w:eastAsia="仿宋" w:cs="仿宋"/>
                <w:sz w:val="18"/>
                <w:szCs w:val="18"/>
              </w:rPr>
            </w:pPr>
            <w:r>
              <w:rPr>
                <w:rFonts w:hint="eastAsia" w:ascii="仿宋" w:hAnsi="仿宋" w:eastAsia="仿宋" w:cs="仿宋"/>
                <w:sz w:val="18"/>
                <w:szCs w:val="18"/>
              </w:rPr>
              <w:t>25</w:t>
            </w:r>
          </w:p>
        </w:tc>
        <w:tc>
          <w:tcPr>
            <w:tcW w:w="931" w:type="dxa"/>
            <w:vAlign w:val="center"/>
          </w:tcPr>
          <w:p>
            <w:pPr>
              <w:jc w:val="center"/>
              <w:rPr>
                <w:rFonts w:ascii="仿宋" w:hAnsi="仿宋" w:eastAsia="仿宋" w:cs="仿宋"/>
                <w:sz w:val="18"/>
                <w:szCs w:val="18"/>
              </w:rPr>
            </w:pPr>
          </w:p>
        </w:tc>
        <w:tc>
          <w:tcPr>
            <w:tcW w:w="1337" w:type="dxa"/>
            <w:vAlign w:val="center"/>
          </w:tcPr>
          <w:p>
            <w:pPr>
              <w:jc w:val="center"/>
              <w:rPr>
                <w:rFonts w:ascii="仿宋" w:hAnsi="仿宋" w:eastAsia="仿宋" w:cs="仿宋"/>
                <w:sz w:val="18"/>
                <w:szCs w:val="18"/>
              </w:rPr>
            </w:pPr>
          </w:p>
        </w:tc>
        <w:tc>
          <w:tcPr>
            <w:tcW w:w="2371" w:type="dxa"/>
          </w:tcPr>
          <w:p>
            <w:pPr>
              <w:jc w:val="center"/>
              <w:rPr>
                <w:rFonts w:ascii="仿宋" w:hAnsi="仿宋" w:eastAsia="仿宋" w:cs="仿宋"/>
                <w:color w:val="000000"/>
                <w:kern w:val="0"/>
                <w:sz w:val="18"/>
                <w:szCs w:val="18"/>
              </w:rPr>
            </w:pPr>
            <w:r>
              <w:rPr>
                <w:rFonts w:hint="eastAsia" w:ascii="仿宋" w:hAnsi="仿宋" w:eastAsia="仿宋" w:cs="仿宋"/>
                <w:kern w:val="0"/>
                <w:szCs w:val="21"/>
              </w:rPr>
              <w:t>▲</w:t>
            </w:r>
          </w:p>
        </w:tc>
        <w:tc>
          <w:tcPr>
            <w:tcW w:w="3274" w:type="dxa"/>
            <w:vAlign w:val="center"/>
          </w:tcPr>
          <w:p>
            <w:pPr>
              <w:jc w:val="center"/>
              <w:rPr>
                <w:rFonts w:ascii="仿宋" w:hAnsi="仿宋" w:eastAsia="仿宋" w:cs="仿宋"/>
                <w:sz w:val="18"/>
                <w:szCs w:val="18"/>
              </w:rPr>
            </w:pPr>
            <w:r>
              <w:rPr>
                <w:rFonts w:hint="eastAsia" w:ascii="仿宋" w:hAnsi="仿宋" w:eastAsia="仿宋" w:cs="仿宋"/>
                <w:sz w:val="18"/>
                <w:szCs w:val="18"/>
              </w:rPr>
              <w:t>普查探测的管线点号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vAlign w:val="center"/>
          </w:tcPr>
          <w:p>
            <w:pPr>
              <w:pStyle w:val="80"/>
              <w:numPr>
                <w:ilvl w:val="0"/>
                <w:numId w:val="55"/>
              </w:numPr>
              <w:autoSpaceDE w:val="0"/>
              <w:autoSpaceDN w:val="0"/>
              <w:adjustRightInd w:val="0"/>
              <w:spacing w:line="360" w:lineRule="auto"/>
              <w:ind w:firstLineChars="0"/>
              <w:jc w:val="center"/>
              <w:rPr>
                <w:rFonts w:ascii="仿宋" w:hAnsi="仿宋" w:eastAsia="仿宋" w:cs="仿宋"/>
              </w:rPr>
            </w:pPr>
          </w:p>
        </w:tc>
        <w:tc>
          <w:tcPr>
            <w:tcW w:w="1453" w:type="dxa"/>
            <w:vAlign w:val="center"/>
          </w:tcPr>
          <w:p>
            <w:pPr>
              <w:jc w:val="center"/>
              <w:rPr>
                <w:rFonts w:ascii="仿宋" w:hAnsi="仿宋" w:eastAsia="仿宋" w:cs="仿宋"/>
                <w:sz w:val="18"/>
                <w:szCs w:val="18"/>
              </w:rPr>
            </w:pPr>
            <w:r>
              <w:rPr>
                <w:rFonts w:hint="eastAsia" w:ascii="仿宋" w:hAnsi="仿宋" w:eastAsia="仿宋" w:cs="仿宋"/>
                <w:sz w:val="18"/>
                <w:szCs w:val="18"/>
              </w:rPr>
              <w:t>图上点号</w:t>
            </w:r>
          </w:p>
        </w:tc>
        <w:tc>
          <w:tcPr>
            <w:tcW w:w="1559" w:type="dxa"/>
            <w:vAlign w:val="center"/>
          </w:tcPr>
          <w:p>
            <w:pPr>
              <w:jc w:val="center"/>
              <w:rPr>
                <w:rFonts w:ascii="仿宋" w:hAnsi="仿宋" w:eastAsia="仿宋" w:cs="仿宋"/>
                <w:sz w:val="18"/>
                <w:szCs w:val="18"/>
              </w:rPr>
            </w:pPr>
            <w:r>
              <w:rPr>
                <w:rFonts w:hint="eastAsia" w:ascii="仿宋" w:hAnsi="仿宋" w:eastAsia="仿宋" w:cs="仿宋"/>
                <w:sz w:val="18"/>
                <w:szCs w:val="18"/>
              </w:rPr>
              <w:t>Map_No</w:t>
            </w:r>
          </w:p>
        </w:tc>
        <w:tc>
          <w:tcPr>
            <w:tcW w:w="1196"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992"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931" w:type="dxa"/>
            <w:vAlign w:val="center"/>
          </w:tcPr>
          <w:p>
            <w:pPr>
              <w:jc w:val="center"/>
              <w:rPr>
                <w:rFonts w:ascii="仿宋" w:hAnsi="仿宋" w:eastAsia="仿宋" w:cs="仿宋"/>
                <w:sz w:val="18"/>
                <w:szCs w:val="18"/>
              </w:rPr>
            </w:pPr>
          </w:p>
        </w:tc>
        <w:tc>
          <w:tcPr>
            <w:tcW w:w="1337" w:type="dxa"/>
            <w:vAlign w:val="center"/>
          </w:tcPr>
          <w:p>
            <w:pPr>
              <w:jc w:val="center"/>
              <w:rPr>
                <w:rFonts w:ascii="仿宋" w:hAnsi="仿宋" w:eastAsia="仿宋" w:cs="仿宋"/>
                <w:sz w:val="18"/>
                <w:szCs w:val="18"/>
              </w:rPr>
            </w:pPr>
          </w:p>
        </w:tc>
        <w:tc>
          <w:tcPr>
            <w:tcW w:w="2371" w:type="dxa"/>
            <w:vAlign w:val="center"/>
          </w:tcPr>
          <w:p>
            <w:pPr>
              <w:jc w:val="center"/>
              <w:rPr>
                <w:rFonts w:ascii="仿宋" w:hAnsi="仿宋" w:eastAsia="仿宋" w:cs="仿宋"/>
              </w:rPr>
            </w:pPr>
            <w:r>
              <w:rPr>
                <w:rFonts w:hint="eastAsia" w:ascii="仿宋" w:hAnsi="仿宋" w:eastAsia="仿宋" w:cs="仿宋"/>
                <w:kern w:val="0"/>
                <w:szCs w:val="21"/>
              </w:rPr>
              <w:t>▲</w:t>
            </w:r>
          </w:p>
        </w:tc>
        <w:tc>
          <w:tcPr>
            <w:tcW w:w="3274" w:type="dxa"/>
            <w:vAlign w:val="center"/>
          </w:tcPr>
          <w:p>
            <w:pPr>
              <w:jc w:val="center"/>
              <w:rPr>
                <w:rFonts w:ascii="仿宋" w:hAnsi="仿宋" w:eastAsia="仿宋" w:cs="仿宋"/>
                <w:sz w:val="18"/>
                <w:szCs w:val="18"/>
              </w:rPr>
            </w:pPr>
            <w:r>
              <w:rPr>
                <w:rFonts w:hint="eastAsia" w:ascii="仿宋" w:hAnsi="仿宋" w:eastAsia="仿宋" w:cs="仿宋"/>
                <w:sz w:val="18"/>
                <w:szCs w:val="18"/>
              </w:rPr>
              <w:t>可根据实际填写，图上点号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vAlign w:val="center"/>
          </w:tcPr>
          <w:p>
            <w:pPr>
              <w:pStyle w:val="80"/>
              <w:numPr>
                <w:ilvl w:val="0"/>
                <w:numId w:val="55"/>
              </w:numPr>
              <w:autoSpaceDE w:val="0"/>
              <w:autoSpaceDN w:val="0"/>
              <w:adjustRightInd w:val="0"/>
              <w:spacing w:line="360" w:lineRule="auto"/>
              <w:ind w:firstLineChars="0"/>
              <w:jc w:val="center"/>
              <w:rPr>
                <w:rFonts w:ascii="仿宋" w:hAnsi="仿宋" w:eastAsia="仿宋" w:cs="仿宋"/>
              </w:rPr>
            </w:pPr>
          </w:p>
        </w:tc>
        <w:tc>
          <w:tcPr>
            <w:tcW w:w="1453" w:type="dxa"/>
            <w:vAlign w:val="center"/>
          </w:tcPr>
          <w:p>
            <w:pPr>
              <w:jc w:val="center"/>
              <w:rPr>
                <w:rFonts w:ascii="仿宋" w:hAnsi="仿宋" w:eastAsia="仿宋" w:cs="仿宋"/>
                <w:sz w:val="18"/>
                <w:szCs w:val="18"/>
              </w:rPr>
            </w:pPr>
            <w:r>
              <w:rPr>
                <w:rFonts w:hint="eastAsia" w:ascii="仿宋" w:hAnsi="仿宋" w:eastAsia="仿宋" w:cs="仿宋"/>
                <w:sz w:val="18"/>
                <w:szCs w:val="18"/>
              </w:rPr>
              <w:t>图幅号</w:t>
            </w:r>
          </w:p>
        </w:tc>
        <w:tc>
          <w:tcPr>
            <w:tcW w:w="1559" w:type="dxa"/>
            <w:vAlign w:val="center"/>
          </w:tcPr>
          <w:p>
            <w:pPr>
              <w:jc w:val="center"/>
              <w:rPr>
                <w:rFonts w:ascii="仿宋" w:hAnsi="仿宋" w:eastAsia="仿宋" w:cs="仿宋"/>
                <w:sz w:val="18"/>
                <w:szCs w:val="18"/>
              </w:rPr>
            </w:pPr>
            <w:r>
              <w:rPr>
                <w:rFonts w:hint="eastAsia" w:ascii="仿宋" w:hAnsi="仿宋" w:eastAsia="仿宋" w:cs="仿宋"/>
                <w:sz w:val="18"/>
                <w:szCs w:val="18"/>
              </w:rPr>
              <w:t>TFH</w:t>
            </w:r>
          </w:p>
        </w:tc>
        <w:tc>
          <w:tcPr>
            <w:tcW w:w="1196"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992" w:type="dxa"/>
            <w:vAlign w:val="center"/>
          </w:tcPr>
          <w:p>
            <w:pPr>
              <w:jc w:val="center"/>
              <w:rPr>
                <w:rFonts w:ascii="仿宋" w:hAnsi="仿宋" w:eastAsia="仿宋" w:cs="仿宋"/>
                <w:sz w:val="18"/>
                <w:szCs w:val="18"/>
              </w:rPr>
            </w:pPr>
            <w:r>
              <w:rPr>
                <w:rFonts w:hint="eastAsia" w:ascii="仿宋" w:hAnsi="仿宋" w:eastAsia="仿宋" w:cs="仿宋"/>
                <w:sz w:val="18"/>
                <w:szCs w:val="18"/>
              </w:rPr>
              <w:t>20</w:t>
            </w:r>
          </w:p>
        </w:tc>
        <w:tc>
          <w:tcPr>
            <w:tcW w:w="931" w:type="dxa"/>
            <w:vAlign w:val="center"/>
          </w:tcPr>
          <w:p>
            <w:pPr>
              <w:jc w:val="center"/>
              <w:rPr>
                <w:rFonts w:ascii="仿宋" w:hAnsi="仿宋" w:eastAsia="仿宋" w:cs="仿宋"/>
                <w:sz w:val="18"/>
                <w:szCs w:val="18"/>
              </w:rPr>
            </w:pPr>
          </w:p>
        </w:tc>
        <w:tc>
          <w:tcPr>
            <w:tcW w:w="1337" w:type="dxa"/>
            <w:vAlign w:val="center"/>
          </w:tcPr>
          <w:p>
            <w:pPr>
              <w:jc w:val="center"/>
              <w:rPr>
                <w:rFonts w:ascii="仿宋" w:hAnsi="仿宋" w:eastAsia="仿宋" w:cs="仿宋"/>
                <w:sz w:val="18"/>
                <w:szCs w:val="18"/>
              </w:rPr>
            </w:pPr>
          </w:p>
        </w:tc>
        <w:tc>
          <w:tcPr>
            <w:tcW w:w="2371" w:type="dxa"/>
            <w:vAlign w:val="center"/>
          </w:tcPr>
          <w:p>
            <w:pPr>
              <w:jc w:val="center"/>
              <w:rPr>
                <w:rFonts w:ascii="仿宋" w:hAnsi="仿宋" w:eastAsia="仿宋" w:cs="仿宋"/>
              </w:rPr>
            </w:pPr>
            <w:r>
              <w:rPr>
                <w:rFonts w:hint="eastAsia" w:ascii="仿宋" w:hAnsi="仿宋" w:eastAsia="仿宋" w:cs="仿宋"/>
                <w:kern w:val="0"/>
                <w:szCs w:val="21"/>
              </w:rPr>
              <w:t>▲</w:t>
            </w:r>
          </w:p>
        </w:tc>
        <w:tc>
          <w:tcPr>
            <w:tcW w:w="3274" w:type="dxa"/>
            <w:vAlign w:val="center"/>
          </w:tcPr>
          <w:p>
            <w:pPr>
              <w:jc w:val="center"/>
              <w:rPr>
                <w:rFonts w:ascii="仿宋" w:hAnsi="仿宋" w:eastAsia="仿宋" w:cs="仿宋"/>
                <w:sz w:val="18"/>
                <w:szCs w:val="18"/>
              </w:rPr>
            </w:pPr>
            <w:r>
              <w:rPr>
                <w:rFonts w:hint="eastAsia" w:ascii="仿宋" w:hAnsi="仿宋" w:eastAsia="仿宋" w:cs="仿宋"/>
                <w:sz w:val="18"/>
                <w:szCs w:val="18"/>
              </w:rPr>
              <w:t>图幅号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vAlign w:val="center"/>
          </w:tcPr>
          <w:p>
            <w:pPr>
              <w:pStyle w:val="80"/>
              <w:numPr>
                <w:ilvl w:val="0"/>
                <w:numId w:val="55"/>
              </w:numPr>
              <w:autoSpaceDE w:val="0"/>
              <w:autoSpaceDN w:val="0"/>
              <w:adjustRightInd w:val="0"/>
              <w:spacing w:line="360" w:lineRule="auto"/>
              <w:ind w:firstLineChars="0"/>
              <w:jc w:val="center"/>
              <w:rPr>
                <w:rFonts w:ascii="仿宋" w:hAnsi="仿宋" w:eastAsia="仿宋" w:cs="仿宋"/>
                <w:color w:val="000000"/>
              </w:rPr>
            </w:pPr>
          </w:p>
        </w:tc>
        <w:tc>
          <w:tcPr>
            <w:tcW w:w="1453" w:type="dxa"/>
            <w:vAlign w:val="center"/>
          </w:tcPr>
          <w:p>
            <w:pPr>
              <w:jc w:val="center"/>
              <w:rPr>
                <w:rFonts w:ascii="仿宋" w:hAnsi="仿宋" w:eastAsia="仿宋" w:cs="仿宋"/>
                <w:sz w:val="18"/>
                <w:szCs w:val="18"/>
              </w:rPr>
            </w:pPr>
            <w:r>
              <w:rPr>
                <w:rFonts w:hint="eastAsia" w:ascii="仿宋" w:hAnsi="仿宋" w:eastAsia="仿宋" w:cs="仿宋"/>
                <w:sz w:val="18"/>
                <w:szCs w:val="18"/>
              </w:rPr>
              <w:t>特征点</w:t>
            </w:r>
          </w:p>
        </w:tc>
        <w:tc>
          <w:tcPr>
            <w:tcW w:w="1559" w:type="dxa"/>
            <w:vAlign w:val="center"/>
          </w:tcPr>
          <w:p>
            <w:pPr>
              <w:jc w:val="center"/>
              <w:rPr>
                <w:rFonts w:ascii="仿宋" w:hAnsi="仿宋" w:eastAsia="仿宋" w:cs="仿宋"/>
                <w:sz w:val="18"/>
                <w:szCs w:val="18"/>
              </w:rPr>
            </w:pPr>
            <w:r>
              <w:rPr>
                <w:rFonts w:hint="eastAsia" w:ascii="仿宋" w:hAnsi="仿宋" w:eastAsia="仿宋" w:cs="仿宋"/>
                <w:sz w:val="18"/>
                <w:szCs w:val="18"/>
              </w:rPr>
              <w:t>Feature</w:t>
            </w:r>
          </w:p>
        </w:tc>
        <w:tc>
          <w:tcPr>
            <w:tcW w:w="1196"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992"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931" w:type="dxa"/>
            <w:vAlign w:val="center"/>
          </w:tcPr>
          <w:p>
            <w:pPr>
              <w:jc w:val="center"/>
              <w:rPr>
                <w:rFonts w:ascii="仿宋" w:hAnsi="仿宋" w:eastAsia="仿宋" w:cs="仿宋"/>
                <w:sz w:val="18"/>
                <w:szCs w:val="18"/>
              </w:rPr>
            </w:pPr>
          </w:p>
        </w:tc>
        <w:tc>
          <w:tcPr>
            <w:tcW w:w="1337" w:type="dxa"/>
            <w:vAlign w:val="center"/>
          </w:tcPr>
          <w:p>
            <w:pPr>
              <w:jc w:val="center"/>
              <w:rPr>
                <w:rFonts w:ascii="仿宋" w:hAnsi="仿宋" w:eastAsia="仿宋" w:cs="仿宋"/>
                <w:sz w:val="18"/>
                <w:szCs w:val="18"/>
              </w:rPr>
            </w:pPr>
          </w:p>
        </w:tc>
        <w:tc>
          <w:tcPr>
            <w:tcW w:w="2371" w:type="dxa"/>
            <w:vAlign w:val="center"/>
          </w:tcPr>
          <w:p>
            <w:pPr>
              <w:jc w:val="center"/>
              <w:rPr>
                <w:rFonts w:ascii="仿宋" w:hAnsi="仿宋" w:eastAsia="仿宋" w:cs="仿宋"/>
              </w:rPr>
            </w:pPr>
            <w:r>
              <w:rPr>
                <w:rFonts w:hint="eastAsia" w:ascii="仿宋" w:hAnsi="仿宋" w:eastAsia="仿宋" w:cs="仿宋"/>
                <w:kern w:val="0"/>
                <w:szCs w:val="21"/>
              </w:rPr>
              <w:t>▲</w:t>
            </w:r>
          </w:p>
        </w:tc>
        <w:tc>
          <w:tcPr>
            <w:tcW w:w="3274"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vAlign w:val="center"/>
          </w:tcPr>
          <w:p>
            <w:pPr>
              <w:pStyle w:val="80"/>
              <w:numPr>
                <w:ilvl w:val="0"/>
                <w:numId w:val="55"/>
              </w:numPr>
              <w:autoSpaceDE w:val="0"/>
              <w:autoSpaceDN w:val="0"/>
              <w:adjustRightInd w:val="0"/>
              <w:spacing w:line="360" w:lineRule="auto"/>
              <w:ind w:firstLineChars="0"/>
              <w:jc w:val="center"/>
              <w:rPr>
                <w:rFonts w:ascii="仿宋" w:hAnsi="仿宋" w:eastAsia="仿宋" w:cs="仿宋"/>
                <w:color w:val="000000"/>
              </w:rPr>
            </w:pPr>
          </w:p>
        </w:tc>
        <w:tc>
          <w:tcPr>
            <w:tcW w:w="1453" w:type="dxa"/>
            <w:vAlign w:val="center"/>
          </w:tcPr>
          <w:p>
            <w:pPr>
              <w:jc w:val="center"/>
              <w:rPr>
                <w:rFonts w:ascii="仿宋" w:hAnsi="仿宋" w:eastAsia="仿宋" w:cs="仿宋"/>
                <w:sz w:val="18"/>
                <w:szCs w:val="18"/>
              </w:rPr>
            </w:pPr>
            <w:r>
              <w:rPr>
                <w:rFonts w:hint="eastAsia" w:ascii="仿宋" w:hAnsi="仿宋" w:eastAsia="仿宋" w:cs="仿宋"/>
                <w:sz w:val="18"/>
                <w:szCs w:val="18"/>
              </w:rPr>
              <w:t>附属设施</w:t>
            </w:r>
          </w:p>
        </w:tc>
        <w:tc>
          <w:tcPr>
            <w:tcW w:w="1559" w:type="dxa"/>
            <w:vAlign w:val="center"/>
          </w:tcPr>
          <w:p>
            <w:pPr>
              <w:jc w:val="center"/>
              <w:rPr>
                <w:rFonts w:ascii="仿宋" w:hAnsi="仿宋" w:eastAsia="仿宋" w:cs="仿宋"/>
                <w:sz w:val="18"/>
                <w:szCs w:val="18"/>
              </w:rPr>
            </w:pPr>
            <w:r>
              <w:rPr>
                <w:rFonts w:hint="eastAsia" w:ascii="仿宋" w:hAnsi="仿宋" w:eastAsia="仿宋" w:cs="仿宋"/>
                <w:sz w:val="18"/>
                <w:szCs w:val="18"/>
              </w:rPr>
              <w:t>Subsid</w:t>
            </w:r>
          </w:p>
        </w:tc>
        <w:tc>
          <w:tcPr>
            <w:tcW w:w="1196"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992"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931" w:type="dxa"/>
            <w:vAlign w:val="center"/>
          </w:tcPr>
          <w:p>
            <w:pPr>
              <w:jc w:val="center"/>
              <w:rPr>
                <w:rFonts w:ascii="仿宋" w:hAnsi="仿宋" w:eastAsia="仿宋" w:cs="仿宋"/>
                <w:sz w:val="18"/>
                <w:szCs w:val="18"/>
              </w:rPr>
            </w:pPr>
          </w:p>
        </w:tc>
        <w:tc>
          <w:tcPr>
            <w:tcW w:w="1337" w:type="dxa"/>
            <w:vAlign w:val="center"/>
          </w:tcPr>
          <w:p>
            <w:pPr>
              <w:jc w:val="center"/>
              <w:rPr>
                <w:rFonts w:ascii="仿宋" w:hAnsi="仿宋" w:eastAsia="仿宋" w:cs="仿宋"/>
                <w:sz w:val="18"/>
                <w:szCs w:val="18"/>
              </w:rPr>
            </w:pPr>
          </w:p>
        </w:tc>
        <w:tc>
          <w:tcPr>
            <w:tcW w:w="2371" w:type="dxa"/>
            <w:vAlign w:val="center"/>
          </w:tcPr>
          <w:p>
            <w:pPr>
              <w:jc w:val="center"/>
              <w:rPr>
                <w:rFonts w:ascii="仿宋" w:hAnsi="仿宋" w:eastAsia="仿宋" w:cs="仿宋"/>
              </w:rPr>
            </w:pPr>
            <w:r>
              <w:rPr>
                <w:rFonts w:hint="eastAsia" w:ascii="仿宋" w:hAnsi="仿宋" w:eastAsia="仿宋" w:cs="仿宋"/>
                <w:color w:val="000000"/>
                <w:kern w:val="0"/>
                <w:sz w:val="18"/>
                <w:szCs w:val="18"/>
              </w:rPr>
              <w:t>△</w:t>
            </w:r>
          </w:p>
        </w:tc>
        <w:tc>
          <w:tcPr>
            <w:tcW w:w="3274" w:type="dxa"/>
            <w:vAlign w:val="center"/>
          </w:tcPr>
          <w:p>
            <w:pPr>
              <w:jc w:val="center"/>
              <w:rPr>
                <w:rFonts w:ascii="仿宋" w:hAnsi="仿宋" w:eastAsia="仿宋" w:cs="仿宋"/>
                <w:sz w:val="18"/>
                <w:szCs w:val="18"/>
              </w:rPr>
            </w:pPr>
            <w:r>
              <w:rPr>
                <w:rFonts w:hint="eastAsia" w:ascii="仿宋" w:hAnsi="仿宋" w:eastAsia="仿宋" w:cs="仿宋"/>
                <w:sz w:val="18"/>
                <w:szCs w:val="18"/>
              </w:rPr>
              <w:t>有</w:t>
            </w:r>
            <w:r>
              <w:rPr>
                <w:rFonts w:ascii="仿宋" w:hAnsi="仿宋" w:eastAsia="仿宋" w:cs="仿宋"/>
                <w:sz w:val="18"/>
                <w:szCs w:val="18"/>
              </w:rPr>
              <w:t>附属设施时填写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vAlign w:val="center"/>
          </w:tcPr>
          <w:p>
            <w:pPr>
              <w:pStyle w:val="80"/>
              <w:numPr>
                <w:ilvl w:val="0"/>
                <w:numId w:val="55"/>
              </w:numPr>
              <w:autoSpaceDE w:val="0"/>
              <w:autoSpaceDN w:val="0"/>
              <w:adjustRightInd w:val="0"/>
              <w:spacing w:line="360" w:lineRule="auto"/>
              <w:ind w:firstLineChars="0"/>
              <w:jc w:val="center"/>
              <w:rPr>
                <w:rFonts w:ascii="仿宋" w:hAnsi="仿宋" w:eastAsia="仿宋" w:cs="仿宋"/>
              </w:rPr>
            </w:pPr>
          </w:p>
        </w:tc>
        <w:tc>
          <w:tcPr>
            <w:tcW w:w="1453" w:type="dxa"/>
            <w:vAlign w:val="center"/>
          </w:tcPr>
          <w:p>
            <w:pPr>
              <w:jc w:val="center"/>
              <w:rPr>
                <w:rFonts w:ascii="仿宋" w:hAnsi="仿宋" w:eastAsia="仿宋" w:cs="仿宋"/>
                <w:sz w:val="18"/>
                <w:szCs w:val="18"/>
              </w:rPr>
            </w:pPr>
            <w:r>
              <w:rPr>
                <w:rFonts w:hint="eastAsia" w:ascii="仿宋" w:hAnsi="仿宋" w:eastAsia="仿宋" w:cs="仿宋"/>
                <w:sz w:val="18"/>
                <w:szCs w:val="18"/>
              </w:rPr>
              <w:t>要素代码</w:t>
            </w:r>
          </w:p>
        </w:tc>
        <w:tc>
          <w:tcPr>
            <w:tcW w:w="1559" w:type="dxa"/>
            <w:vAlign w:val="center"/>
          </w:tcPr>
          <w:p>
            <w:pPr>
              <w:jc w:val="center"/>
              <w:rPr>
                <w:rFonts w:ascii="仿宋" w:hAnsi="仿宋" w:eastAsia="仿宋" w:cs="仿宋"/>
                <w:sz w:val="18"/>
                <w:szCs w:val="18"/>
              </w:rPr>
            </w:pPr>
            <w:r>
              <w:rPr>
                <w:rFonts w:hint="eastAsia" w:ascii="仿宋" w:hAnsi="仿宋" w:eastAsia="仿宋" w:cs="仿宋"/>
                <w:sz w:val="18"/>
                <w:szCs w:val="18"/>
              </w:rPr>
              <w:t>Code</w:t>
            </w:r>
          </w:p>
        </w:tc>
        <w:tc>
          <w:tcPr>
            <w:tcW w:w="1196"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992" w:type="dxa"/>
            <w:vAlign w:val="center"/>
          </w:tcPr>
          <w:p>
            <w:pPr>
              <w:jc w:val="center"/>
              <w:rPr>
                <w:rFonts w:ascii="仿宋" w:hAnsi="仿宋" w:eastAsia="仿宋" w:cs="仿宋"/>
                <w:sz w:val="18"/>
                <w:szCs w:val="18"/>
              </w:rPr>
            </w:pPr>
            <w:r>
              <w:rPr>
                <w:rFonts w:hint="eastAsia" w:ascii="仿宋" w:hAnsi="仿宋" w:eastAsia="仿宋" w:cs="仿宋"/>
                <w:sz w:val="18"/>
                <w:szCs w:val="18"/>
              </w:rPr>
              <w:t>8</w:t>
            </w:r>
          </w:p>
        </w:tc>
        <w:tc>
          <w:tcPr>
            <w:tcW w:w="931" w:type="dxa"/>
            <w:vAlign w:val="center"/>
          </w:tcPr>
          <w:p>
            <w:pPr>
              <w:jc w:val="center"/>
              <w:rPr>
                <w:rFonts w:ascii="仿宋" w:hAnsi="仿宋" w:eastAsia="仿宋" w:cs="仿宋"/>
                <w:sz w:val="18"/>
                <w:szCs w:val="18"/>
              </w:rPr>
            </w:pPr>
          </w:p>
        </w:tc>
        <w:tc>
          <w:tcPr>
            <w:tcW w:w="1337" w:type="dxa"/>
            <w:vAlign w:val="center"/>
          </w:tcPr>
          <w:p>
            <w:pPr>
              <w:jc w:val="center"/>
              <w:rPr>
                <w:rFonts w:ascii="仿宋" w:hAnsi="仿宋" w:eastAsia="仿宋" w:cs="仿宋"/>
                <w:sz w:val="18"/>
                <w:szCs w:val="18"/>
              </w:rPr>
            </w:pPr>
            <w:r>
              <w:rPr>
                <w:rFonts w:hint="eastAsia" w:ascii="仿宋" w:hAnsi="仿宋" w:eastAsia="仿宋" w:cs="仿宋"/>
                <w:sz w:val="18"/>
                <w:szCs w:val="18"/>
              </w:rPr>
              <w:t>见附表A.</w:t>
            </w:r>
            <w:r>
              <w:rPr>
                <w:rFonts w:ascii="仿宋" w:hAnsi="仿宋" w:eastAsia="仿宋" w:cs="仿宋"/>
                <w:sz w:val="18"/>
                <w:szCs w:val="18"/>
              </w:rPr>
              <w:t>1</w:t>
            </w:r>
            <w:r>
              <w:rPr>
                <w:rFonts w:hint="eastAsia" w:ascii="仿宋" w:hAnsi="仿宋" w:eastAsia="仿宋" w:cs="仿宋"/>
                <w:sz w:val="18"/>
                <w:szCs w:val="18"/>
              </w:rPr>
              <w:t>2</w:t>
            </w:r>
          </w:p>
        </w:tc>
        <w:tc>
          <w:tcPr>
            <w:tcW w:w="2371" w:type="dxa"/>
            <w:vAlign w:val="center"/>
          </w:tcPr>
          <w:p>
            <w:pPr>
              <w:jc w:val="center"/>
              <w:rPr>
                <w:rFonts w:ascii="仿宋" w:hAnsi="仿宋" w:eastAsia="仿宋" w:cs="仿宋"/>
              </w:rPr>
            </w:pPr>
            <w:r>
              <w:rPr>
                <w:rFonts w:hint="eastAsia" w:ascii="仿宋" w:hAnsi="仿宋" w:eastAsia="仿宋" w:cs="仿宋"/>
                <w:kern w:val="0"/>
                <w:szCs w:val="21"/>
              </w:rPr>
              <w:t>▲</w:t>
            </w:r>
          </w:p>
        </w:tc>
        <w:tc>
          <w:tcPr>
            <w:tcW w:w="3274" w:type="dxa"/>
            <w:vAlign w:val="center"/>
          </w:tcPr>
          <w:p>
            <w:pPr>
              <w:jc w:val="center"/>
              <w:rPr>
                <w:rFonts w:ascii="仿宋" w:hAnsi="仿宋" w:eastAsia="仿宋" w:cs="仿宋"/>
                <w:sz w:val="18"/>
                <w:szCs w:val="18"/>
              </w:rPr>
            </w:pPr>
            <w:r>
              <w:rPr>
                <w:rFonts w:hint="eastAsia" w:ascii="仿宋" w:hAnsi="仿宋" w:eastAsia="仿宋" w:cs="仿宋"/>
                <w:sz w:val="18"/>
                <w:szCs w:val="18"/>
              </w:rPr>
              <w:t>管线要素代码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vAlign w:val="center"/>
          </w:tcPr>
          <w:p>
            <w:pPr>
              <w:pStyle w:val="80"/>
              <w:numPr>
                <w:ilvl w:val="0"/>
                <w:numId w:val="55"/>
              </w:numPr>
              <w:autoSpaceDE w:val="0"/>
              <w:autoSpaceDN w:val="0"/>
              <w:adjustRightInd w:val="0"/>
              <w:spacing w:line="360" w:lineRule="auto"/>
              <w:ind w:firstLineChars="0"/>
              <w:jc w:val="center"/>
              <w:rPr>
                <w:rFonts w:ascii="仿宋" w:hAnsi="仿宋" w:eastAsia="仿宋" w:cs="仿宋"/>
                <w:color w:val="000000"/>
              </w:rPr>
            </w:pPr>
          </w:p>
        </w:tc>
        <w:tc>
          <w:tcPr>
            <w:tcW w:w="1453" w:type="dxa"/>
            <w:vAlign w:val="center"/>
          </w:tcPr>
          <w:p>
            <w:pPr>
              <w:jc w:val="center"/>
              <w:rPr>
                <w:rFonts w:ascii="仿宋" w:hAnsi="仿宋" w:eastAsia="仿宋" w:cs="仿宋"/>
                <w:sz w:val="18"/>
                <w:szCs w:val="18"/>
              </w:rPr>
            </w:pPr>
            <w:r>
              <w:rPr>
                <w:rFonts w:hint="eastAsia" w:ascii="仿宋" w:hAnsi="仿宋" w:eastAsia="仿宋" w:cs="仿宋"/>
                <w:sz w:val="18"/>
                <w:szCs w:val="18"/>
              </w:rPr>
              <w:t>X坐标</w:t>
            </w:r>
          </w:p>
        </w:tc>
        <w:tc>
          <w:tcPr>
            <w:tcW w:w="1559" w:type="dxa"/>
            <w:vAlign w:val="center"/>
          </w:tcPr>
          <w:p>
            <w:pPr>
              <w:jc w:val="center"/>
              <w:rPr>
                <w:rFonts w:ascii="仿宋" w:hAnsi="仿宋" w:eastAsia="仿宋" w:cs="仿宋"/>
                <w:sz w:val="18"/>
                <w:szCs w:val="18"/>
              </w:rPr>
            </w:pPr>
            <w:r>
              <w:rPr>
                <w:rFonts w:hint="eastAsia" w:ascii="仿宋" w:hAnsi="仿宋" w:eastAsia="仿宋" w:cs="仿宋"/>
                <w:sz w:val="18"/>
                <w:szCs w:val="18"/>
              </w:rPr>
              <w:t>X</w:t>
            </w:r>
          </w:p>
        </w:tc>
        <w:tc>
          <w:tcPr>
            <w:tcW w:w="1196" w:type="dxa"/>
            <w:vAlign w:val="center"/>
          </w:tcPr>
          <w:p>
            <w:pPr>
              <w:jc w:val="center"/>
              <w:rPr>
                <w:rFonts w:ascii="仿宋" w:hAnsi="仿宋" w:eastAsia="仿宋" w:cs="仿宋"/>
                <w:sz w:val="18"/>
                <w:szCs w:val="18"/>
              </w:rPr>
            </w:pPr>
            <w:r>
              <w:rPr>
                <w:rFonts w:hint="eastAsia" w:ascii="仿宋" w:hAnsi="仿宋" w:eastAsia="仿宋" w:cs="仿宋"/>
                <w:sz w:val="18"/>
                <w:szCs w:val="18"/>
              </w:rPr>
              <w:t>双精度</w:t>
            </w:r>
          </w:p>
        </w:tc>
        <w:tc>
          <w:tcPr>
            <w:tcW w:w="992" w:type="dxa"/>
            <w:vAlign w:val="center"/>
          </w:tcPr>
          <w:p>
            <w:pPr>
              <w:jc w:val="center"/>
              <w:rPr>
                <w:rFonts w:ascii="仿宋" w:hAnsi="仿宋" w:eastAsia="仿宋" w:cs="仿宋"/>
                <w:sz w:val="18"/>
                <w:szCs w:val="18"/>
              </w:rPr>
            </w:pPr>
          </w:p>
        </w:tc>
        <w:tc>
          <w:tcPr>
            <w:tcW w:w="931" w:type="dxa"/>
            <w:vAlign w:val="center"/>
          </w:tcPr>
          <w:p>
            <w:pPr>
              <w:jc w:val="center"/>
              <w:rPr>
                <w:rFonts w:ascii="仿宋" w:hAnsi="仿宋" w:eastAsia="仿宋" w:cs="仿宋"/>
                <w:sz w:val="18"/>
                <w:szCs w:val="18"/>
              </w:rPr>
            </w:pPr>
            <w:r>
              <w:rPr>
                <w:rFonts w:hint="eastAsia" w:ascii="仿宋" w:hAnsi="仿宋" w:eastAsia="仿宋" w:cs="仿宋"/>
                <w:sz w:val="18"/>
                <w:szCs w:val="18"/>
              </w:rPr>
              <w:t>3</w:t>
            </w:r>
          </w:p>
        </w:tc>
        <w:tc>
          <w:tcPr>
            <w:tcW w:w="1337" w:type="dxa"/>
            <w:vAlign w:val="center"/>
          </w:tcPr>
          <w:p>
            <w:pPr>
              <w:jc w:val="center"/>
              <w:rPr>
                <w:rFonts w:ascii="仿宋" w:hAnsi="仿宋" w:eastAsia="仿宋" w:cs="仿宋"/>
                <w:sz w:val="18"/>
                <w:szCs w:val="18"/>
              </w:rPr>
            </w:pPr>
          </w:p>
        </w:tc>
        <w:tc>
          <w:tcPr>
            <w:tcW w:w="2371" w:type="dxa"/>
            <w:vAlign w:val="center"/>
          </w:tcPr>
          <w:p>
            <w:pPr>
              <w:jc w:val="center"/>
              <w:rPr>
                <w:rFonts w:ascii="仿宋" w:hAnsi="仿宋" w:eastAsia="仿宋" w:cs="仿宋"/>
              </w:rPr>
            </w:pPr>
            <w:r>
              <w:rPr>
                <w:rFonts w:hint="eastAsia" w:ascii="仿宋" w:hAnsi="仿宋" w:eastAsia="仿宋" w:cs="仿宋"/>
                <w:kern w:val="0"/>
                <w:szCs w:val="21"/>
              </w:rPr>
              <w:t>▲</w:t>
            </w:r>
          </w:p>
        </w:tc>
        <w:tc>
          <w:tcPr>
            <w:tcW w:w="3274" w:type="dxa"/>
            <w:vAlign w:val="center"/>
          </w:tcPr>
          <w:p>
            <w:pPr>
              <w:jc w:val="center"/>
              <w:rPr>
                <w:rFonts w:ascii="仿宋" w:hAnsi="仿宋" w:eastAsia="仿宋" w:cs="仿宋"/>
                <w:sz w:val="18"/>
                <w:szCs w:val="18"/>
              </w:rPr>
            </w:pPr>
            <w:r>
              <w:rPr>
                <w:rFonts w:hint="eastAsia" w:ascii="仿宋" w:hAnsi="仿宋" w:eastAsia="仿宋" w:cs="仿宋"/>
                <w:sz w:val="18"/>
                <w:szCs w:val="18"/>
              </w:rPr>
              <w:t>单位：米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vAlign w:val="center"/>
          </w:tcPr>
          <w:p>
            <w:pPr>
              <w:pStyle w:val="80"/>
              <w:numPr>
                <w:ilvl w:val="0"/>
                <w:numId w:val="55"/>
              </w:numPr>
              <w:autoSpaceDE w:val="0"/>
              <w:autoSpaceDN w:val="0"/>
              <w:adjustRightInd w:val="0"/>
              <w:spacing w:line="360" w:lineRule="auto"/>
              <w:ind w:firstLineChars="0"/>
              <w:jc w:val="center"/>
              <w:rPr>
                <w:rFonts w:ascii="仿宋" w:hAnsi="仿宋" w:eastAsia="仿宋" w:cs="仿宋"/>
                <w:color w:val="000000"/>
              </w:rPr>
            </w:pPr>
          </w:p>
        </w:tc>
        <w:tc>
          <w:tcPr>
            <w:tcW w:w="1453" w:type="dxa"/>
            <w:vAlign w:val="center"/>
          </w:tcPr>
          <w:p>
            <w:pPr>
              <w:jc w:val="center"/>
              <w:rPr>
                <w:rFonts w:ascii="仿宋" w:hAnsi="仿宋" w:eastAsia="仿宋" w:cs="仿宋"/>
                <w:sz w:val="18"/>
                <w:szCs w:val="18"/>
              </w:rPr>
            </w:pPr>
            <w:r>
              <w:rPr>
                <w:rFonts w:hint="eastAsia" w:ascii="仿宋" w:hAnsi="仿宋" w:eastAsia="仿宋" w:cs="仿宋"/>
                <w:sz w:val="18"/>
                <w:szCs w:val="18"/>
              </w:rPr>
              <w:t>Y坐标</w:t>
            </w:r>
          </w:p>
        </w:tc>
        <w:tc>
          <w:tcPr>
            <w:tcW w:w="1559" w:type="dxa"/>
            <w:vAlign w:val="center"/>
          </w:tcPr>
          <w:p>
            <w:pPr>
              <w:jc w:val="center"/>
              <w:rPr>
                <w:rFonts w:ascii="仿宋" w:hAnsi="仿宋" w:eastAsia="仿宋" w:cs="仿宋"/>
                <w:sz w:val="18"/>
                <w:szCs w:val="18"/>
              </w:rPr>
            </w:pPr>
            <w:r>
              <w:rPr>
                <w:rFonts w:hint="eastAsia" w:ascii="仿宋" w:hAnsi="仿宋" w:eastAsia="仿宋" w:cs="仿宋"/>
                <w:sz w:val="18"/>
                <w:szCs w:val="18"/>
              </w:rPr>
              <w:t>Y</w:t>
            </w:r>
          </w:p>
        </w:tc>
        <w:tc>
          <w:tcPr>
            <w:tcW w:w="1196" w:type="dxa"/>
            <w:vAlign w:val="center"/>
          </w:tcPr>
          <w:p>
            <w:pPr>
              <w:jc w:val="center"/>
              <w:rPr>
                <w:rFonts w:ascii="仿宋" w:hAnsi="仿宋" w:eastAsia="仿宋" w:cs="仿宋"/>
                <w:sz w:val="18"/>
                <w:szCs w:val="18"/>
              </w:rPr>
            </w:pPr>
            <w:r>
              <w:rPr>
                <w:rFonts w:hint="eastAsia" w:ascii="仿宋" w:hAnsi="仿宋" w:eastAsia="仿宋" w:cs="仿宋"/>
                <w:sz w:val="18"/>
                <w:szCs w:val="18"/>
              </w:rPr>
              <w:t>双精度</w:t>
            </w:r>
          </w:p>
        </w:tc>
        <w:tc>
          <w:tcPr>
            <w:tcW w:w="992" w:type="dxa"/>
            <w:vAlign w:val="center"/>
          </w:tcPr>
          <w:p>
            <w:pPr>
              <w:jc w:val="center"/>
              <w:rPr>
                <w:rFonts w:ascii="仿宋" w:hAnsi="仿宋" w:eastAsia="仿宋" w:cs="仿宋"/>
                <w:sz w:val="18"/>
                <w:szCs w:val="18"/>
              </w:rPr>
            </w:pPr>
          </w:p>
        </w:tc>
        <w:tc>
          <w:tcPr>
            <w:tcW w:w="931" w:type="dxa"/>
            <w:vAlign w:val="center"/>
          </w:tcPr>
          <w:p>
            <w:pPr>
              <w:jc w:val="center"/>
              <w:rPr>
                <w:rFonts w:ascii="仿宋" w:hAnsi="仿宋" w:eastAsia="仿宋" w:cs="仿宋"/>
                <w:sz w:val="18"/>
                <w:szCs w:val="18"/>
              </w:rPr>
            </w:pPr>
            <w:r>
              <w:rPr>
                <w:rFonts w:hint="eastAsia" w:ascii="仿宋" w:hAnsi="仿宋" w:eastAsia="仿宋" w:cs="仿宋"/>
                <w:sz w:val="18"/>
                <w:szCs w:val="18"/>
              </w:rPr>
              <w:t>3</w:t>
            </w:r>
          </w:p>
        </w:tc>
        <w:tc>
          <w:tcPr>
            <w:tcW w:w="1337" w:type="dxa"/>
            <w:vAlign w:val="center"/>
          </w:tcPr>
          <w:p>
            <w:pPr>
              <w:jc w:val="center"/>
              <w:rPr>
                <w:rFonts w:ascii="仿宋" w:hAnsi="仿宋" w:eastAsia="仿宋" w:cs="仿宋"/>
                <w:sz w:val="18"/>
                <w:szCs w:val="18"/>
              </w:rPr>
            </w:pPr>
          </w:p>
        </w:tc>
        <w:tc>
          <w:tcPr>
            <w:tcW w:w="2371" w:type="dxa"/>
            <w:vAlign w:val="center"/>
          </w:tcPr>
          <w:p>
            <w:pPr>
              <w:jc w:val="center"/>
              <w:rPr>
                <w:rFonts w:ascii="仿宋" w:hAnsi="仿宋" w:eastAsia="仿宋" w:cs="仿宋"/>
              </w:rPr>
            </w:pPr>
            <w:r>
              <w:rPr>
                <w:rFonts w:hint="eastAsia" w:ascii="仿宋" w:hAnsi="仿宋" w:eastAsia="仿宋" w:cs="仿宋"/>
                <w:kern w:val="0"/>
                <w:szCs w:val="21"/>
              </w:rPr>
              <w:t>▲</w:t>
            </w:r>
          </w:p>
        </w:tc>
        <w:tc>
          <w:tcPr>
            <w:tcW w:w="3274" w:type="dxa"/>
            <w:vAlign w:val="center"/>
          </w:tcPr>
          <w:p>
            <w:pPr>
              <w:jc w:val="center"/>
              <w:rPr>
                <w:rFonts w:ascii="仿宋" w:hAnsi="仿宋" w:eastAsia="仿宋" w:cs="仿宋"/>
                <w:sz w:val="18"/>
                <w:szCs w:val="18"/>
              </w:rPr>
            </w:pPr>
            <w:r>
              <w:rPr>
                <w:rFonts w:hint="eastAsia" w:ascii="仿宋" w:hAnsi="仿宋" w:eastAsia="仿宋" w:cs="仿宋"/>
                <w:sz w:val="18"/>
                <w:szCs w:val="18"/>
              </w:rPr>
              <w:t>单位：米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vAlign w:val="center"/>
          </w:tcPr>
          <w:p>
            <w:pPr>
              <w:pStyle w:val="80"/>
              <w:numPr>
                <w:ilvl w:val="0"/>
                <w:numId w:val="55"/>
              </w:numPr>
              <w:autoSpaceDE w:val="0"/>
              <w:autoSpaceDN w:val="0"/>
              <w:adjustRightInd w:val="0"/>
              <w:spacing w:line="360" w:lineRule="auto"/>
              <w:ind w:firstLineChars="0"/>
              <w:jc w:val="center"/>
              <w:rPr>
                <w:rFonts w:ascii="仿宋" w:hAnsi="仿宋" w:eastAsia="仿宋" w:cs="仿宋"/>
                <w:color w:val="000000"/>
              </w:rPr>
            </w:pPr>
          </w:p>
        </w:tc>
        <w:tc>
          <w:tcPr>
            <w:tcW w:w="1453" w:type="dxa"/>
            <w:vAlign w:val="center"/>
          </w:tcPr>
          <w:p>
            <w:pPr>
              <w:jc w:val="center"/>
              <w:rPr>
                <w:rFonts w:ascii="仿宋" w:hAnsi="仿宋" w:eastAsia="仿宋" w:cs="仿宋"/>
                <w:sz w:val="18"/>
                <w:szCs w:val="18"/>
              </w:rPr>
            </w:pPr>
            <w:r>
              <w:rPr>
                <w:rFonts w:hint="eastAsia" w:ascii="仿宋" w:hAnsi="仿宋" w:eastAsia="仿宋" w:cs="仿宋"/>
                <w:sz w:val="18"/>
                <w:szCs w:val="18"/>
              </w:rPr>
              <w:t>地面高程</w:t>
            </w:r>
          </w:p>
        </w:tc>
        <w:tc>
          <w:tcPr>
            <w:tcW w:w="1559" w:type="dxa"/>
            <w:vAlign w:val="center"/>
          </w:tcPr>
          <w:p>
            <w:pPr>
              <w:jc w:val="center"/>
              <w:rPr>
                <w:rFonts w:ascii="仿宋" w:hAnsi="仿宋" w:eastAsia="仿宋" w:cs="仿宋"/>
                <w:sz w:val="18"/>
                <w:szCs w:val="18"/>
              </w:rPr>
            </w:pPr>
            <w:r>
              <w:rPr>
                <w:rFonts w:hint="eastAsia" w:ascii="仿宋" w:hAnsi="仿宋" w:eastAsia="仿宋" w:cs="仿宋"/>
                <w:sz w:val="18"/>
                <w:szCs w:val="18"/>
              </w:rPr>
              <w:t>High</w:t>
            </w:r>
          </w:p>
        </w:tc>
        <w:tc>
          <w:tcPr>
            <w:tcW w:w="1196" w:type="dxa"/>
            <w:vAlign w:val="center"/>
          </w:tcPr>
          <w:p>
            <w:pPr>
              <w:jc w:val="center"/>
              <w:rPr>
                <w:rFonts w:ascii="仿宋" w:hAnsi="仿宋" w:eastAsia="仿宋" w:cs="仿宋"/>
                <w:sz w:val="18"/>
                <w:szCs w:val="18"/>
              </w:rPr>
            </w:pPr>
            <w:r>
              <w:rPr>
                <w:rFonts w:hint="eastAsia" w:ascii="仿宋" w:hAnsi="仿宋" w:eastAsia="仿宋" w:cs="仿宋"/>
                <w:sz w:val="18"/>
                <w:szCs w:val="18"/>
              </w:rPr>
              <w:t>双精度</w:t>
            </w:r>
          </w:p>
        </w:tc>
        <w:tc>
          <w:tcPr>
            <w:tcW w:w="992" w:type="dxa"/>
            <w:vAlign w:val="center"/>
          </w:tcPr>
          <w:p>
            <w:pPr>
              <w:jc w:val="center"/>
              <w:rPr>
                <w:rFonts w:ascii="仿宋" w:hAnsi="仿宋" w:eastAsia="仿宋" w:cs="仿宋"/>
                <w:sz w:val="18"/>
                <w:szCs w:val="18"/>
              </w:rPr>
            </w:pPr>
          </w:p>
        </w:tc>
        <w:tc>
          <w:tcPr>
            <w:tcW w:w="931" w:type="dxa"/>
            <w:vAlign w:val="center"/>
          </w:tcPr>
          <w:p>
            <w:pPr>
              <w:jc w:val="center"/>
              <w:rPr>
                <w:rFonts w:ascii="仿宋" w:hAnsi="仿宋" w:eastAsia="仿宋" w:cs="仿宋"/>
                <w:sz w:val="18"/>
                <w:szCs w:val="18"/>
              </w:rPr>
            </w:pPr>
            <w:r>
              <w:rPr>
                <w:rFonts w:hint="eastAsia" w:ascii="仿宋" w:hAnsi="仿宋" w:eastAsia="仿宋" w:cs="仿宋"/>
                <w:sz w:val="18"/>
                <w:szCs w:val="18"/>
              </w:rPr>
              <w:t>2</w:t>
            </w:r>
          </w:p>
        </w:tc>
        <w:tc>
          <w:tcPr>
            <w:tcW w:w="1337" w:type="dxa"/>
            <w:vAlign w:val="center"/>
          </w:tcPr>
          <w:p>
            <w:pPr>
              <w:jc w:val="center"/>
              <w:rPr>
                <w:rFonts w:ascii="仿宋" w:hAnsi="仿宋" w:eastAsia="仿宋" w:cs="仿宋"/>
                <w:sz w:val="18"/>
                <w:szCs w:val="18"/>
              </w:rPr>
            </w:pPr>
          </w:p>
        </w:tc>
        <w:tc>
          <w:tcPr>
            <w:tcW w:w="2371" w:type="dxa"/>
            <w:vAlign w:val="center"/>
          </w:tcPr>
          <w:p>
            <w:pPr>
              <w:jc w:val="center"/>
              <w:rPr>
                <w:rFonts w:ascii="仿宋" w:hAnsi="仿宋" w:eastAsia="仿宋" w:cs="仿宋"/>
              </w:rPr>
            </w:pPr>
            <w:r>
              <w:rPr>
                <w:rFonts w:hint="eastAsia" w:ascii="仿宋" w:hAnsi="仿宋" w:eastAsia="仿宋" w:cs="仿宋"/>
                <w:kern w:val="0"/>
                <w:szCs w:val="21"/>
              </w:rPr>
              <w:t>▲</w:t>
            </w:r>
          </w:p>
        </w:tc>
        <w:tc>
          <w:tcPr>
            <w:tcW w:w="3274" w:type="dxa"/>
            <w:vAlign w:val="center"/>
          </w:tcPr>
          <w:p>
            <w:pPr>
              <w:jc w:val="center"/>
              <w:rPr>
                <w:rFonts w:ascii="仿宋" w:hAnsi="仿宋" w:eastAsia="仿宋" w:cs="仿宋"/>
                <w:sz w:val="18"/>
                <w:szCs w:val="18"/>
              </w:rPr>
            </w:pPr>
            <w:r>
              <w:rPr>
                <w:rFonts w:hint="eastAsia" w:ascii="仿宋" w:hAnsi="仿宋" w:eastAsia="仿宋" w:cs="仿宋"/>
                <w:sz w:val="18"/>
                <w:szCs w:val="18"/>
              </w:rPr>
              <w:t>单位：米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vAlign w:val="center"/>
          </w:tcPr>
          <w:p>
            <w:pPr>
              <w:pStyle w:val="80"/>
              <w:numPr>
                <w:ilvl w:val="0"/>
                <w:numId w:val="55"/>
              </w:numPr>
              <w:autoSpaceDE w:val="0"/>
              <w:autoSpaceDN w:val="0"/>
              <w:adjustRightInd w:val="0"/>
              <w:spacing w:line="360" w:lineRule="auto"/>
              <w:ind w:firstLineChars="0"/>
              <w:jc w:val="center"/>
              <w:rPr>
                <w:rFonts w:ascii="仿宋" w:hAnsi="仿宋" w:eastAsia="仿宋" w:cs="仿宋"/>
                <w:color w:val="000000"/>
              </w:rPr>
            </w:pPr>
          </w:p>
        </w:tc>
        <w:tc>
          <w:tcPr>
            <w:tcW w:w="1453" w:type="dxa"/>
            <w:vAlign w:val="center"/>
          </w:tcPr>
          <w:p>
            <w:pPr>
              <w:jc w:val="center"/>
              <w:rPr>
                <w:rFonts w:ascii="仿宋" w:hAnsi="仿宋" w:eastAsia="仿宋" w:cs="仿宋"/>
                <w:sz w:val="18"/>
                <w:szCs w:val="18"/>
              </w:rPr>
            </w:pPr>
            <w:r>
              <w:rPr>
                <w:rFonts w:hint="eastAsia" w:ascii="仿宋" w:hAnsi="仿宋" w:eastAsia="仿宋" w:cs="仿宋"/>
                <w:sz w:val="18"/>
                <w:szCs w:val="18"/>
              </w:rPr>
              <w:t>符号角度</w:t>
            </w:r>
          </w:p>
        </w:tc>
        <w:tc>
          <w:tcPr>
            <w:tcW w:w="1559" w:type="dxa"/>
            <w:vAlign w:val="center"/>
          </w:tcPr>
          <w:p>
            <w:pPr>
              <w:jc w:val="center"/>
              <w:rPr>
                <w:rFonts w:ascii="仿宋" w:hAnsi="仿宋" w:eastAsia="仿宋" w:cs="仿宋"/>
                <w:sz w:val="18"/>
                <w:szCs w:val="18"/>
              </w:rPr>
            </w:pPr>
            <w:r>
              <w:rPr>
                <w:rFonts w:hint="eastAsia" w:ascii="仿宋" w:hAnsi="仿宋" w:eastAsia="仿宋" w:cs="仿宋"/>
                <w:sz w:val="18"/>
                <w:szCs w:val="18"/>
              </w:rPr>
              <w:t>Angle</w:t>
            </w:r>
          </w:p>
        </w:tc>
        <w:tc>
          <w:tcPr>
            <w:tcW w:w="1196" w:type="dxa"/>
            <w:vAlign w:val="center"/>
          </w:tcPr>
          <w:p>
            <w:pPr>
              <w:jc w:val="center"/>
              <w:rPr>
                <w:rFonts w:ascii="仿宋" w:hAnsi="仿宋" w:eastAsia="仿宋" w:cs="仿宋"/>
                <w:sz w:val="18"/>
                <w:szCs w:val="18"/>
              </w:rPr>
            </w:pPr>
            <w:r>
              <w:rPr>
                <w:rFonts w:hint="eastAsia" w:ascii="仿宋" w:hAnsi="仿宋" w:eastAsia="仿宋" w:cs="仿宋"/>
                <w:sz w:val="18"/>
                <w:szCs w:val="18"/>
              </w:rPr>
              <w:t>双精度</w:t>
            </w:r>
          </w:p>
        </w:tc>
        <w:tc>
          <w:tcPr>
            <w:tcW w:w="992" w:type="dxa"/>
            <w:vAlign w:val="center"/>
          </w:tcPr>
          <w:p>
            <w:pPr>
              <w:jc w:val="center"/>
              <w:rPr>
                <w:rFonts w:ascii="仿宋" w:hAnsi="仿宋" w:eastAsia="仿宋" w:cs="仿宋"/>
                <w:sz w:val="18"/>
                <w:szCs w:val="18"/>
              </w:rPr>
            </w:pPr>
            <w:r>
              <w:rPr>
                <w:rFonts w:hint="eastAsia" w:ascii="仿宋" w:hAnsi="仿宋" w:eastAsia="仿宋" w:cs="仿宋"/>
                <w:sz w:val="18"/>
                <w:szCs w:val="18"/>
              </w:rPr>
              <w:t>8</w:t>
            </w:r>
          </w:p>
        </w:tc>
        <w:tc>
          <w:tcPr>
            <w:tcW w:w="931" w:type="dxa"/>
            <w:vAlign w:val="center"/>
          </w:tcPr>
          <w:p>
            <w:pPr>
              <w:jc w:val="center"/>
              <w:rPr>
                <w:rFonts w:ascii="仿宋" w:hAnsi="仿宋" w:eastAsia="仿宋" w:cs="仿宋"/>
                <w:sz w:val="18"/>
                <w:szCs w:val="18"/>
              </w:rPr>
            </w:pPr>
            <w:r>
              <w:rPr>
                <w:rFonts w:hint="eastAsia" w:ascii="仿宋" w:hAnsi="仿宋" w:eastAsia="仿宋" w:cs="仿宋"/>
                <w:sz w:val="18"/>
                <w:szCs w:val="18"/>
              </w:rPr>
              <w:t>3</w:t>
            </w:r>
          </w:p>
        </w:tc>
        <w:tc>
          <w:tcPr>
            <w:tcW w:w="1337" w:type="dxa"/>
            <w:vAlign w:val="center"/>
          </w:tcPr>
          <w:p>
            <w:pPr>
              <w:jc w:val="center"/>
              <w:rPr>
                <w:rFonts w:ascii="仿宋" w:hAnsi="仿宋" w:eastAsia="仿宋" w:cs="仿宋"/>
                <w:sz w:val="18"/>
                <w:szCs w:val="18"/>
              </w:rPr>
            </w:pPr>
          </w:p>
        </w:tc>
        <w:tc>
          <w:tcPr>
            <w:tcW w:w="2371" w:type="dxa"/>
            <w:vAlign w:val="center"/>
          </w:tcPr>
          <w:p>
            <w:pPr>
              <w:jc w:val="center"/>
              <w:rPr>
                <w:rFonts w:ascii="仿宋" w:hAnsi="仿宋" w:eastAsia="仿宋" w:cs="仿宋"/>
              </w:rPr>
            </w:pPr>
            <w:r>
              <w:rPr>
                <w:rFonts w:hint="eastAsia" w:ascii="仿宋" w:hAnsi="仿宋" w:eastAsia="仿宋" w:cs="仿宋"/>
                <w:kern w:val="0"/>
                <w:szCs w:val="21"/>
              </w:rPr>
              <w:t>▲</w:t>
            </w:r>
          </w:p>
        </w:tc>
        <w:tc>
          <w:tcPr>
            <w:tcW w:w="3274" w:type="dxa"/>
            <w:vAlign w:val="center"/>
          </w:tcPr>
          <w:p>
            <w:pPr>
              <w:jc w:val="center"/>
              <w:rPr>
                <w:rFonts w:ascii="仿宋" w:hAnsi="仿宋" w:eastAsia="仿宋" w:cs="仿宋"/>
                <w:sz w:val="18"/>
                <w:szCs w:val="18"/>
              </w:rPr>
            </w:pPr>
            <w:r>
              <w:rPr>
                <w:rFonts w:hint="eastAsia" w:ascii="仿宋" w:hAnsi="仿宋" w:eastAsia="仿宋" w:cs="仿宋"/>
                <w:sz w:val="18"/>
                <w:szCs w:val="18"/>
              </w:rPr>
              <w:t>单位：十进制度，</w:t>
            </w:r>
            <w:r>
              <w:rPr>
                <w:rFonts w:ascii="仿宋" w:hAnsi="仿宋" w:eastAsia="仿宋" w:cs="仿宋"/>
                <w:sz w:val="18"/>
                <w:szCs w:val="18"/>
              </w:rPr>
              <w:t>无角度时为</w:t>
            </w:r>
            <w:r>
              <w:rPr>
                <w:rFonts w:hint="eastAsia" w:ascii="仿宋" w:hAnsi="仿宋" w:eastAsia="仿宋" w:cs="仿宋"/>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vAlign w:val="center"/>
          </w:tcPr>
          <w:p>
            <w:pPr>
              <w:pStyle w:val="80"/>
              <w:numPr>
                <w:ilvl w:val="0"/>
                <w:numId w:val="55"/>
              </w:numPr>
              <w:autoSpaceDE w:val="0"/>
              <w:autoSpaceDN w:val="0"/>
              <w:adjustRightInd w:val="0"/>
              <w:spacing w:line="360" w:lineRule="auto"/>
              <w:ind w:firstLineChars="0"/>
              <w:jc w:val="center"/>
              <w:rPr>
                <w:rFonts w:ascii="仿宋" w:hAnsi="仿宋" w:eastAsia="仿宋" w:cs="仿宋"/>
                <w:color w:val="000000"/>
              </w:rPr>
            </w:pPr>
          </w:p>
        </w:tc>
        <w:tc>
          <w:tcPr>
            <w:tcW w:w="1453" w:type="dxa"/>
            <w:vAlign w:val="center"/>
          </w:tcPr>
          <w:p>
            <w:pPr>
              <w:jc w:val="center"/>
              <w:rPr>
                <w:rFonts w:ascii="仿宋" w:hAnsi="仿宋" w:eastAsia="仿宋" w:cs="仿宋"/>
                <w:color w:val="000000"/>
                <w:sz w:val="18"/>
                <w:szCs w:val="18"/>
              </w:rPr>
            </w:pPr>
            <w:r>
              <w:rPr>
                <w:rFonts w:hint="eastAsia" w:ascii="仿宋" w:hAnsi="仿宋" w:eastAsia="仿宋" w:cs="仿宋"/>
                <w:color w:val="000000"/>
                <w:sz w:val="18"/>
                <w:szCs w:val="18"/>
              </w:rPr>
              <w:t>井底深</w:t>
            </w:r>
          </w:p>
        </w:tc>
        <w:tc>
          <w:tcPr>
            <w:tcW w:w="1559" w:type="dxa"/>
            <w:vAlign w:val="center"/>
          </w:tcPr>
          <w:p>
            <w:pPr>
              <w:jc w:val="center"/>
              <w:rPr>
                <w:rFonts w:ascii="仿宋" w:hAnsi="仿宋" w:eastAsia="仿宋" w:cs="仿宋"/>
                <w:color w:val="000000"/>
                <w:sz w:val="18"/>
                <w:szCs w:val="18"/>
              </w:rPr>
            </w:pPr>
            <w:r>
              <w:rPr>
                <w:rFonts w:hint="eastAsia" w:ascii="仿宋" w:hAnsi="仿宋" w:eastAsia="仿宋" w:cs="仿宋"/>
                <w:color w:val="000000"/>
                <w:sz w:val="18"/>
                <w:szCs w:val="18"/>
              </w:rPr>
              <w:t>WellDeep</w:t>
            </w:r>
          </w:p>
        </w:tc>
        <w:tc>
          <w:tcPr>
            <w:tcW w:w="1196" w:type="dxa"/>
            <w:vAlign w:val="center"/>
          </w:tcPr>
          <w:p>
            <w:pPr>
              <w:jc w:val="center"/>
              <w:rPr>
                <w:rFonts w:ascii="仿宋" w:hAnsi="仿宋" w:eastAsia="仿宋" w:cs="仿宋"/>
                <w:color w:val="000000"/>
                <w:sz w:val="18"/>
                <w:szCs w:val="18"/>
              </w:rPr>
            </w:pPr>
            <w:r>
              <w:rPr>
                <w:rFonts w:hint="eastAsia" w:ascii="仿宋" w:hAnsi="仿宋" w:eastAsia="仿宋" w:cs="仿宋"/>
                <w:color w:val="000000"/>
                <w:sz w:val="18"/>
                <w:szCs w:val="18"/>
              </w:rPr>
              <w:t>双精度</w:t>
            </w:r>
          </w:p>
        </w:tc>
        <w:tc>
          <w:tcPr>
            <w:tcW w:w="992" w:type="dxa"/>
            <w:vAlign w:val="center"/>
          </w:tcPr>
          <w:p>
            <w:pPr>
              <w:jc w:val="center"/>
              <w:rPr>
                <w:rFonts w:ascii="仿宋" w:hAnsi="仿宋" w:eastAsia="仿宋" w:cs="仿宋"/>
                <w:color w:val="000000"/>
                <w:sz w:val="18"/>
                <w:szCs w:val="18"/>
              </w:rPr>
            </w:pPr>
          </w:p>
        </w:tc>
        <w:tc>
          <w:tcPr>
            <w:tcW w:w="931" w:type="dxa"/>
            <w:vAlign w:val="center"/>
          </w:tcPr>
          <w:p>
            <w:pPr>
              <w:jc w:val="center"/>
              <w:rPr>
                <w:rFonts w:ascii="仿宋" w:hAnsi="仿宋" w:eastAsia="仿宋" w:cs="仿宋"/>
                <w:color w:val="000000"/>
                <w:sz w:val="18"/>
                <w:szCs w:val="18"/>
              </w:rPr>
            </w:pPr>
            <w:r>
              <w:rPr>
                <w:rFonts w:hint="eastAsia" w:ascii="仿宋" w:hAnsi="仿宋" w:eastAsia="仿宋" w:cs="仿宋"/>
                <w:color w:val="000000"/>
                <w:sz w:val="18"/>
                <w:szCs w:val="18"/>
              </w:rPr>
              <w:t>2</w:t>
            </w:r>
          </w:p>
        </w:tc>
        <w:tc>
          <w:tcPr>
            <w:tcW w:w="1337" w:type="dxa"/>
            <w:vAlign w:val="center"/>
          </w:tcPr>
          <w:p>
            <w:pPr>
              <w:jc w:val="center"/>
              <w:rPr>
                <w:rFonts w:ascii="仿宋" w:hAnsi="仿宋" w:eastAsia="仿宋" w:cs="仿宋"/>
                <w:color w:val="000000"/>
                <w:sz w:val="18"/>
                <w:szCs w:val="18"/>
              </w:rPr>
            </w:pPr>
          </w:p>
        </w:tc>
        <w:tc>
          <w:tcPr>
            <w:tcW w:w="2371" w:type="dxa"/>
            <w:vAlign w:val="center"/>
          </w:tcPr>
          <w:p>
            <w:pPr>
              <w:jc w:val="center"/>
              <w:rPr>
                <w:rFonts w:ascii="仿宋" w:hAnsi="仿宋" w:eastAsia="仿宋" w:cs="仿宋"/>
                <w:color w:val="000000"/>
                <w:sz w:val="18"/>
                <w:szCs w:val="18"/>
              </w:rPr>
            </w:pPr>
            <w:r>
              <w:rPr>
                <w:rFonts w:hint="eastAsia" w:ascii="仿宋" w:hAnsi="仿宋" w:eastAsia="仿宋" w:cs="仿宋"/>
                <w:color w:val="000000"/>
                <w:kern w:val="0"/>
                <w:sz w:val="18"/>
                <w:szCs w:val="18"/>
              </w:rPr>
              <w:t>△</w:t>
            </w:r>
          </w:p>
        </w:tc>
        <w:tc>
          <w:tcPr>
            <w:tcW w:w="3274" w:type="dxa"/>
            <w:vAlign w:val="center"/>
          </w:tcPr>
          <w:p>
            <w:pPr>
              <w:jc w:val="center"/>
              <w:rPr>
                <w:rFonts w:ascii="仿宋" w:hAnsi="仿宋" w:eastAsia="仿宋" w:cs="仿宋"/>
                <w:color w:val="000000"/>
                <w:sz w:val="18"/>
                <w:szCs w:val="18"/>
              </w:rPr>
            </w:pPr>
            <w:r>
              <w:rPr>
                <w:rFonts w:hint="eastAsia" w:ascii="仿宋" w:hAnsi="仿宋" w:eastAsia="仿宋" w:cs="仿宋"/>
                <w:color w:val="000000"/>
                <w:sz w:val="18"/>
                <w:szCs w:val="18"/>
              </w:rPr>
              <w:t>单位：米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vAlign w:val="center"/>
          </w:tcPr>
          <w:p>
            <w:pPr>
              <w:pStyle w:val="80"/>
              <w:numPr>
                <w:ilvl w:val="0"/>
                <w:numId w:val="55"/>
              </w:numPr>
              <w:autoSpaceDE w:val="0"/>
              <w:autoSpaceDN w:val="0"/>
              <w:adjustRightInd w:val="0"/>
              <w:spacing w:line="360" w:lineRule="auto"/>
              <w:ind w:firstLineChars="0"/>
              <w:jc w:val="center"/>
              <w:rPr>
                <w:rFonts w:ascii="仿宋" w:hAnsi="仿宋" w:eastAsia="仿宋" w:cs="仿宋"/>
                <w:color w:val="000000"/>
              </w:rPr>
            </w:pPr>
          </w:p>
        </w:tc>
        <w:tc>
          <w:tcPr>
            <w:tcW w:w="1453" w:type="dxa"/>
            <w:vAlign w:val="center"/>
          </w:tcPr>
          <w:p>
            <w:pPr>
              <w:jc w:val="center"/>
              <w:rPr>
                <w:rFonts w:ascii="仿宋" w:hAnsi="仿宋" w:eastAsia="仿宋" w:cs="仿宋"/>
                <w:color w:val="000000"/>
                <w:sz w:val="18"/>
                <w:szCs w:val="18"/>
              </w:rPr>
            </w:pPr>
            <w:r>
              <w:rPr>
                <w:rFonts w:hint="eastAsia" w:ascii="仿宋" w:hAnsi="仿宋" w:eastAsia="仿宋" w:cs="仿宋"/>
                <w:color w:val="000000"/>
                <w:sz w:val="18"/>
                <w:szCs w:val="18"/>
              </w:rPr>
              <w:t>井底高程</w:t>
            </w:r>
          </w:p>
        </w:tc>
        <w:tc>
          <w:tcPr>
            <w:tcW w:w="1559" w:type="dxa"/>
            <w:vAlign w:val="center"/>
          </w:tcPr>
          <w:p>
            <w:pPr>
              <w:jc w:val="center"/>
              <w:rPr>
                <w:rFonts w:ascii="仿宋" w:hAnsi="仿宋" w:eastAsia="仿宋" w:cs="仿宋"/>
                <w:color w:val="000000"/>
                <w:sz w:val="18"/>
                <w:szCs w:val="18"/>
              </w:rPr>
            </w:pPr>
            <w:r>
              <w:rPr>
                <w:rFonts w:hint="eastAsia" w:ascii="仿宋" w:hAnsi="仿宋" w:eastAsia="仿宋" w:cs="仿宋"/>
                <w:color w:val="000000"/>
                <w:sz w:val="18"/>
                <w:szCs w:val="18"/>
              </w:rPr>
              <w:t>WellHigh</w:t>
            </w:r>
          </w:p>
        </w:tc>
        <w:tc>
          <w:tcPr>
            <w:tcW w:w="1196" w:type="dxa"/>
            <w:vAlign w:val="center"/>
          </w:tcPr>
          <w:p>
            <w:pPr>
              <w:jc w:val="center"/>
              <w:rPr>
                <w:rFonts w:ascii="仿宋" w:hAnsi="仿宋" w:eastAsia="仿宋" w:cs="仿宋"/>
                <w:color w:val="000000"/>
                <w:sz w:val="18"/>
                <w:szCs w:val="18"/>
              </w:rPr>
            </w:pPr>
            <w:r>
              <w:rPr>
                <w:rFonts w:hint="eastAsia" w:ascii="仿宋" w:hAnsi="仿宋" w:eastAsia="仿宋" w:cs="仿宋"/>
                <w:color w:val="000000"/>
                <w:sz w:val="18"/>
                <w:szCs w:val="18"/>
              </w:rPr>
              <w:t>双精度</w:t>
            </w:r>
          </w:p>
        </w:tc>
        <w:tc>
          <w:tcPr>
            <w:tcW w:w="992" w:type="dxa"/>
            <w:vAlign w:val="center"/>
          </w:tcPr>
          <w:p>
            <w:pPr>
              <w:jc w:val="center"/>
              <w:rPr>
                <w:rFonts w:ascii="仿宋" w:hAnsi="仿宋" w:eastAsia="仿宋" w:cs="仿宋"/>
                <w:color w:val="000000"/>
                <w:sz w:val="18"/>
                <w:szCs w:val="18"/>
              </w:rPr>
            </w:pPr>
          </w:p>
        </w:tc>
        <w:tc>
          <w:tcPr>
            <w:tcW w:w="931" w:type="dxa"/>
            <w:vAlign w:val="center"/>
          </w:tcPr>
          <w:p>
            <w:pPr>
              <w:jc w:val="center"/>
              <w:rPr>
                <w:rFonts w:ascii="仿宋" w:hAnsi="仿宋" w:eastAsia="仿宋" w:cs="仿宋"/>
                <w:color w:val="000000"/>
                <w:sz w:val="18"/>
                <w:szCs w:val="18"/>
              </w:rPr>
            </w:pPr>
            <w:r>
              <w:rPr>
                <w:rFonts w:hint="eastAsia" w:ascii="仿宋" w:hAnsi="仿宋" w:eastAsia="仿宋" w:cs="仿宋"/>
                <w:color w:val="000000"/>
                <w:sz w:val="18"/>
                <w:szCs w:val="18"/>
              </w:rPr>
              <w:t>3</w:t>
            </w:r>
          </w:p>
        </w:tc>
        <w:tc>
          <w:tcPr>
            <w:tcW w:w="1337" w:type="dxa"/>
            <w:vAlign w:val="center"/>
          </w:tcPr>
          <w:p>
            <w:pPr>
              <w:jc w:val="center"/>
              <w:rPr>
                <w:rFonts w:ascii="仿宋" w:hAnsi="仿宋" w:eastAsia="仿宋" w:cs="仿宋"/>
                <w:color w:val="000000"/>
                <w:sz w:val="18"/>
                <w:szCs w:val="18"/>
              </w:rPr>
            </w:pPr>
          </w:p>
        </w:tc>
        <w:tc>
          <w:tcPr>
            <w:tcW w:w="2371" w:type="dxa"/>
            <w:vAlign w:val="center"/>
          </w:tcPr>
          <w:p>
            <w:pPr>
              <w:jc w:val="center"/>
              <w:rPr>
                <w:rFonts w:ascii="仿宋" w:hAnsi="仿宋" w:eastAsia="仿宋" w:cs="仿宋"/>
                <w:color w:val="000000"/>
                <w:kern w:val="0"/>
                <w:sz w:val="18"/>
                <w:szCs w:val="18"/>
              </w:rPr>
            </w:pPr>
            <w:r>
              <w:rPr>
                <w:rFonts w:hint="eastAsia" w:ascii="仿宋" w:hAnsi="仿宋" w:eastAsia="仿宋" w:cs="仿宋"/>
                <w:color w:val="000000"/>
                <w:kern w:val="0"/>
                <w:sz w:val="18"/>
                <w:szCs w:val="18"/>
              </w:rPr>
              <w:t>△</w:t>
            </w:r>
          </w:p>
        </w:tc>
        <w:tc>
          <w:tcPr>
            <w:tcW w:w="3274" w:type="dxa"/>
            <w:vAlign w:val="center"/>
          </w:tcPr>
          <w:p>
            <w:pPr>
              <w:jc w:val="center"/>
              <w:rPr>
                <w:rFonts w:ascii="仿宋" w:hAnsi="仿宋" w:eastAsia="仿宋" w:cs="仿宋"/>
                <w:color w:val="000000"/>
                <w:sz w:val="18"/>
                <w:szCs w:val="18"/>
              </w:rPr>
            </w:pPr>
            <w:r>
              <w:rPr>
                <w:rFonts w:hint="eastAsia" w:ascii="仿宋" w:hAnsi="仿宋" w:eastAsia="仿宋" w:cs="仿宋"/>
                <w:sz w:val="18"/>
                <w:szCs w:val="18"/>
              </w:rPr>
              <w:t>单位：米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vAlign w:val="center"/>
          </w:tcPr>
          <w:p>
            <w:pPr>
              <w:pStyle w:val="80"/>
              <w:numPr>
                <w:ilvl w:val="0"/>
                <w:numId w:val="55"/>
              </w:numPr>
              <w:autoSpaceDE w:val="0"/>
              <w:autoSpaceDN w:val="0"/>
              <w:adjustRightInd w:val="0"/>
              <w:spacing w:line="360" w:lineRule="auto"/>
              <w:ind w:firstLineChars="0"/>
              <w:jc w:val="center"/>
              <w:rPr>
                <w:rFonts w:ascii="仿宋" w:hAnsi="仿宋" w:eastAsia="仿宋" w:cs="仿宋"/>
                <w:color w:val="000000"/>
              </w:rPr>
            </w:pPr>
          </w:p>
        </w:tc>
        <w:tc>
          <w:tcPr>
            <w:tcW w:w="1453" w:type="dxa"/>
            <w:vAlign w:val="center"/>
          </w:tcPr>
          <w:p>
            <w:pPr>
              <w:jc w:val="center"/>
              <w:rPr>
                <w:rFonts w:ascii="仿宋" w:hAnsi="仿宋" w:eastAsia="仿宋" w:cs="仿宋"/>
                <w:color w:val="000000"/>
                <w:sz w:val="18"/>
                <w:szCs w:val="18"/>
              </w:rPr>
            </w:pPr>
            <w:r>
              <w:rPr>
                <w:rFonts w:hint="eastAsia" w:ascii="仿宋" w:hAnsi="仿宋" w:eastAsia="仿宋" w:cs="仿宋"/>
                <w:color w:val="000000"/>
                <w:sz w:val="18"/>
                <w:szCs w:val="18"/>
              </w:rPr>
              <w:t>偏心井位</w:t>
            </w:r>
          </w:p>
        </w:tc>
        <w:tc>
          <w:tcPr>
            <w:tcW w:w="1559" w:type="dxa"/>
            <w:vAlign w:val="center"/>
          </w:tcPr>
          <w:p>
            <w:pPr>
              <w:jc w:val="center"/>
              <w:rPr>
                <w:rFonts w:ascii="仿宋" w:hAnsi="仿宋" w:eastAsia="仿宋" w:cs="仿宋"/>
                <w:color w:val="000000"/>
                <w:sz w:val="18"/>
                <w:szCs w:val="18"/>
              </w:rPr>
            </w:pPr>
            <w:r>
              <w:rPr>
                <w:rFonts w:hint="eastAsia" w:ascii="仿宋" w:hAnsi="仿宋" w:eastAsia="仿宋" w:cs="仿宋"/>
                <w:color w:val="000000"/>
                <w:sz w:val="18"/>
                <w:szCs w:val="18"/>
              </w:rPr>
              <w:t>Deviate</w:t>
            </w:r>
          </w:p>
        </w:tc>
        <w:tc>
          <w:tcPr>
            <w:tcW w:w="1196" w:type="dxa"/>
            <w:vAlign w:val="center"/>
          </w:tcPr>
          <w:p>
            <w:pPr>
              <w:jc w:val="center"/>
              <w:rPr>
                <w:rFonts w:ascii="仿宋" w:hAnsi="仿宋" w:eastAsia="仿宋" w:cs="仿宋"/>
                <w:color w:val="000000"/>
                <w:sz w:val="18"/>
                <w:szCs w:val="18"/>
              </w:rPr>
            </w:pPr>
            <w:r>
              <w:rPr>
                <w:rFonts w:hint="eastAsia" w:ascii="仿宋" w:hAnsi="仿宋" w:eastAsia="仿宋" w:cs="仿宋"/>
                <w:sz w:val="18"/>
                <w:szCs w:val="18"/>
              </w:rPr>
              <w:t>字符型</w:t>
            </w:r>
          </w:p>
        </w:tc>
        <w:tc>
          <w:tcPr>
            <w:tcW w:w="992" w:type="dxa"/>
            <w:vAlign w:val="center"/>
          </w:tcPr>
          <w:p>
            <w:pPr>
              <w:jc w:val="center"/>
              <w:rPr>
                <w:rFonts w:ascii="仿宋" w:hAnsi="仿宋" w:eastAsia="仿宋" w:cs="仿宋"/>
                <w:color w:val="000000"/>
                <w:sz w:val="18"/>
                <w:szCs w:val="18"/>
              </w:rPr>
            </w:pPr>
            <w:r>
              <w:rPr>
                <w:rFonts w:hint="eastAsia" w:ascii="仿宋" w:hAnsi="仿宋" w:eastAsia="仿宋" w:cs="仿宋"/>
                <w:sz w:val="18"/>
                <w:szCs w:val="18"/>
              </w:rPr>
              <w:t>25</w:t>
            </w:r>
          </w:p>
        </w:tc>
        <w:tc>
          <w:tcPr>
            <w:tcW w:w="931" w:type="dxa"/>
            <w:vAlign w:val="center"/>
          </w:tcPr>
          <w:p>
            <w:pPr>
              <w:jc w:val="center"/>
              <w:rPr>
                <w:rFonts w:ascii="仿宋" w:hAnsi="仿宋" w:eastAsia="仿宋" w:cs="仿宋"/>
                <w:color w:val="000000"/>
                <w:sz w:val="18"/>
                <w:szCs w:val="18"/>
              </w:rPr>
            </w:pPr>
          </w:p>
        </w:tc>
        <w:tc>
          <w:tcPr>
            <w:tcW w:w="1337" w:type="dxa"/>
            <w:vAlign w:val="center"/>
          </w:tcPr>
          <w:p>
            <w:pPr>
              <w:jc w:val="center"/>
              <w:rPr>
                <w:rFonts w:ascii="仿宋" w:hAnsi="仿宋" w:eastAsia="仿宋" w:cs="仿宋"/>
                <w:color w:val="000000"/>
                <w:sz w:val="18"/>
                <w:szCs w:val="18"/>
              </w:rPr>
            </w:pPr>
          </w:p>
        </w:tc>
        <w:tc>
          <w:tcPr>
            <w:tcW w:w="2371" w:type="dxa"/>
          </w:tcPr>
          <w:p>
            <w:pPr>
              <w:jc w:val="center"/>
              <w:rPr>
                <w:rFonts w:ascii="仿宋" w:hAnsi="仿宋" w:eastAsia="仿宋" w:cs="仿宋"/>
                <w:color w:val="000000"/>
                <w:kern w:val="0"/>
                <w:sz w:val="18"/>
                <w:szCs w:val="18"/>
              </w:rPr>
            </w:pPr>
            <w:r>
              <w:rPr>
                <w:rFonts w:hint="eastAsia" w:ascii="仿宋" w:hAnsi="仿宋" w:eastAsia="仿宋" w:cs="仿宋"/>
                <w:color w:val="000000"/>
                <w:kern w:val="0"/>
                <w:sz w:val="18"/>
                <w:szCs w:val="18"/>
              </w:rPr>
              <w:t>△</w:t>
            </w:r>
          </w:p>
        </w:tc>
        <w:tc>
          <w:tcPr>
            <w:tcW w:w="3274" w:type="dxa"/>
            <w:vAlign w:val="center"/>
          </w:tcPr>
          <w:p>
            <w:pPr>
              <w:jc w:val="center"/>
              <w:rPr>
                <w:rFonts w:ascii="仿宋" w:hAnsi="仿宋" w:eastAsia="仿宋" w:cs="仿宋"/>
                <w:sz w:val="18"/>
                <w:szCs w:val="18"/>
              </w:rPr>
            </w:pPr>
            <w:r>
              <w:rPr>
                <w:rFonts w:hint="eastAsia" w:ascii="仿宋" w:hAnsi="仿宋" w:eastAsia="仿宋" w:cs="仿宋"/>
                <w:sz w:val="18"/>
                <w:szCs w:val="18"/>
              </w:rPr>
              <w:t>填写井偏定点关联的检修井点号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vAlign w:val="center"/>
          </w:tcPr>
          <w:p>
            <w:pPr>
              <w:pStyle w:val="80"/>
              <w:numPr>
                <w:ilvl w:val="0"/>
                <w:numId w:val="55"/>
              </w:numPr>
              <w:autoSpaceDE w:val="0"/>
              <w:autoSpaceDN w:val="0"/>
              <w:adjustRightInd w:val="0"/>
              <w:spacing w:line="360" w:lineRule="auto"/>
              <w:ind w:firstLineChars="0"/>
              <w:jc w:val="center"/>
              <w:rPr>
                <w:rFonts w:ascii="仿宋" w:hAnsi="仿宋" w:eastAsia="仿宋" w:cs="仿宋"/>
                <w:color w:val="000000"/>
              </w:rPr>
            </w:pPr>
          </w:p>
        </w:tc>
        <w:tc>
          <w:tcPr>
            <w:tcW w:w="1453" w:type="dxa"/>
            <w:vAlign w:val="center"/>
          </w:tcPr>
          <w:p>
            <w:pPr>
              <w:jc w:val="center"/>
              <w:rPr>
                <w:rFonts w:ascii="仿宋" w:hAnsi="仿宋" w:eastAsia="仿宋" w:cs="仿宋"/>
                <w:sz w:val="18"/>
                <w:szCs w:val="18"/>
              </w:rPr>
            </w:pPr>
            <w:r>
              <w:rPr>
                <w:rFonts w:hint="eastAsia" w:ascii="仿宋" w:hAnsi="仿宋" w:eastAsia="仿宋" w:cs="仿宋"/>
                <w:sz w:val="18"/>
                <w:szCs w:val="18"/>
              </w:rPr>
              <w:t>权属单位</w:t>
            </w:r>
          </w:p>
        </w:tc>
        <w:tc>
          <w:tcPr>
            <w:tcW w:w="1559" w:type="dxa"/>
            <w:vAlign w:val="center"/>
          </w:tcPr>
          <w:p>
            <w:pPr>
              <w:jc w:val="center"/>
              <w:rPr>
                <w:rFonts w:ascii="仿宋" w:hAnsi="仿宋" w:eastAsia="仿宋" w:cs="仿宋"/>
                <w:sz w:val="18"/>
                <w:szCs w:val="18"/>
              </w:rPr>
            </w:pPr>
            <w:r>
              <w:rPr>
                <w:rFonts w:hint="eastAsia" w:ascii="仿宋" w:hAnsi="仿宋" w:eastAsia="仿宋" w:cs="仿宋"/>
                <w:sz w:val="18"/>
                <w:szCs w:val="18"/>
              </w:rPr>
              <w:t>Belong</w:t>
            </w:r>
          </w:p>
        </w:tc>
        <w:tc>
          <w:tcPr>
            <w:tcW w:w="1196"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992" w:type="dxa"/>
            <w:vAlign w:val="center"/>
          </w:tcPr>
          <w:p>
            <w:pPr>
              <w:jc w:val="center"/>
              <w:rPr>
                <w:rFonts w:ascii="仿宋" w:hAnsi="仿宋" w:eastAsia="仿宋" w:cs="仿宋"/>
                <w:sz w:val="18"/>
                <w:szCs w:val="18"/>
              </w:rPr>
            </w:pPr>
            <w:r>
              <w:rPr>
                <w:rFonts w:hint="eastAsia" w:ascii="仿宋" w:hAnsi="仿宋" w:eastAsia="仿宋" w:cs="仿宋"/>
                <w:sz w:val="18"/>
                <w:szCs w:val="18"/>
              </w:rPr>
              <w:t>255</w:t>
            </w:r>
          </w:p>
        </w:tc>
        <w:tc>
          <w:tcPr>
            <w:tcW w:w="931" w:type="dxa"/>
            <w:vAlign w:val="center"/>
          </w:tcPr>
          <w:p>
            <w:pPr>
              <w:jc w:val="center"/>
              <w:rPr>
                <w:rFonts w:ascii="仿宋" w:hAnsi="仿宋" w:eastAsia="仿宋" w:cs="仿宋"/>
                <w:sz w:val="18"/>
                <w:szCs w:val="18"/>
              </w:rPr>
            </w:pPr>
          </w:p>
        </w:tc>
        <w:tc>
          <w:tcPr>
            <w:tcW w:w="1337" w:type="dxa"/>
            <w:vAlign w:val="center"/>
          </w:tcPr>
          <w:p>
            <w:pPr>
              <w:jc w:val="center"/>
              <w:rPr>
                <w:rFonts w:ascii="仿宋" w:hAnsi="仿宋" w:eastAsia="仿宋" w:cs="仿宋"/>
                <w:sz w:val="18"/>
                <w:szCs w:val="18"/>
              </w:rPr>
            </w:pPr>
          </w:p>
        </w:tc>
        <w:tc>
          <w:tcPr>
            <w:tcW w:w="2371" w:type="dxa"/>
            <w:vAlign w:val="center"/>
          </w:tcPr>
          <w:p>
            <w:pPr>
              <w:jc w:val="center"/>
              <w:rPr>
                <w:rFonts w:ascii="仿宋" w:hAnsi="仿宋" w:eastAsia="仿宋" w:cs="仿宋"/>
                <w:sz w:val="18"/>
                <w:szCs w:val="18"/>
              </w:rPr>
            </w:pPr>
            <w:r>
              <w:rPr>
                <w:rFonts w:hint="eastAsia" w:ascii="仿宋" w:hAnsi="仿宋" w:eastAsia="仿宋" w:cs="仿宋"/>
                <w:kern w:val="0"/>
                <w:szCs w:val="21"/>
              </w:rPr>
              <w:t>▲</w:t>
            </w:r>
          </w:p>
        </w:tc>
        <w:tc>
          <w:tcPr>
            <w:tcW w:w="3274" w:type="dxa"/>
            <w:vAlign w:val="center"/>
          </w:tcPr>
          <w:p>
            <w:pPr>
              <w:jc w:val="center"/>
              <w:rPr>
                <w:rFonts w:ascii="仿宋" w:hAnsi="仿宋" w:eastAsia="仿宋" w:cs="仿宋"/>
                <w:sz w:val="18"/>
                <w:szCs w:val="18"/>
              </w:rPr>
            </w:pPr>
            <w:r>
              <w:rPr>
                <w:rFonts w:hint="eastAsia" w:ascii="仿宋" w:hAnsi="仿宋" w:eastAsia="仿宋" w:cs="仿宋"/>
                <w:sz w:val="18"/>
                <w:szCs w:val="18"/>
              </w:rPr>
              <w:t>填写全称，多个权属单位时以“；”分隔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vAlign w:val="center"/>
          </w:tcPr>
          <w:p>
            <w:pPr>
              <w:pStyle w:val="80"/>
              <w:numPr>
                <w:ilvl w:val="0"/>
                <w:numId w:val="55"/>
              </w:numPr>
              <w:autoSpaceDE w:val="0"/>
              <w:autoSpaceDN w:val="0"/>
              <w:adjustRightInd w:val="0"/>
              <w:spacing w:line="360" w:lineRule="auto"/>
              <w:ind w:firstLineChars="0"/>
              <w:jc w:val="center"/>
              <w:rPr>
                <w:rFonts w:ascii="仿宋" w:hAnsi="仿宋" w:eastAsia="仿宋" w:cs="仿宋"/>
                <w:color w:val="000000"/>
              </w:rPr>
            </w:pPr>
          </w:p>
        </w:tc>
        <w:tc>
          <w:tcPr>
            <w:tcW w:w="1453" w:type="dxa"/>
            <w:vAlign w:val="center"/>
          </w:tcPr>
          <w:p>
            <w:pPr>
              <w:jc w:val="center"/>
              <w:rPr>
                <w:rFonts w:ascii="仿宋" w:hAnsi="仿宋" w:eastAsia="仿宋" w:cs="仿宋"/>
                <w:sz w:val="18"/>
                <w:szCs w:val="18"/>
              </w:rPr>
            </w:pPr>
            <w:r>
              <w:rPr>
                <w:rFonts w:hint="eastAsia" w:ascii="仿宋" w:hAnsi="仿宋" w:eastAsia="仿宋" w:cs="仿宋"/>
                <w:sz w:val="18"/>
                <w:szCs w:val="18"/>
              </w:rPr>
              <w:t>建设日期</w:t>
            </w:r>
          </w:p>
        </w:tc>
        <w:tc>
          <w:tcPr>
            <w:tcW w:w="1559" w:type="dxa"/>
            <w:vAlign w:val="center"/>
          </w:tcPr>
          <w:p>
            <w:pPr>
              <w:jc w:val="center"/>
              <w:rPr>
                <w:rFonts w:ascii="仿宋" w:hAnsi="仿宋" w:eastAsia="仿宋" w:cs="仿宋"/>
                <w:sz w:val="18"/>
                <w:szCs w:val="18"/>
              </w:rPr>
            </w:pPr>
            <w:r>
              <w:rPr>
                <w:rFonts w:hint="eastAsia" w:ascii="仿宋" w:hAnsi="仿宋" w:eastAsia="仿宋" w:cs="仿宋"/>
                <w:sz w:val="18"/>
                <w:szCs w:val="18"/>
              </w:rPr>
              <w:t>MDate</w:t>
            </w:r>
          </w:p>
        </w:tc>
        <w:tc>
          <w:tcPr>
            <w:tcW w:w="1196"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992"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931" w:type="dxa"/>
            <w:vAlign w:val="center"/>
          </w:tcPr>
          <w:p>
            <w:pPr>
              <w:jc w:val="center"/>
              <w:rPr>
                <w:rFonts w:ascii="仿宋" w:hAnsi="仿宋" w:eastAsia="仿宋" w:cs="仿宋"/>
                <w:sz w:val="18"/>
                <w:szCs w:val="18"/>
              </w:rPr>
            </w:pPr>
          </w:p>
        </w:tc>
        <w:tc>
          <w:tcPr>
            <w:tcW w:w="1337" w:type="dxa"/>
            <w:vAlign w:val="center"/>
          </w:tcPr>
          <w:p>
            <w:pPr>
              <w:jc w:val="center"/>
              <w:rPr>
                <w:rFonts w:ascii="仿宋" w:hAnsi="仿宋" w:eastAsia="仿宋" w:cs="仿宋"/>
                <w:sz w:val="18"/>
                <w:szCs w:val="18"/>
              </w:rPr>
            </w:pPr>
          </w:p>
        </w:tc>
        <w:tc>
          <w:tcPr>
            <w:tcW w:w="2371" w:type="dxa"/>
            <w:vAlign w:val="center"/>
          </w:tcPr>
          <w:p>
            <w:pPr>
              <w:jc w:val="center"/>
              <w:rPr>
                <w:rFonts w:ascii="仿宋" w:hAnsi="仿宋" w:eastAsia="仿宋" w:cs="仿宋"/>
                <w:sz w:val="18"/>
                <w:szCs w:val="18"/>
              </w:rPr>
            </w:pPr>
            <w:r>
              <w:rPr>
                <w:rFonts w:hint="eastAsia" w:ascii="仿宋" w:hAnsi="仿宋" w:eastAsia="仿宋" w:cs="仿宋"/>
                <w:kern w:val="0"/>
                <w:szCs w:val="21"/>
              </w:rPr>
              <w:t>▲</w:t>
            </w:r>
          </w:p>
        </w:tc>
        <w:tc>
          <w:tcPr>
            <w:tcW w:w="3274" w:type="dxa"/>
            <w:vAlign w:val="center"/>
          </w:tcPr>
          <w:p>
            <w:pPr>
              <w:jc w:val="center"/>
              <w:rPr>
                <w:rFonts w:ascii="仿宋" w:hAnsi="仿宋" w:eastAsia="仿宋" w:cs="仿宋"/>
                <w:sz w:val="18"/>
                <w:szCs w:val="18"/>
              </w:rPr>
            </w:pPr>
            <w:r>
              <w:rPr>
                <w:rFonts w:hint="eastAsia" w:ascii="仿宋" w:hAnsi="仿宋" w:eastAsia="仿宋" w:cs="仿宋"/>
                <w:sz w:val="18"/>
                <w:szCs w:val="18"/>
              </w:rPr>
              <w:t>采用“YYYY-MM-DD”格式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vAlign w:val="center"/>
          </w:tcPr>
          <w:p>
            <w:pPr>
              <w:pStyle w:val="80"/>
              <w:numPr>
                <w:ilvl w:val="0"/>
                <w:numId w:val="55"/>
              </w:numPr>
              <w:autoSpaceDE w:val="0"/>
              <w:autoSpaceDN w:val="0"/>
              <w:adjustRightInd w:val="0"/>
              <w:spacing w:line="360" w:lineRule="auto"/>
              <w:ind w:firstLineChars="0"/>
              <w:jc w:val="center"/>
              <w:rPr>
                <w:rFonts w:ascii="仿宋" w:hAnsi="仿宋" w:eastAsia="仿宋" w:cs="仿宋"/>
                <w:color w:val="000000"/>
              </w:rPr>
            </w:pPr>
          </w:p>
        </w:tc>
        <w:tc>
          <w:tcPr>
            <w:tcW w:w="1453" w:type="dxa"/>
            <w:vAlign w:val="center"/>
          </w:tcPr>
          <w:p>
            <w:pPr>
              <w:jc w:val="center"/>
              <w:rPr>
                <w:rFonts w:ascii="仿宋" w:hAnsi="仿宋" w:eastAsia="仿宋" w:cs="仿宋"/>
                <w:sz w:val="18"/>
                <w:szCs w:val="18"/>
              </w:rPr>
            </w:pPr>
            <w:r>
              <w:rPr>
                <w:rFonts w:hint="eastAsia" w:ascii="仿宋" w:hAnsi="仿宋" w:eastAsia="仿宋" w:cs="仿宋"/>
                <w:sz w:val="18"/>
                <w:szCs w:val="18"/>
              </w:rPr>
              <w:t>数据来源</w:t>
            </w:r>
          </w:p>
        </w:tc>
        <w:tc>
          <w:tcPr>
            <w:tcW w:w="1559" w:type="dxa"/>
            <w:vAlign w:val="center"/>
          </w:tcPr>
          <w:p>
            <w:pPr>
              <w:jc w:val="center"/>
              <w:rPr>
                <w:rFonts w:ascii="仿宋" w:hAnsi="仿宋" w:eastAsia="仿宋" w:cs="仿宋"/>
                <w:sz w:val="18"/>
                <w:szCs w:val="18"/>
              </w:rPr>
            </w:pPr>
            <w:r>
              <w:rPr>
                <w:rFonts w:hint="eastAsia" w:ascii="仿宋" w:hAnsi="仿宋" w:eastAsia="仿宋" w:cs="仿宋"/>
                <w:sz w:val="18"/>
                <w:szCs w:val="18"/>
              </w:rPr>
              <w:t>Source</w:t>
            </w:r>
          </w:p>
        </w:tc>
        <w:tc>
          <w:tcPr>
            <w:tcW w:w="1196"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992"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931" w:type="dxa"/>
            <w:vAlign w:val="center"/>
          </w:tcPr>
          <w:p>
            <w:pPr>
              <w:jc w:val="center"/>
              <w:rPr>
                <w:rFonts w:ascii="仿宋" w:hAnsi="仿宋" w:eastAsia="仿宋" w:cs="仿宋"/>
                <w:sz w:val="18"/>
                <w:szCs w:val="18"/>
              </w:rPr>
            </w:pPr>
          </w:p>
        </w:tc>
        <w:tc>
          <w:tcPr>
            <w:tcW w:w="1337" w:type="dxa"/>
            <w:vAlign w:val="center"/>
          </w:tcPr>
          <w:p>
            <w:pPr>
              <w:jc w:val="center"/>
              <w:rPr>
                <w:rFonts w:ascii="仿宋" w:hAnsi="仿宋" w:eastAsia="仿宋" w:cs="仿宋"/>
                <w:sz w:val="18"/>
                <w:szCs w:val="18"/>
              </w:rPr>
            </w:pPr>
            <w:r>
              <w:rPr>
                <w:rFonts w:hint="eastAsia" w:ascii="仿宋" w:hAnsi="仿宋" w:eastAsia="仿宋" w:cs="仿宋"/>
                <w:sz w:val="18"/>
                <w:szCs w:val="18"/>
              </w:rPr>
              <w:t>见附表A.</w:t>
            </w:r>
            <w:r>
              <w:rPr>
                <w:rFonts w:ascii="仿宋" w:hAnsi="仿宋" w:eastAsia="仿宋" w:cs="仿宋"/>
                <w:sz w:val="18"/>
                <w:szCs w:val="18"/>
              </w:rPr>
              <w:t>1</w:t>
            </w:r>
            <w:r>
              <w:rPr>
                <w:rFonts w:hint="eastAsia" w:ascii="仿宋" w:hAnsi="仿宋" w:eastAsia="仿宋" w:cs="仿宋"/>
                <w:sz w:val="18"/>
                <w:szCs w:val="18"/>
              </w:rPr>
              <w:t>3</w:t>
            </w:r>
            <w:r>
              <w:rPr>
                <w:rFonts w:ascii="仿宋" w:hAnsi="仿宋" w:eastAsia="仿宋" w:cs="仿宋"/>
                <w:sz w:val="18"/>
                <w:szCs w:val="18"/>
              </w:rPr>
              <w:t>.6</w:t>
            </w:r>
          </w:p>
        </w:tc>
        <w:tc>
          <w:tcPr>
            <w:tcW w:w="2371" w:type="dxa"/>
            <w:vAlign w:val="center"/>
          </w:tcPr>
          <w:p>
            <w:pPr>
              <w:jc w:val="center"/>
              <w:rPr>
                <w:rFonts w:ascii="仿宋" w:hAnsi="仿宋" w:eastAsia="仿宋" w:cs="仿宋"/>
                <w:sz w:val="18"/>
                <w:szCs w:val="18"/>
              </w:rPr>
            </w:pPr>
            <w:r>
              <w:rPr>
                <w:rFonts w:hint="eastAsia" w:ascii="仿宋" w:hAnsi="仿宋" w:eastAsia="仿宋" w:cs="仿宋"/>
                <w:kern w:val="0"/>
                <w:szCs w:val="21"/>
              </w:rPr>
              <w:t>▲</w:t>
            </w:r>
          </w:p>
        </w:tc>
        <w:tc>
          <w:tcPr>
            <w:tcW w:w="3274"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vAlign w:val="center"/>
          </w:tcPr>
          <w:p>
            <w:pPr>
              <w:pStyle w:val="80"/>
              <w:numPr>
                <w:ilvl w:val="0"/>
                <w:numId w:val="55"/>
              </w:numPr>
              <w:autoSpaceDE w:val="0"/>
              <w:autoSpaceDN w:val="0"/>
              <w:adjustRightInd w:val="0"/>
              <w:spacing w:line="360" w:lineRule="auto"/>
              <w:ind w:firstLineChars="0"/>
              <w:jc w:val="center"/>
              <w:rPr>
                <w:rFonts w:ascii="仿宋" w:hAnsi="仿宋" w:eastAsia="仿宋" w:cs="仿宋"/>
                <w:color w:val="000000"/>
              </w:rPr>
            </w:pPr>
          </w:p>
        </w:tc>
        <w:tc>
          <w:tcPr>
            <w:tcW w:w="1453" w:type="dxa"/>
            <w:vAlign w:val="center"/>
          </w:tcPr>
          <w:p>
            <w:pPr>
              <w:jc w:val="center"/>
              <w:rPr>
                <w:rFonts w:ascii="仿宋" w:hAnsi="仿宋" w:eastAsia="仿宋" w:cs="仿宋"/>
                <w:sz w:val="18"/>
                <w:szCs w:val="18"/>
              </w:rPr>
            </w:pPr>
            <w:r>
              <w:rPr>
                <w:rFonts w:hint="eastAsia" w:ascii="仿宋" w:hAnsi="仿宋" w:eastAsia="仿宋" w:cs="仿宋"/>
                <w:sz w:val="18"/>
                <w:szCs w:val="18"/>
              </w:rPr>
              <w:t>所属道路</w:t>
            </w:r>
          </w:p>
        </w:tc>
        <w:tc>
          <w:tcPr>
            <w:tcW w:w="1559" w:type="dxa"/>
            <w:vAlign w:val="center"/>
          </w:tcPr>
          <w:p>
            <w:pPr>
              <w:jc w:val="center"/>
              <w:rPr>
                <w:rFonts w:ascii="仿宋" w:hAnsi="仿宋" w:eastAsia="仿宋" w:cs="仿宋"/>
                <w:sz w:val="18"/>
                <w:szCs w:val="18"/>
              </w:rPr>
            </w:pPr>
            <w:r>
              <w:rPr>
                <w:rFonts w:hint="eastAsia" w:ascii="仿宋" w:hAnsi="仿宋" w:eastAsia="仿宋" w:cs="仿宋"/>
                <w:sz w:val="18"/>
                <w:szCs w:val="18"/>
              </w:rPr>
              <w:t>Road</w:t>
            </w:r>
          </w:p>
        </w:tc>
        <w:tc>
          <w:tcPr>
            <w:tcW w:w="1196"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992" w:type="dxa"/>
            <w:vAlign w:val="center"/>
          </w:tcPr>
          <w:p>
            <w:pPr>
              <w:jc w:val="center"/>
              <w:rPr>
                <w:rFonts w:ascii="仿宋" w:hAnsi="仿宋" w:eastAsia="仿宋" w:cs="仿宋"/>
                <w:sz w:val="18"/>
                <w:szCs w:val="18"/>
              </w:rPr>
            </w:pPr>
            <w:r>
              <w:rPr>
                <w:rFonts w:hint="eastAsia" w:ascii="仿宋" w:hAnsi="仿宋" w:eastAsia="仿宋" w:cs="仿宋"/>
                <w:sz w:val="18"/>
                <w:szCs w:val="18"/>
              </w:rPr>
              <w:t>50</w:t>
            </w:r>
          </w:p>
        </w:tc>
        <w:tc>
          <w:tcPr>
            <w:tcW w:w="931" w:type="dxa"/>
            <w:vAlign w:val="center"/>
          </w:tcPr>
          <w:p>
            <w:pPr>
              <w:jc w:val="center"/>
              <w:rPr>
                <w:rFonts w:ascii="仿宋" w:hAnsi="仿宋" w:eastAsia="仿宋" w:cs="仿宋"/>
                <w:sz w:val="18"/>
                <w:szCs w:val="18"/>
              </w:rPr>
            </w:pPr>
          </w:p>
        </w:tc>
        <w:tc>
          <w:tcPr>
            <w:tcW w:w="1337" w:type="dxa"/>
            <w:vAlign w:val="center"/>
          </w:tcPr>
          <w:p>
            <w:pPr>
              <w:jc w:val="center"/>
              <w:rPr>
                <w:rFonts w:ascii="仿宋" w:hAnsi="仿宋" w:eastAsia="仿宋" w:cs="仿宋"/>
                <w:sz w:val="18"/>
                <w:szCs w:val="18"/>
              </w:rPr>
            </w:pPr>
          </w:p>
        </w:tc>
        <w:tc>
          <w:tcPr>
            <w:tcW w:w="2371" w:type="dxa"/>
            <w:vAlign w:val="center"/>
          </w:tcPr>
          <w:p>
            <w:pPr>
              <w:jc w:val="center"/>
              <w:rPr>
                <w:rFonts w:ascii="仿宋" w:hAnsi="仿宋" w:eastAsia="仿宋" w:cs="仿宋"/>
                <w:sz w:val="18"/>
                <w:szCs w:val="18"/>
              </w:rPr>
            </w:pPr>
            <w:r>
              <w:rPr>
                <w:rFonts w:hint="eastAsia" w:ascii="仿宋" w:hAnsi="仿宋" w:eastAsia="仿宋" w:cs="仿宋"/>
                <w:kern w:val="0"/>
                <w:szCs w:val="21"/>
              </w:rPr>
              <w:t>▲</w:t>
            </w:r>
          </w:p>
        </w:tc>
        <w:tc>
          <w:tcPr>
            <w:tcW w:w="3274" w:type="dxa"/>
            <w:vAlign w:val="center"/>
          </w:tcPr>
          <w:p>
            <w:pPr>
              <w:jc w:val="center"/>
              <w:rPr>
                <w:rFonts w:ascii="仿宋" w:hAnsi="仿宋" w:eastAsia="仿宋" w:cs="仿宋"/>
                <w:sz w:val="18"/>
                <w:szCs w:val="18"/>
              </w:rPr>
            </w:pPr>
            <w:r>
              <w:rPr>
                <w:rFonts w:hint="eastAsia" w:ascii="仿宋" w:hAnsi="仿宋" w:eastAsia="仿宋" w:cs="仿宋"/>
                <w:sz w:val="18"/>
                <w:szCs w:val="18"/>
              </w:rPr>
              <w:t>根据实地道路进行填写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vAlign w:val="center"/>
          </w:tcPr>
          <w:p>
            <w:pPr>
              <w:pStyle w:val="80"/>
              <w:numPr>
                <w:ilvl w:val="0"/>
                <w:numId w:val="55"/>
              </w:numPr>
              <w:autoSpaceDE w:val="0"/>
              <w:autoSpaceDN w:val="0"/>
              <w:adjustRightInd w:val="0"/>
              <w:spacing w:line="360" w:lineRule="auto"/>
              <w:ind w:firstLineChars="0"/>
              <w:jc w:val="center"/>
              <w:rPr>
                <w:rFonts w:ascii="仿宋" w:hAnsi="仿宋" w:eastAsia="仿宋" w:cs="仿宋"/>
                <w:color w:val="000000"/>
              </w:rPr>
            </w:pPr>
          </w:p>
        </w:tc>
        <w:tc>
          <w:tcPr>
            <w:tcW w:w="1453" w:type="dxa"/>
            <w:vAlign w:val="center"/>
          </w:tcPr>
          <w:p>
            <w:pPr>
              <w:jc w:val="center"/>
              <w:rPr>
                <w:rFonts w:ascii="仿宋" w:hAnsi="仿宋" w:eastAsia="仿宋" w:cs="仿宋"/>
                <w:sz w:val="18"/>
                <w:szCs w:val="18"/>
              </w:rPr>
            </w:pPr>
            <w:r>
              <w:rPr>
                <w:rFonts w:hint="eastAsia" w:ascii="仿宋" w:hAnsi="仿宋" w:eastAsia="仿宋" w:cs="仿宋"/>
                <w:sz w:val="18"/>
                <w:szCs w:val="18"/>
              </w:rPr>
              <w:t>探测单位</w:t>
            </w:r>
          </w:p>
        </w:tc>
        <w:tc>
          <w:tcPr>
            <w:tcW w:w="1559" w:type="dxa"/>
            <w:vAlign w:val="center"/>
          </w:tcPr>
          <w:p>
            <w:pPr>
              <w:jc w:val="center"/>
              <w:rPr>
                <w:rFonts w:ascii="仿宋" w:hAnsi="仿宋" w:eastAsia="仿宋" w:cs="仿宋"/>
                <w:sz w:val="18"/>
                <w:szCs w:val="18"/>
              </w:rPr>
            </w:pPr>
            <w:r>
              <w:rPr>
                <w:rFonts w:hint="eastAsia" w:ascii="仿宋" w:hAnsi="仿宋" w:eastAsia="仿宋" w:cs="仿宋"/>
                <w:sz w:val="18"/>
                <w:szCs w:val="18"/>
              </w:rPr>
              <w:t>TC_Code</w:t>
            </w:r>
          </w:p>
        </w:tc>
        <w:tc>
          <w:tcPr>
            <w:tcW w:w="1196"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992" w:type="dxa"/>
            <w:vAlign w:val="center"/>
          </w:tcPr>
          <w:p>
            <w:pPr>
              <w:jc w:val="center"/>
              <w:rPr>
                <w:rFonts w:ascii="仿宋" w:hAnsi="仿宋" w:eastAsia="仿宋" w:cs="仿宋"/>
                <w:sz w:val="18"/>
                <w:szCs w:val="18"/>
              </w:rPr>
            </w:pPr>
            <w:r>
              <w:rPr>
                <w:rFonts w:hint="eastAsia" w:ascii="仿宋" w:hAnsi="仿宋" w:eastAsia="仿宋" w:cs="仿宋"/>
                <w:sz w:val="18"/>
                <w:szCs w:val="18"/>
              </w:rPr>
              <w:t>100</w:t>
            </w:r>
          </w:p>
        </w:tc>
        <w:tc>
          <w:tcPr>
            <w:tcW w:w="931" w:type="dxa"/>
            <w:vAlign w:val="center"/>
          </w:tcPr>
          <w:p>
            <w:pPr>
              <w:jc w:val="center"/>
              <w:rPr>
                <w:rFonts w:ascii="仿宋" w:hAnsi="仿宋" w:eastAsia="仿宋" w:cs="仿宋"/>
                <w:sz w:val="18"/>
                <w:szCs w:val="18"/>
              </w:rPr>
            </w:pPr>
          </w:p>
        </w:tc>
        <w:tc>
          <w:tcPr>
            <w:tcW w:w="1337" w:type="dxa"/>
            <w:vAlign w:val="center"/>
          </w:tcPr>
          <w:p>
            <w:pPr>
              <w:jc w:val="center"/>
              <w:rPr>
                <w:rFonts w:ascii="仿宋" w:hAnsi="仿宋" w:eastAsia="仿宋" w:cs="仿宋"/>
                <w:sz w:val="18"/>
                <w:szCs w:val="18"/>
              </w:rPr>
            </w:pPr>
          </w:p>
        </w:tc>
        <w:tc>
          <w:tcPr>
            <w:tcW w:w="2371" w:type="dxa"/>
            <w:vAlign w:val="center"/>
          </w:tcPr>
          <w:p>
            <w:pPr>
              <w:jc w:val="center"/>
              <w:rPr>
                <w:rFonts w:ascii="仿宋" w:hAnsi="仿宋" w:eastAsia="仿宋" w:cs="仿宋"/>
                <w:sz w:val="18"/>
                <w:szCs w:val="18"/>
              </w:rPr>
            </w:pPr>
            <w:r>
              <w:rPr>
                <w:rFonts w:hint="eastAsia" w:ascii="仿宋" w:hAnsi="仿宋" w:eastAsia="仿宋" w:cs="仿宋"/>
                <w:kern w:val="0"/>
                <w:szCs w:val="21"/>
              </w:rPr>
              <w:t>▲</w:t>
            </w:r>
          </w:p>
        </w:tc>
        <w:tc>
          <w:tcPr>
            <w:tcW w:w="3274" w:type="dxa"/>
            <w:vAlign w:val="center"/>
          </w:tcPr>
          <w:p>
            <w:pPr>
              <w:jc w:val="center"/>
              <w:rPr>
                <w:rFonts w:ascii="仿宋" w:hAnsi="仿宋" w:eastAsia="仿宋" w:cs="仿宋"/>
                <w:sz w:val="18"/>
                <w:szCs w:val="18"/>
              </w:rPr>
            </w:pPr>
            <w:r>
              <w:rPr>
                <w:rFonts w:hint="eastAsia" w:ascii="仿宋" w:hAnsi="仿宋" w:eastAsia="仿宋" w:cs="仿宋"/>
                <w:sz w:val="18"/>
                <w:szCs w:val="18"/>
              </w:rPr>
              <w:t>埴写作业单位全称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vAlign w:val="center"/>
          </w:tcPr>
          <w:p>
            <w:pPr>
              <w:pStyle w:val="80"/>
              <w:numPr>
                <w:ilvl w:val="0"/>
                <w:numId w:val="55"/>
              </w:numPr>
              <w:autoSpaceDE w:val="0"/>
              <w:autoSpaceDN w:val="0"/>
              <w:adjustRightInd w:val="0"/>
              <w:spacing w:line="360" w:lineRule="auto"/>
              <w:ind w:firstLineChars="0"/>
              <w:jc w:val="center"/>
              <w:rPr>
                <w:rFonts w:ascii="仿宋" w:hAnsi="仿宋" w:eastAsia="仿宋" w:cs="仿宋"/>
                <w:color w:val="000000"/>
              </w:rPr>
            </w:pPr>
          </w:p>
        </w:tc>
        <w:tc>
          <w:tcPr>
            <w:tcW w:w="1453" w:type="dxa"/>
            <w:vAlign w:val="center"/>
          </w:tcPr>
          <w:p>
            <w:pPr>
              <w:jc w:val="center"/>
              <w:rPr>
                <w:rFonts w:ascii="仿宋" w:hAnsi="仿宋" w:eastAsia="仿宋" w:cs="仿宋"/>
                <w:sz w:val="18"/>
                <w:szCs w:val="18"/>
              </w:rPr>
            </w:pPr>
            <w:r>
              <w:rPr>
                <w:rFonts w:hint="eastAsia" w:ascii="仿宋" w:hAnsi="仿宋" w:eastAsia="仿宋" w:cs="仿宋"/>
                <w:sz w:val="18"/>
                <w:szCs w:val="18"/>
              </w:rPr>
              <w:t>探测日期</w:t>
            </w:r>
          </w:p>
        </w:tc>
        <w:tc>
          <w:tcPr>
            <w:tcW w:w="1559" w:type="dxa"/>
            <w:vAlign w:val="center"/>
          </w:tcPr>
          <w:p>
            <w:pPr>
              <w:jc w:val="center"/>
              <w:rPr>
                <w:rFonts w:ascii="仿宋" w:hAnsi="仿宋" w:eastAsia="仿宋" w:cs="仿宋"/>
                <w:sz w:val="18"/>
                <w:szCs w:val="18"/>
              </w:rPr>
            </w:pPr>
            <w:r>
              <w:rPr>
                <w:rFonts w:hint="eastAsia" w:ascii="仿宋" w:hAnsi="仿宋" w:eastAsia="仿宋" w:cs="仿宋"/>
                <w:sz w:val="18"/>
                <w:szCs w:val="18"/>
              </w:rPr>
              <w:t>SDate</w:t>
            </w:r>
          </w:p>
        </w:tc>
        <w:tc>
          <w:tcPr>
            <w:tcW w:w="1196"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992"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931" w:type="dxa"/>
            <w:vAlign w:val="center"/>
          </w:tcPr>
          <w:p>
            <w:pPr>
              <w:jc w:val="center"/>
              <w:rPr>
                <w:rFonts w:ascii="仿宋" w:hAnsi="仿宋" w:eastAsia="仿宋" w:cs="仿宋"/>
                <w:sz w:val="18"/>
                <w:szCs w:val="18"/>
              </w:rPr>
            </w:pPr>
          </w:p>
        </w:tc>
        <w:tc>
          <w:tcPr>
            <w:tcW w:w="1337" w:type="dxa"/>
            <w:vAlign w:val="center"/>
          </w:tcPr>
          <w:p>
            <w:pPr>
              <w:jc w:val="center"/>
              <w:rPr>
                <w:rFonts w:ascii="仿宋" w:hAnsi="仿宋" w:eastAsia="仿宋" w:cs="仿宋"/>
                <w:sz w:val="18"/>
                <w:szCs w:val="18"/>
              </w:rPr>
            </w:pPr>
          </w:p>
        </w:tc>
        <w:tc>
          <w:tcPr>
            <w:tcW w:w="2371" w:type="dxa"/>
            <w:vAlign w:val="center"/>
          </w:tcPr>
          <w:p>
            <w:pPr>
              <w:jc w:val="center"/>
              <w:rPr>
                <w:rFonts w:ascii="仿宋" w:hAnsi="仿宋" w:eastAsia="仿宋" w:cs="仿宋"/>
                <w:sz w:val="18"/>
                <w:szCs w:val="18"/>
              </w:rPr>
            </w:pPr>
            <w:r>
              <w:rPr>
                <w:rFonts w:hint="eastAsia" w:ascii="仿宋" w:hAnsi="仿宋" w:eastAsia="仿宋" w:cs="仿宋"/>
                <w:kern w:val="0"/>
                <w:szCs w:val="21"/>
              </w:rPr>
              <w:t>▲</w:t>
            </w:r>
          </w:p>
        </w:tc>
        <w:tc>
          <w:tcPr>
            <w:tcW w:w="3274" w:type="dxa"/>
            <w:vAlign w:val="center"/>
          </w:tcPr>
          <w:p>
            <w:pPr>
              <w:jc w:val="center"/>
              <w:rPr>
                <w:rFonts w:ascii="仿宋" w:hAnsi="仿宋" w:eastAsia="仿宋" w:cs="仿宋"/>
                <w:sz w:val="18"/>
                <w:szCs w:val="18"/>
              </w:rPr>
            </w:pPr>
            <w:r>
              <w:rPr>
                <w:rFonts w:hint="eastAsia" w:ascii="仿宋" w:hAnsi="仿宋" w:eastAsia="仿宋" w:cs="仿宋"/>
                <w:sz w:val="18"/>
                <w:szCs w:val="18"/>
              </w:rPr>
              <w:t>采用“YYYY-MM-DD”格式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vAlign w:val="center"/>
          </w:tcPr>
          <w:p>
            <w:pPr>
              <w:pStyle w:val="80"/>
              <w:numPr>
                <w:ilvl w:val="0"/>
                <w:numId w:val="55"/>
              </w:numPr>
              <w:autoSpaceDE w:val="0"/>
              <w:autoSpaceDN w:val="0"/>
              <w:adjustRightInd w:val="0"/>
              <w:spacing w:line="360" w:lineRule="auto"/>
              <w:ind w:firstLineChars="0"/>
              <w:jc w:val="center"/>
              <w:rPr>
                <w:rFonts w:ascii="仿宋" w:hAnsi="仿宋" w:eastAsia="仿宋" w:cs="仿宋"/>
                <w:color w:val="000000"/>
              </w:rPr>
            </w:pPr>
          </w:p>
        </w:tc>
        <w:tc>
          <w:tcPr>
            <w:tcW w:w="1453" w:type="dxa"/>
            <w:vAlign w:val="center"/>
          </w:tcPr>
          <w:p>
            <w:pPr>
              <w:jc w:val="center"/>
              <w:rPr>
                <w:rFonts w:ascii="仿宋" w:hAnsi="仿宋" w:eastAsia="仿宋" w:cs="仿宋"/>
                <w:sz w:val="18"/>
                <w:szCs w:val="18"/>
              </w:rPr>
            </w:pPr>
            <w:r>
              <w:rPr>
                <w:rFonts w:hint="eastAsia" w:ascii="仿宋" w:hAnsi="仿宋" w:eastAsia="仿宋" w:cs="仿宋"/>
                <w:sz w:val="18"/>
                <w:szCs w:val="18"/>
              </w:rPr>
              <w:t>入库日期</w:t>
            </w:r>
          </w:p>
        </w:tc>
        <w:tc>
          <w:tcPr>
            <w:tcW w:w="1559" w:type="dxa"/>
            <w:vAlign w:val="center"/>
          </w:tcPr>
          <w:p>
            <w:pPr>
              <w:jc w:val="center"/>
              <w:rPr>
                <w:rFonts w:ascii="仿宋" w:hAnsi="仿宋" w:eastAsia="仿宋" w:cs="仿宋"/>
                <w:sz w:val="18"/>
                <w:szCs w:val="18"/>
              </w:rPr>
            </w:pPr>
            <w:r>
              <w:rPr>
                <w:rFonts w:hint="eastAsia" w:ascii="仿宋" w:hAnsi="仿宋" w:eastAsia="仿宋" w:cs="仿宋"/>
                <w:sz w:val="18"/>
                <w:szCs w:val="18"/>
              </w:rPr>
              <w:t>InputDate</w:t>
            </w:r>
          </w:p>
        </w:tc>
        <w:tc>
          <w:tcPr>
            <w:tcW w:w="1196"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992"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931" w:type="dxa"/>
            <w:vAlign w:val="center"/>
          </w:tcPr>
          <w:p>
            <w:pPr>
              <w:jc w:val="center"/>
              <w:rPr>
                <w:rFonts w:ascii="仿宋" w:hAnsi="仿宋" w:eastAsia="仿宋" w:cs="仿宋"/>
                <w:sz w:val="18"/>
                <w:szCs w:val="18"/>
              </w:rPr>
            </w:pPr>
          </w:p>
        </w:tc>
        <w:tc>
          <w:tcPr>
            <w:tcW w:w="1337" w:type="dxa"/>
            <w:vAlign w:val="center"/>
          </w:tcPr>
          <w:p>
            <w:pPr>
              <w:jc w:val="center"/>
              <w:rPr>
                <w:rFonts w:ascii="仿宋" w:hAnsi="仿宋" w:eastAsia="仿宋" w:cs="仿宋"/>
                <w:sz w:val="18"/>
                <w:szCs w:val="18"/>
              </w:rPr>
            </w:pPr>
          </w:p>
        </w:tc>
        <w:tc>
          <w:tcPr>
            <w:tcW w:w="2371" w:type="dxa"/>
            <w:vAlign w:val="center"/>
          </w:tcPr>
          <w:p>
            <w:pPr>
              <w:jc w:val="center"/>
              <w:rPr>
                <w:rFonts w:ascii="仿宋" w:hAnsi="仿宋" w:eastAsia="仿宋" w:cs="仿宋"/>
                <w:kern w:val="0"/>
                <w:szCs w:val="21"/>
              </w:rPr>
            </w:pPr>
            <w:r>
              <w:rPr>
                <w:rFonts w:hint="eastAsia" w:ascii="仿宋" w:hAnsi="仿宋" w:eastAsia="仿宋" w:cs="仿宋"/>
                <w:kern w:val="0"/>
                <w:szCs w:val="21"/>
              </w:rPr>
              <w:t>▲</w:t>
            </w:r>
          </w:p>
        </w:tc>
        <w:tc>
          <w:tcPr>
            <w:tcW w:w="3274" w:type="dxa"/>
            <w:vAlign w:val="center"/>
          </w:tcPr>
          <w:p>
            <w:pPr>
              <w:jc w:val="center"/>
              <w:rPr>
                <w:rFonts w:ascii="仿宋" w:hAnsi="仿宋" w:eastAsia="仿宋" w:cs="仿宋"/>
                <w:sz w:val="18"/>
                <w:szCs w:val="18"/>
              </w:rPr>
            </w:pPr>
            <w:r>
              <w:rPr>
                <w:rFonts w:hint="eastAsia" w:ascii="仿宋" w:hAnsi="仿宋" w:eastAsia="仿宋" w:cs="仿宋"/>
                <w:sz w:val="18"/>
                <w:szCs w:val="18"/>
              </w:rPr>
              <w:t>采用“YYYY-MM-DD”格式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vAlign w:val="center"/>
          </w:tcPr>
          <w:p>
            <w:pPr>
              <w:pStyle w:val="80"/>
              <w:numPr>
                <w:ilvl w:val="0"/>
                <w:numId w:val="55"/>
              </w:numPr>
              <w:autoSpaceDE w:val="0"/>
              <w:autoSpaceDN w:val="0"/>
              <w:adjustRightInd w:val="0"/>
              <w:spacing w:line="360" w:lineRule="auto"/>
              <w:ind w:firstLineChars="0"/>
              <w:jc w:val="center"/>
              <w:rPr>
                <w:rFonts w:ascii="仿宋" w:hAnsi="仿宋" w:eastAsia="仿宋" w:cs="仿宋"/>
              </w:rPr>
            </w:pPr>
          </w:p>
        </w:tc>
        <w:tc>
          <w:tcPr>
            <w:tcW w:w="1453" w:type="dxa"/>
            <w:vAlign w:val="center"/>
          </w:tcPr>
          <w:p>
            <w:pPr>
              <w:jc w:val="center"/>
              <w:rPr>
                <w:rFonts w:ascii="仿宋" w:hAnsi="仿宋" w:eastAsia="仿宋" w:cs="仿宋"/>
                <w:sz w:val="18"/>
                <w:szCs w:val="18"/>
              </w:rPr>
            </w:pPr>
            <w:r>
              <w:rPr>
                <w:rFonts w:hint="eastAsia" w:ascii="仿宋" w:hAnsi="仿宋" w:eastAsia="仿宋" w:cs="仿宋"/>
                <w:sz w:val="18"/>
                <w:szCs w:val="18"/>
              </w:rPr>
              <w:t>井盖形状</w:t>
            </w:r>
          </w:p>
        </w:tc>
        <w:tc>
          <w:tcPr>
            <w:tcW w:w="1559" w:type="dxa"/>
            <w:vAlign w:val="center"/>
          </w:tcPr>
          <w:p>
            <w:pPr>
              <w:autoSpaceDE w:val="0"/>
              <w:autoSpaceDN w:val="0"/>
              <w:adjustRightInd w:val="0"/>
              <w:jc w:val="center"/>
              <w:rPr>
                <w:rFonts w:ascii="仿宋" w:hAnsi="仿宋" w:eastAsia="仿宋" w:cs="仿宋"/>
                <w:sz w:val="18"/>
                <w:szCs w:val="18"/>
              </w:rPr>
            </w:pPr>
            <w:r>
              <w:rPr>
                <w:rFonts w:hint="eastAsia" w:ascii="仿宋" w:hAnsi="仿宋" w:eastAsia="仿宋" w:cs="仿宋"/>
                <w:sz w:val="18"/>
                <w:szCs w:val="18"/>
              </w:rPr>
              <w:t>WeCoShape</w:t>
            </w:r>
          </w:p>
        </w:tc>
        <w:tc>
          <w:tcPr>
            <w:tcW w:w="1196"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992" w:type="dxa"/>
            <w:vAlign w:val="center"/>
          </w:tcPr>
          <w:p>
            <w:pPr>
              <w:autoSpaceDE w:val="0"/>
              <w:autoSpaceDN w:val="0"/>
              <w:adjustRightInd w:val="0"/>
              <w:jc w:val="center"/>
              <w:rPr>
                <w:rFonts w:ascii="仿宋" w:hAnsi="仿宋" w:eastAsia="仿宋" w:cs="仿宋"/>
                <w:sz w:val="18"/>
                <w:szCs w:val="18"/>
              </w:rPr>
            </w:pPr>
            <w:r>
              <w:rPr>
                <w:rFonts w:hint="eastAsia" w:ascii="仿宋" w:hAnsi="仿宋" w:eastAsia="仿宋" w:cs="仿宋"/>
                <w:sz w:val="18"/>
                <w:szCs w:val="18"/>
              </w:rPr>
              <w:t>10</w:t>
            </w:r>
          </w:p>
        </w:tc>
        <w:tc>
          <w:tcPr>
            <w:tcW w:w="931" w:type="dxa"/>
            <w:vAlign w:val="center"/>
          </w:tcPr>
          <w:p>
            <w:pPr>
              <w:autoSpaceDE w:val="0"/>
              <w:autoSpaceDN w:val="0"/>
              <w:adjustRightInd w:val="0"/>
              <w:jc w:val="center"/>
              <w:rPr>
                <w:rFonts w:ascii="仿宋" w:hAnsi="仿宋" w:eastAsia="仿宋" w:cs="仿宋"/>
                <w:sz w:val="18"/>
                <w:szCs w:val="18"/>
              </w:rPr>
            </w:pPr>
          </w:p>
        </w:tc>
        <w:tc>
          <w:tcPr>
            <w:tcW w:w="1337" w:type="dxa"/>
            <w:vAlign w:val="center"/>
          </w:tcPr>
          <w:p>
            <w:pPr>
              <w:autoSpaceDE w:val="0"/>
              <w:autoSpaceDN w:val="0"/>
              <w:adjustRightInd w:val="0"/>
              <w:jc w:val="center"/>
              <w:rPr>
                <w:rFonts w:ascii="仿宋" w:hAnsi="仿宋" w:eastAsia="仿宋" w:cs="仿宋"/>
                <w:sz w:val="18"/>
                <w:szCs w:val="18"/>
              </w:rPr>
            </w:pPr>
            <w:r>
              <w:rPr>
                <w:rFonts w:hint="eastAsia" w:ascii="仿宋" w:hAnsi="仿宋" w:eastAsia="仿宋" w:cs="仿宋"/>
                <w:sz w:val="18"/>
                <w:szCs w:val="18"/>
              </w:rPr>
              <w:t>见附表A.</w:t>
            </w:r>
            <w:r>
              <w:rPr>
                <w:rFonts w:ascii="仿宋" w:hAnsi="仿宋" w:eastAsia="仿宋" w:cs="仿宋"/>
                <w:sz w:val="18"/>
                <w:szCs w:val="18"/>
              </w:rPr>
              <w:t>1</w:t>
            </w:r>
            <w:r>
              <w:rPr>
                <w:rFonts w:hint="eastAsia" w:ascii="仿宋" w:hAnsi="仿宋" w:eastAsia="仿宋" w:cs="仿宋"/>
                <w:sz w:val="18"/>
                <w:szCs w:val="18"/>
              </w:rPr>
              <w:t>3</w:t>
            </w:r>
            <w:r>
              <w:rPr>
                <w:rFonts w:ascii="仿宋" w:hAnsi="仿宋" w:eastAsia="仿宋" w:cs="仿宋"/>
                <w:sz w:val="18"/>
                <w:szCs w:val="18"/>
              </w:rPr>
              <w:t>.9</w:t>
            </w:r>
          </w:p>
        </w:tc>
        <w:tc>
          <w:tcPr>
            <w:tcW w:w="2371" w:type="dxa"/>
            <w:vAlign w:val="center"/>
          </w:tcPr>
          <w:p>
            <w:pPr>
              <w:autoSpaceDE w:val="0"/>
              <w:autoSpaceDN w:val="0"/>
              <w:adjustRightInd w:val="0"/>
              <w:jc w:val="center"/>
              <w:rPr>
                <w:rFonts w:ascii="仿宋" w:hAnsi="仿宋" w:eastAsia="仿宋" w:cs="仿宋"/>
                <w:kern w:val="0"/>
                <w:sz w:val="18"/>
                <w:szCs w:val="18"/>
              </w:rPr>
            </w:pPr>
            <w:r>
              <w:rPr>
                <w:rFonts w:hint="eastAsia" w:ascii="仿宋" w:hAnsi="仿宋" w:eastAsia="仿宋" w:cs="仿宋"/>
                <w:kern w:val="0"/>
                <w:szCs w:val="21"/>
              </w:rPr>
              <w:t>▲</w:t>
            </w:r>
          </w:p>
        </w:tc>
        <w:tc>
          <w:tcPr>
            <w:tcW w:w="3274" w:type="dxa"/>
            <w:vAlign w:val="center"/>
          </w:tcPr>
          <w:p>
            <w:pPr>
              <w:autoSpaceDE w:val="0"/>
              <w:autoSpaceDN w:val="0"/>
              <w:adjustRightInd w:val="0"/>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vAlign w:val="center"/>
          </w:tcPr>
          <w:p>
            <w:pPr>
              <w:pStyle w:val="80"/>
              <w:numPr>
                <w:ilvl w:val="0"/>
                <w:numId w:val="55"/>
              </w:numPr>
              <w:autoSpaceDE w:val="0"/>
              <w:autoSpaceDN w:val="0"/>
              <w:adjustRightInd w:val="0"/>
              <w:spacing w:line="360" w:lineRule="auto"/>
              <w:ind w:firstLineChars="0"/>
              <w:jc w:val="center"/>
              <w:rPr>
                <w:rFonts w:ascii="仿宋" w:hAnsi="仿宋" w:eastAsia="仿宋" w:cs="仿宋"/>
              </w:rPr>
            </w:pPr>
          </w:p>
        </w:tc>
        <w:tc>
          <w:tcPr>
            <w:tcW w:w="1453" w:type="dxa"/>
            <w:vAlign w:val="center"/>
          </w:tcPr>
          <w:p>
            <w:pPr>
              <w:jc w:val="center"/>
              <w:rPr>
                <w:rFonts w:ascii="仿宋" w:hAnsi="仿宋" w:eastAsia="仿宋" w:cs="仿宋"/>
                <w:sz w:val="18"/>
                <w:szCs w:val="18"/>
              </w:rPr>
            </w:pPr>
            <w:r>
              <w:rPr>
                <w:rFonts w:hint="eastAsia" w:ascii="仿宋" w:hAnsi="仿宋" w:eastAsia="仿宋" w:cs="仿宋"/>
                <w:sz w:val="18"/>
                <w:szCs w:val="18"/>
              </w:rPr>
              <w:t>井盖材质</w:t>
            </w:r>
          </w:p>
        </w:tc>
        <w:tc>
          <w:tcPr>
            <w:tcW w:w="1559" w:type="dxa"/>
            <w:vAlign w:val="center"/>
          </w:tcPr>
          <w:p>
            <w:pPr>
              <w:autoSpaceDE w:val="0"/>
              <w:autoSpaceDN w:val="0"/>
              <w:adjustRightInd w:val="0"/>
              <w:jc w:val="center"/>
              <w:rPr>
                <w:rFonts w:ascii="仿宋" w:hAnsi="仿宋" w:eastAsia="仿宋" w:cs="仿宋"/>
                <w:sz w:val="18"/>
                <w:szCs w:val="18"/>
              </w:rPr>
            </w:pPr>
            <w:r>
              <w:rPr>
                <w:rFonts w:hint="eastAsia" w:ascii="仿宋" w:hAnsi="仿宋" w:eastAsia="仿宋" w:cs="仿宋"/>
                <w:sz w:val="18"/>
                <w:szCs w:val="18"/>
              </w:rPr>
              <w:t>WeMaterial</w:t>
            </w:r>
          </w:p>
        </w:tc>
        <w:tc>
          <w:tcPr>
            <w:tcW w:w="1196"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992" w:type="dxa"/>
            <w:vAlign w:val="center"/>
          </w:tcPr>
          <w:p>
            <w:pPr>
              <w:autoSpaceDE w:val="0"/>
              <w:autoSpaceDN w:val="0"/>
              <w:adjustRightInd w:val="0"/>
              <w:jc w:val="center"/>
              <w:rPr>
                <w:rFonts w:ascii="仿宋" w:hAnsi="仿宋" w:eastAsia="仿宋" w:cs="仿宋"/>
                <w:sz w:val="18"/>
                <w:szCs w:val="18"/>
              </w:rPr>
            </w:pPr>
            <w:r>
              <w:rPr>
                <w:rFonts w:hint="eastAsia" w:ascii="仿宋" w:hAnsi="仿宋" w:eastAsia="仿宋" w:cs="仿宋"/>
                <w:sz w:val="18"/>
                <w:szCs w:val="18"/>
              </w:rPr>
              <w:t>10</w:t>
            </w:r>
          </w:p>
        </w:tc>
        <w:tc>
          <w:tcPr>
            <w:tcW w:w="931" w:type="dxa"/>
            <w:vAlign w:val="center"/>
          </w:tcPr>
          <w:p>
            <w:pPr>
              <w:autoSpaceDE w:val="0"/>
              <w:autoSpaceDN w:val="0"/>
              <w:adjustRightInd w:val="0"/>
              <w:jc w:val="center"/>
              <w:rPr>
                <w:rFonts w:ascii="仿宋" w:hAnsi="仿宋" w:eastAsia="仿宋" w:cs="仿宋"/>
                <w:sz w:val="18"/>
                <w:szCs w:val="18"/>
              </w:rPr>
            </w:pPr>
          </w:p>
        </w:tc>
        <w:tc>
          <w:tcPr>
            <w:tcW w:w="1337" w:type="dxa"/>
            <w:vAlign w:val="center"/>
          </w:tcPr>
          <w:p>
            <w:pPr>
              <w:autoSpaceDE w:val="0"/>
              <w:autoSpaceDN w:val="0"/>
              <w:adjustRightInd w:val="0"/>
              <w:jc w:val="center"/>
              <w:rPr>
                <w:rFonts w:ascii="仿宋" w:hAnsi="仿宋" w:eastAsia="仿宋" w:cs="仿宋"/>
                <w:sz w:val="18"/>
                <w:szCs w:val="18"/>
              </w:rPr>
            </w:pPr>
            <w:r>
              <w:rPr>
                <w:rFonts w:hint="eastAsia" w:ascii="仿宋" w:hAnsi="仿宋" w:eastAsia="仿宋" w:cs="仿宋"/>
                <w:sz w:val="18"/>
                <w:szCs w:val="18"/>
              </w:rPr>
              <w:t>见附表A.</w:t>
            </w:r>
            <w:r>
              <w:rPr>
                <w:rFonts w:ascii="仿宋" w:hAnsi="仿宋" w:eastAsia="仿宋" w:cs="仿宋"/>
                <w:sz w:val="18"/>
                <w:szCs w:val="18"/>
              </w:rPr>
              <w:t>1</w:t>
            </w:r>
            <w:r>
              <w:rPr>
                <w:rFonts w:hint="eastAsia" w:ascii="仿宋" w:hAnsi="仿宋" w:eastAsia="仿宋" w:cs="仿宋"/>
                <w:sz w:val="18"/>
                <w:szCs w:val="18"/>
              </w:rPr>
              <w:t>3</w:t>
            </w:r>
            <w:r>
              <w:rPr>
                <w:rFonts w:ascii="仿宋" w:hAnsi="仿宋" w:eastAsia="仿宋" w:cs="仿宋"/>
                <w:sz w:val="18"/>
                <w:szCs w:val="18"/>
              </w:rPr>
              <w:t>.1</w:t>
            </w:r>
          </w:p>
        </w:tc>
        <w:tc>
          <w:tcPr>
            <w:tcW w:w="2371" w:type="dxa"/>
            <w:vAlign w:val="center"/>
          </w:tcPr>
          <w:p>
            <w:pPr>
              <w:autoSpaceDE w:val="0"/>
              <w:autoSpaceDN w:val="0"/>
              <w:adjustRightInd w:val="0"/>
              <w:jc w:val="center"/>
              <w:rPr>
                <w:rFonts w:ascii="仿宋" w:hAnsi="仿宋" w:eastAsia="仿宋" w:cs="仿宋"/>
                <w:kern w:val="0"/>
                <w:sz w:val="18"/>
                <w:szCs w:val="18"/>
              </w:rPr>
            </w:pPr>
            <w:r>
              <w:rPr>
                <w:rFonts w:hint="eastAsia" w:ascii="仿宋" w:hAnsi="仿宋" w:eastAsia="仿宋" w:cs="仿宋"/>
                <w:kern w:val="0"/>
                <w:szCs w:val="21"/>
              </w:rPr>
              <w:t>▲</w:t>
            </w:r>
          </w:p>
        </w:tc>
        <w:tc>
          <w:tcPr>
            <w:tcW w:w="3274" w:type="dxa"/>
            <w:vAlign w:val="center"/>
          </w:tcPr>
          <w:p>
            <w:pPr>
              <w:autoSpaceDE w:val="0"/>
              <w:autoSpaceDN w:val="0"/>
              <w:adjustRightInd w:val="0"/>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vAlign w:val="center"/>
          </w:tcPr>
          <w:p>
            <w:pPr>
              <w:pStyle w:val="80"/>
              <w:numPr>
                <w:ilvl w:val="0"/>
                <w:numId w:val="55"/>
              </w:numPr>
              <w:autoSpaceDE w:val="0"/>
              <w:autoSpaceDN w:val="0"/>
              <w:adjustRightInd w:val="0"/>
              <w:spacing w:line="360" w:lineRule="auto"/>
              <w:ind w:firstLineChars="0"/>
              <w:jc w:val="center"/>
              <w:rPr>
                <w:rFonts w:ascii="仿宋" w:hAnsi="仿宋" w:eastAsia="仿宋" w:cs="仿宋"/>
              </w:rPr>
            </w:pPr>
          </w:p>
        </w:tc>
        <w:tc>
          <w:tcPr>
            <w:tcW w:w="1453" w:type="dxa"/>
            <w:vAlign w:val="center"/>
          </w:tcPr>
          <w:p>
            <w:pPr>
              <w:jc w:val="center"/>
              <w:rPr>
                <w:rFonts w:ascii="仿宋" w:hAnsi="仿宋" w:eastAsia="仿宋" w:cs="仿宋"/>
                <w:sz w:val="18"/>
                <w:szCs w:val="18"/>
              </w:rPr>
            </w:pPr>
            <w:r>
              <w:rPr>
                <w:rFonts w:hint="eastAsia" w:ascii="仿宋" w:hAnsi="仿宋" w:eastAsia="仿宋" w:cs="仿宋"/>
                <w:sz w:val="18"/>
                <w:szCs w:val="18"/>
              </w:rPr>
              <w:t>井盖尺寸</w:t>
            </w:r>
          </w:p>
        </w:tc>
        <w:tc>
          <w:tcPr>
            <w:tcW w:w="1559" w:type="dxa"/>
            <w:vAlign w:val="center"/>
          </w:tcPr>
          <w:p>
            <w:pPr>
              <w:autoSpaceDE w:val="0"/>
              <w:autoSpaceDN w:val="0"/>
              <w:adjustRightInd w:val="0"/>
              <w:jc w:val="center"/>
              <w:rPr>
                <w:rFonts w:ascii="仿宋" w:hAnsi="仿宋" w:eastAsia="仿宋" w:cs="仿宋"/>
                <w:sz w:val="18"/>
                <w:szCs w:val="18"/>
              </w:rPr>
            </w:pPr>
            <w:r>
              <w:rPr>
                <w:rFonts w:hint="eastAsia" w:ascii="仿宋" w:hAnsi="仿宋" w:eastAsia="仿宋" w:cs="仿宋"/>
                <w:sz w:val="18"/>
                <w:szCs w:val="18"/>
              </w:rPr>
              <w:t>WeSize</w:t>
            </w:r>
          </w:p>
        </w:tc>
        <w:tc>
          <w:tcPr>
            <w:tcW w:w="1196"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992" w:type="dxa"/>
            <w:vAlign w:val="center"/>
          </w:tcPr>
          <w:p>
            <w:pPr>
              <w:autoSpaceDE w:val="0"/>
              <w:autoSpaceDN w:val="0"/>
              <w:adjustRightInd w:val="0"/>
              <w:jc w:val="center"/>
              <w:rPr>
                <w:rFonts w:ascii="仿宋" w:hAnsi="仿宋" w:eastAsia="仿宋" w:cs="仿宋"/>
                <w:sz w:val="18"/>
                <w:szCs w:val="18"/>
              </w:rPr>
            </w:pPr>
            <w:r>
              <w:rPr>
                <w:rFonts w:hint="eastAsia" w:ascii="仿宋" w:hAnsi="仿宋" w:eastAsia="仿宋" w:cs="仿宋"/>
                <w:sz w:val="18"/>
                <w:szCs w:val="18"/>
              </w:rPr>
              <w:t>20</w:t>
            </w:r>
          </w:p>
        </w:tc>
        <w:tc>
          <w:tcPr>
            <w:tcW w:w="931" w:type="dxa"/>
            <w:vAlign w:val="center"/>
          </w:tcPr>
          <w:p>
            <w:pPr>
              <w:autoSpaceDE w:val="0"/>
              <w:autoSpaceDN w:val="0"/>
              <w:adjustRightInd w:val="0"/>
              <w:jc w:val="center"/>
              <w:rPr>
                <w:rFonts w:ascii="仿宋" w:hAnsi="仿宋" w:eastAsia="仿宋" w:cs="仿宋"/>
                <w:sz w:val="18"/>
                <w:szCs w:val="18"/>
              </w:rPr>
            </w:pPr>
          </w:p>
        </w:tc>
        <w:tc>
          <w:tcPr>
            <w:tcW w:w="1337" w:type="dxa"/>
            <w:vAlign w:val="center"/>
          </w:tcPr>
          <w:p>
            <w:pPr>
              <w:autoSpaceDE w:val="0"/>
              <w:autoSpaceDN w:val="0"/>
              <w:adjustRightInd w:val="0"/>
              <w:jc w:val="center"/>
              <w:rPr>
                <w:rFonts w:ascii="仿宋" w:hAnsi="仿宋" w:eastAsia="仿宋" w:cs="仿宋"/>
                <w:sz w:val="18"/>
                <w:szCs w:val="18"/>
              </w:rPr>
            </w:pPr>
          </w:p>
        </w:tc>
        <w:tc>
          <w:tcPr>
            <w:tcW w:w="2371" w:type="dxa"/>
            <w:vAlign w:val="center"/>
          </w:tcPr>
          <w:p>
            <w:pPr>
              <w:autoSpaceDE w:val="0"/>
              <w:autoSpaceDN w:val="0"/>
              <w:adjustRightInd w:val="0"/>
              <w:jc w:val="center"/>
              <w:rPr>
                <w:rFonts w:ascii="仿宋" w:hAnsi="仿宋" w:eastAsia="仿宋" w:cs="仿宋"/>
                <w:kern w:val="0"/>
                <w:sz w:val="18"/>
                <w:szCs w:val="18"/>
              </w:rPr>
            </w:pPr>
            <w:r>
              <w:rPr>
                <w:rFonts w:hint="eastAsia" w:ascii="仿宋" w:hAnsi="仿宋" w:eastAsia="仿宋" w:cs="仿宋"/>
                <w:kern w:val="0"/>
                <w:szCs w:val="21"/>
              </w:rPr>
              <w:t>▲</w:t>
            </w:r>
          </w:p>
        </w:tc>
        <w:tc>
          <w:tcPr>
            <w:tcW w:w="3274" w:type="dxa"/>
            <w:vAlign w:val="center"/>
          </w:tcPr>
          <w:p>
            <w:pPr>
              <w:autoSpaceDE w:val="0"/>
              <w:autoSpaceDN w:val="0"/>
              <w:adjustRightInd w:val="0"/>
              <w:jc w:val="center"/>
              <w:rPr>
                <w:rFonts w:ascii="仿宋" w:hAnsi="仿宋" w:eastAsia="仿宋" w:cs="仿宋"/>
                <w:sz w:val="18"/>
                <w:szCs w:val="18"/>
              </w:rPr>
            </w:pPr>
            <w:r>
              <w:rPr>
                <w:rFonts w:hint="eastAsia" w:ascii="仿宋" w:hAnsi="仿宋" w:eastAsia="仿宋" w:cs="仿宋"/>
                <w:sz w:val="18"/>
                <w:szCs w:val="18"/>
              </w:rPr>
              <w:t>填直径、长X宽（单位：毫米）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vAlign w:val="center"/>
          </w:tcPr>
          <w:p>
            <w:pPr>
              <w:pStyle w:val="80"/>
              <w:numPr>
                <w:ilvl w:val="0"/>
                <w:numId w:val="55"/>
              </w:numPr>
              <w:autoSpaceDE w:val="0"/>
              <w:autoSpaceDN w:val="0"/>
              <w:adjustRightInd w:val="0"/>
              <w:spacing w:line="360" w:lineRule="auto"/>
              <w:ind w:firstLineChars="0"/>
              <w:jc w:val="center"/>
              <w:rPr>
                <w:rFonts w:ascii="仿宋" w:hAnsi="仿宋" w:eastAsia="仿宋" w:cs="仿宋"/>
              </w:rPr>
            </w:pPr>
          </w:p>
        </w:tc>
        <w:tc>
          <w:tcPr>
            <w:tcW w:w="1453" w:type="dxa"/>
            <w:vAlign w:val="center"/>
          </w:tcPr>
          <w:p>
            <w:pPr>
              <w:jc w:val="center"/>
              <w:rPr>
                <w:rFonts w:ascii="仿宋" w:hAnsi="仿宋" w:eastAsia="仿宋" w:cs="仿宋"/>
                <w:sz w:val="18"/>
                <w:szCs w:val="18"/>
              </w:rPr>
            </w:pPr>
            <w:r>
              <w:rPr>
                <w:rFonts w:hint="eastAsia" w:ascii="仿宋" w:hAnsi="仿宋" w:eastAsia="仿宋" w:cs="仿宋"/>
                <w:sz w:val="18"/>
                <w:szCs w:val="18"/>
              </w:rPr>
              <w:t>井脖深</w:t>
            </w:r>
          </w:p>
        </w:tc>
        <w:tc>
          <w:tcPr>
            <w:tcW w:w="1559" w:type="dxa"/>
            <w:vAlign w:val="center"/>
          </w:tcPr>
          <w:p>
            <w:pPr>
              <w:autoSpaceDE w:val="0"/>
              <w:autoSpaceDN w:val="0"/>
              <w:adjustRightInd w:val="0"/>
              <w:jc w:val="center"/>
              <w:rPr>
                <w:rFonts w:ascii="仿宋" w:hAnsi="仿宋" w:eastAsia="仿宋" w:cs="仿宋"/>
                <w:sz w:val="18"/>
                <w:szCs w:val="18"/>
              </w:rPr>
            </w:pPr>
            <w:r>
              <w:rPr>
                <w:rFonts w:hint="eastAsia" w:ascii="仿宋" w:hAnsi="仿宋" w:eastAsia="仿宋" w:cs="仿宋"/>
                <w:sz w:val="18"/>
                <w:szCs w:val="18"/>
              </w:rPr>
              <w:t>WeNeDeep</w:t>
            </w:r>
          </w:p>
        </w:tc>
        <w:tc>
          <w:tcPr>
            <w:tcW w:w="1196" w:type="dxa"/>
            <w:vAlign w:val="center"/>
          </w:tcPr>
          <w:p>
            <w:pPr>
              <w:jc w:val="center"/>
              <w:rPr>
                <w:rFonts w:ascii="仿宋" w:hAnsi="仿宋" w:eastAsia="仿宋" w:cs="仿宋"/>
                <w:sz w:val="18"/>
                <w:szCs w:val="18"/>
              </w:rPr>
            </w:pPr>
            <w:r>
              <w:rPr>
                <w:rFonts w:hint="eastAsia" w:ascii="仿宋" w:hAnsi="仿宋" w:eastAsia="仿宋" w:cs="仿宋"/>
                <w:sz w:val="18"/>
                <w:szCs w:val="18"/>
              </w:rPr>
              <w:t>双精度</w:t>
            </w:r>
          </w:p>
        </w:tc>
        <w:tc>
          <w:tcPr>
            <w:tcW w:w="992" w:type="dxa"/>
            <w:vAlign w:val="center"/>
          </w:tcPr>
          <w:p>
            <w:pPr>
              <w:autoSpaceDE w:val="0"/>
              <w:autoSpaceDN w:val="0"/>
              <w:adjustRightInd w:val="0"/>
              <w:jc w:val="center"/>
              <w:rPr>
                <w:rFonts w:ascii="仿宋" w:hAnsi="仿宋" w:eastAsia="仿宋" w:cs="仿宋"/>
                <w:sz w:val="18"/>
                <w:szCs w:val="18"/>
              </w:rPr>
            </w:pPr>
          </w:p>
        </w:tc>
        <w:tc>
          <w:tcPr>
            <w:tcW w:w="931" w:type="dxa"/>
            <w:vAlign w:val="center"/>
          </w:tcPr>
          <w:p>
            <w:pPr>
              <w:autoSpaceDE w:val="0"/>
              <w:autoSpaceDN w:val="0"/>
              <w:adjustRightInd w:val="0"/>
              <w:jc w:val="center"/>
              <w:rPr>
                <w:rFonts w:ascii="仿宋" w:hAnsi="仿宋" w:eastAsia="仿宋" w:cs="仿宋"/>
                <w:sz w:val="18"/>
                <w:szCs w:val="18"/>
              </w:rPr>
            </w:pPr>
            <w:r>
              <w:rPr>
                <w:rFonts w:hint="eastAsia" w:ascii="仿宋" w:hAnsi="仿宋" w:eastAsia="仿宋" w:cs="仿宋"/>
                <w:sz w:val="18"/>
                <w:szCs w:val="18"/>
              </w:rPr>
              <w:t>2</w:t>
            </w:r>
          </w:p>
        </w:tc>
        <w:tc>
          <w:tcPr>
            <w:tcW w:w="1337" w:type="dxa"/>
            <w:vAlign w:val="center"/>
          </w:tcPr>
          <w:p>
            <w:pPr>
              <w:autoSpaceDE w:val="0"/>
              <w:autoSpaceDN w:val="0"/>
              <w:adjustRightInd w:val="0"/>
              <w:jc w:val="center"/>
              <w:rPr>
                <w:rFonts w:ascii="仿宋" w:hAnsi="仿宋" w:eastAsia="仿宋" w:cs="仿宋"/>
                <w:sz w:val="18"/>
                <w:szCs w:val="18"/>
              </w:rPr>
            </w:pPr>
          </w:p>
        </w:tc>
        <w:tc>
          <w:tcPr>
            <w:tcW w:w="2371" w:type="dxa"/>
            <w:vAlign w:val="center"/>
          </w:tcPr>
          <w:p>
            <w:pPr>
              <w:autoSpaceDE w:val="0"/>
              <w:autoSpaceDN w:val="0"/>
              <w:adjustRightInd w:val="0"/>
              <w:jc w:val="center"/>
              <w:rPr>
                <w:rFonts w:ascii="仿宋" w:hAnsi="仿宋" w:eastAsia="仿宋" w:cs="仿宋"/>
                <w:kern w:val="0"/>
                <w:sz w:val="18"/>
                <w:szCs w:val="18"/>
              </w:rPr>
            </w:pPr>
            <w:r>
              <w:rPr>
                <w:rFonts w:hint="eastAsia" w:ascii="仿宋" w:hAnsi="仿宋" w:eastAsia="仿宋" w:cs="仿宋"/>
                <w:kern w:val="0"/>
                <w:szCs w:val="21"/>
              </w:rPr>
              <w:t>▲</w:t>
            </w:r>
          </w:p>
        </w:tc>
        <w:tc>
          <w:tcPr>
            <w:tcW w:w="3274" w:type="dxa"/>
            <w:vAlign w:val="center"/>
          </w:tcPr>
          <w:p>
            <w:pPr>
              <w:autoSpaceDE w:val="0"/>
              <w:autoSpaceDN w:val="0"/>
              <w:adjustRightInd w:val="0"/>
              <w:jc w:val="center"/>
              <w:rPr>
                <w:rFonts w:ascii="仿宋" w:hAnsi="仿宋" w:eastAsia="仿宋" w:cs="仿宋"/>
                <w:sz w:val="18"/>
                <w:szCs w:val="18"/>
              </w:rPr>
            </w:pPr>
            <w:r>
              <w:rPr>
                <w:rFonts w:hint="eastAsia" w:ascii="仿宋" w:hAnsi="仿宋" w:eastAsia="仿宋" w:cs="仿宋"/>
                <w:sz w:val="18"/>
                <w:szCs w:val="18"/>
              </w:rPr>
              <w:t>单位：米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vAlign w:val="center"/>
          </w:tcPr>
          <w:p>
            <w:pPr>
              <w:pStyle w:val="80"/>
              <w:numPr>
                <w:ilvl w:val="0"/>
                <w:numId w:val="55"/>
              </w:numPr>
              <w:autoSpaceDE w:val="0"/>
              <w:autoSpaceDN w:val="0"/>
              <w:adjustRightInd w:val="0"/>
              <w:spacing w:line="360" w:lineRule="auto"/>
              <w:ind w:firstLineChars="0"/>
              <w:jc w:val="center"/>
              <w:rPr>
                <w:rFonts w:ascii="仿宋" w:hAnsi="仿宋" w:eastAsia="仿宋" w:cs="仿宋"/>
              </w:rPr>
            </w:pPr>
          </w:p>
        </w:tc>
        <w:tc>
          <w:tcPr>
            <w:tcW w:w="1453" w:type="dxa"/>
            <w:vAlign w:val="center"/>
          </w:tcPr>
          <w:p>
            <w:pPr>
              <w:jc w:val="center"/>
              <w:rPr>
                <w:rFonts w:ascii="仿宋" w:hAnsi="仿宋" w:eastAsia="仿宋" w:cs="仿宋"/>
                <w:sz w:val="18"/>
                <w:szCs w:val="18"/>
              </w:rPr>
            </w:pPr>
            <w:r>
              <w:rPr>
                <w:rFonts w:hint="eastAsia" w:ascii="仿宋" w:hAnsi="仿宋" w:eastAsia="仿宋" w:cs="仿宋"/>
                <w:sz w:val="18"/>
                <w:szCs w:val="18"/>
              </w:rPr>
              <w:t>井室类型</w:t>
            </w:r>
          </w:p>
        </w:tc>
        <w:tc>
          <w:tcPr>
            <w:tcW w:w="1559" w:type="dxa"/>
            <w:vAlign w:val="center"/>
          </w:tcPr>
          <w:p>
            <w:pPr>
              <w:autoSpaceDE w:val="0"/>
              <w:autoSpaceDN w:val="0"/>
              <w:adjustRightInd w:val="0"/>
              <w:jc w:val="center"/>
              <w:rPr>
                <w:rFonts w:ascii="仿宋" w:hAnsi="仿宋" w:eastAsia="仿宋" w:cs="仿宋"/>
                <w:sz w:val="18"/>
                <w:szCs w:val="18"/>
              </w:rPr>
            </w:pPr>
            <w:r>
              <w:rPr>
                <w:rFonts w:hint="eastAsia" w:ascii="仿宋" w:hAnsi="仿宋" w:eastAsia="仿宋" w:cs="仿宋"/>
                <w:sz w:val="18"/>
                <w:szCs w:val="18"/>
              </w:rPr>
              <w:t>WeRoType</w:t>
            </w:r>
          </w:p>
        </w:tc>
        <w:tc>
          <w:tcPr>
            <w:tcW w:w="1196"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992" w:type="dxa"/>
            <w:vAlign w:val="center"/>
          </w:tcPr>
          <w:p>
            <w:pPr>
              <w:autoSpaceDE w:val="0"/>
              <w:autoSpaceDN w:val="0"/>
              <w:adjustRightInd w:val="0"/>
              <w:jc w:val="center"/>
              <w:rPr>
                <w:rFonts w:ascii="仿宋" w:hAnsi="仿宋" w:eastAsia="仿宋" w:cs="仿宋"/>
                <w:sz w:val="18"/>
                <w:szCs w:val="18"/>
              </w:rPr>
            </w:pPr>
            <w:r>
              <w:rPr>
                <w:rFonts w:hint="eastAsia" w:ascii="仿宋" w:hAnsi="仿宋" w:eastAsia="仿宋" w:cs="仿宋"/>
                <w:sz w:val="18"/>
                <w:szCs w:val="18"/>
              </w:rPr>
              <w:t>10</w:t>
            </w:r>
          </w:p>
        </w:tc>
        <w:tc>
          <w:tcPr>
            <w:tcW w:w="931" w:type="dxa"/>
            <w:vAlign w:val="center"/>
          </w:tcPr>
          <w:p>
            <w:pPr>
              <w:autoSpaceDE w:val="0"/>
              <w:autoSpaceDN w:val="0"/>
              <w:adjustRightInd w:val="0"/>
              <w:jc w:val="center"/>
              <w:rPr>
                <w:rFonts w:ascii="仿宋" w:hAnsi="仿宋" w:eastAsia="仿宋" w:cs="仿宋"/>
                <w:sz w:val="18"/>
                <w:szCs w:val="18"/>
              </w:rPr>
            </w:pPr>
          </w:p>
        </w:tc>
        <w:tc>
          <w:tcPr>
            <w:tcW w:w="1337" w:type="dxa"/>
            <w:vAlign w:val="center"/>
          </w:tcPr>
          <w:p>
            <w:pPr>
              <w:autoSpaceDE w:val="0"/>
              <w:autoSpaceDN w:val="0"/>
              <w:adjustRightInd w:val="0"/>
              <w:jc w:val="center"/>
              <w:rPr>
                <w:rFonts w:ascii="仿宋" w:hAnsi="仿宋" w:eastAsia="仿宋" w:cs="仿宋"/>
                <w:sz w:val="18"/>
                <w:szCs w:val="18"/>
              </w:rPr>
            </w:pPr>
            <w:r>
              <w:rPr>
                <w:rFonts w:hint="eastAsia" w:ascii="仿宋" w:hAnsi="仿宋" w:eastAsia="仿宋" w:cs="仿宋"/>
                <w:sz w:val="18"/>
                <w:szCs w:val="18"/>
              </w:rPr>
              <w:t>见附表A.</w:t>
            </w:r>
            <w:r>
              <w:rPr>
                <w:rFonts w:ascii="仿宋" w:hAnsi="仿宋" w:eastAsia="仿宋" w:cs="仿宋"/>
                <w:sz w:val="18"/>
                <w:szCs w:val="18"/>
              </w:rPr>
              <w:t>1</w:t>
            </w:r>
            <w:r>
              <w:rPr>
                <w:rFonts w:hint="eastAsia" w:ascii="仿宋" w:hAnsi="仿宋" w:eastAsia="仿宋" w:cs="仿宋"/>
                <w:sz w:val="18"/>
                <w:szCs w:val="18"/>
              </w:rPr>
              <w:t>3</w:t>
            </w:r>
            <w:r>
              <w:rPr>
                <w:rFonts w:ascii="仿宋" w:hAnsi="仿宋" w:eastAsia="仿宋" w:cs="仿宋"/>
                <w:sz w:val="18"/>
                <w:szCs w:val="18"/>
              </w:rPr>
              <w:t>.8</w:t>
            </w:r>
          </w:p>
        </w:tc>
        <w:tc>
          <w:tcPr>
            <w:tcW w:w="2371" w:type="dxa"/>
            <w:vAlign w:val="center"/>
          </w:tcPr>
          <w:p>
            <w:pPr>
              <w:autoSpaceDE w:val="0"/>
              <w:autoSpaceDN w:val="0"/>
              <w:adjustRightInd w:val="0"/>
              <w:jc w:val="center"/>
              <w:rPr>
                <w:rFonts w:ascii="仿宋" w:hAnsi="仿宋" w:eastAsia="仿宋" w:cs="仿宋"/>
                <w:kern w:val="0"/>
                <w:sz w:val="18"/>
                <w:szCs w:val="18"/>
              </w:rPr>
            </w:pPr>
            <w:r>
              <w:rPr>
                <w:rFonts w:hint="eastAsia" w:ascii="仿宋" w:hAnsi="仿宋" w:eastAsia="仿宋" w:cs="仿宋"/>
                <w:kern w:val="0"/>
                <w:szCs w:val="21"/>
              </w:rPr>
              <w:t>▲</w:t>
            </w:r>
          </w:p>
        </w:tc>
        <w:tc>
          <w:tcPr>
            <w:tcW w:w="3274" w:type="dxa"/>
            <w:vAlign w:val="center"/>
          </w:tcPr>
          <w:p>
            <w:pPr>
              <w:autoSpaceDE w:val="0"/>
              <w:autoSpaceDN w:val="0"/>
              <w:adjustRightInd w:val="0"/>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vAlign w:val="center"/>
          </w:tcPr>
          <w:p>
            <w:pPr>
              <w:pStyle w:val="80"/>
              <w:numPr>
                <w:ilvl w:val="0"/>
                <w:numId w:val="55"/>
              </w:numPr>
              <w:autoSpaceDE w:val="0"/>
              <w:autoSpaceDN w:val="0"/>
              <w:adjustRightInd w:val="0"/>
              <w:spacing w:line="360" w:lineRule="auto"/>
              <w:ind w:firstLineChars="0"/>
              <w:jc w:val="center"/>
              <w:rPr>
                <w:rFonts w:ascii="仿宋" w:hAnsi="仿宋" w:eastAsia="仿宋" w:cs="仿宋"/>
              </w:rPr>
            </w:pPr>
          </w:p>
        </w:tc>
        <w:tc>
          <w:tcPr>
            <w:tcW w:w="1453" w:type="dxa"/>
            <w:vAlign w:val="center"/>
          </w:tcPr>
          <w:p>
            <w:pPr>
              <w:jc w:val="center"/>
              <w:rPr>
                <w:rFonts w:ascii="仿宋" w:hAnsi="仿宋" w:eastAsia="仿宋" w:cs="仿宋"/>
                <w:sz w:val="18"/>
                <w:szCs w:val="18"/>
              </w:rPr>
            </w:pPr>
            <w:r>
              <w:rPr>
                <w:rFonts w:hint="eastAsia" w:ascii="仿宋" w:hAnsi="仿宋" w:eastAsia="仿宋" w:cs="仿宋"/>
                <w:sz w:val="18"/>
                <w:szCs w:val="18"/>
              </w:rPr>
              <w:t>井室材质</w:t>
            </w:r>
          </w:p>
        </w:tc>
        <w:tc>
          <w:tcPr>
            <w:tcW w:w="1559" w:type="dxa"/>
            <w:vAlign w:val="center"/>
          </w:tcPr>
          <w:p>
            <w:pPr>
              <w:autoSpaceDE w:val="0"/>
              <w:autoSpaceDN w:val="0"/>
              <w:adjustRightInd w:val="0"/>
              <w:ind w:firstLine="90" w:firstLineChars="50"/>
              <w:jc w:val="center"/>
              <w:rPr>
                <w:rFonts w:ascii="仿宋" w:hAnsi="仿宋" w:eastAsia="仿宋" w:cs="仿宋"/>
                <w:sz w:val="18"/>
                <w:szCs w:val="18"/>
              </w:rPr>
            </w:pPr>
            <w:r>
              <w:rPr>
                <w:rFonts w:hint="eastAsia" w:ascii="仿宋" w:hAnsi="仿宋" w:eastAsia="仿宋" w:cs="仿宋"/>
                <w:sz w:val="18"/>
                <w:szCs w:val="18"/>
              </w:rPr>
              <w:t>WeRoMaterial</w:t>
            </w:r>
          </w:p>
        </w:tc>
        <w:tc>
          <w:tcPr>
            <w:tcW w:w="1196"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992" w:type="dxa"/>
            <w:vAlign w:val="center"/>
          </w:tcPr>
          <w:p>
            <w:pPr>
              <w:autoSpaceDE w:val="0"/>
              <w:autoSpaceDN w:val="0"/>
              <w:adjustRightInd w:val="0"/>
              <w:jc w:val="center"/>
              <w:rPr>
                <w:rFonts w:ascii="仿宋" w:hAnsi="仿宋" w:eastAsia="仿宋" w:cs="仿宋"/>
                <w:sz w:val="18"/>
                <w:szCs w:val="18"/>
              </w:rPr>
            </w:pPr>
            <w:r>
              <w:rPr>
                <w:rFonts w:hint="eastAsia" w:ascii="仿宋" w:hAnsi="仿宋" w:eastAsia="仿宋" w:cs="仿宋"/>
                <w:sz w:val="18"/>
                <w:szCs w:val="18"/>
              </w:rPr>
              <w:t>10</w:t>
            </w:r>
          </w:p>
        </w:tc>
        <w:tc>
          <w:tcPr>
            <w:tcW w:w="931" w:type="dxa"/>
            <w:vAlign w:val="center"/>
          </w:tcPr>
          <w:p>
            <w:pPr>
              <w:autoSpaceDE w:val="0"/>
              <w:autoSpaceDN w:val="0"/>
              <w:adjustRightInd w:val="0"/>
              <w:jc w:val="center"/>
              <w:rPr>
                <w:rFonts w:ascii="仿宋" w:hAnsi="仿宋" w:eastAsia="仿宋" w:cs="仿宋"/>
                <w:sz w:val="18"/>
                <w:szCs w:val="18"/>
              </w:rPr>
            </w:pPr>
          </w:p>
        </w:tc>
        <w:tc>
          <w:tcPr>
            <w:tcW w:w="1337" w:type="dxa"/>
            <w:vAlign w:val="center"/>
          </w:tcPr>
          <w:p>
            <w:pPr>
              <w:autoSpaceDE w:val="0"/>
              <w:autoSpaceDN w:val="0"/>
              <w:adjustRightInd w:val="0"/>
              <w:jc w:val="center"/>
              <w:rPr>
                <w:rFonts w:ascii="仿宋" w:hAnsi="仿宋" w:eastAsia="仿宋" w:cs="仿宋"/>
                <w:sz w:val="18"/>
                <w:szCs w:val="18"/>
              </w:rPr>
            </w:pPr>
            <w:r>
              <w:rPr>
                <w:rFonts w:hint="eastAsia" w:ascii="仿宋" w:hAnsi="仿宋" w:eastAsia="仿宋" w:cs="仿宋"/>
                <w:sz w:val="18"/>
                <w:szCs w:val="18"/>
              </w:rPr>
              <w:t>见附表A.</w:t>
            </w:r>
            <w:r>
              <w:rPr>
                <w:rFonts w:ascii="仿宋" w:hAnsi="仿宋" w:eastAsia="仿宋" w:cs="仿宋"/>
                <w:sz w:val="18"/>
                <w:szCs w:val="18"/>
              </w:rPr>
              <w:t>1</w:t>
            </w:r>
            <w:r>
              <w:rPr>
                <w:rFonts w:hint="eastAsia" w:ascii="仿宋" w:hAnsi="仿宋" w:eastAsia="仿宋" w:cs="仿宋"/>
                <w:sz w:val="18"/>
                <w:szCs w:val="18"/>
              </w:rPr>
              <w:t>3</w:t>
            </w:r>
            <w:r>
              <w:rPr>
                <w:rFonts w:ascii="仿宋" w:hAnsi="仿宋" w:eastAsia="仿宋" w:cs="仿宋"/>
                <w:sz w:val="18"/>
                <w:szCs w:val="18"/>
              </w:rPr>
              <w:t>.1</w:t>
            </w:r>
          </w:p>
        </w:tc>
        <w:tc>
          <w:tcPr>
            <w:tcW w:w="2371" w:type="dxa"/>
            <w:vAlign w:val="center"/>
          </w:tcPr>
          <w:p>
            <w:pPr>
              <w:autoSpaceDE w:val="0"/>
              <w:autoSpaceDN w:val="0"/>
              <w:adjustRightInd w:val="0"/>
              <w:jc w:val="center"/>
              <w:rPr>
                <w:rFonts w:ascii="仿宋" w:hAnsi="仿宋" w:eastAsia="仿宋" w:cs="仿宋"/>
                <w:kern w:val="0"/>
                <w:sz w:val="18"/>
                <w:szCs w:val="18"/>
              </w:rPr>
            </w:pPr>
            <w:r>
              <w:rPr>
                <w:rFonts w:hint="eastAsia" w:ascii="仿宋" w:hAnsi="仿宋" w:eastAsia="仿宋" w:cs="仿宋"/>
                <w:kern w:val="0"/>
                <w:szCs w:val="21"/>
              </w:rPr>
              <w:t>▲</w:t>
            </w:r>
          </w:p>
        </w:tc>
        <w:tc>
          <w:tcPr>
            <w:tcW w:w="3274" w:type="dxa"/>
            <w:vAlign w:val="center"/>
          </w:tcPr>
          <w:p>
            <w:pPr>
              <w:autoSpaceDE w:val="0"/>
              <w:autoSpaceDN w:val="0"/>
              <w:adjustRightInd w:val="0"/>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vAlign w:val="center"/>
          </w:tcPr>
          <w:p>
            <w:pPr>
              <w:pStyle w:val="80"/>
              <w:numPr>
                <w:ilvl w:val="0"/>
                <w:numId w:val="55"/>
              </w:numPr>
              <w:autoSpaceDE w:val="0"/>
              <w:autoSpaceDN w:val="0"/>
              <w:adjustRightInd w:val="0"/>
              <w:spacing w:line="360" w:lineRule="auto"/>
              <w:ind w:firstLineChars="0"/>
              <w:jc w:val="center"/>
              <w:rPr>
                <w:rFonts w:ascii="仿宋" w:hAnsi="仿宋" w:eastAsia="仿宋" w:cs="仿宋"/>
              </w:rPr>
            </w:pPr>
          </w:p>
        </w:tc>
        <w:tc>
          <w:tcPr>
            <w:tcW w:w="1453" w:type="dxa"/>
            <w:vAlign w:val="center"/>
          </w:tcPr>
          <w:p>
            <w:pPr>
              <w:jc w:val="center"/>
              <w:rPr>
                <w:rFonts w:ascii="仿宋" w:hAnsi="仿宋" w:eastAsia="仿宋" w:cs="仿宋"/>
                <w:sz w:val="18"/>
                <w:szCs w:val="18"/>
              </w:rPr>
            </w:pPr>
            <w:r>
              <w:rPr>
                <w:rFonts w:hint="eastAsia" w:ascii="仿宋" w:hAnsi="仿宋" w:eastAsia="仿宋" w:cs="仿宋"/>
                <w:sz w:val="18"/>
                <w:szCs w:val="18"/>
              </w:rPr>
              <w:t>井室规格</w:t>
            </w:r>
          </w:p>
        </w:tc>
        <w:tc>
          <w:tcPr>
            <w:tcW w:w="1559" w:type="dxa"/>
            <w:vAlign w:val="center"/>
          </w:tcPr>
          <w:p>
            <w:pPr>
              <w:autoSpaceDE w:val="0"/>
              <w:autoSpaceDN w:val="0"/>
              <w:adjustRightInd w:val="0"/>
              <w:jc w:val="center"/>
              <w:rPr>
                <w:rFonts w:ascii="仿宋" w:hAnsi="仿宋" w:eastAsia="仿宋" w:cs="仿宋"/>
                <w:sz w:val="18"/>
                <w:szCs w:val="18"/>
              </w:rPr>
            </w:pPr>
            <w:r>
              <w:rPr>
                <w:rFonts w:hint="eastAsia" w:ascii="仿宋" w:hAnsi="仿宋" w:eastAsia="仿宋" w:cs="仿宋"/>
                <w:sz w:val="18"/>
                <w:szCs w:val="18"/>
              </w:rPr>
              <w:t>WeRoSize</w:t>
            </w:r>
          </w:p>
        </w:tc>
        <w:tc>
          <w:tcPr>
            <w:tcW w:w="1196"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992" w:type="dxa"/>
            <w:vAlign w:val="center"/>
          </w:tcPr>
          <w:p>
            <w:pPr>
              <w:autoSpaceDE w:val="0"/>
              <w:autoSpaceDN w:val="0"/>
              <w:adjustRightInd w:val="0"/>
              <w:jc w:val="center"/>
              <w:rPr>
                <w:rFonts w:ascii="仿宋" w:hAnsi="仿宋" w:eastAsia="仿宋" w:cs="仿宋"/>
                <w:sz w:val="18"/>
                <w:szCs w:val="18"/>
              </w:rPr>
            </w:pPr>
            <w:r>
              <w:rPr>
                <w:rFonts w:hint="eastAsia" w:ascii="仿宋" w:hAnsi="仿宋" w:eastAsia="仿宋" w:cs="仿宋"/>
                <w:sz w:val="18"/>
                <w:szCs w:val="18"/>
              </w:rPr>
              <w:t>20</w:t>
            </w:r>
          </w:p>
        </w:tc>
        <w:tc>
          <w:tcPr>
            <w:tcW w:w="931" w:type="dxa"/>
            <w:vAlign w:val="center"/>
          </w:tcPr>
          <w:p>
            <w:pPr>
              <w:autoSpaceDE w:val="0"/>
              <w:autoSpaceDN w:val="0"/>
              <w:adjustRightInd w:val="0"/>
              <w:jc w:val="center"/>
              <w:rPr>
                <w:rFonts w:ascii="仿宋" w:hAnsi="仿宋" w:eastAsia="仿宋" w:cs="仿宋"/>
                <w:sz w:val="18"/>
                <w:szCs w:val="18"/>
              </w:rPr>
            </w:pPr>
          </w:p>
        </w:tc>
        <w:tc>
          <w:tcPr>
            <w:tcW w:w="1337" w:type="dxa"/>
            <w:vAlign w:val="center"/>
          </w:tcPr>
          <w:p>
            <w:pPr>
              <w:autoSpaceDE w:val="0"/>
              <w:autoSpaceDN w:val="0"/>
              <w:adjustRightInd w:val="0"/>
              <w:jc w:val="center"/>
              <w:rPr>
                <w:rFonts w:ascii="仿宋" w:hAnsi="仿宋" w:eastAsia="仿宋" w:cs="仿宋"/>
                <w:sz w:val="18"/>
                <w:szCs w:val="18"/>
              </w:rPr>
            </w:pPr>
          </w:p>
        </w:tc>
        <w:tc>
          <w:tcPr>
            <w:tcW w:w="2371" w:type="dxa"/>
            <w:vAlign w:val="center"/>
          </w:tcPr>
          <w:p>
            <w:pPr>
              <w:autoSpaceDE w:val="0"/>
              <w:autoSpaceDN w:val="0"/>
              <w:adjustRightInd w:val="0"/>
              <w:jc w:val="center"/>
              <w:rPr>
                <w:rFonts w:ascii="仿宋" w:hAnsi="仿宋" w:eastAsia="仿宋" w:cs="仿宋"/>
                <w:kern w:val="0"/>
                <w:sz w:val="18"/>
                <w:szCs w:val="18"/>
              </w:rPr>
            </w:pPr>
            <w:r>
              <w:rPr>
                <w:rFonts w:hint="eastAsia" w:ascii="仿宋" w:hAnsi="仿宋" w:eastAsia="仿宋" w:cs="仿宋"/>
                <w:kern w:val="0"/>
                <w:szCs w:val="21"/>
              </w:rPr>
              <w:t>▲</w:t>
            </w:r>
          </w:p>
        </w:tc>
        <w:tc>
          <w:tcPr>
            <w:tcW w:w="3274" w:type="dxa"/>
            <w:vAlign w:val="center"/>
          </w:tcPr>
          <w:p>
            <w:pPr>
              <w:autoSpaceDE w:val="0"/>
              <w:autoSpaceDN w:val="0"/>
              <w:adjustRightInd w:val="0"/>
              <w:jc w:val="center"/>
              <w:rPr>
                <w:rFonts w:ascii="仿宋" w:hAnsi="仿宋" w:eastAsia="仿宋" w:cs="仿宋"/>
                <w:sz w:val="18"/>
                <w:szCs w:val="18"/>
              </w:rPr>
            </w:pPr>
            <w:r>
              <w:rPr>
                <w:rFonts w:hint="eastAsia" w:ascii="仿宋" w:hAnsi="仿宋" w:eastAsia="仿宋" w:cs="仿宋"/>
                <w:sz w:val="18"/>
                <w:szCs w:val="18"/>
              </w:rPr>
              <w:t>填直径X高、长X宽X高（单位：毫米）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vAlign w:val="center"/>
          </w:tcPr>
          <w:p>
            <w:pPr>
              <w:pStyle w:val="80"/>
              <w:numPr>
                <w:ilvl w:val="0"/>
                <w:numId w:val="55"/>
              </w:numPr>
              <w:autoSpaceDE w:val="0"/>
              <w:autoSpaceDN w:val="0"/>
              <w:adjustRightInd w:val="0"/>
              <w:spacing w:line="360" w:lineRule="auto"/>
              <w:ind w:firstLineChars="0"/>
              <w:jc w:val="center"/>
              <w:rPr>
                <w:rFonts w:ascii="仿宋" w:hAnsi="仿宋" w:eastAsia="仿宋" w:cs="仿宋"/>
              </w:rPr>
            </w:pPr>
          </w:p>
        </w:tc>
        <w:tc>
          <w:tcPr>
            <w:tcW w:w="1453" w:type="dxa"/>
            <w:vAlign w:val="center"/>
          </w:tcPr>
          <w:p>
            <w:pPr>
              <w:jc w:val="center"/>
              <w:rPr>
                <w:rFonts w:ascii="仿宋" w:hAnsi="仿宋" w:eastAsia="仿宋" w:cs="仿宋"/>
                <w:sz w:val="18"/>
                <w:szCs w:val="18"/>
              </w:rPr>
            </w:pPr>
            <w:r>
              <w:rPr>
                <w:rFonts w:hint="eastAsia" w:ascii="仿宋" w:hAnsi="仿宋" w:eastAsia="仿宋" w:cs="仿宋"/>
                <w:sz w:val="18"/>
                <w:szCs w:val="18"/>
              </w:rPr>
              <w:t>是否接边点</w:t>
            </w:r>
          </w:p>
        </w:tc>
        <w:tc>
          <w:tcPr>
            <w:tcW w:w="1559" w:type="dxa"/>
            <w:vAlign w:val="center"/>
          </w:tcPr>
          <w:p>
            <w:pPr>
              <w:autoSpaceDE w:val="0"/>
              <w:autoSpaceDN w:val="0"/>
              <w:adjustRightInd w:val="0"/>
              <w:jc w:val="center"/>
              <w:rPr>
                <w:rFonts w:ascii="仿宋" w:hAnsi="仿宋" w:eastAsia="仿宋" w:cs="仿宋"/>
                <w:sz w:val="18"/>
                <w:szCs w:val="18"/>
              </w:rPr>
            </w:pPr>
            <w:r>
              <w:rPr>
                <w:rFonts w:hint="eastAsia" w:ascii="仿宋" w:hAnsi="仿宋" w:eastAsia="仿宋" w:cs="仿宋"/>
                <w:sz w:val="18"/>
                <w:szCs w:val="18"/>
              </w:rPr>
              <w:t>Sideid</w:t>
            </w:r>
          </w:p>
        </w:tc>
        <w:tc>
          <w:tcPr>
            <w:tcW w:w="1196"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992" w:type="dxa"/>
            <w:vAlign w:val="center"/>
          </w:tcPr>
          <w:p>
            <w:pPr>
              <w:autoSpaceDE w:val="0"/>
              <w:autoSpaceDN w:val="0"/>
              <w:adjustRightInd w:val="0"/>
              <w:jc w:val="center"/>
              <w:rPr>
                <w:rFonts w:ascii="仿宋" w:hAnsi="仿宋" w:eastAsia="仿宋" w:cs="仿宋"/>
                <w:kern w:val="0"/>
                <w:sz w:val="18"/>
                <w:szCs w:val="18"/>
              </w:rPr>
            </w:pPr>
            <w:r>
              <w:rPr>
                <w:rFonts w:ascii="仿宋" w:hAnsi="仿宋" w:eastAsia="仿宋" w:cs="仿宋"/>
                <w:kern w:val="0"/>
                <w:sz w:val="18"/>
                <w:szCs w:val="18"/>
              </w:rPr>
              <w:t>2</w:t>
            </w:r>
          </w:p>
        </w:tc>
        <w:tc>
          <w:tcPr>
            <w:tcW w:w="931" w:type="dxa"/>
            <w:vAlign w:val="center"/>
          </w:tcPr>
          <w:p>
            <w:pPr>
              <w:autoSpaceDE w:val="0"/>
              <w:autoSpaceDN w:val="0"/>
              <w:adjustRightInd w:val="0"/>
              <w:jc w:val="center"/>
              <w:rPr>
                <w:rFonts w:ascii="仿宋" w:hAnsi="仿宋" w:eastAsia="仿宋" w:cs="仿宋"/>
                <w:kern w:val="0"/>
                <w:sz w:val="18"/>
                <w:szCs w:val="18"/>
              </w:rPr>
            </w:pPr>
          </w:p>
        </w:tc>
        <w:tc>
          <w:tcPr>
            <w:tcW w:w="1337" w:type="dxa"/>
            <w:vAlign w:val="center"/>
          </w:tcPr>
          <w:p>
            <w:pPr>
              <w:autoSpaceDE w:val="0"/>
              <w:autoSpaceDN w:val="0"/>
              <w:adjustRightInd w:val="0"/>
              <w:jc w:val="center"/>
              <w:rPr>
                <w:rFonts w:ascii="仿宋" w:hAnsi="仿宋" w:eastAsia="仿宋" w:cs="仿宋"/>
                <w:kern w:val="0"/>
                <w:sz w:val="18"/>
                <w:szCs w:val="18"/>
              </w:rPr>
            </w:pPr>
            <w:r>
              <w:rPr>
                <w:rFonts w:hint="eastAsia" w:ascii="仿宋" w:hAnsi="仿宋" w:eastAsia="仿宋" w:cs="仿宋"/>
                <w:kern w:val="0"/>
                <w:sz w:val="18"/>
                <w:szCs w:val="18"/>
              </w:rPr>
              <w:t>是/否</w:t>
            </w:r>
          </w:p>
        </w:tc>
        <w:tc>
          <w:tcPr>
            <w:tcW w:w="2371" w:type="dxa"/>
            <w:vAlign w:val="center"/>
          </w:tcPr>
          <w:p>
            <w:pPr>
              <w:autoSpaceDE w:val="0"/>
              <w:autoSpaceDN w:val="0"/>
              <w:adjustRightInd w:val="0"/>
              <w:jc w:val="center"/>
              <w:rPr>
                <w:rFonts w:ascii="仿宋" w:hAnsi="仿宋" w:eastAsia="仿宋" w:cs="仿宋"/>
                <w:kern w:val="0"/>
                <w:sz w:val="18"/>
                <w:szCs w:val="18"/>
              </w:rPr>
            </w:pPr>
            <w:r>
              <w:rPr>
                <w:rFonts w:hint="eastAsia" w:ascii="仿宋" w:hAnsi="仿宋" w:eastAsia="仿宋" w:cs="仿宋"/>
                <w:kern w:val="0"/>
                <w:szCs w:val="21"/>
              </w:rPr>
              <w:t>▲</w:t>
            </w:r>
          </w:p>
        </w:tc>
        <w:tc>
          <w:tcPr>
            <w:tcW w:w="3274" w:type="dxa"/>
            <w:vAlign w:val="center"/>
          </w:tcPr>
          <w:p>
            <w:pPr>
              <w:autoSpaceDE w:val="0"/>
              <w:autoSpaceDN w:val="0"/>
              <w:adjustRightInd w:val="0"/>
              <w:jc w:val="center"/>
              <w:rPr>
                <w:rFonts w:ascii="仿宋" w:hAnsi="仿宋" w:eastAsia="仿宋" w:cs="仿宋"/>
                <w:sz w:val="18"/>
                <w:szCs w:val="18"/>
              </w:rPr>
            </w:pPr>
            <w:r>
              <w:rPr>
                <w:rFonts w:hint="eastAsia" w:ascii="仿宋" w:hAnsi="仿宋" w:eastAsia="仿宋" w:cs="仿宋"/>
                <w:sz w:val="18"/>
                <w:szCs w:val="18"/>
              </w:rPr>
              <w:t>管线点</w:t>
            </w:r>
            <w:r>
              <w:rPr>
                <w:rFonts w:ascii="仿宋" w:hAnsi="仿宋" w:eastAsia="仿宋" w:cs="仿宋"/>
                <w:sz w:val="18"/>
                <w:szCs w:val="18"/>
              </w:rPr>
              <w:t>为接边点时填写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vAlign w:val="center"/>
          </w:tcPr>
          <w:p>
            <w:pPr>
              <w:pStyle w:val="80"/>
              <w:numPr>
                <w:ilvl w:val="0"/>
                <w:numId w:val="55"/>
              </w:numPr>
              <w:autoSpaceDE w:val="0"/>
              <w:autoSpaceDN w:val="0"/>
              <w:adjustRightInd w:val="0"/>
              <w:spacing w:line="360" w:lineRule="auto"/>
              <w:ind w:firstLineChars="0"/>
              <w:jc w:val="center"/>
              <w:rPr>
                <w:rFonts w:ascii="仿宋" w:hAnsi="仿宋" w:eastAsia="仿宋" w:cs="仿宋"/>
                <w:color w:val="000000"/>
              </w:rPr>
            </w:pPr>
          </w:p>
        </w:tc>
        <w:tc>
          <w:tcPr>
            <w:tcW w:w="1453" w:type="dxa"/>
            <w:vAlign w:val="center"/>
          </w:tcPr>
          <w:p>
            <w:pPr>
              <w:jc w:val="center"/>
              <w:rPr>
                <w:rFonts w:ascii="仿宋" w:hAnsi="仿宋" w:eastAsia="仿宋" w:cs="仿宋"/>
                <w:sz w:val="18"/>
                <w:szCs w:val="18"/>
              </w:rPr>
            </w:pPr>
            <w:r>
              <w:rPr>
                <w:rFonts w:hint="eastAsia" w:ascii="仿宋" w:hAnsi="仿宋" w:eastAsia="仿宋" w:cs="仿宋"/>
                <w:sz w:val="18"/>
                <w:szCs w:val="18"/>
              </w:rPr>
              <w:t>地面设施</w:t>
            </w:r>
            <w:r>
              <w:rPr>
                <w:rFonts w:ascii="仿宋" w:hAnsi="仿宋" w:eastAsia="仿宋" w:cs="仿宋"/>
                <w:sz w:val="18"/>
                <w:szCs w:val="18"/>
              </w:rPr>
              <w:t>规格</w:t>
            </w:r>
          </w:p>
        </w:tc>
        <w:tc>
          <w:tcPr>
            <w:tcW w:w="1559" w:type="dxa"/>
            <w:vAlign w:val="center"/>
          </w:tcPr>
          <w:p>
            <w:pPr>
              <w:jc w:val="center"/>
              <w:rPr>
                <w:rFonts w:ascii="仿宋" w:hAnsi="仿宋" w:eastAsia="仿宋" w:cs="仿宋"/>
                <w:sz w:val="18"/>
                <w:szCs w:val="18"/>
              </w:rPr>
            </w:pPr>
            <w:r>
              <w:rPr>
                <w:rFonts w:hint="eastAsia" w:ascii="仿宋" w:hAnsi="仿宋" w:eastAsia="仿宋" w:cs="仿宋"/>
                <w:sz w:val="18"/>
                <w:szCs w:val="18"/>
              </w:rPr>
              <w:t>Faci</w:t>
            </w:r>
            <w:r>
              <w:rPr>
                <w:rFonts w:ascii="仿宋" w:hAnsi="仿宋" w:eastAsia="仿宋" w:cs="仿宋"/>
                <w:sz w:val="18"/>
                <w:szCs w:val="18"/>
              </w:rPr>
              <w:t>Size</w:t>
            </w:r>
          </w:p>
        </w:tc>
        <w:tc>
          <w:tcPr>
            <w:tcW w:w="1196"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992" w:type="dxa"/>
            <w:vAlign w:val="center"/>
          </w:tcPr>
          <w:p>
            <w:pPr>
              <w:jc w:val="center"/>
              <w:rPr>
                <w:rFonts w:ascii="仿宋" w:hAnsi="仿宋" w:eastAsia="仿宋" w:cs="仿宋"/>
                <w:sz w:val="18"/>
                <w:szCs w:val="18"/>
              </w:rPr>
            </w:pPr>
            <w:r>
              <w:rPr>
                <w:rFonts w:hint="eastAsia" w:ascii="仿宋" w:hAnsi="仿宋" w:eastAsia="仿宋" w:cs="仿宋"/>
                <w:sz w:val="18"/>
                <w:szCs w:val="18"/>
              </w:rPr>
              <w:t>20</w:t>
            </w:r>
          </w:p>
        </w:tc>
        <w:tc>
          <w:tcPr>
            <w:tcW w:w="931" w:type="dxa"/>
            <w:vAlign w:val="center"/>
          </w:tcPr>
          <w:p>
            <w:pPr>
              <w:jc w:val="center"/>
              <w:rPr>
                <w:rFonts w:ascii="仿宋" w:hAnsi="仿宋" w:eastAsia="仿宋" w:cs="仿宋"/>
                <w:sz w:val="18"/>
                <w:szCs w:val="18"/>
              </w:rPr>
            </w:pPr>
          </w:p>
        </w:tc>
        <w:tc>
          <w:tcPr>
            <w:tcW w:w="1337" w:type="dxa"/>
            <w:vAlign w:val="center"/>
          </w:tcPr>
          <w:p>
            <w:pPr>
              <w:autoSpaceDE w:val="0"/>
              <w:autoSpaceDN w:val="0"/>
              <w:adjustRightInd w:val="0"/>
              <w:jc w:val="center"/>
              <w:rPr>
                <w:rFonts w:ascii="仿宋" w:hAnsi="仿宋" w:eastAsia="仿宋" w:cs="仿宋"/>
                <w:color w:val="000000"/>
                <w:sz w:val="18"/>
                <w:szCs w:val="18"/>
              </w:rPr>
            </w:pPr>
          </w:p>
        </w:tc>
        <w:tc>
          <w:tcPr>
            <w:tcW w:w="2371" w:type="dxa"/>
            <w:vAlign w:val="center"/>
          </w:tcPr>
          <w:p>
            <w:pPr>
              <w:autoSpaceDE w:val="0"/>
              <w:autoSpaceDN w:val="0"/>
              <w:adjustRightInd w:val="0"/>
              <w:jc w:val="center"/>
              <w:rPr>
                <w:rFonts w:ascii="仿宋" w:hAnsi="仿宋" w:eastAsia="仿宋" w:cs="仿宋"/>
                <w:color w:val="000000"/>
                <w:kern w:val="0"/>
                <w:sz w:val="18"/>
                <w:szCs w:val="18"/>
              </w:rPr>
            </w:pPr>
            <w:r>
              <w:rPr>
                <w:rFonts w:hint="eastAsia" w:ascii="仿宋" w:hAnsi="仿宋" w:eastAsia="仿宋" w:cs="仿宋"/>
                <w:color w:val="000000"/>
                <w:kern w:val="0"/>
                <w:sz w:val="18"/>
                <w:szCs w:val="18"/>
              </w:rPr>
              <w:t>△</w:t>
            </w:r>
          </w:p>
        </w:tc>
        <w:tc>
          <w:tcPr>
            <w:tcW w:w="3274" w:type="dxa"/>
            <w:vAlign w:val="center"/>
          </w:tcPr>
          <w:p>
            <w:pPr>
              <w:autoSpaceDE w:val="0"/>
              <w:autoSpaceDN w:val="0"/>
              <w:adjustRightInd w:val="0"/>
              <w:ind w:firstLine="90" w:firstLineChars="50"/>
              <w:jc w:val="center"/>
              <w:rPr>
                <w:rFonts w:ascii="仿宋" w:hAnsi="仿宋" w:eastAsia="仿宋" w:cs="仿宋"/>
                <w:color w:val="000000"/>
                <w:sz w:val="18"/>
                <w:szCs w:val="18"/>
              </w:rPr>
            </w:pPr>
            <w:r>
              <w:rPr>
                <w:rFonts w:hint="eastAsia" w:ascii="仿宋" w:hAnsi="仿宋" w:eastAsia="仿宋" w:cs="仿宋"/>
                <w:sz w:val="18"/>
                <w:szCs w:val="18"/>
              </w:rPr>
              <w:t>填直径X高、长X宽X高（单位：毫米）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vAlign w:val="center"/>
          </w:tcPr>
          <w:p>
            <w:pPr>
              <w:pStyle w:val="80"/>
              <w:numPr>
                <w:ilvl w:val="0"/>
                <w:numId w:val="55"/>
              </w:numPr>
              <w:autoSpaceDE w:val="0"/>
              <w:autoSpaceDN w:val="0"/>
              <w:adjustRightInd w:val="0"/>
              <w:spacing w:line="360" w:lineRule="auto"/>
              <w:ind w:firstLineChars="0"/>
              <w:jc w:val="center"/>
              <w:rPr>
                <w:rFonts w:ascii="仿宋" w:hAnsi="仿宋" w:eastAsia="仿宋" w:cs="仿宋"/>
                <w:color w:val="000000"/>
              </w:rPr>
            </w:pPr>
          </w:p>
        </w:tc>
        <w:tc>
          <w:tcPr>
            <w:tcW w:w="1453" w:type="dxa"/>
            <w:vAlign w:val="center"/>
          </w:tcPr>
          <w:p>
            <w:pPr>
              <w:jc w:val="center"/>
              <w:rPr>
                <w:rFonts w:ascii="仿宋" w:hAnsi="仿宋" w:eastAsia="仿宋" w:cs="仿宋"/>
                <w:sz w:val="18"/>
                <w:szCs w:val="18"/>
              </w:rPr>
            </w:pPr>
            <w:r>
              <w:rPr>
                <w:rFonts w:hint="eastAsia" w:ascii="仿宋" w:hAnsi="仿宋" w:eastAsia="仿宋" w:cs="仿宋"/>
                <w:sz w:val="18"/>
                <w:szCs w:val="18"/>
              </w:rPr>
              <w:t>备注</w:t>
            </w:r>
          </w:p>
        </w:tc>
        <w:tc>
          <w:tcPr>
            <w:tcW w:w="1559" w:type="dxa"/>
            <w:vAlign w:val="center"/>
          </w:tcPr>
          <w:p>
            <w:pPr>
              <w:jc w:val="center"/>
              <w:rPr>
                <w:rFonts w:ascii="仿宋" w:hAnsi="仿宋" w:eastAsia="仿宋" w:cs="仿宋"/>
                <w:sz w:val="18"/>
                <w:szCs w:val="18"/>
              </w:rPr>
            </w:pPr>
            <w:r>
              <w:rPr>
                <w:rFonts w:hint="eastAsia" w:ascii="仿宋" w:hAnsi="仿宋" w:eastAsia="仿宋" w:cs="仿宋"/>
                <w:sz w:val="18"/>
                <w:szCs w:val="18"/>
              </w:rPr>
              <w:t>Remark</w:t>
            </w:r>
          </w:p>
        </w:tc>
        <w:tc>
          <w:tcPr>
            <w:tcW w:w="1196"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992" w:type="dxa"/>
            <w:vAlign w:val="center"/>
          </w:tcPr>
          <w:p>
            <w:pPr>
              <w:jc w:val="center"/>
              <w:rPr>
                <w:rFonts w:ascii="仿宋" w:hAnsi="仿宋" w:eastAsia="仿宋" w:cs="仿宋"/>
                <w:sz w:val="18"/>
                <w:szCs w:val="18"/>
              </w:rPr>
            </w:pPr>
            <w:r>
              <w:rPr>
                <w:rFonts w:hint="eastAsia" w:ascii="仿宋" w:hAnsi="仿宋" w:eastAsia="仿宋" w:cs="仿宋"/>
                <w:sz w:val="18"/>
                <w:szCs w:val="18"/>
              </w:rPr>
              <w:t>100</w:t>
            </w:r>
          </w:p>
        </w:tc>
        <w:tc>
          <w:tcPr>
            <w:tcW w:w="931" w:type="dxa"/>
            <w:vAlign w:val="center"/>
          </w:tcPr>
          <w:p>
            <w:pPr>
              <w:jc w:val="center"/>
              <w:rPr>
                <w:rFonts w:ascii="仿宋" w:hAnsi="仿宋" w:eastAsia="仿宋" w:cs="仿宋"/>
                <w:sz w:val="18"/>
                <w:szCs w:val="18"/>
              </w:rPr>
            </w:pPr>
          </w:p>
        </w:tc>
        <w:tc>
          <w:tcPr>
            <w:tcW w:w="1337" w:type="dxa"/>
            <w:vAlign w:val="center"/>
          </w:tcPr>
          <w:p>
            <w:pPr>
              <w:autoSpaceDE w:val="0"/>
              <w:autoSpaceDN w:val="0"/>
              <w:adjustRightInd w:val="0"/>
              <w:jc w:val="center"/>
              <w:rPr>
                <w:rFonts w:ascii="仿宋" w:hAnsi="仿宋" w:eastAsia="仿宋" w:cs="仿宋"/>
                <w:color w:val="000000"/>
                <w:sz w:val="18"/>
                <w:szCs w:val="18"/>
              </w:rPr>
            </w:pPr>
          </w:p>
        </w:tc>
        <w:tc>
          <w:tcPr>
            <w:tcW w:w="2371" w:type="dxa"/>
            <w:vAlign w:val="center"/>
          </w:tcPr>
          <w:p>
            <w:pPr>
              <w:autoSpaceDE w:val="0"/>
              <w:autoSpaceDN w:val="0"/>
              <w:adjustRightInd w:val="0"/>
              <w:jc w:val="center"/>
              <w:rPr>
                <w:rFonts w:ascii="仿宋" w:hAnsi="仿宋" w:eastAsia="仿宋" w:cs="仿宋"/>
                <w:color w:val="000000"/>
                <w:sz w:val="18"/>
                <w:szCs w:val="18"/>
              </w:rPr>
            </w:pPr>
            <w:r>
              <w:rPr>
                <w:rFonts w:hint="eastAsia" w:ascii="仿宋" w:hAnsi="仿宋" w:eastAsia="仿宋" w:cs="仿宋"/>
                <w:color w:val="000000"/>
                <w:kern w:val="0"/>
                <w:sz w:val="18"/>
                <w:szCs w:val="18"/>
              </w:rPr>
              <w:t>○</w:t>
            </w:r>
          </w:p>
        </w:tc>
        <w:tc>
          <w:tcPr>
            <w:tcW w:w="3274" w:type="dxa"/>
            <w:vAlign w:val="center"/>
          </w:tcPr>
          <w:p>
            <w:pPr>
              <w:autoSpaceDE w:val="0"/>
              <w:autoSpaceDN w:val="0"/>
              <w:adjustRightInd w:val="0"/>
              <w:jc w:val="center"/>
              <w:rPr>
                <w:rFonts w:ascii="仿宋" w:hAnsi="仿宋" w:eastAsia="仿宋" w:cs="仿宋"/>
                <w:color w:val="000000"/>
                <w:sz w:val="18"/>
                <w:szCs w:val="18"/>
              </w:rPr>
            </w:pPr>
          </w:p>
        </w:tc>
      </w:tr>
    </w:tbl>
    <w:p>
      <w:pPr>
        <w:pStyle w:val="5"/>
        <w:spacing w:line="360" w:lineRule="auto"/>
        <w:jc w:val="center"/>
        <w:rPr>
          <w:rFonts w:ascii="仿宋" w:hAnsi="仿宋" w:eastAsia="仿宋" w:cs="仿宋"/>
          <w:sz w:val="24"/>
          <w:szCs w:val="24"/>
        </w:rPr>
      </w:pPr>
      <w:bookmarkStart w:id="1664" w:name="_Toc24807"/>
      <w:bookmarkStart w:id="1665" w:name="_Toc3814"/>
      <w:bookmarkStart w:id="1666" w:name="_Toc15152"/>
      <w:bookmarkStart w:id="1667" w:name="_Toc31237"/>
      <w:bookmarkStart w:id="1668" w:name="_Toc9752"/>
      <w:r>
        <w:rPr>
          <w:rFonts w:hint="eastAsia" w:ascii="仿宋" w:hAnsi="仿宋" w:eastAsia="仿宋" w:cs="仿宋"/>
          <w:sz w:val="24"/>
        </w:rPr>
        <w:br w:type="page"/>
      </w:r>
      <w:bookmarkStart w:id="1669" w:name="_Toc8170"/>
      <w:bookmarkStart w:id="1670" w:name="_Toc19063"/>
      <w:bookmarkStart w:id="1671" w:name="_Toc32643"/>
      <w:r>
        <w:rPr>
          <w:rFonts w:hint="eastAsia" w:ascii="仿宋" w:hAnsi="仿宋" w:eastAsia="仿宋" w:cs="仿宋"/>
          <w:sz w:val="24"/>
          <w:szCs w:val="24"/>
        </w:rPr>
        <w:t>附表A.</w:t>
      </w:r>
      <w:r>
        <w:rPr>
          <w:rFonts w:ascii="仿宋" w:hAnsi="仿宋" w:eastAsia="仿宋" w:cs="仿宋"/>
          <w:sz w:val="24"/>
          <w:szCs w:val="24"/>
        </w:rPr>
        <w:t>2</w:t>
      </w:r>
      <w:r>
        <w:rPr>
          <w:rFonts w:hint="eastAsia" w:ascii="仿宋" w:hAnsi="仿宋" w:eastAsia="仿宋" w:cs="仿宋"/>
          <w:sz w:val="24"/>
          <w:szCs w:val="24"/>
        </w:rPr>
        <w:t xml:space="preserve"> 管线线属性结构表</w:t>
      </w:r>
      <w:bookmarkEnd w:id="1669"/>
    </w:p>
    <w:bookmarkEnd w:id="1664"/>
    <w:bookmarkEnd w:id="1665"/>
    <w:bookmarkEnd w:id="1666"/>
    <w:bookmarkEnd w:id="1667"/>
    <w:bookmarkEnd w:id="1668"/>
    <w:bookmarkEnd w:id="1670"/>
    <w:bookmarkEnd w:id="1671"/>
    <w:tbl>
      <w:tblPr>
        <w:tblStyle w:val="26"/>
        <w:tblW w:w="138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383"/>
        <w:gridCol w:w="1393"/>
        <w:gridCol w:w="1265"/>
        <w:gridCol w:w="1056"/>
        <w:gridCol w:w="939"/>
        <w:gridCol w:w="1329"/>
        <w:gridCol w:w="2268"/>
        <w:gridCol w:w="3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10" w:type="dxa"/>
            <w:shd w:val="clear" w:color="auto" w:fill="BFBFBF"/>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序号</w:t>
            </w:r>
          </w:p>
        </w:tc>
        <w:tc>
          <w:tcPr>
            <w:tcW w:w="1383" w:type="dxa"/>
            <w:shd w:val="clear" w:color="auto" w:fill="BFBFBF"/>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中文名称</w:t>
            </w:r>
          </w:p>
        </w:tc>
        <w:tc>
          <w:tcPr>
            <w:tcW w:w="1393" w:type="dxa"/>
            <w:shd w:val="clear" w:color="auto" w:fill="BFBFBF"/>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英文名称</w:t>
            </w:r>
          </w:p>
        </w:tc>
        <w:tc>
          <w:tcPr>
            <w:tcW w:w="1265" w:type="dxa"/>
            <w:shd w:val="clear" w:color="auto" w:fill="BFBFBF"/>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字段类型</w:t>
            </w:r>
          </w:p>
        </w:tc>
        <w:tc>
          <w:tcPr>
            <w:tcW w:w="1056" w:type="dxa"/>
            <w:shd w:val="clear" w:color="auto" w:fill="BFBFBF"/>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字段长度</w:t>
            </w:r>
          </w:p>
        </w:tc>
        <w:tc>
          <w:tcPr>
            <w:tcW w:w="939" w:type="dxa"/>
            <w:shd w:val="clear" w:color="auto" w:fill="BFBFBF"/>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小数位数</w:t>
            </w:r>
          </w:p>
        </w:tc>
        <w:tc>
          <w:tcPr>
            <w:tcW w:w="1329" w:type="dxa"/>
            <w:shd w:val="clear" w:color="auto" w:fill="BFBFBF"/>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值域</w:t>
            </w:r>
          </w:p>
        </w:tc>
        <w:tc>
          <w:tcPr>
            <w:tcW w:w="2268" w:type="dxa"/>
            <w:shd w:val="clear" w:color="auto" w:fill="BFBFBF"/>
            <w:vAlign w:val="center"/>
          </w:tcPr>
          <w:p>
            <w:pPr>
              <w:widowControl/>
              <w:jc w:val="center"/>
              <w:rPr>
                <w:rFonts w:ascii="仿宋" w:hAnsi="仿宋" w:eastAsia="仿宋" w:cs="仿宋"/>
                <w:kern w:val="0"/>
                <w:sz w:val="18"/>
                <w:szCs w:val="18"/>
              </w:rPr>
            </w:pPr>
            <w:r>
              <w:rPr>
                <w:rFonts w:hint="eastAsia" w:ascii="仿宋" w:hAnsi="仿宋" w:eastAsia="仿宋" w:cs="仿宋"/>
                <w:color w:val="000000"/>
                <w:kern w:val="0"/>
                <w:sz w:val="18"/>
                <w:szCs w:val="18"/>
              </w:rPr>
              <w:t>是否必填（</w:t>
            </w:r>
            <w:r>
              <w:rPr>
                <w:rFonts w:hint="eastAsia" w:ascii="仿宋" w:hAnsi="仿宋" w:eastAsia="仿宋" w:cs="仿宋"/>
                <w:kern w:val="0"/>
                <w:szCs w:val="21"/>
              </w:rPr>
              <w:t>▲</w:t>
            </w:r>
            <w:r>
              <w:rPr>
                <w:rFonts w:hint="eastAsia" w:ascii="仿宋" w:hAnsi="仿宋" w:eastAsia="仿宋" w:cs="仿宋"/>
                <w:color w:val="000000"/>
                <w:kern w:val="0"/>
                <w:sz w:val="18"/>
                <w:szCs w:val="18"/>
              </w:rPr>
              <w:t>为必填，△为条件必填，○为选填）</w:t>
            </w:r>
          </w:p>
        </w:tc>
        <w:tc>
          <w:tcPr>
            <w:tcW w:w="3484" w:type="dxa"/>
            <w:shd w:val="clear" w:color="auto" w:fill="BFBFBF"/>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pStyle w:val="80"/>
              <w:numPr>
                <w:ilvl w:val="0"/>
                <w:numId w:val="56"/>
              </w:numPr>
              <w:spacing w:line="360" w:lineRule="auto"/>
              <w:ind w:firstLineChars="0"/>
              <w:jc w:val="left"/>
              <w:rPr>
                <w:rFonts w:ascii="仿宋" w:hAnsi="仿宋" w:eastAsia="仿宋" w:cs="仿宋"/>
              </w:rPr>
            </w:pPr>
          </w:p>
        </w:tc>
        <w:tc>
          <w:tcPr>
            <w:tcW w:w="1383" w:type="dxa"/>
            <w:vAlign w:val="center"/>
          </w:tcPr>
          <w:p>
            <w:pPr>
              <w:jc w:val="center"/>
              <w:rPr>
                <w:rFonts w:ascii="仿宋" w:hAnsi="仿宋" w:eastAsia="仿宋" w:cs="仿宋"/>
                <w:sz w:val="18"/>
                <w:szCs w:val="18"/>
              </w:rPr>
            </w:pPr>
            <w:r>
              <w:rPr>
                <w:rFonts w:hint="eastAsia" w:ascii="仿宋" w:hAnsi="仿宋" w:eastAsia="仿宋" w:cs="仿宋"/>
                <w:sz w:val="18"/>
                <w:szCs w:val="18"/>
              </w:rPr>
              <w:t>项目编号</w:t>
            </w:r>
          </w:p>
        </w:tc>
        <w:tc>
          <w:tcPr>
            <w:tcW w:w="1393" w:type="dxa"/>
            <w:vAlign w:val="center"/>
          </w:tcPr>
          <w:p>
            <w:pPr>
              <w:jc w:val="center"/>
              <w:rPr>
                <w:rFonts w:ascii="仿宋" w:hAnsi="仿宋" w:eastAsia="仿宋" w:cs="仿宋"/>
                <w:sz w:val="18"/>
                <w:szCs w:val="18"/>
              </w:rPr>
            </w:pPr>
            <w:r>
              <w:rPr>
                <w:rFonts w:hint="eastAsia" w:ascii="仿宋" w:hAnsi="仿宋" w:eastAsia="仿宋" w:cs="仿宋"/>
                <w:sz w:val="18"/>
                <w:szCs w:val="18"/>
              </w:rPr>
              <w:t>Work_No</w:t>
            </w:r>
          </w:p>
        </w:tc>
        <w:tc>
          <w:tcPr>
            <w:tcW w:w="1265" w:type="dxa"/>
            <w:vAlign w:val="center"/>
          </w:tcPr>
          <w:p>
            <w:pPr>
              <w:jc w:val="center"/>
              <w:rPr>
                <w:rFonts w:ascii="仿宋" w:hAnsi="仿宋" w:eastAsia="仿宋" w:cs="仿宋"/>
                <w:szCs w:val="22"/>
              </w:rPr>
            </w:pPr>
            <w:r>
              <w:rPr>
                <w:rFonts w:hint="eastAsia" w:ascii="仿宋" w:hAnsi="仿宋" w:eastAsia="仿宋" w:cs="仿宋"/>
                <w:sz w:val="18"/>
                <w:szCs w:val="18"/>
              </w:rPr>
              <w:t>字符型</w:t>
            </w:r>
          </w:p>
        </w:tc>
        <w:tc>
          <w:tcPr>
            <w:tcW w:w="1056" w:type="dxa"/>
            <w:vAlign w:val="center"/>
          </w:tcPr>
          <w:p>
            <w:pPr>
              <w:jc w:val="center"/>
              <w:rPr>
                <w:rFonts w:ascii="仿宋" w:hAnsi="仿宋" w:eastAsia="仿宋" w:cs="仿宋"/>
                <w:sz w:val="18"/>
                <w:szCs w:val="18"/>
              </w:rPr>
            </w:pPr>
            <w:r>
              <w:rPr>
                <w:rFonts w:hint="eastAsia" w:ascii="仿宋" w:hAnsi="仿宋" w:eastAsia="仿宋" w:cs="仿宋"/>
                <w:sz w:val="18"/>
                <w:szCs w:val="18"/>
              </w:rPr>
              <w:t>100</w:t>
            </w:r>
          </w:p>
        </w:tc>
        <w:tc>
          <w:tcPr>
            <w:tcW w:w="939" w:type="dxa"/>
            <w:vAlign w:val="center"/>
          </w:tcPr>
          <w:p>
            <w:pPr>
              <w:jc w:val="center"/>
              <w:rPr>
                <w:rFonts w:ascii="仿宋" w:hAnsi="仿宋" w:eastAsia="仿宋" w:cs="仿宋"/>
                <w:sz w:val="18"/>
                <w:szCs w:val="18"/>
              </w:rPr>
            </w:pPr>
          </w:p>
        </w:tc>
        <w:tc>
          <w:tcPr>
            <w:tcW w:w="1329" w:type="dxa"/>
            <w:vAlign w:val="center"/>
          </w:tcPr>
          <w:p>
            <w:pPr>
              <w:jc w:val="center"/>
              <w:rPr>
                <w:rFonts w:ascii="仿宋" w:hAnsi="仿宋" w:eastAsia="仿宋" w:cs="仿宋"/>
                <w:sz w:val="18"/>
                <w:szCs w:val="18"/>
              </w:rPr>
            </w:pPr>
          </w:p>
        </w:tc>
        <w:tc>
          <w:tcPr>
            <w:tcW w:w="2268" w:type="dxa"/>
            <w:vAlign w:val="center"/>
          </w:tcPr>
          <w:p>
            <w:pPr>
              <w:jc w:val="center"/>
              <w:rPr>
                <w:rFonts w:ascii="仿宋" w:hAnsi="仿宋" w:eastAsia="仿宋" w:cs="仿宋"/>
                <w:sz w:val="18"/>
                <w:szCs w:val="18"/>
              </w:rPr>
            </w:pPr>
            <w:r>
              <w:rPr>
                <w:rFonts w:hint="eastAsia" w:ascii="仿宋" w:hAnsi="仿宋" w:eastAsia="仿宋" w:cs="仿宋"/>
                <w:kern w:val="0"/>
                <w:szCs w:val="21"/>
              </w:rPr>
              <w:t>▲</w:t>
            </w:r>
          </w:p>
        </w:tc>
        <w:tc>
          <w:tcPr>
            <w:tcW w:w="3484" w:type="dxa"/>
            <w:vAlign w:val="center"/>
          </w:tcPr>
          <w:p>
            <w:pPr>
              <w:jc w:val="center"/>
              <w:rPr>
                <w:rFonts w:ascii="仿宋" w:hAnsi="仿宋" w:eastAsia="仿宋" w:cs="仿宋"/>
                <w:sz w:val="18"/>
                <w:szCs w:val="18"/>
              </w:rPr>
            </w:pPr>
            <w:r>
              <w:rPr>
                <w:rFonts w:hint="eastAsia" w:ascii="仿宋" w:hAnsi="仿宋" w:eastAsia="仿宋" w:cs="仿宋"/>
                <w:sz w:val="18"/>
                <w:szCs w:val="18"/>
              </w:rPr>
              <w:t>行政区</w:t>
            </w:r>
            <w:r>
              <w:rPr>
                <w:rFonts w:ascii="仿宋" w:hAnsi="仿宋" w:eastAsia="仿宋" w:cs="仿宋"/>
                <w:sz w:val="18"/>
                <w:szCs w:val="18"/>
              </w:rPr>
              <w:t>代码</w:t>
            </w:r>
            <w:r>
              <w:rPr>
                <w:rFonts w:hint="eastAsia" w:ascii="仿宋" w:hAnsi="仿宋" w:eastAsia="仿宋" w:cs="仿宋"/>
                <w:sz w:val="18"/>
                <w:szCs w:val="18"/>
              </w:rPr>
              <w:t>+年份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pStyle w:val="80"/>
              <w:numPr>
                <w:ilvl w:val="0"/>
                <w:numId w:val="56"/>
              </w:numPr>
              <w:spacing w:line="360" w:lineRule="auto"/>
              <w:ind w:firstLineChars="0"/>
              <w:jc w:val="left"/>
              <w:rPr>
                <w:rFonts w:ascii="仿宋" w:hAnsi="仿宋" w:eastAsia="仿宋" w:cs="仿宋"/>
              </w:rPr>
            </w:pPr>
          </w:p>
        </w:tc>
        <w:tc>
          <w:tcPr>
            <w:tcW w:w="1383" w:type="dxa"/>
            <w:vAlign w:val="center"/>
          </w:tcPr>
          <w:p>
            <w:pPr>
              <w:jc w:val="center"/>
              <w:rPr>
                <w:rFonts w:ascii="仿宋" w:hAnsi="仿宋" w:eastAsia="仿宋" w:cs="仿宋"/>
                <w:sz w:val="18"/>
                <w:szCs w:val="18"/>
              </w:rPr>
            </w:pPr>
            <w:r>
              <w:rPr>
                <w:rFonts w:hint="eastAsia" w:ascii="仿宋" w:hAnsi="仿宋" w:eastAsia="仿宋" w:cs="仿宋"/>
                <w:sz w:val="18"/>
                <w:szCs w:val="18"/>
              </w:rPr>
              <w:t>工程编号</w:t>
            </w:r>
          </w:p>
        </w:tc>
        <w:tc>
          <w:tcPr>
            <w:tcW w:w="1393" w:type="dxa"/>
            <w:vAlign w:val="center"/>
          </w:tcPr>
          <w:p>
            <w:pPr>
              <w:jc w:val="center"/>
              <w:rPr>
                <w:rFonts w:ascii="仿宋" w:hAnsi="仿宋" w:eastAsia="仿宋" w:cs="仿宋"/>
                <w:sz w:val="18"/>
                <w:szCs w:val="18"/>
              </w:rPr>
            </w:pPr>
            <w:r>
              <w:rPr>
                <w:rFonts w:hint="eastAsia" w:ascii="仿宋" w:hAnsi="仿宋" w:eastAsia="仿宋" w:cs="仿宋"/>
                <w:sz w:val="18"/>
                <w:szCs w:val="18"/>
              </w:rPr>
              <w:t>Prj_No</w:t>
            </w:r>
          </w:p>
        </w:tc>
        <w:tc>
          <w:tcPr>
            <w:tcW w:w="1265"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056"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939" w:type="dxa"/>
            <w:vAlign w:val="center"/>
          </w:tcPr>
          <w:p>
            <w:pPr>
              <w:jc w:val="center"/>
              <w:rPr>
                <w:rFonts w:ascii="仿宋" w:hAnsi="仿宋" w:eastAsia="仿宋" w:cs="仿宋"/>
                <w:sz w:val="18"/>
                <w:szCs w:val="18"/>
              </w:rPr>
            </w:pPr>
          </w:p>
        </w:tc>
        <w:tc>
          <w:tcPr>
            <w:tcW w:w="1329" w:type="dxa"/>
            <w:vAlign w:val="center"/>
          </w:tcPr>
          <w:p>
            <w:pPr>
              <w:jc w:val="center"/>
              <w:rPr>
                <w:rFonts w:ascii="仿宋" w:hAnsi="仿宋" w:eastAsia="仿宋" w:cs="仿宋"/>
                <w:sz w:val="18"/>
                <w:szCs w:val="18"/>
              </w:rPr>
            </w:pPr>
          </w:p>
        </w:tc>
        <w:tc>
          <w:tcPr>
            <w:tcW w:w="2268" w:type="dxa"/>
            <w:vAlign w:val="center"/>
          </w:tcPr>
          <w:p>
            <w:pPr>
              <w:jc w:val="center"/>
              <w:rPr>
                <w:rFonts w:ascii="仿宋" w:hAnsi="仿宋" w:eastAsia="仿宋" w:cs="仿宋"/>
                <w:kern w:val="0"/>
                <w:sz w:val="18"/>
                <w:szCs w:val="18"/>
              </w:rPr>
            </w:pPr>
            <w:r>
              <w:rPr>
                <w:rFonts w:hint="eastAsia" w:ascii="仿宋" w:hAnsi="仿宋" w:eastAsia="仿宋" w:cs="仿宋"/>
                <w:kern w:val="0"/>
                <w:szCs w:val="21"/>
              </w:rPr>
              <w:t>▲</w:t>
            </w:r>
          </w:p>
        </w:tc>
        <w:tc>
          <w:tcPr>
            <w:tcW w:w="3484" w:type="dxa"/>
            <w:vAlign w:val="center"/>
          </w:tcPr>
          <w:p>
            <w:pPr>
              <w:jc w:val="center"/>
              <w:rPr>
                <w:rFonts w:ascii="仿宋" w:hAnsi="仿宋" w:eastAsia="仿宋" w:cs="仿宋"/>
                <w:sz w:val="18"/>
                <w:szCs w:val="18"/>
              </w:rPr>
            </w:pPr>
            <w:r>
              <w:rPr>
                <w:rFonts w:hint="eastAsia" w:ascii="仿宋" w:hAnsi="仿宋" w:eastAsia="仿宋" w:cs="仿宋"/>
                <w:sz w:val="18"/>
                <w:szCs w:val="18"/>
              </w:rPr>
              <w:t>标段号+测区号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pStyle w:val="80"/>
              <w:numPr>
                <w:ilvl w:val="0"/>
                <w:numId w:val="56"/>
              </w:numPr>
              <w:spacing w:line="360" w:lineRule="auto"/>
              <w:ind w:firstLineChars="0"/>
              <w:jc w:val="left"/>
              <w:rPr>
                <w:rFonts w:ascii="仿宋" w:hAnsi="仿宋" w:eastAsia="仿宋" w:cs="仿宋"/>
              </w:rPr>
            </w:pPr>
          </w:p>
        </w:tc>
        <w:tc>
          <w:tcPr>
            <w:tcW w:w="1383" w:type="dxa"/>
            <w:vAlign w:val="center"/>
          </w:tcPr>
          <w:p>
            <w:pPr>
              <w:jc w:val="center"/>
              <w:rPr>
                <w:rFonts w:ascii="仿宋" w:hAnsi="仿宋" w:eastAsia="仿宋" w:cs="仿宋"/>
                <w:sz w:val="18"/>
                <w:szCs w:val="18"/>
              </w:rPr>
            </w:pPr>
            <w:r>
              <w:rPr>
                <w:rFonts w:hint="eastAsia" w:ascii="仿宋" w:hAnsi="仿宋" w:eastAsia="仿宋" w:cs="仿宋"/>
                <w:sz w:val="18"/>
                <w:szCs w:val="18"/>
              </w:rPr>
              <w:t>起点点号</w:t>
            </w:r>
          </w:p>
        </w:tc>
        <w:tc>
          <w:tcPr>
            <w:tcW w:w="1393" w:type="dxa"/>
            <w:vAlign w:val="center"/>
          </w:tcPr>
          <w:p>
            <w:pPr>
              <w:jc w:val="center"/>
              <w:rPr>
                <w:rFonts w:ascii="仿宋" w:hAnsi="仿宋" w:eastAsia="仿宋" w:cs="仿宋"/>
                <w:sz w:val="18"/>
                <w:szCs w:val="18"/>
              </w:rPr>
            </w:pPr>
            <w:r>
              <w:rPr>
                <w:rFonts w:hint="eastAsia" w:ascii="仿宋" w:hAnsi="仿宋" w:eastAsia="仿宋" w:cs="仿宋"/>
                <w:sz w:val="18"/>
                <w:szCs w:val="18"/>
              </w:rPr>
              <w:t>S_Exp</w:t>
            </w:r>
          </w:p>
        </w:tc>
        <w:tc>
          <w:tcPr>
            <w:tcW w:w="1265"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056" w:type="dxa"/>
            <w:vAlign w:val="center"/>
          </w:tcPr>
          <w:p>
            <w:pPr>
              <w:jc w:val="center"/>
              <w:rPr>
                <w:rFonts w:ascii="仿宋" w:hAnsi="仿宋" w:eastAsia="仿宋" w:cs="仿宋"/>
                <w:sz w:val="18"/>
                <w:szCs w:val="18"/>
              </w:rPr>
            </w:pPr>
            <w:r>
              <w:rPr>
                <w:rFonts w:hint="eastAsia" w:ascii="仿宋" w:hAnsi="仿宋" w:eastAsia="仿宋" w:cs="仿宋"/>
                <w:sz w:val="18"/>
                <w:szCs w:val="18"/>
              </w:rPr>
              <w:t>25</w:t>
            </w:r>
          </w:p>
        </w:tc>
        <w:tc>
          <w:tcPr>
            <w:tcW w:w="939" w:type="dxa"/>
            <w:vAlign w:val="center"/>
          </w:tcPr>
          <w:p>
            <w:pPr>
              <w:jc w:val="center"/>
              <w:rPr>
                <w:rFonts w:ascii="仿宋" w:hAnsi="仿宋" w:eastAsia="仿宋" w:cs="仿宋"/>
                <w:sz w:val="18"/>
                <w:szCs w:val="18"/>
              </w:rPr>
            </w:pPr>
          </w:p>
        </w:tc>
        <w:tc>
          <w:tcPr>
            <w:tcW w:w="1329" w:type="dxa"/>
            <w:vAlign w:val="center"/>
          </w:tcPr>
          <w:p>
            <w:pPr>
              <w:jc w:val="center"/>
              <w:rPr>
                <w:rFonts w:ascii="仿宋" w:hAnsi="仿宋" w:eastAsia="仿宋" w:cs="仿宋"/>
                <w:sz w:val="18"/>
                <w:szCs w:val="18"/>
              </w:rPr>
            </w:pPr>
          </w:p>
        </w:tc>
        <w:tc>
          <w:tcPr>
            <w:tcW w:w="2268" w:type="dxa"/>
          </w:tcPr>
          <w:p>
            <w:pPr>
              <w:jc w:val="center"/>
              <w:rPr>
                <w:rFonts w:ascii="仿宋" w:hAnsi="仿宋" w:eastAsia="仿宋" w:cs="仿宋"/>
                <w:kern w:val="0"/>
                <w:sz w:val="18"/>
                <w:szCs w:val="18"/>
              </w:rPr>
            </w:pPr>
            <w:r>
              <w:rPr>
                <w:rFonts w:hint="eastAsia" w:ascii="仿宋" w:hAnsi="仿宋" w:eastAsia="仿宋" w:cs="仿宋"/>
                <w:kern w:val="0"/>
                <w:szCs w:val="21"/>
              </w:rPr>
              <w:t>▲</w:t>
            </w:r>
          </w:p>
        </w:tc>
        <w:tc>
          <w:tcPr>
            <w:tcW w:w="3484" w:type="dxa"/>
            <w:vAlign w:val="center"/>
          </w:tcPr>
          <w:p>
            <w:pPr>
              <w:jc w:val="center"/>
              <w:rPr>
                <w:rFonts w:ascii="仿宋" w:hAnsi="仿宋" w:eastAsia="仿宋" w:cs="仿宋"/>
                <w:sz w:val="18"/>
                <w:szCs w:val="18"/>
              </w:rPr>
            </w:pPr>
            <w:r>
              <w:rPr>
                <w:rFonts w:hint="eastAsia" w:ascii="仿宋" w:hAnsi="仿宋" w:eastAsia="仿宋" w:cs="仿宋"/>
                <w:sz w:val="18"/>
                <w:szCs w:val="18"/>
              </w:rPr>
              <w:t>管线段的起点编号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pStyle w:val="80"/>
              <w:numPr>
                <w:ilvl w:val="0"/>
                <w:numId w:val="56"/>
              </w:numPr>
              <w:spacing w:line="360" w:lineRule="auto"/>
              <w:ind w:firstLineChars="0"/>
              <w:jc w:val="left"/>
              <w:rPr>
                <w:rFonts w:ascii="仿宋" w:hAnsi="仿宋" w:eastAsia="仿宋" w:cs="仿宋"/>
              </w:rPr>
            </w:pPr>
          </w:p>
        </w:tc>
        <w:tc>
          <w:tcPr>
            <w:tcW w:w="1383" w:type="dxa"/>
            <w:vAlign w:val="center"/>
          </w:tcPr>
          <w:p>
            <w:pPr>
              <w:jc w:val="center"/>
              <w:rPr>
                <w:rFonts w:ascii="仿宋" w:hAnsi="仿宋" w:eastAsia="仿宋" w:cs="仿宋"/>
                <w:sz w:val="18"/>
                <w:szCs w:val="18"/>
              </w:rPr>
            </w:pPr>
            <w:r>
              <w:rPr>
                <w:rFonts w:hint="eastAsia" w:ascii="仿宋" w:hAnsi="仿宋" w:eastAsia="仿宋" w:cs="仿宋"/>
                <w:sz w:val="18"/>
                <w:szCs w:val="18"/>
              </w:rPr>
              <w:t>起点X坐标</w:t>
            </w:r>
          </w:p>
        </w:tc>
        <w:tc>
          <w:tcPr>
            <w:tcW w:w="1393" w:type="dxa"/>
            <w:vAlign w:val="center"/>
          </w:tcPr>
          <w:p>
            <w:pPr>
              <w:jc w:val="center"/>
              <w:rPr>
                <w:rFonts w:ascii="仿宋" w:hAnsi="仿宋" w:eastAsia="仿宋" w:cs="仿宋"/>
                <w:sz w:val="18"/>
                <w:szCs w:val="18"/>
              </w:rPr>
            </w:pPr>
            <w:r>
              <w:rPr>
                <w:rFonts w:hint="eastAsia" w:ascii="仿宋" w:hAnsi="仿宋" w:eastAsia="仿宋" w:cs="仿宋"/>
                <w:sz w:val="18"/>
                <w:szCs w:val="18"/>
              </w:rPr>
              <w:t>S_X</w:t>
            </w:r>
          </w:p>
        </w:tc>
        <w:tc>
          <w:tcPr>
            <w:tcW w:w="1265" w:type="dxa"/>
            <w:vAlign w:val="center"/>
          </w:tcPr>
          <w:p>
            <w:pPr>
              <w:jc w:val="center"/>
              <w:rPr>
                <w:rFonts w:ascii="仿宋" w:hAnsi="仿宋" w:eastAsia="仿宋" w:cs="仿宋"/>
                <w:sz w:val="18"/>
                <w:szCs w:val="18"/>
              </w:rPr>
            </w:pPr>
            <w:r>
              <w:rPr>
                <w:rFonts w:hint="eastAsia" w:ascii="仿宋" w:hAnsi="仿宋" w:eastAsia="仿宋" w:cs="仿宋"/>
                <w:sz w:val="18"/>
                <w:szCs w:val="18"/>
              </w:rPr>
              <w:t>双精度</w:t>
            </w:r>
          </w:p>
        </w:tc>
        <w:tc>
          <w:tcPr>
            <w:tcW w:w="1056"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939" w:type="dxa"/>
            <w:vAlign w:val="center"/>
          </w:tcPr>
          <w:p>
            <w:pPr>
              <w:jc w:val="center"/>
              <w:rPr>
                <w:rFonts w:ascii="仿宋" w:hAnsi="仿宋" w:eastAsia="仿宋" w:cs="仿宋"/>
                <w:sz w:val="18"/>
                <w:szCs w:val="18"/>
              </w:rPr>
            </w:pPr>
            <w:r>
              <w:rPr>
                <w:rFonts w:hint="eastAsia" w:ascii="仿宋" w:hAnsi="仿宋" w:eastAsia="仿宋" w:cs="仿宋"/>
                <w:sz w:val="18"/>
                <w:szCs w:val="18"/>
              </w:rPr>
              <w:t>3</w:t>
            </w:r>
          </w:p>
        </w:tc>
        <w:tc>
          <w:tcPr>
            <w:tcW w:w="1329" w:type="dxa"/>
            <w:vAlign w:val="center"/>
          </w:tcPr>
          <w:p>
            <w:pPr>
              <w:jc w:val="center"/>
              <w:rPr>
                <w:rFonts w:ascii="仿宋" w:hAnsi="仿宋" w:eastAsia="仿宋" w:cs="仿宋"/>
                <w:sz w:val="18"/>
                <w:szCs w:val="18"/>
              </w:rPr>
            </w:pPr>
          </w:p>
        </w:tc>
        <w:tc>
          <w:tcPr>
            <w:tcW w:w="2268" w:type="dxa"/>
          </w:tcPr>
          <w:p>
            <w:pPr>
              <w:jc w:val="center"/>
              <w:rPr>
                <w:rFonts w:ascii="仿宋" w:hAnsi="仿宋" w:eastAsia="仿宋" w:cs="仿宋"/>
                <w:kern w:val="0"/>
                <w:sz w:val="18"/>
                <w:szCs w:val="18"/>
              </w:rPr>
            </w:pPr>
            <w:r>
              <w:rPr>
                <w:rFonts w:hint="eastAsia" w:ascii="仿宋" w:hAnsi="仿宋" w:eastAsia="仿宋" w:cs="仿宋"/>
                <w:kern w:val="0"/>
                <w:szCs w:val="21"/>
              </w:rPr>
              <w:t>▲</w:t>
            </w:r>
          </w:p>
        </w:tc>
        <w:tc>
          <w:tcPr>
            <w:tcW w:w="3484" w:type="dxa"/>
            <w:vAlign w:val="center"/>
          </w:tcPr>
          <w:p>
            <w:pPr>
              <w:jc w:val="center"/>
              <w:rPr>
                <w:rFonts w:ascii="仿宋" w:hAnsi="仿宋" w:eastAsia="仿宋" w:cs="仿宋"/>
                <w:sz w:val="18"/>
                <w:szCs w:val="18"/>
              </w:rPr>
            </w:pPr>
            <w:r>
              <w:rPr>
                <w:rFonts w:hint="eastAsia" w:ascii="仿宋" w:hAnsi="仿宋" w:eastAsia="仿宋" w:cs="仿宋"/>
                <w:sz w:val="18"/>
                <w:szCs w:val="18"/>
              </w:rPr>
              <w:t>单位：米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pStyle w:val="80"/>
              <w:numPr>
                <w:ilvl w:val="0"/>
                <w:numId w:val="56"/>
              </w:numPr>
              <w:spacing w:line="360" w:lineRule="auto"/>
              <w:ind w:firstLineChars="0"/>
              <w:jc w:val="left"/>
              <w:rPr>
                <w:rFonts w:ascii="仿宋" w:hAnsi="仿宋" w:eastAsia="仿宋" w:cs="仿宋"/>
              </w:rPr>
            </w:pPr>
          </w:p>
        </w:tc>
        <w:tc>
          <w:tcPr>
            <w:tcW w:w="1383" w:type="dxa"/>
            <w:vAlign w:val="center"/>
          </w:tcPr>
          <w:p>
            <w:pPr>
              <w:jc w:val="center"/>
              <w:rPr>
                <w:rFonts w:ascii="仿宋" w:hAnsi="仿宋" w:eastAsia="仿宋" w:cs="仿宋"/>
                <w:sz w:val="18"/>
                <w:szCs w:val="18"/>
              </w:rPr>
            </w:pPr>
            <w:r>
              <w:rPr>
                <w:rFonts w:hint="eastAsia" w:ascii="仿宋" w:hAnsi="仿宋" w:eastAsia="仿宋" w:cs="仿宋"/>
                <w:sz w:val="18"/>
                <w:szCs w:val="18"/>
              </w:rPr>
              <w:t>起点Y坐标</w:t>
            </w:r>
          </w:p>
        </w:tc>
        <w:tc>
          <w:tcPr>
            <w:tcW w:w="1393" w:type="dxa"/>
            <w:vAlign w:val="center"/>
          </w:tcPr>
          <w:p>
            <w:pPr>
              <w:jc w:val="center"/>
              <w:rPr>
                <w:rFonts w:ascii="仿宋" w:hAnsi="仿宋" w:eastAsia="仿宋" w:cs="仿宋"/>
                <w:sz w:val="18"/>
                <w:szCs w:val="18"/>
              </w:rPr>
            </w:pPr>
            <w:r>
              <w:rPr>
                <w:rFonts w:hint="eastAsia" w:ascii="仿宋" w:hAnsi="仿宋" w:eastAsia="仿宋" w:cs="仿宋"/>
                <w:sz w:val="18"/>
                <w:szCs w:val="18"/>
              </w:rPr>
              <w:t>S_Y</w:t>
            </w:r>
          </w:p>
        </w:tc>
        <w:tc>
          <w:tcPr>
            <w:tcW w:w="1265" w:type="dxa"/>
            <w:vAlign w:val="center"/>
          </w:tcPr>
          <w:p>
            <w:pPr>
              <w:jc w:val="center"/>
              <w:rPr>
                <w:rFonts w:ascii="仿宋" w:hAnsi="仿宋" w:eastAsia="仿宋" w:cs="仿宋"/>
                <w:sz w:val="18"/>
                <w:szCs w:val="18"/>
              </w:rPr>
            </w:pPr>
            <w:r>
              <w:rPr>
                <w:rFonts w:hint="eastAsia" w:ascii="仿宋" w:hAnsi="仿宋" w:eastAsia="仿宋" w:cs="仿宋"/>
                <w:sz w:val="18"/>
                <w:szCs w:val="18"/>
              </w:rPr>
              <w:t>双精度</w:t>
            </w:r>
          </w:p>
        </w:tc>
        <w:tc>
          <w:tcPr>
            <w:tcW w:w="1056"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939" w:type="dxa"/>
            <w:vAlign w:val="center"/>
          </w:tcPr>
          <w:p>
            <w:pPr>
              <w:jc w:val="center"/>
              <w:rPr>
                <w:rFonts w:ascii="仿宋" w:hAnsi="仿宋" w:eastAsia="仿宋" w:cs="仿宋"/>
                <w:sz w:val="18"/>
                <w:szCs w:val="18"/>
              </w:rPr>
            </w:pPr>
            <w:r>
              <w:rPr>
                <w:rFonts w:hint="eastAsia" w:ascii="仿宋" w:hAnsi="仿宋" w:eastAsia="仿宋" w:cs="仿宋"/>
                <w:sz w:val="18"/>
                <w:szCs w:val="18"/>
              </w:rPr>
              <w:t>3</w:t>
            </w:r>
          </w:p>
        </w:tc>
        <w:tc>
          <w:tcPr>
            <w:tcW w:w="1329" w:type="dxa"/>
            <w:vAlign w:val="center"/>
          </w:tcPr>
          <w:p>
            <w:pPr>
              <w:jc w:val="center"/>
              <w:rPr>
                <w:rFonts w:ascii="仿宋" w:hAnsi="仿宋" w:eastAsia="仿宋" w:cs="仿宋"/>
                <w:sz w:val="18"/>
                <w:szCs w:val="18"/>
              </w:rPr>
            </w:pPr>
          </w:p>
        </w:tc>
        <w:tc>
          <w:tcPr>
            <w:tcW w:w="2268" w:type="dxa"/>
            <w:vAlign w:val="center"/>
          </w:tcPr>
          <w:p>
            <w:pPr>
              <w:jc w:val="center"/>
              <w:rPr>
                <w:rFonts w:ascii="仿宋" w:hAnsi="仿宋" w:eastAsia="仿宋" w:cs="仿宋"/>
                <w:kern w:val="0"/>
                <w:sz w:val="18"/>
                <w:szCs w:val="18"/>
              </w:rPr>
            </w:pPr>
            <w:r>
              <w:rPr>
                <w:rFonts w:hint="eastAsia" w:ascii="仿宋" w:hAnsi="仿宋" w:eastAsia="仿宋" w:cs="仿宋"/>
                <w:kern w:val="0"/>
                <w:szCs w:val="21"/>
              </w:rPr>
              <w:t>▲</w:t>
            </w:r>
          </w:p>
        </w:tc>
        <w:tc>
          <w:tcPr>
            <w:tcW w:w="3484" w:type="dxa"/>
            <w:vAlign w:val="center"/>
          </w:tcPr>
          <w:p>
            <w:pPr>
              <w:jc w:val="center"/>
              <w:rPr>
                <w:rFonts w:ascii="仿宋" w:hAnsi="仿宋" w:eastAsia="仿宋" w:cs="仿宋"/>
                <w:sz w:val="18"/>
                <w:szCs w:val="18"/>
              </w:rPr>
            </w:pPr>
            <w:r>
              <w:rPr>
                <w:rFonts w:hint="eastAsia" w:ascii="仿宋" w:hAnsi="仿宋" w:eastAsia="仿宋" w:cs="仿宋"/>
                <w:sz w:val="18"/>
                <w:szCs w:val="18"/>
              </w:rPr>
              <w:t>单位：米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pStyle w:val="80"/>
              <w:numPr>
                <w:ilvl w:val="0"/>
                <w:numId w:val="56"/>
              </w:numPr>
              <w:spacing w:line="360" w:lineRule="auto"/>
              <w:ind w:firstLineChars="0"/>
              <w:jc w:val="left"/>
              <w:rPr>
                <w:rFonts w:ascii="仿宋" w:hAnsi="仿宋" w:eastAsia="仿宋" w:cs="仿宋"/>
              </w:rPr>
            </w:pPr>
          </w:p>
        </w:tc>
        <w:tc>
          <w:tcPr>
            <w:tcW w:w="1383" w:type="dxa"/>
            <w:vAlign w:val="center"/>
          </w:tcPr>
          <w:p>
            <w:pPr>
              <w:jc w:val="center"/>
              <w:rPr>
                <w:rFonts w:ascii="仿宋" w:hAnsi="仿宋" w:eastAsia="仿宋" w:cs="仿宋"/>
                <w:sz w:val="18"/>
                <w:szCs w:val="18"/>
              </w:rPr>
            </w:pPr>
            <w:r>
              <w:rPr>
                <w:rFonts w:hint="eastAsia" w:ascii="仿宋" w:hAnsi="仿宋" w:eastAsia="仿宋" w:cs="仿宋"/>
                <w:sz w:val="18"/>
                <w:szCs w:val="18"/>
              </w:rPr>
              <w:t>起点高程</w:t>
            </w:r>
          </w:p>
        </w:tc>
        <w:tc>
          <w:tcPr>
            <w:tcW w:w="1393" w:type="dxa"/>
            <w:vAlign w:val="center"/>
          </w:tcPr>
          <w:p>
            <w:pPr>
              <w:jc w:val="center"/>
              <w:rPr>
                <w:rFonts w:ascii="仿宋" w:hAnsi="仿宋" w:eastAsia="仿宋" w:cs="仿宋"/>
                <w:sz w:val="18"/>
                <w:szCs w:val="18"/>
              </w:rPr>
            </w:pPr>
            <w:r>
              <w:rPr>
                <w:rFonts w:hint="eastAsia" w:ascii="仿宋" w:hAnsi="仿宋" w:eastAsia="仿宋" w:cs="仿宋"/>
                <w:sz w:val="18"/>
                <w:szCs w:val="18"/>
              </w:rPr>
              <w:t>S_High</w:t>
            </w:r>
          </w:p>
        </w:tc>
        <w:tc>
          <w:tcPr>
            <w:tcW w:w="1265" w:type="dxa"/>
            <w:vAlign w:val="center"/>
          </w:tcPr>
          <w:p>
            <w:pPr>
              <w:jc w:val="center"/>
              <w:rPr>
                <w:rFonts w:ascii="仿宋" w:hAnsi="仿宋" w:eastAsia="仿宋" w:cs="仿宋"/>
                <w:szCs w:val="22"/>
              </w:rPr>
            </w:pPr>
            <w:r>
              <w:rPr>
                <w:rFonts w:hint="eastAsia" w:ascii="仿宋" w:hAnsi="仿宋" w:eastAsia="仿宋" w:cs="仿宋"/>
                <w:sz w:val="18"/>
                <w:szCs w:val="18"/>
              </w:rPr>
              <w:t>双精度</w:t>
            </w:r>
          </w:p>
        </w:tc>
        <w:tc>
          <w:tcPr>
            <w:tcW w:w="1056"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939" w:type="dxa"/>
            <w:vAlign w:val="center"/>
          </w:tcPr>
          <w:p>
            <w:pPr>
              <w:jc w:val="center"/>
              <w:rPr>
                <w:rFonts w:ascii="仿宋" w:hAnsi="仿宋" w:eastAsia="仿宋" w:cs="仿宋"/>
                <w:sz w:val="18"/>
                <w:szCs w:val="18"/>
              </w:rPr>
            </w:pPr>
            <w:r>
              <w:rPr>
                <w:rFonts w:hint="eastAsia" w:ascii="仿宋" w:hAnsi="仿宋" w:eastAsia="仿宋" w:cs="仿宋"/>
                <w:sz w:val="18"/>
                <w:szCs w:val="18"/>
              </w:rPr>
              <w:t>2</w:t>
            </w:r>
          </w:p>
        </w:tc>
        <w:tc>
          <w:tcPr>
            <w:tcW w:w="1329" w:type="dxa"/>
            <w:vAlign w:val="center"/>
          </w:tcPr>
          <w:p>
            <w:pPr>
              <w:jc w:val="center"/>
              <w:rPr>
                <w:rFonts w:ascii="仿宋" w:hAnsi="仿宋" w:eastAsia="仿宋" w:cs="仿宋"/>
                <w:sz w:val="18"/>
                <w:szCs w:val="18"/>
              </w:rPr>
            </w:pPr>
          </w:p>
        </w:tc>
        <w:tc>
          <w:tcPr>
            <w:tcW w:w="2268" w:type="dxa"/>
            <w:vAlign w:val="center"/>
          </w:tcPr>
          <w:p>
            <w:pPr>
              <w:jc w:val="center"/>
              <w:rPr>
                <w:rFonts w:ascii="仿宋" w:hAnsi="仿宋" w:eastAsia="仿宋" w:cs="仿宋"/>
              </w:rPr>
            </w:pPr>
            <w:r>
              <w:rPr>
                <w:rFonts w:hint="eastAsia" w:ascii="仿宋" w:hAnsi="仿宋" w:eastAsia="仿宋" w:cs="仿宋"/>
                <w:kern w:val="0"/>
                <w:szCs w:val="21"/>
              </w:rPr>
              <w:t>▲</w:t>
            </w:r>
          </w:p>
        </w:tc>
        <w:tc>
          <w:tcPr>
            <w:tcW w:w="3484" w:type="dxa"/>
            <w:vAlign w:val="center"/>
          </w:tcPr>
          <w:p>
            <w:pPr>
              <w:jc w:val="center"/>
              <w:rPr>
                <w:rFonts w:ascii="仿宋" w:hAnsi="仿宋" w:eastAsia="仿宋" w:cs="仿宋"/>
                <w:sz w:val="18"/>
                <w:szCs w:val="18"/>
              </w:rPr>
            </w:pPr>
            <w:r>
              <w:rPr>
                <w:rFonts w:hint="eastAsia" w:ascii="仿宋" w:hAnsi="仿宋" w:eastAsia="仿宋" w:cs="仿宋"/>
                <w:sz w:val="18"/>
                <w:szCs w:val="18"/>
              </w:rPr>
              <w:t>单位：米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pStyle w:val="80"/>
              <w:numPr>
                <w:ilvl w:val="0"/>
                <w:numId w:val="56"/>
              </w:numPr>
              <w:spacing w:line="360" w:lineRule="auto"/>
              <w:ind w:firstLineChars="0"/>
              <w:jc w:val="left"/>
              <w:rPr>
                <w:rFonts w:ascii="仿宋" w:hAnsi="仿宋" w:eastAsia="仿宋" w:cs="仿宋"/>
              </w:rPr>
            </w:pPr>
          </w:p>
        </w:tc>
        <w:tc>
          <w:tcPr>
            <w:tcW w:w="1383" w:type="dxa"/>
            <w:vAlign w:val="center"/>
          </w:tcPr>
          <w:p>
            <w:pPr>
              <w:jc w:val="center"/>
              <w:rPr>
                <w:rFonts w:ascii="仿宋" w:hAnsi="仿宋" w:eastAsia="仿宋" w:cs="仿宋"/>
                <w:sz w:val="18"/>
                <w:szCs w:val="18"/>
              </w:rPr>
            </w:pPr>
            <w:r>
              <w:rPr>
                <w:rFonts w:hint="eastAsia" w:ascii="仿宋" w:hAnsi="仿宋" w:eastAsia="仿宋" w:cs="仿宋"/>
                <w:sz w:val="18"/>
                <w:szCs w:val="18"/>
              </w:rPr>
              <w:t>起点埋深</w:t>
            </w:r>
          </w:p>
        </w:tc>
        <w:tc>
          <w:tcPr>
            <w:tcW w:w="1393" w:type="dxa"/>
            <w:vAlign w:val="center"/>
          </w:tcPr>
          <w:p>
            <w:pPr>
              <w:jc w:val="center"/>
              <w:rPr>
                <w:rFonts w:ascii="仿宋" w:hAnsi="仿宋" w:eastAsia="仿宋" w:cs="仿宋"/>
                <w:sz w:val="18"/>
                <w:szCs w:val="18"/>
              </w:rPr>
            </w:pPr>
            <w:r>
              <w:rPr>
                <w:rFonts w:hint="eastAsia" w:ascii="仿宋" w:hAnsi="仿宋" w:eastAsia="仿宋" w:cs="仿宋"/>
                <w:sz w:val="18"/>
                <w:szCs w:val="18"/>
              </w:rPr>
              <w:t>S_Deep</w:t>
            </w:r>
          </w:p>
        </w:tc>
        <w:tc>
          <w:tcPr>
            <w:tcW w:w="1265" w:type="dxa"/>
            <w:vAlign w:val="center"/>
          </w:tcPr>
          <w:p>
            <w:pPr>
              <w:jc w:val="center"/>
              <w:rPr>
                <w:rFonts w:ascii="仿宋" w:hAnsi="仿宋" w:eastAsia="仿宋" w:cs="仿宋"/>
                <w:sz w:val="18"/>
                <w:szCs w:val="18"/>
              </w:rPr>
            </w:pPr>
            <w:r>
              <w:rPr>
                <w:rFonts w:hint="eastAsia" w:ascii="仿宋" w:hAnsi="仿宋" w:eastAsia="仿宋" w:cs="仿宋"/>
                <w:sz w:val="18"/>
                <w:szCs w:val="18"/>
              </w:rPr>
              <w:t>双精度</w:t>
            </w:r>
          </w:p>
        </w:tc>
        <w:tc>
          <w:tcPr>
            <w:tcW w:w="1056"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939" w:type="dxa"/>
            <w:vAlign w:val="center"/>
          </w:tcPr>
          <w:p>
            <w:pPr>
              <w:jc w:val="center"/>
              <w:rPr>
                <w:rFonts w:ascii="仿宋" w:hAnsi="仿宋" w:eastAsia="仿宋" w:cs="仿宋"/>
                <w:sz w:val="18"/>
                <w:szCs w:val="18"/>
              </w:rPr>
            </w:pPr>
            <w:r>
              <w:rPr>
                <w:rFonts w:hint="eastAsia" w:ascii="仿宋" w:hAnsi="仿宋" w:eastAsia="仿宋" w:cs="仿宋"/>
                <w:sz w:val="18"/>
                <w:szCs w:val="18"/>
              </w:rPr>
              <w:t>2</w:t>
            </w:r>
          </w:p>
        </w:tc>
        <w:tc>
          <w:tcPr>
            <w:tcW w:w="1329" w:type="dxa"/>
            <w:vAlign w:val="center"/>
          </w:tcPr>
          <w:p>
            <w:pPr>
              <w:jc w:val="center"/>
              <w:rPr>
                <w:rFonts w:ascii="仿宋" w:hAnsi="仿宋" w:eastAsia="仿宋" w:cs="仿宋"/>
                <w:sz w:val="18"/>
                <w:szCs w:val="18"/>
              </w:rPr>
            </w:pPr>
          </w:p>
        </w:tc>
        <w:tc>
          <w:tcPr>
            <w:tcW w:w="2268" w:type="dxa"/>
            <w:vAlign w:val="center"/>
          </w:tcPr>
          <w:p>
            <w:pPr>
              <w:jc w:val="center"/>
              <w:rPr>
                <w:rFonts w:ascii="仿宋" w:hAnsi="仿宋" w:eastAsia="仿宋" w:cs="仿宋"/>
                <w:kern w:val="0"/>
                <w:szCs w:val="21"/>
              </w:rPr>
            </w:pPr>
            <w:r>
              <w:rPr>
                <w:rFonts w:hint="eastAsia" w:ascii="仿宋" w:hAnsi="仿宋" w:eastAsia="仿宋" w:cs="仿宋"/>
                <w:kern w:val="0"/>
                <w:szCs w:val="21"/>
              </w:rPr>
              <w:t>▲</w:t>
            </w:r>
          </w:p>
        </w:tc>
        <w:tc>
          <w:tcPr>
            <w:tcW w:w="3484"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pStyle w:val="80"/>
              <w:numPr>
                <w:ilvl w:val="0"/>
                <w:numId w:val="56"/>
              </w:numPr>
              <w:spacing w:line="360" w:lineRule="auto"/>
              <w:ind w:firstLineChars="0"/>
              <w:jc w:val="left"/>
              <w:rPr>
                <w:rFonts w:ascii="仿宋" w:hAnsi="仿宋" w:eastAsia="仿宋" w:cs="仿宋"/>
              </w:rPr>
            </w:pPr>
          </w:p>
        </w:tc>
        <w:tc>
          <w:tcPr>
            <w:tcW w:w="1383" w:type="dxa"/>
            <w:vAlign w:val="center"/>
          </w:tcPr>
          <w:p>
            <w:pPr>
              <w:jc w:val="center"/>
              <w:rPr>
                <w:rFonts w:ascii="仿宋" w:hAnsi="仿宋" w:eastAsia="仿宋" w:cs="仿宋"/>
                <w:sz w:val="18"/>
                <w:szCs w:val="18"/>
              </w:rPr>
            </w:pPr>
            <w:r>
              <w:rPr>
                <w:rFonts w:hint="eastAsia" w:ascii="仿宋" w:hAnsi="仿宋" w:eastAsia="仿宋" w:cs="仿宋"/>
                <w:sz w:val="18"/>
                <w:szCs w:val="18"/>
              </w:rPr>
              <w:t>终点点号</w:t>
            </w:r>
          </w:p>
        </w:tc>
        <w:tc>
          <w:tcPr>
            <w:tcW w:w="1393" w:type="dxa"/>
            <w:vAlign w:val="center"/>
          </w:tcPr>
          <w:p>
            <w:pPr>
              <w:jc w:val="center"/>
              <w:rPr>
                <w:rFonts w:ascii="仿宋" w:hAnsi="仿宋" w:eastAsia="仿宋" w:cs="仿宋"/>
                <w:sz w:val="18"/>
                <w:szCs w:val="18"/>
              </w:rPr>
            </w:pPr>
            <w:r>
              <w:rPr>
                <w:rFonts w:hint="eastAsia" w:ascii="仿宋" w:hAnsi="仿宋" w:eastAsia="仿宋" w:cs="仿宋"/>
                <w:sz w:val="18"/>
                <w:szCs w:val="18"/>
              </w:rPr>
              <w:t>E_Exp</w:t>
            </w:r>
          </w:p>
        </w:tc>
        <w:tc>
          <w:tcPr>
            <w:tcW w:w="1265"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056" w:type="dxa"/>
            <w:vAlign w:val="center"/>
          </w:tcPr>
          <w:p>
            <w:pPr>
              <w:jc w:val="center"/>
              <w:rPr>
                <w:rFonts w:ascii="仿宋" w:hAnsi="仿宋" w:eastAsia="仿宋" w:cs="仿宋"/>
                <w:sz w:val="18"/>
                <w:szCs w:val="18"/>
              </w:rPr>
            </w:pPr>
            <w:r>
              <w:rPr>
                <w:rFonts w:hint="eastAsia" w:ascii="仿宋" w:hAnsi="仿宋" w:eastAsia="仿宋" w:cs="仿宋"/>
                <w:sz w:val="18"/>
                <w:szCs w:val="18"/>
              </w:rPr>
              <w:t>25</w:t>
            </w:r>
          </w:p>
        </w:tc>
        <w:tc>
          <w:tcPr>
            <w:tcW w:w="939" w:type="dxa"/>
            <w:vAlign w:val="center"/>
          </w:tcPr>
          <w:p>
            <w:pPr>
              <w:jc w:val="center"/>
              <w:rPr>
                <w:rFonts w:ascii="仿宋" w:hAnsi="仿宋" w:eastAsia="仿宋" w:cs="仿宋"/>
                <w:sz w:val="18"/>
                <w:szCs w:val="18"/>
              </w:rPr>
            </w:pPr>
          </w:p>
        </w:tc>
        <w:tc>
          <w:tcPr>
            <w:tcW w:w="1329" w:type="dxa"/>
            <w:vAlign w:val="center"/>
          </w:tcPr>
          <w:p>
            <w:pPr>
              <w:jc w:val="center"/>
              <w:rPr>
                <w:rFonts w:ascii="仿宋" w:hAnsi="仿宋" w:eastAsia="仿宋" w:cs="仿宋"/>
                <w:sz w:val="18"/>
                <w:szCs w:val="18"/>
              </w:rPr>
            </w:pPr>
          </w:p>
        </w:tc>
        <w:tc>
          <w:tcPr>
            <w:tcW w:w="2268" w:type="dxa"/>
            <w:vAlign w:val="center"/>
          </w:tcPr>
          <w:p>
            <w:pPr>
              <w:jc w:val="center"/>
              <w:rPr>
                <w:rFonts w:ascii="仿宋" w:hAnsi="仿宋" w:eastAsia="仿宋" w:cs="仿宋"/>
              </w:rPr>
            </w:pPr>
            <w:r>
              <w:rPr>
                <w:rFonts w:hint="eastAsia" w:ascii="仿宋" w:hAnsi="仿宋" w:eastAsia="仿宋" w:cs="仿宋"/>
                <w:kern w:val="0"/>
                <w:szCs w:val="21"/>
              </w:rPr>
              <w:t>▲</w:t>
            </w:r>
          </w:p>
        </w:tc>
        <w:tc>
          <w:tcPr>
            <w:tcW w:w="3484" w:type="dxa"/>
            <w:vAlign w:val="center"/>
          </w:tcPr>
          <w:p>
            <w:pPr>
              <w:jc w:val="center"/>
              <w:rPr>
                <w:rFonts w:ascii="仿宋" w:hAnsi="仿宋" w:eastAsia="仿宋" w:cs="仿宋"/>
                <w:sz w:val="18"/>
                <w:szCs w:val="18"/>
              </w:rPr>
            </w:pPr>
            <w:r>
              <w:rPr>
                <w:rFonts w:hint="eastAsia" w:ascii="仿宋" w:hAnsi="仿宋" w:eastAsia="仿宋" w:cs="仿宋"/>
                <w:sz w:val="18"/>
                <w:szCs w:val="18"/>
              </w:rPr>
              <w:t>管线段的终点编号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pStyle w:val="80"/>
              <w:numPr>
                <w:ilvl w:val="0"/>
                <w:numId w:val="56"/>
              </w:numPr>
              <w:spacing w:line="360" w:lineRule="auto"/>
              <w:ind w:firstLineChars="0"/>
              <w:jc w:val="left"/>
              <w:rPr>
                <w:rFonts w:ascii="仿宋" w:hAnsi="仿宋" w:eastAsia="仿宋" w:cs="仿宋"/>
              </w:rPr>
            </w:pPr>
          </w:p>
        </w:tc>
        <w:tc>
          <w:tcPr>
            <w:tcW w:w="1383" w:type="dxa"/>
            <w:vAlign w:val="center"/>
          </w:tcPr>
          <w:p>
            <w:pPr>
              <w:jc w:val="center"/>
              <w:rPr>
                <w:rFonts w:ascii="仿宋" w:hAnsi="仿宋" w:eastAsia="仿宋" w:cs="仿宋"/>
                <w:sz w:val="18"/>
                <w:szCs w:val="18"/>
              </w:rPr>
            </w:pPr>
            <w:r>
              <w:rPr>
                <w:rFonts w:hint="eastAsia" w:ascii="仿宋" w:hAnsi="仿宋" w:eastAsia="仿宋" w:cs="仿宋"/>
                <w:sz w:val="18"/>
                <w:szCs w:val="18"/>
              </w:rPr>
              <w:t>终点X坐标</w:t>
            </w:r>
          </w:p>
        </w:tc>
        <w:tc>
          <w:tcPr>
            <w:tcW w:w="1393" w:type="dxa"/>
            <w:vAlign w:val="center"/>
          </w:tcPr>
          <w:p>
            <w:pPr>
              <w:jc w:val="center"/>
              <w:rPr>
                <w:rFonts w:ascii="仿宋" w:hAnsi="仿宋" w:eastAsia="仿宋" w:cs="仿宋"/>
                <w:sz w:val="18"/>
                <w:szCs w:val="18"/>
              </w:rPr>
            </w:pPr>
            <w:r>
              <w:rPr>
                <w:rFonts w:hint="eastAsia" w:ascii="仿宋" w:hAnsi="仿宋" w:eastAsia="仿宋" w:cs="仿宋"/>
                <w:sz w:val="18"/>
                <w:szCs w:val="18"/>
              </w:rPr>
              <w:t>E_X</w:t>
            </w:r>
          </w:p>
        </w:tc>
        <w:tc>
          <w:tcPr>
            <w:tcW w:w="1265" w:type="dxa"/>
            <w:vAlign w:val="center"/>
          </w:tcPr>
          <w:p>
            <w:pPr>
              <w:jc w:val="center"/>
              <w:rPr>
                <w:rFonts w:ascii="仿宋" w:hAnsi="仿宋" w:eastAsia="仿宋" w:cs="仿宋"/>
                <w:sz w:val="18"/>
                <w:szCs w:val="18"/>
              </w:rPr>
            </w:pPr>
            <w:r>
              <w:rPr>
                <w:rFonts w:hint="eastAsia" w:ascii="仿宋" w:hAnsi="仿宋" w:eastAsia="仿宋" w:cs="仿宋"/>
                <w:sz w:val="18"/>
                <w:szCs w:val="18"/>
              </w:rPr>
              <w:t>双精度</w:t>
            </w:r>
          </w:p>
        </w:tc>
        <w:tc>
          <w:tcPr>
            <w:tcW w:w="1056"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939" w:type="dxa"/>
            <w:vAlign w:val="center"/>
          </w:tcPr>
          <w:p>
            <w:pPr>
              <w:jc w:val="center"/>
              <w:rPr>
                <w:rFonts w:ascii="仿宋" w:hAnsi="仿宋" w:eastAsia="仿宋" w:cs="仿宋"/>
                <w:sz w:val="18"/>
                <w:szCs w:val="18"/>
              </w:rPr>
            </w:pPr>
            <w:r>
              <w:rPr>
                <w:rFonts w:hint="eastAsia" w:ascii="仿宋" w:hAnsi="仿宋" w:eastAsia="仿宋" w:cs="仿宋"/>
                <w:sz w:val="18"/>
                <w:szCs w:val="18"/>
              </w:rPr>
              <w:t>3</w:t>
            </w:r>
          </w:p>
        </w:tc>
        <w:tc>
          <w:tcPr>
            <w:tcW w:w="1329" w:type="dxa"/>
            <w:vAlign w:val="center"/>
          </w:tcPr>
          <w:p>
            <w:pPr>
              <w:jc w:val="center"/>
              <w:rPr>
                <w:rFonts w:ascii="仿宋" w:hAnsi="仿宋" w:eastAsia="仿宋" w:cs="仿宋"/>
                <w:sz w:val="18"/>
                <w:szCs w:val="18"/>
              </w:rPr>
            </w:pPr>
          </w:p>
        </w:tc>
        <w:tc>
          <w:tcPr>
            <w:tcW w:w="2268" w:type="dxa"/>
            <w:vAlign w:val="center"/>
          </w:tcPr>
          <w:p>
            <w:pPr>
              <w:jc w:val="center"/>
              <w:rPr>
                <w:rFonts w:ascii="仿宋" w:hAnsi="仿宋" w:eastAsia="仿宋" w:cs="仿宋"/>
              </w:rPr>
            </w:pPr>
            <w:r>
              <w:rPr>
                <w:rFonts w:hint="eastAsia" w:ascii="仿宋" w:hAnsi="仿宋" w:eastAsia="仿宋" w:cs="仿宋"/>
                <w:kern w:val="0"/>
                <w:szCs w:val="21"/>
              </w:rPr>
              <w:t>▲</w:t>
            </w:r>
          </w:p>
        </w:tc>
        <w:tc>
          <w:tcPr>
            <w:tcW w:w="3484" w:type="dxa"/>
            <w:vAlign w:val="center"/>
          </w:tcPr>
          <w:p>
            <w:pPr>
              <w:jc w:val="center"/>
              <w:rPr>
                <w:rFonts w:ascii="仿宋" w:hAnsi="仿宋" w:eastAsia="仿宋" w:cs="仿宋"/>
                <w:sz w:val="18"/>
                <w:szCs w:val="18"/>
              </w:rPr>
            </w:pPr>
            <w:r>
              <w:rPr>
                <w:rFonts w:hint="eastAsia" w:ascii="仿宋" w:hAnsi="仿宋" w:eastAsia="仿宋" w:cs="仿宋"/>
                <w:sz w:val="18"/>
                <w:szCs w:val="18"/>
              </w:rPr>
              <w:t>单位：米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pStyle w:val="80"/>
              <w:numPr>
                <w:ilvl w:val="0"/>
                <w:numId w:val="56"/>
              </w:numPr>
              <w:spacing w:line="360" w:lineRule="auto"/>
              <w:ind w:firstLineChars="0"/>
              <w:jc w:val="left"/>
              <w:rPr>
                <w:rFonts w:ascii="仿宋" w:hAnsi="仿宋" w:eastAsia="仿宋" w:cs="仿宋"/>
              </w:rPr>
            </w:pPr>
          </w:p>
        </w:tc>
        <w:tc>
          <w:tcPr>
            <w:tcW w:w="1383" w:type="dxa"/>
            <w:vAlign w:val="center"/>
          </w:tcPr>
          <w:p>
            <w:pPr>
              <w:jc w:val="center"/>
              <w:rPr>
                <w:rFonts w:ascii="仿宋" w:hAnsi="仿宋" w:eastAsia="仿宋" w:cs="仿宋"/>
                <w:sz w:val="18"/>
                <w:szCs w:val="18"/>
              </w:rPr>
            </w:pPr>
            <w:r>
              <w:rPr>
                <w:rFonts w:hint="eastAsia" w:ascii="仿宋" w:hAnsi="仿宋" w:eastAsia="仿宋" w:cs="仿宋"/>
                <w:sz w:val="18"/>
                <w:szCs w:val="18"/>
              </w:rPr>
              <w:t>终点Y坐标</w:t>
            </w:r>
          </w:p>
        </w:tc>
        <w:tc>
          <w:tcPr>
            <w:tcW w:w="1393" w:type="dxa"/>
            <w:vAlign w:val="center"/>
          </w:tcPr>
          <w:p>
            <w:pPr>
              <w:jc w:val="center"/>
              <w:rPr>
                <w:rFonts w:ascii="仿宋" w:hAnsi="仿宋" w:eastAsia="仿宋" w:cs="仿宋"/>
                <w:sz w:val="18"/>
                <w:szCs w:val="18"/>
              </w:rPr>
            </w:pPr>
            <w:r>
              <w:rPr>
                <w:rFonts w:hint="eastAsia" w:ascii="仿宋" w:hAnsi="仿宋" w:eastAsia="仿宋" w:cs="仿宋"/>
                <w:sz w:val="18"/>
                <w:szCs w:val="18"/>
              </w:rPr>
              <w:t>E_Y</w:t>
            </w:r>
          </w:p>
        </w:tc>
        <w:tc>
          <w:tcPr>
            <w:tcW w:w="1265" w:type="dxa"/>
            <w:vAlign w:val="center"/>
          </w:tcPr>
          <w:p>
            <w:pPr>
              <w:jc w:val="center"/>
              <w:rPr>
                <w:rFonts w:ascii="仿宋" w:hAnsi="仿宋" w:eastAsia="仿宋" w:cs="仿宋"/>
                <w:sz w:val="18"/>
                <w:szCs w:val="18"/>
              </w:rPr>
            </w:pPr>
            <w:r>
              <w:rPr>
                <w:rFonts w:hint="eastAsia" w:ascii="仿宋" w:hAnsi="仿宋" w:eastAsia="仿宋" w:cs="仿宋"/>
                <w:sz w:val="18"/>
                <w:szCs w:val="18"/>
              </w:rPr>
              <w:t>双精度</w:t>
            </w:r>
          </w:p>
        </w:tc>
        <w:tc>
          <w:tcPr>
            <w:tcW w:w="1056"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939" w:type="dxa"/>
            <w:vAlign w:val="center"/>
          </w:tcPr>
          <w:p>
            <w:pPr>
              <w:jc w:val="center"/>
              <w:rPr>
                <w:rFonts w:ascii="仿宋" w:hAnsi="仿宋" w:eastAsia="仿宋" w:cs="仿宋"/>
                <w:sz w:val="18"/>
                <w:szCs w:val="18"/>
              </w:rPr>
            </w:pPr>
            <w:r>
              <w:rPr>
                <w:rFonts w:hint="eastAsia" w:ascii="仿宋" w:hAnsi="仿宋" w:eastAsia="仿宋" w:cs="仿宋"/>
                <w:sz w:val="18"/>
                <w:szCs w:val="18"/>
              </w:rPr>
              <w:t>3</w:t>
            </w:r>
          </w:p>
        </w:tc>
        <w:tc>
          <w:tcPr>
            <w:tcW w:w="1329" w:type="dxa"/>
            <w:vAlign w:val="center"/>
          </w:tcPr>
          <w:p>
            <w:pPr>
              <w:jc w:val="center"/>
              <w:rPr>
                <w:rFonts w:ascii="仿宋" w:hAnsi="仿宋" w:eastAsia="仿宋" w:cs="仿宋"/>
                <w:sz w:val="18"/>
                <w:szCs w:val="18"/>
              </w:rPr>
            </w:pPr>
          </w:p>
        </w:tc>
        <w:tc>
          <w:tcPr>
            <w:tcW w:w="2268" w:type="dxa"/>
            <w:vAlign w:val="center"/>
          </w:tcPr>
          <w:p>
            <w:pPr>
              <w:jc w:val="center"/>
              <w:rPr>
                <w:rFonts w:ascii="仿宋" w:hAnsi="仿宋" w:eastAsia="仿宋" w:cs="仿宋"/>
              </w:rPr>
            </w:pPr>
            <w:r>
              <w:rPr>
                <w:rFonts w:hint="eastAsia" w:ascii="仿宋" w:hAnsi="仿宋" w:eastAsia="仿宋" w:cs="仿宋"/>
                <w:kern w:val="0"/>
                <w:szCs w:val="21"/>
              </w:rPr>
              <w:t>▲</w:t>
            </w:r>
          </w:p>
        </w:tc>
        <w:tc>
          <w:tcPr>
            <w:tcW w:w="3484" w:type="dxa"/>
            <w:vAlign w:val="center"/>
          </w:tcPr>
          <w:p>
            <w:pPr>
              <w:jc w:val="center"/>
              <w:rPr>
                <w:rFonts w:ascii="仿宋" w:hAnsi="仿宋" w:eastAsia="仿宋" w:cs="仿宋"/>
                <w:sz w:val="18"/>
                <w:szCs w:val="18"/>
              </w:rPr>
            </w:pPr>
            <w:r>
              <w:rPr>
                <w:rFonts w:hint="eastAsia" w:ascii="仿宋" w:hAnsi="仿宋" w:eastAsia="仿宋" w:cs="仿宋"/>
                <w:sz w:val="18"/>
                <w:szCs w:val="18"/>
              </w:rPr>
              <w:t>单位：米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pStyle w:val="80"/>
              <w:numPr>
                <w:ilvl w:val="0"/>
                <w:numId w:val="56"/>
              </w:numPr>
              <w:spacing w:line="360" w:lineRule="auto"/>
              <w:ind w:firstLineChars="0"/>
              <w:jc w:val="left"/>
              <w:rPr>
                <w:rFonts w:ascii="仿宋" w:hAnsi="仿宋" w:eastAsia="仿宋" w:cs="仿宋"/>
              </w:rPr>
            </w:pPr>
          </w:p>
        </w:tc>
        <w:tc>
          <w:tcPr>
            <w:tcW w:w="1383" w:type="dxa"/>
            <w:vAlign w:val="center"/>
          </w:tcPr>
          <w:p>
            <w:pPr>
              <w:jc w:val="center"/>
              <w:rPr>
                <w:rFonts w:ascii="仿宋" w:hAnsi="仿宋" w:eastAsia="仿宋" w:cs="仿宋"/>
                <w:sz w:val="18"/>
                <w:szCs w:val="18"/>
              </w:rPr>
            </w:pPr>
            <w:r>
              <w:rPr>
                <w:rFonts w:hint="eastAsia" w:ascii="仿宋" w:hAnsi="仿宋" w:eastAsia="仿宋" w:cs="仿宋"/>
                <w:sz w:val="18"/>
                <w:szCs w:val="18"/>
              </w:rPr>
              <w:t>终点高程</w:t>
            </w:r>
          </w:p>
        </w:tc>
        <w:tc>
          <w:tcPr>
            <w:tcW w:w="1393" w:type="dxa"/>
            <w:vAlign w:val="center"/>
          </w:tcPr>
          <w:p>
            <w:pPr>
              <w:jc w:val="center"/>
              <w:rPr>
                <w:rFonts w:ascii="仿宋" w:hAnsi="仿宋" w:eastAsia="仿宋" w:cs="仿宋"/>
                <w:sz w:val="18"/>
                <w:szCs w:val="18"/>
              </w:rPr>
            </w:pPr>
            <w:r>
              <w:rPr>
                <w:rFonts w:hint="eastAsia" w:ascii="仿宋" w:hAnsi="仿宋" w:eastAsia="仿宋" w:cs="仿宋"/>
                <w:sz w:val="18"/>
                <w:szCs w:val="18"/>
              </w:rPr>
              <w:t>E_High</w:t>
            </w:r>
          </w:p>
        </w:tc>
        <w:tc>
          <w:tcPr>
            <w:tcW w:w="1265" w:type="dxa"/>
            <w:vAlign w:val="center"/>
          </w:tcPr>
          <w:p>
            <w:pPr>
              <w:jc w:val="center"/>
              <w:rPr>
                <w:rFonts w:ascii="仿宋" w:hAnsi="仿宋" w:eastAsia="仿宋" w:cs="仿宋"/>
                <w:szCs w:val="22"/>
              </w:rPr>
            </w:pPr>
            <w:r>
              <w:rPr>
                <w:rFonts w:hint="eastAsia" w:ascii="仿宋" w:hAnsi="仿宋" w:eastAsia="仿宋" w:cs="仿宋"/>
                <w:sz w:val="18"/>
                <w:szCs w:val="18"/>
              </w:rPr>
              <w:t>双精度</w:t>
            </w:r>
          </w:p>
        </w:tc>
        <w:tc>
          <w:tcPr>
            <w:tcW w:w="1056"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939" w:type="dxa"/>
            <w:vAlign w:val="center"/>
          </w:tcPr>
          <w:p>
            <w:pPr>
              <w:jc w:val="center"/>
              <w:rPr>
                <w:rFonts w:ascii="仿宋" w:hAnsi="仿宋" w:eastAsia="仿宋" w:cs="仿宋"/>
                <w:sz w:val="18"/>
                <w:szCs w:val="18"/>
              </w:rPr>
            </w:pPr>
            <w:r>
              <w:rPr>
                <w:rFonts w:hint="eastAsia" w:ascii="仿宋" w:hAnsi="仿宋" w:eastAsia="仿宋" w:cs="仿宋"/>
                <w:sz w:val="18"/>
                <w:szCs w:val="18"/>
              </w:rPr>
              <w:t>2</w:t>
            </w:r>
          </w:p>
        </w:tc>
        <w:tc>
          <w:tcPr>
            <w:tcW w:w="1329" w:type="dxa"/>
            <w:vAlign w:val="center"/>
          </w:tcPr>
          <w:p>
            <w:pPr>
              <w:jc w:val="center"/>
              <w:rPr>
                <w:rFonts w:ascii="仿宋" w:hAnsi="仿宋" w:eastAsia="仿宋" w:cs="仿宋"/>
                <w:sz w:val="18"/>
                <w:szCs w:val="18"/>
              </w:rPr>
            </w:pPr>
          </w:p>
        </w:tc>
        <w:tc>
          <w:tcPr>
            <w:tcW w:w="2268" w:type="dxa"/>
            <w:vAlign w:val="center"/>
          </w:tcPr>
          <w:p>
            <w:pPr>
              <w:jc w:val="center"/>
              <w:rPr>
                <w:rFonts w:ascii="仿宋" w:hAnsi="仿宋" w:eastAsia="仿宋" w:cs="仿宋"/>
              </w:rPr>
            </w:pPr>
            <w:r>
              <w:rPr>
                <w:rFonts w:hint="eastAsia" w:ascii="仿宋" w:hAnsi="仿宋" w:eastAsia="仿宋" w:cs="仿宋"/>
                <w:kern w:val="0"/>
                <w:szCs w:val="21"/>
              </w:rPr>
              <w:t>▲</w:t>
            </w:r>
          </w:p>
        </w:tc>
        <w:tc>
          <w:tcPr>
            <w:tcW w:w="3484" w:type="dxa"/>
            <w:vAlign w:val="center"/>
          </w:tcPr>
          <w:p>
            <w:pPr>
              <w:jc w:val="center"/>
              <w:rPr>
                <w:rFonts w:ascii="仿宋" w:hAnsi="仿宋" w:eastAsia="仿宋" w:cs="仿宋"/>
                <w:sz w:val="18"/>
                <w:szCs w:val="18"/>
              </w:rPr>
            </w:pPr>
            <w:r>
              <w:rPr>
                <w:rFonts w:hint="eastAsia" w:ascii="仿宋" w:hAnsi="仿宋" w:eastAsia="仿宋" w:cs="仿宋"/>
                <w:sz w:val="18"/>
                <w:szCs w:val="18"/>
              </w:rPr>
              <w:t>单位：米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pStyle w:val="80"/>
              <w:numPr>
                <w:ilvl w:val="0"/>
                <w:numId w:val="56"/>
              </w:numPr>
              <w:spacing w:line="360" w:lineRule="auto"/>
              <w:ind w:firstLineChars="0"/>
              <w:jc w:val="left"/>
              <w:rPr>
                <w:rFonts w:ascii="仿宋" w:hAnsi="仿宋" w:eastAsia="仿宋" w:cs="仿宋"/>
              </w:rPr>
            </w:pPr>
          </w:p>
        </w:tc>
        <w:tc>
          <w:tcPr>
            <w:tcW w:w="1383" w:type="dxa"/>
            <w:vAlign w:val="center"/>
          </w:tcPr>
          <w:p>
            <w:pPr>
              <w:jc w:val="center"/>
              <w:rPr>
                <w:rFonts w:ascii="仿宋" w:hAnsi="仿宋" w:eastAsia="仿宋" w:cs="仿宋"/>
                <w:sz w:val="18"/>
                <w:szCs w:val="18"/>
              </w:rPr>
            </w:pPr>
            <w:r>
              <w:rPr>
                <w:rFonts w:hint="eastAsia" w:ascii="仿宋" w:hAnsi="仿宋" w:eastAsia="仿宋" w:cs="仿宋"/>
                <w:sz w:val="18"/>
                <w:szCs w:val="18"/>
              </w:rPr>
              <w:t>终点埋深</w:t>
            </w:r>
          </w:p>
        </w:tc>
        <w:tc>
          <w:tcPr>
            <w:tcW w:w="1393" w:type="dxa"/>
            <w:vAlign w:val="center"/>
          </w:tcPr>
          <w:p>
            <w:pPr>
              <w:jc w:val="center"/>
              <w:rPr>
                <w:rFonts w:ascii="仿宋" w:hAnsi="仿宋" w:eastAsia="仿宋" w:cs="仿宋"/>
                <w:sz w:val="18"/>
                <w:szCs w:val="18"/>
              </w:rPr>
            </w:pPr>
            <w:r>
              <w:rPr>
                <w:rFonts w:hint="eastAsia" w:ascii="仿宋" w:hAnsi="仿宋" w:eastAsia="仿宋" w:cs="仿宋"/>
                <w:sz w:val="18"/>
                <w:szCs w:val="18"/>
              </w:rPr>
              <w:t>E_Deep</w:t>
            </w:r>
          </w:p>
        </w:tc>
        <w:tc>
          <w:tcPr>
            <w:tcW w:w="1265" w:type="dxa"/>
            <w:vAlign w:val="center"/>
          </w:tcPr>
          <w:p>
            <w:pPr>
              <w:jc w:val="center"/>
              <w:rPr>
                <w:rFonts w:ascii="仿宋" w:hAnsi="仿宋" w:eastAsia="仿宋" w:cs="仿宋"/>
                <w:sz w:val="18"/>
                <w:szCs w:val="18"/>
              </w:rPr>
            </w:pPr>
            <w:r>
              <w:rPr>
                <w:rFonts w:hint="eastAsia" w:ascii="仿宋" w:hAnsi="仿宋" w:eastAsia="仿宋" w:cs="仿宋"/>
                <w:sz w:val="18"/>
                <w:szCs w:val="18"/>
              </w:rPr>
              <w:t>双精度</w:t>
            </w:r>
          </w:p>
        </w:tc>
        <w:tc>
          <w:tcPr>
            <w:tcW w:w="1056"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939" w:type="dxa"/>
            <w:vAlign w:val="center"/>
          </w:tcPr>
          <w:p>
            <w:pPr>
              <w:jc w:val="center"/>
              <w:rPr>
                <w:rFonts w:ascii="仿宋" w:hAnsi="仿宋" w:eastAsia="仿宋" w:cs="仿宋"/>
                <w:sz w:val="18"/>
                <w:szCs w:val="18"/>
              </w:rPr>
            </w:pPr>
            <w:r>
              <w:rPr>
                <w:rFonts w:hint="eastAsia" w:ascii="仿宋" w:hAnsi="仿宋" w:eastAsia="仿宋" w:cs="仿宋"/>
                <w:sz w:val="18"/>
                <w:szCs w:val="18"/>
              </w:rPr>
              <w:t>2</w:t>
            </w:r>
          </w:p>
        </w:tc>
        <w:tc>
          <w:tcPr>
            <w:tcW w:w="1329" w:type="dxa"/>
            <w:vAlign w:val="center"/>
          </w:tcPr>
          <w:p>
            <w:pPr>
              <w:jc w:val="center"/>
              <w:rPr>
                <w:rFonts w:ascii="仿宋" w:hAnsi="仿宋" w:eastAsia="仿宋" w:cs="仿宋"/>
                <w:sz w:val="18"/>
                <w:szCs w:val="18"/>
              </w:rPr>
            </w:pPr>
          </w:p>
        </w:tc>
        <w:tc>
          <w:tcPr>
            <w:tcW w:w="2268" w:type="dxa"/>
            <w:vAlign w:val="center"/>
          </w:tcPr>
          <w:p>
            <w:pPr>
              <w:jc w:val="center"/>
              <w:rPr>
                <w:rFonts w:ascii="仿宋" w:hAnsi="仿宋" w:eastAsia="仿宋" w:cs="仿宋"/>
                <w:kern w:val="0"/>
                <w:szCs w:val="21"/>
              </w:rPr>
            </w:pPr>
            <w:r>
              <w:rPr>
                <w:rFonts w:hint="eastAsia" w:ascii="仿宋" w:hAnsi="仿宋" w:eastAsia="仿宋" w:cs="仿宋"/>
                <w:kern w:val="0"/>
                <w:szCs w:val="21"/>
              </w:rPr>
              <w:t>▲</w:t>
            </w:r>
          </w:p>
        </w:tc>
        <w:tc>
          <w:tcPr>
            <w:tcW w:w="3484"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pStyle w:val="80"/>
              <w:numPr>
                <w:ilvl w:val="0"/>
                <w:numId w:val="56"/>
              </w:numPr>
              <w:spacing w:line="360" w:lineRule="auto"/>
              <w:ind w:firstLineChars="0"/>
              <w:jc w:val="left"/>
              <w:rPr>
                <w:rFonts w:ascii="仿宋" w:hAnsi="仿宋" w:eastAsia="仿宋" w:cs="仿宋"/>
              </w:rPr>
            </w:pPr>
          </w:p>
        </w:tc>
        <w:tc>
          <w:tcPr>
            <w:tcW w:w="1383" w:type="dxa"/>
            <w:vAlign w:val="center"/>
          </w:tcPr>
          <w:p>
            <w:pPr>
              <w:jc w:val="center"/>
              <w:rPr>
                <w:rFonts w:ascii="仿宋" w:hAnsi="仿宋" w:eastAsia="仿宋" w:cs="仿宋"/>
                <w:sz w:val="18"/>
                <w:szCs w:val="18"/>
              </w:rPr>
            </w:pPr>
            <w:r>
              <w:rPr>
                <w:rFonts w:hint="eastAsia" w:ascii="仿宋" w:hAnsi="仿宋" w:eastAsia="仿宋" w:cs="仿宋"/>
                <w:sz w:val="18"/>
                <w:szCs w:val="18"/>
              </w:rPr>
              <w:t>要素代码</w:t>
            </w:r>
          </w:p>
        </w:tc>
        <w:tc>
          <w:tcPr>
            <w:tcW w:w="1393" w:type="dxa"/>
            <w:vAlign w:val="center"/>
          </w:tcPr>
          <w:p>
            <w:pPr>
              <w:jc w:val="center"/>
              <w:rPr>
                <w:rFonts w:ascii="仿宋" w:hAnsi="仿宋" w:eastAsia="仿宋" w:cs="仿宋"/>
                <w:sz w:val="18"/>
                <w:szCs w:val="18"/>
              </w:rPr>
            </w:pPr>
            <w:r>
              <w:rPr>
                <w:rFonts w:hint="eastAsia" w:ascii="仿宋" w:hAnsi="仿宋" w:eastAsia="仿宋" w:cs="仿宋"/>
                <w:sz w:val="18"/>
                <w:szCs w:val="18"/>
              </w:rPr>
              <w:t>Code</w:t>
            </w:r>
          </w:p>
        </w:tc>
        <w:tc>
          <w:tcPr>
            <w:tcW w:w="1265" w:type="dxa"/>
            <w:vAlign w:val="center"/>
          </w:tcPr>
          <w:p>
            <w:pPr>
              <w:jc w:val="center"/>
              <w:rPr>
                <w:rFonts w:ascii="仿宋" w:hAnsi="仿宋" w:eastAsia="仿宋" w:cs="仿宋"/>
                <w:szCs w:val="22"/>
              </w:rPr>
            </w:pPr>
            <w:r>
              <w:rPr>
                <w:rFonts w:hint="eastAsia" w:ascii="仿宋" w:hAnsi="仿宋" w:eastAsia="仿宋" w:cs="仿宋"/>
                <w:sz w:val="18"/>
                <w:szCs w:val="18"/>
              </w:rPr>
              <w:t>字符型</w:t>
            </w:r>
          </w:p>
        </w:tc>
        <w:tc>
          <w:tcPr>
            <w:tcW w:w="1056" w:type="dxa"/>
            <w:vAlign w:val="center"/>
          </w:tcPr>
          <w:p>
            <w:pPr>
              <w:jc w:val="center"/>
              <w:rPr>
                <w:rFonts w:ascii="仿宋" w:hAnsi="仿宋" w:eastAsia="仿宋" w:cs="仿宋"/>
                <w:sz w:val="18"/>
                <w:szCs w:val="18"/>
              </w:rPr>
            </w:pPr>
            <w:r>
              <w:rPr>
                <w:rFonts w:hint="eastAsia" w:ascii="仿宋" w:hAnsi="仿宋" w:eastAsia="仿宋" w:cs="仿宋"/>
                <w:sz w:val="18"/>
                <w:szCs w:val="18"/>
              </w:rPr>
              <w:t>8</w:t>
            </w:r>
          </w:p>
        </w:tc>
        <w:tc>
          <w:tcPr>
            <w:tcW w:w="939" w:type="dxa"/>
            <w:vAlign w:val="center"/>
          </w:tcPr>
          <w:p>
            <w:pPr>
              <w:jc w:val="center"/>
              <w:rPr>
                <w:rFonts w:ascii="仿宋" w:hAnsi="仿宋" w:eastAsia="仿宋" w:cs="仿宋"/>
                <w:sz w:val="18"/>
                <w:szCs w:val="18"/>
              </w:rPr>
            </w:pPr>
          </w:p>
        </w:tc>
        <w:tc>
          <w:tcPr>
            <w:tcW w:w="1329" w:type="dxa"/>
            <w:vAlign w:val="center"/>
          </w:tcPr>
          <w:p>
            <w:pPr>
              <w:jc w:val="center"/>
              <w:rPr>
                <w:rFonts w:ascii="仿宋" w:hAnsi="仿宋" w:eastAsia="仿宋" w:cs="仿宋"/>
                <w:sz w:val="18"/>
                <w:szCs w:val="18"/>
              </w:rPr>
            </w:pPr>
            <w:r>
              <w:rPr>
                <w:rFonts w:hint="eastAsia" w:ascii="仿宋" w:hAnsi="仿宋" w:eastAsia="仿宋" w:cs="仿宋"/>
                <w:sz w:val="18"/>
                <w:szCs w:val="18"/>
              </w:rPr>
              <w:t>见附表A.</w:t>
            </w:r>
            <w:r>
              <w:rPr>
                <w:rFonts w:ascii="仿宋" w:hAnsi="仿宋" w:eastAsia="仿宋" w:cs="仿宋"/>
                <w:sz w:val="18"/>
                <w:szCs w:val="18"/>
              </w:rPr>
              <w:t>1</w:t>
            </w:r>
            <w:r>
              <w:rPr>
                <w:rFonts w:hint="eastAsia" w:ascii="仿宋" w:hAnsi="仿宋" w:eastAsia="仿宋" w:cs="仿宋"/>
                <w:sz w:val="18"/>
                <w:szCs w:val="18"/>
              </w:rPr>
              <w:t>2</w:t>
            </w:r>
          </w:p>
        </w:tc>
        <w:tc>
          <w:tcPr>
            <w:tcW w:w="2268" w:type="dxa"/>
            <w:vAlign w:val="center"/>
          </w:tcPr>
          <w:p>
            <w:pPr>
              <w:jc w:val="center"/>
              <w:rPr>
                <w:rFonts w:ascii="仿宋" w:hAnsi="仿宋" w:eastAsia="仿宋" w:cs="仿宋"/>
              </w:rPr>
            </w:pPr>
            <w:r>
              <w:rPr>
                <w:rFonts w:hint="eastAsia" w:ascii="仿宋" w:hAnsi="仿宋" w:eastAsia="仿宋" w:cs="仿宋"/>
                <w:kern w:val="0"/>
                <w:szCs w:val="21"/>
              </w:rPr>
              <w:t>▲</w:t>
            </w:r>
          </w:p>
        </w:tc>
        <w:tc>
          <w:tcPr>
            <w:tcW w:w="3484"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pStyle w:val="80"/>
              <w:numPr>
                <w:ilvl w:val="0"/>
                <w:numId w:val="56"/>
              </w:numPr>
              <w:spacing w:line="360" w:lineRule="auto"/>
              <w:ind w:firstLineChars="0"/>
              <w:jc w:val="left"/>
              <w:rPr>
                <w:rFonts w:ascii="仿宋" w:hAnsi="仿宋" w:eastAsia="仿宋" w:cs="仿宋"/>
              </w:rPr>
            </w:pPr>
          </w:p>
        </w:tc>
        <w:tc>
          <w:tcPr>
            <w:tcW w:w="1383" w:type="dxa"/>
            <w:vAlign w:val="center"/>
          </w:tcPr>
          <w:p>
            <w:pPr>
              <w:jc w:val="center"/>
              <w:rPr>
                <w:rFonts w:ascii="仿宋" w:hAnsi="仿宋" w:eastAsia="仿宋" w:cs="仿宋"/>
                <w:sz w:val="18"/>
                <w:szCs w:val="18"/>
              </w:rPr>
            </w:pPr>
            <w:r>
              <w:rPr>
                <w:rFonts w:hint="eastAsia" w:ascii="仿宋" w:hAnsi="仿宋" w:eastAsia="仿宋" w:cs="仿宋"/>
                <w:sz w:val="18"/>
                <w:szCs w:val="18"/>
              </w:rPr>
              <w:t>管线材质</w:t>
            </w:r>
          </w:p>
        </w:tc>
        <w:tc>
          <w:tcPr>
            <w:tcW w:w="1393" w:type="dxa"/>
            <w:vAlign w:val="center"/>
          </w:tcPr>
          <w:p>
            <w:pPr>
              <w:jc w:val="center"/>
              <w:rPr>
                <w:rFonts w:ascii="仿宋" w:hAnsi="仿宋" w:eastAsia="仿宋" w:cs="仿宋"/>
                <w:sz w:val="18"/>
                <w:szCs w:val="18"/>
              </w:rPr>
            </w:pPr>
            <w:r>
              <w:rPr>
                <w:rFonts w:hint="eastAsia" w:ascii="仿宋" w:hAnsi="仿宋" w:eastAsia="仿宋" w:cs="仿宋"/>
                <w:kern w:val="0"/>
                <w:sz w:val="18"/>
                <w:szCs w:val="18"/>
                <w:lang w:bidi="en-US"/>
              </w:rPr>
              <w:t>Material</w:t>
            </w:r>
          </w:p>
        </w:tc>
        <w:tc>
          <w:tcPr>
            <w:tcW w:w="1265"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056" w:type="dxa"/>
            <w:vAlign w:val="center"/>
          </w:tcPr>
          <w:p>
            <w:pPr>
              <w:jc w:val="center"/>
              <w:rPr>
                <w:rFonts w:ascii="仿宋" w:hAnsi="仿宋" w:eastAsia="仿宋" w:cs="仿宋"/>
                <w:sz w:val="18"/>
                <w:szCs w:val="18"/>
              </w:rPr>
            </w:pPr>
            <w:r>
              <w:rPr>
                <w:rFonts w:hint="eastAsia" w:ascii="仿宋" w:hAnsi="仿宋" w:eastAsia="仿宋" w:cs="仿宋"/>
                <w:sz w:val="18"/>
                <w:szCs w:val="18"/>
              </w:rPr>
              <w:t>20</w:t>
            </w:r>
          </w:p>
        </w:tc>
        <w:tc>
          <w:tcPr>
            <w:tcW w:w="939" w:type="dxa"/>
            <w:vAlign w:val="center"/>
          </w:tcPr>
          <w:p>
            <w:pPr>
              <w:jc w:val="center"/>
              <w:rPr>
                <w:rFonts w:ascii="仿宋" w:hAnsi="仿宋" w:eastAsia="仿宋" w:cs="仿宋"/>
                <w:sz w:val="18"/>
                <w:szCs w:val="18"/>
              </w:rPr>
            </w:pPr>
          </w:p>
        </w:tc>
        <w:tc>
          <w:tcPr>
            <w:tcW w:w="1329" w:type="dxa"/>
            <w:vAlign w:val="center"/>
          </w:tcPr>
          <w:p>
            <w:pPr>
              <w:jc w:val="center"/>
              <w:rPr>
                <w:rFonts w:ascii="仿宋" w:hAnsi="仿宋" w:eastAsia="仿宋" w:cs="仿宋"/>
                <w:sz w:val="18"/>
                <w:szCs w:val="18"/>
              </w:rPr>
            </w:pPr>
            <w:r>
              <w:rPr>
                <w:rFonts w:hint="eastAsia" w:ascii="仿宋" w:hAnsi="仿宋" w:eastAsia="仿宋" w:cs="仿宋"/>
                <w:sz w:val="18"/>
                <w:szCs w:val="18"/>
              </w:rPr>
              <w:t>见附表A.</w:t>
            </w:r>
            <w:r>
              <w:rPr>
                <w:rFonts w:ascii="仿宋" w:hAnsi="仿宋" w:eastAsia="仿宋" w:cs="仿宋"/>
                <w:sz w:val="18"/>
                <w:szCs w:val="18"/>
              </w:rPr>
              <w:t>1</w:t>
            </w:r>
            <w:r>
              <w:rPr>
                <w:rFonts w:hint="eastAsia" w:ascii="仿宋" w:hAnsi="仿宋" w:eastAsia="仿宋" w:cs="仿宋"/>
                <w:sz w:val="18"/>
                <w:szCs w:val="18"/>
              </w:rPr>
              <w:t>3</w:t>
            </w:r>
            <w:r>
              <w:rPr>
                <w:rFonts w:ascii="仿宋" w:hAnsi="仿宋" w:eastAsia="仿宋" w:cs="仿宋"/>
                <w:sz w:val="18"/>
                <w:szCs w:val="18"/>
              </w:rPr>
              <w:t>.1</w:t>
            </w:r>
          </w:p>
        </w:tc>
        <w:tc>
          <w:tcPr>
            <w:tcW w:w="2268" w:type="dxa"/>
            <w:vAlign w:val="center"/>
          </w:tcPr>
          <w:p>
            <w:pPr>
              <w:jc w:val="center"/>
              <w:rPr>
                <w:rFonts w:ascii="仿宋" w:hAnsi="仿宋" w:eastAsia="仿宋" w:cs="仿宋"/>
              </w:rPr>
            </w:pPr>
            <w:r>
              <w:rPr>
                <w:rFonts w:hint="eastAsia" w:ascii="仿宋" w:hAnsi="仿宋" w:eastAsia="仿宋" w:cs="仿宋"/>
                <w:kern w:val="0"/>
                <w:szCs w:val="21"/>
              </w:rPr>
              <w:t>▲</w:t>
            </w:r>
          </w:p>
        </w:tc>
        <w:tc>
          <w:tcPr>
            <w:tcW w:w="3484"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pStyle w:val="80"/>
              <w:numPr>
                <w:ilvl w:val="0"/>
                <w:numId w:val="56"/>
              </w:numPr>
              <w:spacing w:line="360" w:lineRule="auto"/>
              <w:ind w:firstLineChars="0"/>
              <w:jc w:val="left"/>
              <w:rPr>
                <w:rFonts w:ascii="仿宋" w:hAnsi="仿宋" w:eastAsia="仿宋" w:cs="仿宋"/>
              </w:rPr>
            </w:pPr>
          </w:p>
        </w:tc>
        <w:tc>
          <w:tcPr>
            <w:tcW w:w="1383" w:type="dxa"/>
            <w:vAlign w:val="center"/>
          </w:tcPr>
          <w:p>
            <w:pPr>
              <w:jc w:val="center"/>
              <w:rPr>
                <w:rFonts w:ascii="仿宋" w:hAnsi="仿宋" w:eastAsia="仿宋" w:cs="仿宋"/>
                <w:sz w:val="18"/>
                <w:szCs w:val="18"/>
              </w:rPr>
            </w:pPr>
            <w:r>
              <w:rPr>
                <w:rFonts w:hint="eastAsia" w:ascii="仿宋" w:hAnsi="仿宋" w:eastAsia="仿宋" w:cs="仿宋"/>
                <w:sz w:val="18"/>
                <w:szCs w:val="18"/>
              </w:rPr>
              <w:t>保护材质</w:t>
            </w:r>
          </w:p>
        </w:tc>
        <w:tc>
          <w:tcPr>
            <w:tcW w:w="1393" w:type="dxa"/>
            <w:vAlign w:val="center"/>
          </w:tcPr>
          <w:p>
            <w:pPr>
              <w:jc w:val="center"/>
              <w:rPr>
                <w:rFonts w:ascii="仿宋" w:hAnsi="仿宋" w:eastAsia="仿宋" w:cs="仿宋"/>
                <w:kern w:val="0"/>
                <w:sz w:val="18"/>
                <w:szCs w:val="18"/>
                <w:lang w:bidi="en-US"/>
              </w:rPr>
            </w:pPr>
            <w:r>
              <w:rPr>
                <w:rFonts w:hint="eastAsia" w:ascii="仿宋" w:hAnsi="仿宋" w:eastAsia="仿宋" w:cs="仿宋"/>
                <w:kern w:val="0"/>
                <w:sz w:val="18"/>
                <w:szCs w:val="18"/>
                <w:lang w:bidi="en-US"/>
              </w:rPr>
              <w:t>B- Material</w:t>
            </w:r>
          </w:p>
        </w:tc>
        <w:tc>
          <w:tcPr>
            <w:tcW w:w="1265"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056" w:type="dxa"/>
            <w:vAlign w:val="center"/>
          </w:tcPr>
          <w:p>
            <w:pPr>
              <w:jc w:val="center"/>
              <w:rPr>
                <w:rFonts w:ascii="仿宋" w:hAnsi="仿宋" w:eastAsia="仿宋" w:cs="仿宋"/>
                <w:sz w:val="18"/>
                <w:szCs w:val="18"/>
              </w:rPr>
            </w:pPr>
          </w:p>
        </w:tc>
        <w:tc>
          <w:tcPr>
            <w:tcW w:w="939" w:type="dxa"/>
            <w:vAlign w:val="center"/>
          </w:tcPr>
          <w:p>
            <w:pPr>
              <w:jc w:val="center"/>
              <w:rPr>
                <w:rFonts w:ascii="仿宋" w:hAnsi="仿宋" w:eastAsia="仿宋" w:cs="仿宋"/>
                <w:sz w:val="18"/>
                <w:szCs w:val="18"/>
              </w:rPr>
            </w:pPr>
          </w:p>
        </w:tc>
        <w:tc>
          <w:tcPr>
            <w:tcW w:w="1329" w:type="dxa"/>
            <w:vAlign w:val="center"/>
          </w:tcPr>
          <w:p>
            <w:pPr>
              <w:jc w:val="center"/>
              <w:rPr>
                <w:rFonts w:ascii="仿宋" w:hAnsi="仿宋" w:eastAsia="仿宋" w:cs="仿宋"/>
                <w:sz w:val="18"/>
                <w:szCs w:val="18"/>
              </w:rPr>
            </w:pPr>
            <w:r>
              <w:rPr>
                <w:rFonts w:hint="eastAsia" w:ascii="仿宋" w:hAnsi="仿宋" w:eastAsia="仿宋" w:cs="仿宋"/>
                <w:sz w:val="18"/>
                <w:szCs w:val="18"/>
              </w:rPr>
              <w:t>见附表A.</w:t>
            </w:r>
            <w:r>
              <w:rPr>
                <w:rFonts w:ascii="仿宋" w:hAnsi="仿宋" w:eastAsia="仿宋" w:cs="仿宋"/>
                <w:sz w:val="18"/>
                <w:szCs w:val="18"/>
              </w:rPr>
              <w:t>1</w:t>
            </w:r>
            <w:r>
              <w:rPr>
                <w:rFonts w:hint="eastAsia" w:ascii="仿宋" w:hAnsi="仿宋" w:eastAsia="仿宋" w:cs="仿宋"/>
                <w:sz w:val="18"/>
                <w:szCs w:val="18"/>
              </w:rPr>
              <w:t>3</w:t>
            </w:r>
            <w:r>
              <w:rPr>
                <w:rFonts w:ascii="仿宋" w:hAnsi="仿宋" w:eastAsia="仿宋" w:cs="仿宋"/>
                <w:sz w:val="18"/>
                <w:szCs w:val="18"/>
              </w:rPr>
              <w:t>.1</w:t>
            </w:r>
          </w:p>
        </w:tc>
        <w:tc>
          <w:tcPr>
            <w:tcW w:w="2268" w:type="dxa"/>
            <w:vAlign w:val="center"/>
          </w:tcPr>
          <w:p>
            <w:pPr>
              <w:jc w:val="center"/>
              <w:rPr>
                <w:rFonts w:ascii="仿宋" w:hAnsi="仿宋" w:eastAsia="仿宋" w:cs="仿宋"/>
                <w:kern w:val="0"/>
                <w:sz w:val="18"/>
                <w:szCs w:val="18"/>
              </w:rPr>
            </w:pPr>
            <w:r>
              <w:rPr>
                <w:rFonts w:hint="eastAsia" w:ascii="仿宋" w:hAnsi="仿宋" w:eastAsia="仿宋" w:cs="仿宋"/>
                <w:color w:val="000000"/>
                <w:kern w:val="0"/>
                <w:sz w:val="18"/>
                <w:szCs w:val="18"/>
              </w:rPr>
              <w:t>△</w:t>
            </w:r>
          </w:p>
        </w:tc>
        <w:tc>
          <w:tcPr>
            <w:tcW w:w="3484"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pStyle w:val="80"/>
              <w:numPr>
                <w:ilvl w:val="0"/>
                <w:numId w:val="56"/>
              </w:numPr>
              <w:spacing w:line="360" w:lineRule="auto"/>
              <w:ind w:firstLineChars="0"/>
              <w:jc w:val="center"/>
              <w:rPr>
                <w:rFonts w:ascii="仿宋" w:hAnsi="仿宋" w:eastAsia="仿宋" w:cs="仿宋"/>
              </w:rPr>
            </w:pPr>
          </w:p>
        </w:tc>
        <w:tc>
          <w:tcPr>
            <w:tcW w:w="1383" w:type="dxa"/>
            <w:vAlign w:val="center"/>
          </w:tcPr>
          <w:p>
            <w:pPr>
              <w:jc w:val="center"/>
              <w:rPr>
                <w:rFonts w:ascii="仿宋" w:hAnsi="仿宋" w:eastAsia="仿宋" w:cs="仿宋"/>
                <w:sz w:val="18"/>
                <w:szCs w:val="18"/>
              </w:rPr>
            </w:pPr>
            <w:r>
              <w:rPr>
                <w:rFonts w:hint="eastAsia" w:ascii="仿宋" w:hAnsi="仿宋" w:eastAsia="仿宋" w:cs="仿宋"/>
                <w:sz w:val="18"/>
                <w:szCs w:val="18"/>
              </w:rPr>
              <w:t>埋设方式</w:t>
            </w:r>
          </w:p>
        </w:tc>
        <w:tc>
          <w:tcPr>
            <w:tcW w:w="1393" w:type="dxa"/>
            <w:vAlign w:val="center"/>
          </w:tcPr>
          <w:p>
            <w:pPr>
              <w:jc w:val="center"/>
              <w:rPr>
                <w:rFonts w:ascii="仿宋" w:hAnsi="仿宋" w:eastAsia="仿宋" w:cs="仿宋"/>
                <w:sz w:val="18"/>
                <w:szCs w:val="18"/>
              </w:rPr>
            </w:pPr>
            <w:r>
              <w:rPr>
                <w:rFonts w:hint="eastAsia" w:ascii="仿宋" w:hAnsi="仿宋" w:eastAsia="仿宋" w:cs="仿宋"/>
                <w:kern w:val="0"/>
                <w:sz w:val="18"/>
                <w:szCs w:val="18"/>
                <w:lang w:bidi="en-US"/>
              </w:rPr>
              <w:t>EmBed</w:t>
            </w:r>
          </w:p>
        </w:tc>
        <w:tc>
          <w:tcPr>
            <w:tcW w:w="1265"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056" w:type="dxa"/>
            <w:vAlign w:val="center"/>
          </w:tcPr>
          <w:p>
            <w:pPr>
              <w:jc w:val="center"/>
              <w:rPr>
                <w:rFonts w:ascii="仿宋" w:hAnsi="仿宋" w:eastAsia="仿宋" w:cs="仿宋"/>
                <w:sz w:val="18"/>
                <w:szCs w:val="18"/>
              </w:rPr>
            </w:pPr>
          </w:p>
        </w:tc>
        <w:tc>
          <w:tcPr>
            <w:tcW w:w="939" w:type="dxa"/>
            <w:vAlign w:val="center"/>
          </w:tcPr>
          <w:p>
            <w:pPr>
              <w:jc w:val="center"/>
              <w:rPr>
                <w:rFonts w:ascii="仿宋" w:hAnsi="仿宋" w:eastAsia="仿宋" w:cs="仿宋"/>
                <w:sz w:val="18"/>
                <w:szCs w:val="18"/>
              </w:rPr>
            </w:pPr>
          </w:p>
        </w:tc>
        <w:tc>
          <w:tcPr>
            <w:tcW w:w="1329" w:type="dxa"/>
            <w:vAlign w:val="center"/>
          </w:tcPr>
          <w:p>
            <w:pPr>
              <w:jc w:val="center"/>
              <w:rPr>
                <w:rFonts w:ascii="仿宋" w:hAnsi="仿宋" w:eastAsia="仿宋" w:cs="仿宋"/>
                <w:sz w:val="18"/>
                <w:szCs w:val="18"/>
              </w:rPr>
            </w:pPr>
            <w:r>
              <w:rPr>
                <w:rFonts w:hint="eastAsia" w:ascii="仿宋" w:hAnsi="仿宋" w:eastAsia="仿宋" w:cs="仿宋"/>
                <w:sz w:val="18"/>
                <w:szCs w:val="18"/>
              </w:rPr>
              <w:t>见附表A.</w:t>
            </w:r>
            <w:r>
              <w:rPr>
                <w:rFonts w:ascii="仿宋" w:hAnsi="仿宋" w:eastAsia="仿宋" w:cs="仿宋"/>
                <w:sz w:val="18"/>
                <w:szCs w:val="18"/>
              </w:rPr>
              <w:t>1</w:t>
            </w:r>
            <w:r>
              <w:rPr>
                <w:rFonts w:hint="eastAsia" w:ascii="仿宋" w:hAnsi="仿宋" w:eastAsia="仿宋" w:cs="仿宋"/>
                <w:sz w:val="18"/>
                <w:szCs w:val="18"/>
              </w:rPr>
              <w:t>3</w:t>
            </w:r>
            <w:r>
              <w:rPr>
                <w:rFonts w:ascii="仿宋" w:hAnsi="仿宋" w:eastAsia="仿宋" w:cs="仿宋"/>
                <w:sz w:val="18"/>
                <w:szCs w:val="18"/>
              </w:rPr>
              <w:t>.2</w:t>
            </w:r>
          </w:p>
        </w:tc>
        <w:tc>
          <w:tcPr>
            <w:tcW w:w="2268" w:type="dxa"/>
            <w:vAlign w:val="center"/>
          </w:tcPr>
          <w:p>
            <w:pPr>
              <w:jc w:val="center"/>
              <w:rPr>
                <w:rFonts w:ascii="仿宋" w:hAnsi="仿宋" w:eastAsia="仿宋" w:cs="仿宋"/>
                <w:sz w:val="18"/>
                <w:szCs w:val="18"/>
              </w:rPr>
            </w:pPr>
            <w:r>
              <w:rPr>
                <w:rFonts w:hint="eastAsia" w:ascii="仿宋" w:hAnsi="仿宋" w:eastAsia="仿宋" w:cs="仿宋"/>
                <w:kern w:val="0"/>
                <w:szCs w:val="21"/>
              </w:rPr>
              <w:t>▲</w:t>
            </w:r>
          </w:p>
        </w:tc>
        <w:tc>
          <w:tcPr>
            <w:tcW w:w="3484"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pStyle w:val="80"/>
              <w:numPr>
                <w:ilvl w:val="0"/>
                <w:numId w:val="56"/>
              </w:numPr>
              <w:spacing w:line="360" w:lineRule="auto"/>
              <w:ind w:firstLineChars="0"/>
              <w:jc w:val="center"/>
              <w:rPr>
                <w:rFonts w:ascii="仿宋" w:hAnsi="仿宋" w:eastAsia="仿宋" w:cs="仿宋"/>
              </w:rPr>
            </w:pPr>
          </w:p>
        </w:tc>
        <w:tc>
          <w:tcPr>
            <w:tcW w:w="1383" w:type="dxa"/>
            <w:vAlign w:val="center"/>
          </w:tcPr>
          <w:p>
            <w:pPr>
              <w:jc w:val="center"/>
              <w:rPr>
                <w:rFonts w:ascii="仿宋" w:hAnsi="仿宋" w:eastAsia="仿宋" w:cs="仿宋"/>
                <w:sz w:val="18"/>
                <w:szCs w:val="18"/>
              </w:rPr>
            </w:pPr>
            <w:r>
              <w:rPr>
                <w:rFonts w:hint="eastAsia" w:ascii="仿宋" w:hAnsi="仿宋" w:eastAsia="仿宋" w:cs="仿宋"/>
                <w:sz w:val="18"/>
                <w:szCs w:val="18"/>
              </w:rPr>
              <w:t>管径</w:t>
            </w:r>
          </w:p>
        </w:tc>
        <w:tc>
          <w:tcPr>
            <w:tcW w:w="1393" w:type="dxa"/>
            <w:vAlign w:val="center"/>
          </w:tcPr>
          <w:p>
            <w:pPr>
              <w:jc w:val="center"/>
              <w:rPr>
                <w:rFonts w:ascii="仿宋" w:hAnsi="仿宋" w:eastAsia="仿宋" w:cs="仿宋"/>
                <w:sz w:val="18"/>
                <w:szCs w:val="18"/>
              </w:rPr>
            </w:pPr>
            <w:r>
              <w:rPr>
                <w:rFonts w:hint="eastAsia" w:ascii="仿宋" w:hAnsi="仿宋" w:eastAsia="仿宋" w:cs="仿宋"/>
                <w:sz w:val="18"/>
                <w:szCs w:val="18"/>
              </w:rPr>
              <w:t>PSize</w:t>
            </w:r>
          </w:p>
        </w:tc>
        <w:tc>
          <w:tcPr>
            <w:tcW w:w="1265"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056" w:type="dxa"/>
            <w:vAlign w:val="center"/>
          </w:tcPr>
          <w:p>
            <w:pPr>
              <w:jc w:val="center"/>
              <w:rPr>
                <w:rFonts w:ascii="仿宋" w:hAnsi="仿宋" w:eastAsia="仿宋" w:cs="仿宋"/>
                <w:sz w:val="18"/>
                <w:szCs w:val="18"/>
              </w:rPr>
            </w:pPr>
            <w:r>
              <w:rPr>
                <w:rFonts w:hint="eastAsia" w:ascii="仿宋" w:hAnsi="仿宋" w:eastAsia="仿宋" w:cs="仿宋"/>
                <w:sz w:val="18"/>
                <w:szCs w:val="18"/>
              </w:rPr>
              <w:t>12</w:t>
            </w:r>
          </w:p>
        </w:tc>
        <w:tc>
          <w:tcPr>
            <w:tcW w:w="939" w:type="dxa"/>
            <w:vAlign w:val="center"/>
          </w:tcPr>
          <w:p>
            <w:pPr>
              <w:jc w:val="center"/>
              <w:rPr>
                <w:rFonts w:ascii="仿宋" w:hAnsi="仿宋" w:eastAsia="仿宋" w:cs="仿宋"/>
                <w:sz w:val="18"/>
                <w:szCs w:val="18"/>
              </w:rPr>
            </w:pPr>
          </w:p>
        </w:tc>
        <w:tc>
          <w:tcPr>
            <w:tcW w:w="1329" w:type="dxa"/>
            <w:vAlign w:val="center"/>
          </w:tcPr>
          <w:p>
            <w:pPr>
              <w:jc w:val="center"/>
              <w:rPr>
                <w:rFonts w:ascii="仿宋" w:hAnsi="仿宋" w:eastAsia="仿宋" w:cs="仿宋"/>
                <w:sz w:val="18"/>
                <w:szCs w:val="18"/>
              </w:rPr>
            </w:pPr>
          </w:p>
        </w:tc>
        <w:tc>
          <w:tcPr>
            <w:tcW w:w="2268" w:type="dxa"/>
            <w:vAlign w:val="center"/>
          </w:tcPr>
          <w:p>
            <w:pPr>
              <w:jc w:val="center"/>
              <w:rPr>
                <w:rFonts w:ascii="仿宋" w:hAnsi="仿宋" w:eastAsia="仿宋" w:cs="仿宋"/>
                <w:sz w:val="18"/>
                <w:szCs w:val="18"/>
              </w:rPr>
            </w:pPr>
            <w:r>
              <w:rPr>
                <w:rFonts w:hint="eastAsia" w:ascii="仿宋" w:hAnsi="仿宋" w:eastAsia="仿宋" w:cs="仿宋"/>
                <w:kern w:val="0"/>
                <w:szCs w:val="21"/>
              </w:rPr>
              <w:t>▲</w:t>
            </w:r>
          </w:p>
        </w:tc>
        <w:tc>
          <w:tcPr>
            <w:tcW w:w="3484" w:type="dxa"/>
            <w:vAlign w:val="center"/>
          </w:tcPr>
          <w:p>
            <w:pPr>
              <w:jc w:val="center"/>
              <w:rPr>
                <w:rFonts w:ascii="仿宋" w:hAnsi="仿宋" w:eastAsia="仿宋" w:cs="仿宋"/>
                <w:sz w:val="18"/>
                <w:szCs w:val="18"/>
              </w:rPr>
            </w:pPr>
            <w:r>
              <w:rPr>
                <w:rFonts w:hint="eastAsia" w:ascii="仿宋" w:hAnsi="仿宋" w:eastAsia="仿宋" w:cs="仿宋"/>
                <w:sz w:val="18"/>
                <w:szCs w:val="18"/>
              </w:rPr>
              <w:t>直径或者宽X高（单位：毫米），电力、通信等线缆敷设方式为直埋时，此项不填。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pStyle w:val="80"/>
              <w:numPr>
                <w:ilvl w:val="0"/>
                <w:numId w:val="56"/>
              </w:numPr>
              <w:spacing w:line="360" w:lineRule="auto"/>
              <w:ind w:firstLineChars="0"/>
              <w:jc w:val="center"/>
              <w:rPr>
                <w:rFonts w:ascii="仿宋" w:hAnsi="仿宋" w:eastAsia="仿宋" w:cs="仿宋"/>
              </w:rPr>
            </w:pPr>
          </w:p>
        </w:tc>
        <w:tc>
          <w:tcPr>
            <w:tcW w:w="1383" w:type="dxa"/>
            <w:vAlign w:val="center"/>
          </w:tcPr>
          <w:p>
            <w:pPr>
              <w:jc w:val="center"/>
              <w:rPr>
                <w:rFonts w:ascii="仿宋" w:hAnsi="仿宋" w:eastAsia="仿宋" w:cs="仿宋"/>
                <w:sz w:val="18"/>
                <w:szCs w:val="18"/>
              </w:rPr>
            </w:pPr>
            <w:r>
              <w:rPr>
                <w:rFonts w:hint="eastAsia" w:ascii="仿宋" w:hAnsi="仿宋" w:eastAsia="仿宋" w:cs="仿宋"/>
                <w:sz w:val="18"/>
                <w:szCs w:val="18"/>
              </w:rPr>
              <w:t>压力</w:t>
            </w:r>
          </w:p>
        </w:tc>
        <w:tc>
          <w:tcPr>
            <w:tcW w:w="1393" w:type="dxa"/>
            <w:vAlign w:val="center"/>
          </w:tcPr>
          <w:p>
            <w:pPr>
              <w:jc w:val="center"/>
              <w:rPr>
                <w:rFonts w:ascii="仿宋" w:hAnsi="仿宋" w:eastAsia="仿宋" w:cs="仿宋"/>
                <w:sz w:val="18"/>
                <w:szCs w:val="18"/>
              </w:rPr>
            </w:pPr>
            <w:r>
              <w:rPr>
                <w:rFonts w:hint="eastAsia" w:ascii="仿宋" w:hAnsi="仿宋" w:eastAsia="仿宋" w:cs="仿宋"/>
                <w:sz w:val="18"/>
                <w:szCs w:val="18"/>
              </w:rPr>
              <w:t>Pressure</w:t>
            </w:r>
          </w:p>
        </w:tc>
        <w:tc>
          <w:tcPr>
            <w:tcW w:w="1265"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056"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939" w:type="dxa"/>
            <w:vAlign w:val="center"/>
          </w:tcPr>
          <w:p>
            <w:pPr>
              <w:jc w:val="center"/>
              <w:rPr>
                <w:rFonts w:ascii="仿宋" w:hAnsi="仿宋" w:eastAsia="仿宋" w:cs="仿宋"/>
                <w:sz w:val="18"/>
                <w:szCs w:val="18"/>
              </w:rPr>
            </w:pPr>
          </w:p>
        </w:tc>
        <w:tc>
          <w:tcPr>
            <w:tcW w:w="1329" w:type="dxa"/>
            <w:vAlign w:val="center"/>
          </w:tcPr>
          <w:p>
            <w:pPr>
              <w:jc w:val="center"/>
              <w:rPr>
                <w:rFonts w:ascii="仿宋" w:hAnsi="仿宋" w:eastAsia="仿宋" w:cs="仿宋"/>
                <w:sz w:val="18"/>
                <w:szCs w:val="18"/>
              </w:rPr>
            </w:pPr>
            <w:r>
              <w:rPr>
                <w:rFonts w:hint="eastAsia" w:ascii="仿宋" w:hAnsi="仿宋" w:eastAsia="仿宋" w:cs="仿宋"/>
                <w:sz w:val="18"/>
                <w:szCs w:val="18"/>
              </w:rPr>
              <w:t>见附表A.</w:t>
            </w:r>
            <w:r>
              <w:rPr>
                <w:rFonts w:ascii="仿宋" w:hAnsi="仿宋" w:eastAsia="仿宋" w:cs="仿宋"/>
                <w:sz w:val="18"/>
                <w:szCs w:val="18"/>
              </w:rPr>
              <w:t>1</w:t>
            </w:r>
            <w:r>
              <w:rPr>
                <w:rFonts w:hint="eastAsia" w:ascii="仿宋" w:hAnsi="仿宋" w:eastAsia="仿宋" w:cs="仿宋"/>
                <w:sz w:val="18"/>
                <w:szCs w:val="18"/>
              </w:rPr>
              <w:t>3</w:t>
            </w:r>
            <w:r>
              <w:rPr>
                <w:rFonts w:ascii="仿宋" w:hAnsi="仿宋" w:eastAsia="仿宋" w:cs="仿宋"/>
                <w:sz w:val="18"/>
                <w:szCs w:val="18"/>
              </w:rPr>
              <w:t>.5</w:t>
            </w:r>
          </w:p>
        </w:tc>
        <w:tc>
          <w:tcPr>
            <w:tcW w:w="2268" w:type="dxa"/>
            <w:vAlign w:val="center"/>
          </w:tcPr>
          <w:p>
            <w:pPr>
              <w:jc w:val="center"/>
              <w:rPr>
                <w:rFonts w:ascii="仿宋" w:hAnsi="仿宋" w:eastAsia="仿宋" w:cs="仿宋"/>
                <w:kern w:val="0"/>
                <w:sz w:val="18"/>
                <w:szCs w:val="18"/>
              </w:rPr>
            </w:pPr>
            <w:r>
              <w:rPr>
                <w:rFonts w:hint="eastAsia" w:ascii="仿宋" w:hAnsi="仿宋" w:eastAsia="仿宋" w:cs="仿宋"/>
                <w:color w:val="000000"/>
                <w:kern w:val="0"/>
                <w:sz w:val="18"/>
                <w:szCs w:val="18"/>
              </w:rPr>
              <w:t>△</w:t>
            </w:r>
          </w:p>
        </w:tc>
        <w:tc>
          <w:tcPr>
            <w:tcW w:w="3484"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pStyle w:val="80"/>
              <w:numPr>
                <w:ilvl w:val="0"/>
                <w:numId w:val="56"/>
              </w:numPr>
              <w:spacing w:line="360" w:lineRule="auto"/>
              <w:ind w:firstLineChars="0"/>
              <w:jc w:val="center"/>
              <w:rPr>
                <w:rFonts w:ascii="仿宋" w:hAnsi="仿宋" w:eastAsia="仿宋" w:cs="仿宋"/>
              </w:rPr>
            </w:pPr>
          </w:p>
        </w:tc>
        <w:tc>
          <w:tcPr>
            <w:tcW w:w="1383" w:type="dxa"/>
            <w:vAlign w:val="center"/>
          </w:tcPr>
          <w:p>
            <w:pPr>
              <w:jc w:val="center"/>
              <w:rPr>
                <w:rFonts w:ascii="仿宋" w:hAnsi="仿宋" w:eastAsia="仿宋" w:cs="仿宋"/>
                <w:sz w:val="18"/>
                <w:szCs w:val="18"/>
              </w:rPr>
            </w:pPr>
            <w:r>
              <w:rPr>
                <w:rFonts w:hint="eastAsia" w:ascii="仿宋" w:hAnsi="仿宋" w:eastAsia="仿宋" w:cs="仿宋"/>
                <w:sz w:val="18"/>
                <w:szCs w:val="18"/>
              </w:rPr>
              <w:t>电压</w:t>
            </w:r>
          </w:p>
        </w:tc>
        <w:tc>
          <w:tcPr>
            <w:tcW w:w="1393" w:type="dxa"/>
            <w:vAlign w:val="center"/>
          </w:tcPr>
          <w:p>
            <w:pPr>
              <w:jc w:val="center"/>
              <w:rPr>
                <w:rFonts w:ascii="仿宋" w:hAnsi="仿宋" w:eastAsia="仿宋" w:cs="仿宋"/>
                <w:sz w:val="18"/>
                <w:szCs w:val="18"/>
              </w:rPr>
            </w:pPr>
            <w:r>
              <w:rPr>
                <w:rFonts w:hint="eastAsia" w:ascii="仿宋" w:hAnsi="仿宋" w:eastAsia="仿宋" w:cs="仿宋"/>
                <w:sz w:val="18"/>
                <w:szCs w:val="18"/>
              </w:rPr>
              <w:t>Voltage</w:t>
            </w:r>
          </w:p>
        </w:tc>
        <w:tc>
          <w:tcPr>
            <w:tcW w:w="1265"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056"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939" w:type="dxa"/>
            <w:vAlign w:val="center"/>
          </w:tcPr>
          <w:p>
            <w:pPr>
              <w:jc w:val="center"/>
              <w:rPr>
                <w:rFonts w:ascii="仿宋" w:hAnsi="仿宋" w:eastAsia="仿宋" w:cs="仿宋"/>
                <w:sz w:val="18"/>
                <w:szCs w:val="18"/>
              </w:rPr>
            </w:pPr>
          </w:p>
        </w:tc>
        <w:tc>
          <w:tcPr>
            <w:tcW w:w="1329" w:type="dxa"/>
            <w:vAlign w:val="center"/>
          </w:tcPr>
          <w:p>
            <w:pPr>
              <w:jc w:val="center"/>
              <w:rPr>
                <w:rFonts w:ascii="仿宋" w:hAnsi="仿宋" w:eastAsia="仿宋" w:cs="仿宋"/>
                <w:sz w:val="18"/>
                <w:szCs w:val="18"/>
              </w:rPr>
            </w:pPr>
            <w:r>
              <w:rPr>
                <w:rFonts w:hint="eastAsia" w:ascii="仿宋" w:hAnsi="仿宋" w:eastAsia="仿宋" w:cs="仿宋"/>
                <w:sz w:val="18"/>
                <w:szCs w:val="18"/>
              </w:rPr>
              <w:t>见附表A.</w:t>
            </w:r>
            <w:r>
              <w:rPr>
                <w:rFonts w:ascii="仿宋" w:hAnsi="仿宋" w:eastAsia="仿宋" w:cs="仿宋"/>
                <w:sz w:val="18"/>
                <w:szCs w:val="18"/>
              </w:rPr>
              <w:t>1</w:t>
            </w:r>
            <w:r>
              <w:rPr>
                <w:rFonts w:hint="eastAsia" w:ascii="仿宋" w:hAnsi="仿宋" w:eastAsia="仿宋" w:cs="仿宋"/>
                <w:sz w:val="18"/>
                <w:szCs w:val="18"/>
              </w:rPr>
              <w:t>3</w:t>
            </w:r>
            <w:r>
              <w:rPr>
                <w:rFonts w:ascii="仿宋" w:hAnsi="仿宋" w:eastAsia="仿宋" w:cs="仿宋"/>
                <w:sz w:val="18"/>
                <w:szCs w:val="18"/>
              </w:rPr>
              <w:t>.3</w:t>
            </w:r>
          </w:p>
        </w:tc>
        <w:tc>
          <w:tcPr>
            <w:tcW w:w="2268" w:type="dxa"/>
            <w:vAlign w:val="center"/>
          </w:tcPr>
          <w:p>
            <w:pPr>
              <w:jc w:val="center"/>
              <w:rPr>
                <w:rFonts w:ascii="仿宋" w:hAnsi="仿宋" w:eastAsia="仿宋" w:cs="仿宋"/>
                <w:sz w:val="18"/>
                <w:szCs w:val="18"/>
              </w:rPr>
            </w:pPr>
            <w:r>
              <w:rPr>
                <w:rFonts w:hint="eastAsia" w:ascii="仿宋" w:hAnsi="仿宋" w:eastAsia="仿宋" w:cs="仿宋"/>
                <w:color w:val="000000"/>
                <w:kern w:val="0"/>
                <w:sz w:val="18"/>
                <w:szCs w:val="18"/>
              </w:rPr>
              <w:t>△</w:t>
            </w:r>
          </w:p>
        </w:tc>
        <w:tc>
          <w:tcPr>
            <w:tcW w:w="3484"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pStyle w:val="80"/>
              <w:numPr>
                <w:ilvl w:val="0"/>
                <w:numId w:val="56"/>
              </w:numPr>
              <w:spacing w:line="360" w:lineRule="auto"/>
              <w:ind w:firstLineChars="0"/>
              <w:jc w:val="center"/>
              <w:rPr>
                <w:rFonts w:ascii="仿宋" w:hAnsi="仿宋" w:eastAsia="仿宋" w:cs="仿宋"/>
              </w:rPr>
            </w:pPr>
          </w:p>
        </w:tc>
        <w:tc>
          <w:tcPr>
            <w:tcW w:w="1383" w:type="dxa"/>
            <w:vAlign w:val="center"/>
          </w:tcPr>
          <w:p>
            <w:pPr>
              <w:jc w:val="center"/>
              <w:rPr>
                <w:rFonts w:ascii="仿宋" w:hAnsi="仿宋" w:eastAsia="仿宋" w:cs="仿宋"/>
                <w:sz w:val="18"/>
                <w:szCs w:val="18"/>
              </w:rPr>
            </w:pPr>
            <w:r>
              <w:rPr>
                <w:rFonts w:hint="eastAsia" w:ascii="仿宋" w:hAnsi="仿宋" w:eastAsia="仿宋" w:cs="仿宋"/>
                <w:sz w:val="18"/>
                <w:szCs w:val="18"/>
              </w:rPr>
              <w:t>流向</w:t>
            </w:r>
          </w:p>
        </w:tc>
        <w:tc>
          <w:tcPr>
            <w:tcW w:w="1393" w:type="dxa"/>
            <w:vAlign w:val="center"/>
          </w:tcPr>
          <w:p>
            <w:pPr>
              <w:jc w:val="center"/>
              <w:rPr>
                <w:rFonts w:ascii="仿宋" w:hAnsi="仿宋" w:eastAsia="仿宋" w:cs="仿宋"/>
                <w:sz w:val="18"/>
                <w:szCs w:val="18"/>
              </w:rPr>
            </w:pPr>
            <w:r>
              <w:rPr>
                <w:rFonts w:hint="eastAsia" w:ascii="仿宋" w:hAnsi="仿宋" w:eastAsia="仿宋" w:cs="仿宋"/>
                <w:sz w:val="18"/>
                <w:szCs w:val="18"/>
              </w:rPr>
              <w:t>FlowDir</w:t>
            </w:r>
          </w:p>
        </w:tc>
        <w:tc>
          <w:tcPr>
            <w:tcW w:w="1265" w:type="dxa"/>
            <w:vAlign w:val="center"/>
          </w:tcPr>
          <w:p>
            <w:pPr>
              <w:jc w:val="center"/>
              <w:rPr>
                <w:rFonts w:ascii="仿宋" w:hAnsi="仿宋" w:eastAsia="仿宋" w:cs="仿宋"/>
                <w:sz w:val="18"/>
                <w:szCs w:val="18"/>
              </w:rPr>
            </w:pPr>
            <w:r>
              <w:rPr>
                <w:rFonts w:hint="eastAsia" w:ascii="仿宋" w:hAnsi="仿宋" w:eastAsia="仿宋" w:cs="仿宋"/>
                <w:sz w:val="18"/>
                <w:szCs w:val="18"/>
              </w:rPr>
              <w:t>整型</w:t>
            </w:r>
          </w:p>
        </w:tc>
        <w:tc>
          <w:tcPr>
            <w:tcW w:w="1056" w:type="dxa"/>
            <w:vAlign w:val="center"/>
          </w:tcPr>
          <w:p>
            <w:pPr>
              <w:jc w:val="center"/>
              <w:rPr>
                <w:rFonts w:ascii="仿宋" w:hAnsi="仿宋" w:eastAsia="仿宋" w:cs="仿宋"/>
                <w:sz w:val="18"/>
                <w:szCs w:val="18"/>
              </w:rPr>
            </w:pPr>
            <w:r>
              <w:rPr>
                <w:rFonts w:hint="eastAsia" w:ascii="仿宋" w:hAnsi="仿宋" w:eastAsia="仿宋" w:cs="仿宋"/>
                <w:sz w:val="18"/>
                <w:szCs w:val="18"/>
              </w:rPr>
              <w:t>1</w:t>
            </w:r>
          </w:p>
        </w:tc>
        <w:tc>
          <w:tcPr>
            <w:tcW w:w="939" w:type="dxa"/>
            <w:vAlign w:val="center"/>
          </w:tcPr>
          <w:p>
            <w:pPr>
              <w:jc w:val="center"/>
              <w:rPr>
                <w:rFonts w:ascii="仿宋" w:hAnsi="仿宋" w:eastAsia="仿宋" w:cs="仿宋"/>
                <w:sz w:val="18"/>
                <w:szCs w:val="18"/>
              </w:rPr>
            </w:pPr>
          </w:p>
        </w:tc>
        <w:tc>
          <w:tcPr>
            <w:tcW w:w="1329" w:type="dxa"/>
            <w:vAlign w:val="center"/>
          </w:tcPr>
          <w:p>
            <w:pPr>
              <w:jc w:val="center"/>
              <w:rPr>
                <w:rFonts w:ascii="仿宋" w:hAnsi="仿宋" w:eastAsia="仿宋" w:cs="仿宋"/>
                <w:sz w:val="18"/>
                <w:szCs w:val="18"/>
              </w:rPr>
            </w:pPr>
            <w:r>
              <w:rPr>
                <w:rFonts w:hint="eastAsia" w:ascii="仿宋" w:hAnsi="仿宋" w:eastAsia="仿宋" w:cs="仿宋"/>
                <w:sz w:val="18"/>
                <w:szCs w:val="18"/>
              </w:rPr>
              <w:t>见附表A.</w:t>
            </w:r>
            <w:r>
              <w:rPr>
                <w:rFonts w:ascii="仿宋" w:hAnsi="仿宋" w:eastAsia="仿宋" w:cs="仿宋"/>
                <w:sz w:val="18"/>
                <w:szCs w:val="18"/>
              </w:rPr>
              <w:t>1</w:t>
            </w:r>
            <w:r>
              <w:rPr>
                <w:rFonts w:hint="eastAsia" w:ascii="仿宋" w:hAnsi="仿宋" w:eastAsia="仿宋" w:cs="仿宋"/>
                <w:sz w:val="18"/>
                <w:szCs w:val="18"/>
              </w:rPr>
              <w:t>3</w:t>
            </w:r>
            <w:r>
              <w:rPr>
                <w:rFonts w:ascii="仿宋" w:hAnsi="仿宋" w:eastAsia="仿宋" w:cs="仿宋"/>
                <w:sz w:val="18"/>
                <w:szCs w:val="18"/>
              </w:rPr>
              <w:t>.4</w:t>
            </w:r>
          </w:p>
        </w:tc>
        <w:tc>
          <w:tcPr>
            <w:tcW w:w="2268" w:type="dxa"/>
            <w:vAlign w:val="center"/>
          </w:tcPr>
          <w:p>
            <w:pPr>
              <w:jc w:val="center"/>
              <w:rPr>
                <w:rFonts w:ascii="仿宋" w:hAnsi="仿宋" w:eastAsia="仿宋" w:cs="仿宋"/>
                <w:color w:val="000000"/>
                <w:kern w:val="0"/>
                <w:sz w:val="18"/>
                <w:szCs w:val="18"/>
              </w:rPr>
            </w:pPr>
            <w:r>
              <w:rPr>
                <w:rFonts w:hint="eastAsia" w:ascii="仿宋" w:hAnsi="仿宋" w:eastAsia="仿宋" w:cs="仿宋"/>
                <w:color w:val="000000"/>
                <w:kern w:val="0"/>
                <w:sz w:val="18"/>
                <w:szCs w:val="18"/>
              </w:rPr>
              <w:t>△</w:t>
            </w:r>
          </w:p>
        </w:tc>
        <w:tc>
          <w:tcPr>
            <w:tcW w:w="3484"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pStyle w:val="80"/>
              <w:numPr>
                <w:ilvl w:val="0"/>
                <w:numId w:val="56"/>
              </w:numPr>
              <w:spacing w:line="360" w:lineRule="auto"/>
              <w:ind w:firstLineChars="0"/>
              <w:jc w:val="center"/>
              <w:rPr>
                <w:rFonts w:ascii="仿宋" w:hAnsi="仿宋" w:eastAsia="仿宋" w:cs="仿宋"/>
              </w:rPr>
            </w:pPr>
          </w:p>
        </w:tc>
        <w:tc>
          <w:tcPr>
            <w:tcW w:w="1383" w:type="dxa"/>
            <w:vAlign w:val="center"/>
          </w:tcPr>
          <w:p>
            <w:pPr>
              <w:jc w:val="center"/>
              <w:rPr>
                <w:rFonts w:ascii="仿宋" w:hAnsi="仿宋" w:eastAsia="仿宋" w:cs="仿宋"/>
                <w:sz w:val="18"/>
                <w:szCs w:val="18"/>
              </w:rPr>
            </w:pPr>
            <w:r>
              <w:rPr>
                <w:rFonts w:hint="eastAsia" w:ascii="仿宋" w:hAnsi="仿宋" w:eastAsia="仿宋" w:cs="仿宋"/>
                <w:sz w:val="18"/>
                <w:szCs w:val="18"/>
              </w:rPr>
              <w:t>总孔数</w:t>
            </w:r>
          </w:p>
        </w:tc>
        <w:tc>
          <w:tcPr>
            <w:tcW w:w="1393" w:type="dxa"/>
            <w:vAlign w:val="center"/>
          </w:tcPr>
          <w:p>
            <w:pPr>
              <w:jc w:val="center"/>
              <w:rPr>
                <w:rFonts w:ascii="仿宋" w:hAnsi="仿宋" w:eastAsia="仿宋" w:cs="仿宋"/>
                <w:sz w:val="18"/>
                <w:szCs w:val="18"/>
              </w:rPr>
            </w:pPr>
            <w:r>
              <w:rPr>
                <w:rFonts w:hint="eastAsia" w:ascii="仿宋" w:hAnsi="仿宋" w:eastAsia="仿宋" w:cs="仿宋"/>
                <w:sz w:val="18"/>
                <w:szCs w:val="18"/>
              </w:rPr>
              <w:t>TotalHole</w:t>
            </w:r>
          </w:p>
        </w:tc>
        <w:tc>
          <w:tcPr>
            <w:tcW w:w="1265" w:type="dxa"/>
            <w:vAlign w:val="center"/>
          </w:tcPr>
          <w:p>
            <w:pPr>
              <w:jc w:val="center"/>
              <w:rPr>
                <w:rFonts w:ascii="仿宋" w:hAnsi="仿宋" w:eastAsia="仿宋" w:cs="仿宋"/>
                <w:sz w:val="18"/>
                <w:szCs w:val="18"/>
              </w:rPr>
            </w:pPr>
            <w:r>
              <w:rPr>
                <w:rFonts w:hint="eastAsia" w:ascii="仿宋" w:hAnsi="仿宋" w:eastAsia="仿宋" w:cs="仿宋"/>
                <w:sz w:val="18"/>
                <w:szCs w:val="18"/>
              </w:rPr>
              <w:t>整型</w:t>
            </w:r>
          </w:p>
        </w:tc>
        <w:tc>
          <w:tcPr>
            <w:tcW w:w="1056" w:type="dxa"/>
            <w:vAlign w:val="center"/>
          </w:tcPr>
          <w:p>
            <w:pPr>
              <w:jc w:val="center"/>
              <w:rPr>
                <w:rFonts w:ascii="仿宋" w:hAnsi="仿宋" w:eastAsia="仿宋" w:cs="仿宋"/>
                <w:sz w:val="18"/>
                <w:szCs w:val="18"/>
              </w:rPr>
            </w:pPr>
          </w:p>
        </w:tc>
        <w:tc>
          <w:tcPr>
            <w:tcW w:w="939" w:type="dxa"/>
            <w:vAlign w:val="center"/>
          </w:tcPr>
          <w:p>
            <w:pPr>
              <w:jc w:val="center"/>
              <w:rPr>
                <w:rFonts w:ascii="仿宋" w:hAnsi="仿宋" w:eastAsia="仿宋" w:cs="仿宋"/>
                <w:sz w:val="18"/>
                <w:szCs w:val="18"/>
              </w:rPr>
            </w:pPr>
          </w:p>
        </w:tc>
        <w:tc>
          <w:tcPr>
            <w:tcW w:w="1329" w:type="dxa"/>
            <w:vAlign w:val="center"/>
          </w:tcPr>
          <w:p>
            <w:pPr>
              <w:jc w:val="center"/>
              <w:rPr>
                <w:rFonts w:ascii="仿宋" w:hAnsi="仿宋" w:eastAsia="仿宋" w:cs="仿宋"/>
                <w:sz w:val="18"/>
                <w:szCs w:val="18"/>
              </w:rPr>
            </w:pPr>
          </w:p>
        </w:tc>
        <w:tc>
          <w:tcPr>
            <w:tcW w:w="2268" w:type="dxa"/>
            <w:vAlign w:val="center"/>
          </w:tcPr>
          <w:p>
            <w:pPr>
              <w:jc w:val="center"/>
              <w:rPr>
                <w:rFonts w:ascii="仿宋" w:hAnsi="仿宋" w:eastAsia="仿宋" w:cs="仿宋"/>
                <w:sz w:val="18"/>
                <w:szCs w:val="18"/>
              </w:rPr>
            </w:pPr>
            <w:r>
              <w:rPr>
                <w:rFonts w:hint="eastAsia" w:ascii="仿宋" w:hAnsi="仿宋" w:eastAsia="仿宋" w:cs="仿宋"/>
                <w:color w:val="000000"/>
                <w:kern w:val="0"/>
                <w:sz w:val="18"/>
                <w:szCs w:val="18"/>
              </w:rPr>
              <w:t>△</w:t>
            </w:r>
          </w:p>
        </w:tc>
        <w:tc>
          <w:tcPr>
            <w:tcW w:w="3484"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pStyle w:val="80"/>
              <w:numPr>
                <w:ilvl w:val="0"/>
                <w:numId w:val="56"/>
              </w:numPr>
              <w:spacing w:line="360" w:lineRule="auto"/>
              <w:ind w:firstLineChars="0"/>
              <w:jc w:val="center"/>
              <w:rPr>
                <w:rFonts w:ascii="仿宋" w:hAnsi="仿宋" w:eastAsia="仿宋" w:cs="仿宋"/>
              </w:rPr>
            </w:pPr>
          </w:p>
        </w:tc>
        <w:tc>
          <w:tcPr>
            <w:tcW w:w="1383" w:type="dxa"/>
            <w:vAlign w:val="center"/>
          </w:tcPr>
          <w:p>
            <w:pPr>
              <w:jc w:val="center"/>
              <w:rPr>
                <w:rFonts w:ascii="仿宋" w:hAnsi="仿宋" w:eastAsia="仿宋" w:cs="仿宋"/>
                <w:sz w:val="18"/>
                <w:szCs w:val="18"/>
              </w:rPr>
            </w:pPr>
            <w:r>
              <w:rPr>
                <w:rFonts w:hint="eastAsia" w:ascii="仿宋" w:hAnsi="仿宋" w:eastAsia="仿宋" w:cs="仿宋"/>
                <w:sz w:val="18"/>
                <w:szCs w:val="18"/>
              </w:rPr>
              <w:t>已用孔数</w:t>
            </w:r>
          </w:p>
        </w:tc>
        <w:tc>
          <w:tcPr>
            <w:tcW w:w="1393" w:type="dxa"/>
            <w:vAlign w:val="center"/>
          </w:tcPr>
          <w:p>
            <w:pPr>
              <w:jc w:val="center"/>
              <w:rPr>
                <w:rFonts w:ascii="仿宋" w:hAnsi="仿宋" w:eastAsia="仿宋" w:cs="仿宋"/>
                <w:sz w:val="18"/>
                <w:szCs w:val="18"/>
              </w:rPr>
            </w:pPr>
            <w:r>
              <w:rPr>
                <w:rFonts w:hint="eastAsia" w:ascii="仿宋" w:hAnsi="仿宋" w:eastAsia="仿宋" w:cs="仿宋"/>
                <w:sz w:val="18"/>
                <w:szCs w:val="18"/>
              </w:rPr>
              <w:t>UsedHole</w:t>
            </w:r>
          </w:p>
        </w:tc>
        <w:tc>
          <w:tcPr>
            <w:tcW w:w="1265" w:type="dxa"/>
            <w:vAlign w:val="center"/>
          </w:tcPr>
          <w:p>
            <w:pPr>
              <w:jc w:val="center"/>
              <w:rPr>
                <w:rFonts w:ascii="仿宋" w:hAnsi="仿宋" w:eastAsia="仿宋" w:cs="仿宋"/>
                <w:sz w:val="18"/>
                <w:szCs w:val="18"/>
              </w:rPr>
            </w:pPr>
            <w:r>
              <w:rPr>
                <w:rFonts w:hint="eastAsia" w:ascii="仿宋" w:hAnsi="仿宋" w:eastAsia="仿宋" w:cs="仿宋"/>
                <w:sz w:val="18"/>
                <w:szCs w:val="18"/>
              </w:rPr>
              <w:t>整型</w:t>
            </w:r>
          </w:p>
        </w:tc>
        <w:tc>
          <w:tcPr>
            <w:tcW w:w="1056" w:type="dxa"/>
            <w:vAlign w:val="center"/>
          </w:tcPr>
          <w:p>
            <w:pPr>
              <w:jc w:val="center"/>
              <w:rPr>
                <w:rFonts w:ascii="仿宋" w:hAnsi="仿宋" w:eastAsia="仿宋" w:cs="仿宋"/>
                <w:sz w:val="18"/>
                <w:szCs w:val="18"/>
              </w:rPr>
            </w:pPr>
          </w:p>
        </w:tc>
        <w:tc>
          <w:tcPr>
            <w:tcW w:w="939" w:type="dxa"/>
            <w:vAlign w:val="center"/>
          </w:tcPr>
          <w:p>
            <w:pPr>
              <w:jc w:val="center"/>
              <w:rPr>
                <w:rFonts w:ascii="仿宋" w:hAnsi="仿宋" w:eastAsia="仿宋" w:cs="仿宋"/>
                <w:sz w:val="18"/>
                <w:szCs w:val="18"/>
              </w:rPr>
            </w:pPr>
          </w:p>
        </w:tc>
        <w:tc>
          <w:tcPr>
            <w:tcW w:w="1329" w:type="dxa"/>
            <w:vAlign w:val="center"/>
          </w:tcPr>
          <w:p>
            <w:pPr>
              <w:jc w:val="center"/>
              <w:rPr>
                <w:rFonts w:ascii="仿宋" w:hAnsi="仿宋" w:eastAsia="仿宋" w:cs="仿宋"/>
                <w:sz w:val="18"/>
                <w:szCs w:val="18"/>
              </w:rPr>
            </w:pPr>
          </w:p>
        </w:tc>
        <w:tc>
          <w:tcPr>
            <w:tcW w:w="2268" w:type="dxa"/>
            <w:vAlign w:val="center"/>
          </w:tcPr>
          <w:p>
            <w:pPr>
              <w:jc w:val="center"/>
              <w:rPr>
                <w:rFonts w:ascii="仿宋" w:hAnsi="仿宋" w:eastAsia="仿宋" w:cs="仿宋"/>
                <w:sz w:val="18"/>
                <w:szCs w:val="18"/>
              </w:rPr>
            </w:pPr>
            <w:r>
              <w:rPr>
                <w:rFonts w:hint="eastAsia" w:ascii="仿宋" w:hAnsi="仿宋" w:eastAsia="仿宋" w:cs="仿宋"/>
                <w:color w:val="000000"/>
                <w:kern w:val="0"/>
                <w:sz w:val="18"/>
                <w:szCs w:val="18"/>
              </w:rPr>
              <w:t>△</w:t>
            </w:r>
          </w:p>
        </w:tc>
        <w:tc>
          <w:tcPr>
            <w:tcW w:w="3484"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pStyle w:val="80"/>
              <w:numPr>
                <w:ilvl w:val="0"/>
                <w:numId w:val="56"/>
              </w:numPr>
              <w:spacing w:line="360" w:lineRule="auto"/>
              <w:ind w:firstLineChars="0"/>
              <w:jc w:val="center"/>
              <w:rPr>
                <w:rFonts w:ascii="仿宋" w:hAnsi="仿宋" w:eastAsia="仿宋" w:cs="仿宋"/>
              </w:rPr>
            </w:pPr>
          </w:p>
        </w:tc>
        <w:tc>
          <w:tcPr>
            <w:tcW w:w="1383" w:type="dxa"/>
            <w:vAlign w:val="center"/>
          </w:tcPr>
          <w:p>
            <w:pPr>
              <w:jc w:val="center"/>
              <w:rPr>
                <w:rFonts w:ascii="仿宋" w:hAnsi="仿宋" w:eastAsia="仿宋" w:cs="仿宋"/>
                <w:sz w:val="18"/>
                <w:szCs w:val="18"/>
              </w:rPr>
            </w:pPr>
            <w:r>
              <w:rPr>
                <w:rFonts w:hint="eastAsia" w:ascii="仿宋" w:hAnsi="仿宋" w:eastAsia="仿宋" w:cs="仿宋"/>
                <w:sz w:val="18"/>
                <w:szCs w:val="18"/>
              </w:rPr>
              <w:t>线缆条数</w:t>
            </w:r>
          </w:p>
        </w:tc>
        <w:tc>
          <w:tcPr>
            <w:tcW w:w="1393" w:type="dxa"/>
            <w:vAlign w:val="center"/>
          </w:tcPr>
          <w:p>
            <w:pPr>
              <w:jc w:val="center"/>
              <w:rPr>
                <w:rFonts w:ascii="仿宋" w:hAnsi="仿宋" w:eastAsia="仿宋" w:cs="仿宋"/>
                <w:sz w:val="18"/>
                <w:szCs w:val="18"/>
              </w:rPr>
            </w:pPr>
            <w:r>
              <w:rPr>
                <w:rFonts w:hint="eastAsia" w:ascii="仿宋" w:hAnsi="仿宋" w:eastAsia="仿宋" w:cs="仿宋"/>
                <w:sz w:val="18"/>
                <w:szCs w:val="18"/>
              </w:rPr>
              <w:t>CabNum</w:t>
            </w:r>
          </w:p>
        </w:tc>
        <w:tc>
          <w:tcPr>
            <w:tcW w:w="1265"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056" w:type="dxa"/>
            <w:vAlign w:val="center"/>
          </w:tcPr>
          <w:p>
            <w:pPr>
              <w:jc w:val="center"/>
              <w:rPr>
                <w:rFonts w:ascii="仿宋" w:hAnsi="仿宋" w:eastAsia="仿宋" w:cs="仿宋"/>
                <w:sz w:val="18"/>
                <w:szCs w:val="18"/>
              </w:rPr>
            </w:pPr>
          </w:p>
        </w:tc>
        <w:tc>
          <w:tcPr>
            <w:tcW w:w="939" w:type="dxa"/>
            <w:vAlign w:val="center"/>
          </w:tcPr>
          <w:p>
            <w:pPr>
              <w:jc w:val="center"/>
              <w:rPr>
                <w:rFonts w:ascii="仿宋" w:hAnsi="仿宋" w:eastAsia="仿宋" w:cs="仿宋"/>
                <w:sz w:val="18"/>
                <w:szCs w:val="18"/>
              </w:rPr>
            </w:pPr>
          </w:p>
        </w:tc>
        <w:tc>
          <w:tcPr>
            <w:tcW w:w="1329" w:type="dxa"/>
            <w:vAlign w:val="center"/>
          </w:tcPr>
          <w:p>
            <w:pPr>
              <w:jc w:val="center"/>
              <w:rPr>
                <w:rFonts w:ascii="仿宋" w:hAnsi="仿宋" w:eastAsia="仿宋" w:cs="仿宋"/>
                <w:sz w:val="18"/>
                <w:szCs w:val="18"/>
              </w:rPr>
            </w:pPr>
          </w:p>
        </w:tc>
        <w:tc>
          <w:tcPr>
            <w:tcW w:w="2268"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w:t>
            </w:r>
          </w:p>
        </w:tc>
        <w:tc>
          <w:tcPr>
            <w:tcW w:w="3484" w:type="dxa"/>
            <w:vAlign w:val="center"/>
          </w:tcPr>
          <w:p>
            <w:pPr>
              <w:jc w:val="center"/>
              <w:rPr>
                <w:rFonts w:ascii="仿宋" w:hAnsi="仿宋" w:eastAsia="仿宋" w:cs="仿宋"/>
                <w:sz w:val="18"/>
                <w:szCs w:val="18"/>
              </w:rPr>
            </w:pPr>
            <w:r>
              <w:rPr>
                <w:rFonts w:hint="eastAsia" w:ascii="仿宋" w:hAnsi="仿宋" w:eastAsia="仿宋" w:cs="仿宋"/>
                <w:sz w:val="18"/>
                <w:szCs w:val="18"/>
              </w:rPr>
              <w:t>电力管线才需填写。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pStyle w:val="80"/>
              <w:numPr>
                <w:ilvl w:val="0"/>
                <w:numId w:val="56"/>
              </w:numPr>
              <w:spacing w:line="360" w:lineRule="auto"/>
              <w:ind w:firstLineChars="0"/>
              <w:jc w:val="center"/>
              <w:rPr>
                <w:rFonts w:ascii="仿宋" w:hAnsi="仿宋" w:eastAsia="仿宋" w:cs="仿宋"/>
              </w:rPr>
            </w:pPr>
          </w:p>
        </w:tc>
        <w:tc>
          <w:tcPr>
            <w:tcW w:w="1383" w:type="dxa"/>
            <w:vAlign w:val="center"/>
          </w:tcPr>
          <w:p>
            <w:pPr>
              <w:jc w:val="center"/>
              <w:rPr>
                <w:rFonts w:ascii="仿宋" w:hAnsi="仿宋" w:eastAsia="仿宋" w:cs="仿宋"/>
                <w:sz w:val="18"/>
                <w:szCs w:val="18"/>
              </w:rPr>
            </w:pPr>
            <w:r>
              <w:rPr>
                <w:rFonts w:hint="eastAsia" w:ascii="仿宋" w:hAnsi="仿宋" w:eastAsia="仿宋" w:cs="仿宋"/>
                <w:sz w:val="18"/>
                <w:szCs w:val="18"/>
              </w:rPr>
              <w:t>孔径</w:t>
            </w:r>
          </w:p>
        </w:tc>
        <w:tc>
          <w:tcPr>
            <w:tcW w:w="1393" w:type="dxa"/>
            <w:vAlign w:val="center"/>
          </w:tcPr>
          <w:p>
            <w:pPr>
              <w:jc w:val="center"/>
              <w:rPr>
                <w:rFonts w:ascii="仿宋" w:hAnsi="仿宋" w:eastAsia="仿宋" w:cs="仿宋"/>
                <w:sz w:val="18"/>
                <w:szCs w:val="18"/>
              </w:rPr>
            </w:pPr>
            <w:r>
              <w:rPr>
                <w:rFonts w:hint="eastAsia" w:ascii="仿宋" w:hAnsi="仿宋" w:eastAsia="仿宋" w:cs="仿宋"/>
                <w:sz w:val="18"/>
                <w:szCs w:val="18"/>
              </w:rPr>
              <w:t>HSize</w:t>
            </w:r>
          </w:p>
        </w:tc>
        <w:tc>
          <w:tcPr>
            <w:tcW w:w="1265" w:type="dxa"/>
            <w:vAlign w:val="center"/>
          </w:tcPr>
          <w:p>
            <w:pPr>
              <w:jc w:val="center"/>
              <w:rPr>
                <w:rFonts w:ascii="仿宋" w:hAnsi="仿宋" w:eastAsia="仿宋" w:cs="仿宋"/>
                <w:szCs w:val="22"/>
              </w:rPr>
            </w:pPr>
            <w:r>
              <w:rPr>
                <w:rFonts w:hint="eastAsia" w:ascii="仿宋" w:hAnsi="仿宋" w:eastAsia="仿宋" w:cs="仿宋"/>
                <w:sz w:val="18"/>
                <w:szCs w:val="18"/>
              </w:rPr>
              <w:t>字符型</w:t>
            </w:r>
          </w:p>
        </w:tc>
        <w:tc>
          <w:tcPr>
            <w:tcW w:w="1056" w:type="dxa"/>
            <w:vAlign w:val="center"/>
          </w:tcPr>
          <w:p>
            <w:pPr>
              <w:jc w:val="center"/>
              <w:rPr>
                <w:rFonts w:ascii="仿宋" w:hAnsi="仿宋" w:eastAsia="仿宋" w:cs="仿宋"/>
                <w:sz w:val="18"/>
                <w:szCs w:val="18"/>
              </w:rPr>
            </w:pPr>
            <w:r>
              <w:rPr>
                <w:rFonts w:hint="eastAsia" w:ascii="仿宋" w:hAnsi="仿宋" w:eastAsia="仿宋" w:cs="仿宋"/>
                <w:sz w:val="18"/>
                <w:szCs w:val="18"/>
              </w:rPr>
              <w:t>12</w:t>
            </w:r>
          </w:p>
        </w:tc>
        <w:tc>
          <w:tcPr>
            <w:tcW w:w="939" w:type="dxa"/>
            <w:vAlign w:val="center"/>
          </w:tcPr>
          <w:p>
            <w:pPr>
              <w:jc w:val="center"/>
              <w:rPr>
                <w:rFonts w:ascii="仿宋" w:hAnsi="仿宋" w:eastAsia="仿宋" w:cs="仿宋"/>
                <w:sz w:val="18"/>
                <w:szCs w:val="18"/>
              </w:rPr>
            </w:pPr>
          </w:p>
        </w:tc>
        <w:tc>
          <w:tcPr>
            <w:tcW w:w="1329" w:type="dxa"/>
            <w:vAlign w:val="center"/>
          </w:tcPr>
          <w:p>
            <w:pPr>
              <w:jc w:val="center"/>
              <w:rPr>
                <w:rFonts w:ascii="仿宋" w:hAnsi="仿宋" w:eastAsia="仿宋" w:cs="仿宋"/>
                <w:sz w:val="18"/>
                <w:szCs w:val="18"/>
              </w:rPr>
            </w:pPr>
          </w:p>
        </w:tc>
        <w:tc>
          <w:tcPr>
            <w:tcW w:w="2268" w:type="dxa"/>
            <w:vAlign w:val="center"/>
          </w:tcPr>
          <w:p>
            <w:pPr>
              <w:jc w:val="center"/>
              <w:rPr>
                <w:rFonts w:ascii="仿宋" w:hAnsi="仿宋" w:eastAsia="仿宋" w:cs="仿宋"/>
                <w:sz w:val="18"/>
                <w:szCs w:val="18"/>
              </w:rPr>
            </w:pPr>
            <w:r>
              <w:rPr>
                <w:rFonts w:hint="eastAsia" w:ascii="仿宋" w:hAnsi="仿宋" w:eastAsia="仿宋" w:cs="仿宋"/>
                <w:color w:val="000000"/>
                <w:kern w:val="0"/>
                <w:sz w:val="18"/>
                <w:szCs w:val="18"/>
              </w:rPr>
              <w:t>○</w:t>
            </w:r>
          </w:p>
        </w:tc>
        <w:tc>
          <w:tcPr>
            <w:tcW w:w="3484" w:type="dxa"/>
            <w:vAlign w:val="center"/>
          </w:tcPr>
          <w:p>
            <w:pPr>
              <w:jc w:val="center"/>
              <w:rPr>
                <w:rFonts w:ascii="仿宋" w:hAnsi="仿宋" w:eastAsia="仿宋" w:cs="仿宋"/>
                <w:sz w:val="18"/>
                <w:szCs w:val="18"/>
              </w:rPr>
            </w:pPr>
            <w:r>
              <w:rPr>
                <w:rFonts w:hint="eastAsia" w:ascii="仿宋" w:hAnsi="仿宋" w:eastAsia="仿宋" w:cs="仿宋"/>
                <w:sz w:val="18"/>
                <w:szCs w:val="18"/>
              </w:rPr>
              <w:t>指管块的小孔的直径，单位：毫米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pStyle w:val="80"/>
              <w:numPr>
                <w:ilvl w:val="0"/>
                <w:numId w:val="56"/>
              </w:numPr>
              <w:spacing w:line="360" w:lineRule="auto"/>
              <w:ind w:firstLineChars="0"/>
              <w:jc w:val="center"/>
              <w:rPr>
                <w:rFonts w:ascii="仿宋" w:hAnsi="仿宋" w:eastAsia="仿宋" w:cs="仿宋"/>
              </w:rPr>
            </w:pPr>
          </w:p>
        </w:tc>
        <w:tc>
          <w:tcPr>
            <w:tcW w:w="1383" w:type="dxa"/>
            <w:vAlign w:val="center"/>
          </w:tcPr>
          <w:p>
            <w:pPr>
              <w:jc w:val="center"/>
              <w:rPr>
                <w:rFonts w:ascii="仿宋" w:hAnsi="仿宋" w:eastAsia="仿宋" w:cs="仿宋"/>
                <w:sz w:val="18"/>
                <w:szCs w:val="18"/>
              </w:rPr>
            </w:pPr>
            <w:r>
              <w:rPr>
                <w:rFonts w:hint="eastAsia" w:ascii="仿宋" w:hAnsi="仿宋" w:eastAsia="仿宋" w:cs="仿宋"/>
                <w:sz w:val="18"/>
                <w:szCs w:val="18"/>
              </w:rPr>
              <w:t>线型名称</w:t>
            </w:r>
          </w:p>
        </w:tc>
        <w:tc>
          <w:tcPr>
            <w:tcW w:w="1393"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LineType</w:t>
            </w:r>
          </w:p>
        </w:tc>
        <w:tc>
          <w:tcPr>
            <w:tcW w:w="1265"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056" w:type="dxa"/>
            <w:vAlign w:val="center"/>
          </w:tcPr>
          <w:p>
            <w:pPr>
              <w:jc w:val="center"/>
              <w:rPr>
                <w:rFonts w:ascii="仿宋" w:hAnsi="仿宋" w:eastAsia="仿宋" w:cs="仿宋"/>
                <w:sz w:val="18"/>
                <w:szCs w:val="18"/>
              </w:rPr>
            </w:pPr>
            <w:r>
              <w:rPr>
                <w:rFonts w:hint="eastAsia" w:ascii="仿宋" w:hAnsi="仿宋" w:eastAsia="仿宋" w:cs="仿宋"/>
                <w:sz w:val="18"/>
                <w:szCs w:val="18"/>
              </w:rPr>
              <w:t>4</w:t>
            </w:r>
          </w:p>
        </w:tc>
        <w:tc>
          <w:tcPr>
            <w:tcW w:w="939" w:type="dxa"/>
            <w:vAlign w:val="center"/>
          </w:tcPr>
          <w:p>
            <w:pPr>
              <w:jc w:val="center"/>
              <w:rPr>
                <w:rFonts w:ascii="仿宋" w:hAnsi="仿宋" w:eastAsia="仿宋" w:cs="仿宋"/>
                <w:sz w:val="18"/>
                <w:szCs w:val="18"/>
              </w:rPr>
            </w:pPr>
          </w:p>
        </w:tc>
        <w:tc>
          <w:tcPr>
            <w:tcW w:w="1329" w:type="dxa"/>
            <w:vAlign w:val="center"/>
          </w:tcPr>
          <w:p>
            <w:pPr>
              <w:jc w:val="center"/>
              <w:rPr>
                <w:rFonts w:ascii="仿宋" w:hAnsi="仿宋" w:eastAsia="仿宋" w:cs="仿宋"/>
                <w:sz w:val="18"/>
                <w:szCs w:val="18"/>
              </w:rPr>
            </w:pPr>
            <w:r>
              <w:rPr>
                <w:rFonts w:hint="eastAsia" w:ascii="仿宋" w:hAnsi="仿宋" w:eastAsia="仿宋" w:cs="仿宋"/>
                <w:sz w:val="18"/>
                <w:szCs w:val="18"/>
              </w:rPr>
              <w:t>见附表A.</w:t>
            </w:r>
            <w:r>
              <w:rPr>
                <w:rFonts w:ascii="仿宋" w:hAnsi="仿宋" w:eastAsia="仿宋" w:cs="仿宋"/>
                <w:sz w:val="18"/>
                <w:szCs w:val="18"/>
              </w:rPr>
              <w:t>1</w:t>
            </w:r>
            <w:r>
              <w:rPr>
                <w:rFonts w:hint="eastAsia" w:ascii="仿宋" w:hAnsi="仿宋" w:eastAsia="仿宋" w:cs="仿宋"/>
                <w:sz w:val="18"/>
                <w:szCs w:val="18"/>
              </w:rPr>
              <w:t>1</w:t>
            </w:r>
          </w:p>
        </w:tc>
        <w:tc>
          <w:tcPr>
            <w:tcW w:w="2268" w:type="dxa"/>
            <w:vAlign w:val="center"/>
          </w:tcPr>
          <w:p>
            <w:pPr>
              <w:jc w:val="center"/>
              <w:rPr>
                <w:rFonts w:ascii="仿宋" w:hAnsi="仿宋" w:eastAsia="仿宋" w:cs="仿宋"/>
                <w:kern w:val="0"/>
                <w:szCs w:val="21"/>
              </w:rPr>
            </w:pPr>
            <w:r>
              <w:rPr>
                <w:rFonts w:hint="eastAsia" w:ascii="仿宋" w:hAnsi="仿宋" w:eastAsia="仿宋" w:cs="仿宋"/>
                <w:kern w:val="0"/>
                <w:szCs w:val="21"/>
              </w:rPr>
              <w:t>▲</w:t>
            </w:r>
          </w:p>
        </w:tc>
        <w:tc>
          <w:tcPr>
            <w:tcW w:w="3484"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pStyle w:val="80"/>
              <w:numPr>
                <w:ilvl w:val="0"/>
                <w:numId w:val="56"/>
              </w:numPr>
              <w:spacing w:line="360" w:lineRule="auto"/>
              <w:ind w:firstLineChars="0"/>
              <w:jc w:val="center"/>
              <w:rPr>
                <w:rFonts w:ascii="仿宋" w:hAnsi="仿宋" w:eastAsia="仿宋" w:cs="仿宋"/>
              </w:rPr>
            </w:pPr>
          </w:p>
        </w:tc>
        <w:tc>
          <w:tcPr>
            <w:tcW w:w="1383" w:type="dxa"/>
            <w:vAlign w:val="center"/>
          </w:tcPr>
          <w:p>
            <w:pPr>
              <w:jc w:val="center"/>
              <w:rPr>
                <w:rFonts w:ascii="仿宋" w:hAnsi="仿宋" w:eastAsia="仿宋" w:cs="仿宋"/>
                <w:sz w:val="18"/>
                <w:szCs w:val="18"/>
              </w:rPr>
            </w:pPr>
            <w:r>
              <w:rPr>
                <w:rFonts w:hint="eastAsia" w:ascii="仿宋" w:hAnsi="仿宋" w:eastAsia="仿宋" w:cs="仿宋"/>
                <w:sz w:val="18"/>
                <w:szCs w:val="18"/>
              </w:rPr>
              <w:t>使用状况</w:t>
            </w:r>
          </w:p>
        </w:tc>
        <w:tc>
          <w:tcPr>
            <w:tcW w:w="1393"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Ginfo</w:t>
            </w:r>
          </w:p>
        </w:tc>
        <w:tc>
          <w:tcPr>
            <w:tcW w:w="1265" w:type="dxa"/>
            <w:vAlign w:val="center"/>
          </w:tcPr>
          <w:p>
            <w:pPr>
              <w:jc w:val="center"/>
              <w:rPr>
                <w:rFonts w:ascii="仿宋" w:hAnsi="仿宋" w:eastAsia="仿宋" w:cs="仿宋"/>
                <w:szCs w:val="22"/>
              </w:rPr>
            </w:pPr>
            <w:r>
              <w:rPr>
                <w:rFonts w:hint="eastAsia" w:ascii="仿宋" w:hAnsi="仿宋" w:eastAsia="仿宋" w:cs="仿宋"/>
                <w:sz w:val="18"/>
                <w:szCs w:val="18"/>
              </w:rPr>
              <w:t>字符型</w:t>
            </w:r>
          </w:p>
        </w:tc>
        <w:tc>
          <w:tcPr>
            <w:tcW w:w="1056"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939" w:type="dxa"/>
            <w:vAlign w:val="center"/>
          </w:tcPr>
          <w:p>
            <w:pPr>
              <w:jc w:val="center"/>
              <w:rPr>
                <w:rFonts w:ascii="仿宋" w:hAnsi="仿宋" w:eastAsia="仿宋" w:cs="仿宋"/>
                <w:sz w:val="18"/>
                <w:szCs w:val="18"/>
              </w:rPr>
            </w:pPr>
          </w:p>
        </w:tc>
        <w:tc>
          <w:tcPr>
            <w:tcW w:w="1329" w:type="dxa"/>
            <w:vAlign w:val="center"/>
          </w:tcPr>
          <w:p>
            <w:pPr>
              <w:jc w:val="center"/>
              <w:rPr>
                <w:rFonts w:ascii="仿宋" w:hAnsi="仿宋" w:eastAsia="仿宋" w:cs="仿宋"/>
                <w:sz w:val="18"/>
                <w:szCs w:val="18"/>
              </w:rPr>
            </w:pPr>
            <w:r>
              <w:rPr>
                <w:rFonts w:hint="eastAsia" w:ascii="仿宋" w:hAnsi="仿宋" w:eastAsia="仿宋" w:cs="仿宋"/>
                <w:sz w:val="18"/>
                <w:szCs w:val="18"/>
              </w:rPr>
              <w:t>见附表A.</w:t>
            </w:r>
            <w:r>
              <w:rPr>
                <w:rFonts w:ascii="仿宋" w:hAnsi="仿宋" w:eastAsia="仿宋" w:cs="仿宋"/>
                <w:sz w:val="18"/>
                <w:szCs w:val="18"/>
              </w:rPr>
              <w:t>1</w:t>
            </w:r>
            <w:r>
              <w:rPr>
                <w:rFonts w:hint="eastAsia" w:ascii="仿宋" w:hAnsi="仿宋" w:eastAsia="仿宋" w:cs="仿宋"/>
                <w:sz w:val="18"/>
                <w:szCs w:val="18"/>
              </w:rPr>
              <w:t>3</w:t>
            </w:r>
            <w:r>
              <w:rPr>
                <w:rFonts w:ascii="仿宋" w:hAnsi="仿宋" w:eastAsia="仿宋" w:cs="仿宋"/>
                <w:sz w:val="18"/>
                <w:szCs w:val="18"/>
              </w:rPr>
              <w:t>.7</w:t>
            </w:r>
          </w:p>
        </w:tc>
        <w:tc>
          <w:tcPr>
            <w:tcW w:w="2268" w:type="dxa"/>
            <w:vAlign w:val="center"/>
          </w:tcPr>
          <w:p>
            <w:pPr>
              <w:jc w:val="center"/>
              <w:rPr>
                <w:rFonts w:ascii="仿宋" w:hAnsi="仿宋" w:eastAsia="仿宋" w:cs="仿宋"/>
                <w:sz w:val="18"/>
                <w:szCs w:val="18"/>
              </w:rPr>
            </w:pPr>
            <w:r>
              <w:rPr>
                <w:rFonts w:hint="eastAsia" w:ascii="仿宋" w:hAnsi="仿宋" w:eastAsia="仿宋" w:cs="仿宋"/>
                <w:kern w:val="0"/>
                <w:szCs w:val="21"/>
              </w:rPr>
              <w:t>▲</w:t>
            </w:r>
          </w:p>
        </w:tc>
        <w:tc>
          <w:tcPr>
            <w:tcW w:w="3484"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pStyle w:val="80"/>
              <w:numPr>
                <w:ilvl w:val="0"/>
                <w:numId w:val="56"/>
              </w:numPr>
              <w:spacing w:line="360" w:lineRule="auto"/>
              <w:ind w:firstLineChars="0"/>
              <w:jc w:val="center"/>
              <w:rPr>
                <w:rFonts w:ascii="仿宋" w:hAnsi="仿宋" w:eastAsia="仿宋" w:cs="仿宋"/>
              </w:rPr>
            </w:pPr>
          </w:p>
        </w:tc>
        <w:tc>
          <w:tcPr>
            <w:tcW w:w="1383" w:type="dxa"/>
            <w:vAlign w:val="center"/>
          </w:tcPr>
          <w:p>
            <w:pPr>
              <w:jc w:val="center"/>
              <w:rPr>
                <w:rFonts w:ascii="仿宋" w:hAnsi="仿宋" w:eastAsia="仿宋" w:cs="仿宋"/>
                <w:sz w:val="18"/>
                <w:szCs w:val="18"/>
              </w:rPr>
            </w:pPr>
            <w:r>
              <w:rPr>
                <w:rFonts w:hint="eastAsia" w:ascii="仿宋" w:hAnsi="仿宋" w:eastAsia="仿宋" w:cs="仿宋"/>
                <w:sz w:val="18"/>
                <w:szCs w:val="18"/>
              </w:rPr>
              <w:t>所属道路</w:t>
            </w:r>
          </w:p>
        </w:tc>
        <w:tc>
          <w:tcPr>
            <w:tcW w:w="1393" w:type="dxa"/>
            <w:vAlign w:val="center"/>
          </w:tcPr>
          <w:p>
            <w:pPr>
              <w:jc w:val="center"/>
              <w:rPr>
                <w:rFonts w:ascii="仿宋" w:hAnsi="仿宋" w:eastAsia="仿宋" w:cs="仿宋"/>
                <w:sz w:val="18"/>
                <w:szCs w:val="18"/>
              </w:rPr>
            </w:pPr>
            <w:r>
              <w:rPr>
                <w:rFonts w:hint="eastAsia" w:ascii="仿宋" w:hAnsi="仿宋" w:eastAsia="仿宋" w:cs="仿宋"/>
                <w:sz w:val="18"/>
                <w:szCs w:val="18"/>
              </w:rPr>
              <w:t>Road</w:t>
            </w:r>
          </w:p>
        </w:tc>
        <w:tc>
          <w:tcPr>
            <w:tcW w:w="1265" w:type="dxa"/>
            <w:vAlign w:val="center"/>
          </w:tcPr>
          <w:p>
            <w:pPr>
              <w:jc w:val="center"/>
              <w:rPr>
                <w:rFonts w:ascii="仿宋" w:hAnsi="仿宋" w:eastAsia="仿宋" w:cs="仿宋"/>
                <w:szCs w:val="22"/>
              </w:rPr>
            </w:pPr>
            <w:r>
              <w:rPr>
                <w:rFonts w:hint="eastAsia" w:ascii="仿宋" w:hAnsi="仿宋" w:eastAsia="仿宋" w:cs="仿宋"/>
                <w:sz w:val="18"/>
                <w:szCs w:val="18"/>
              </w:rPr>
              <w:t>字符型</w:t>
            </w:r>
          </w:p>
        </w:tc>
        <w:tc>
          <w:tcPr>
            <w:tcW w:w="1056" w:type="dxa"/>
            <w:vAlign w:val="center"/>
          </w:tcPr>
          <w:p>
            <w:pPr>
              <w:jc w:val="center"/>
              <w:rPr>
                <w:rFonts w:ascii="仿宋" w:hAnsi="仿宋" w:eastAsia="仿宋" w:cs="仿宋"/>
                <w:sz w:val="18"/>
                <w:szCs w:val="18"/>
              </w:rPr>
            </w:pPr>
            <w:r>
              <w:rPr>
                <w:rFonts w:hint="eastAsia" w:ascii="仿宋" w:hAnsi="仿宋" w:eastAsia="仿宋" w:cs="仿宋"/>
                <w:sz w:val="18"/>
                <w:szCs w:val="18"/>
              </w:rPr>
              <w:t>50</w:t>
            </w:r>
          </w:p>
        </w:tc>
        <w:tc>
          <w:tcPr>
            <w:tcW w:w="939" w:type="dxa"/>
            <w:vAlign w:val="center"/>
          </w:tcPr>
          <w:p>
            <w:pPr>
              <w:jc w:val="center"/>
              <w:rPr>
                <w:rFonts w:ascii="仿宋" w:hAnsi="仿宋" w:eastAsia="仿宋" w:cs="仿宋"/>
                <w:sz w:val="18"/>
                <w:szCs w:val="18"/>
              </w:rPr>
            </w:pPr>
          </w:p>
        </w:tc>
        <w:tc>
          <w:tcPr>
            <w:tcW w:w="1329" w:type="dxa"/>
            <w:vAlign w:val="center"/>
          </w:tcPr>
          <w:p>
            <w:pPr>
              <w:jc w:val="center"/>
              <w:rPr>
                <w:rFonts w:ascii="仿宋" w:hAnsi="仿宋" w:eastAsia="仿宋" w:cs="仿宋"/>
                <w:sz w:val="18"/>
                <w:szCs w:val="18"/>
              </w:rPr>
            </w:pPr>
          </w:p>
        </w:tc>
        <w:tc>
          <w:tcPr>
            <w:tcW w:w="2268" w:type="dxa"/>
            <w:vAlign w:val="center"/>
          </w:tcPr>
          <w:p>
            <w:pPr>
              <w:jc w:val="center"/>
              <w:rPr>
                <w:rFonts w:ascii="仿宋" w:hAnsi="仿宋" w:eastAsia="仿宋" w:cs="仿宋"/>
                <w:sz w:val="18"/>
                <w:szCs w:val="18"/>
              </w:rPr>
            </w:pPr>
            <w:r>
              <w:rPr>
                <w:rFonts w:hint="eastAsia" w:ascii="仿宋" w:hAnsi="仿宋" w:eastAsia="仿宋" w:cs="仿宋"/>
                <w:kern w:val="0"/>
                <w:szCs w:val="21"/>
              </w:rPr>
              <w:t>▲</w:t>
            </w:r>
          </w:p>
        </w:tc>
        <w:tc>
          <w:tcPr>
            <w:tcW w:w="3484" w:type="dxa"/>
            <w:vAlign w:val="center"/>
          </w:tcPr>
          <w:p>
            <w:pPr>
              <w:jc w:val="center"/>
              <w:rPr>
                <w:rFonts w:ascii="仿宋" w:hAnsi="仿宋" w:eastAsia="仿宋" w:cs="仿宋"/>
                <w:sz w:val="18"/>
                <w:szCs w:val="18"/>
              </w:rPr>
            </w:pPr>
            <w:r>
              <w:rPr>
                <w:rFonts w:hint="eastAsia" w:ascii="仿宋" w:hAnsi="仿宋" w:eastAsia="仿宋" w:cs="仿宋"/>
                <w:sz w:val="18"/>
                <w:szCs w:val="18"/>
              </w:rPr>
              <w:t>根据实地道路进行填写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pStyle w:val="80"/>
              <w:numPr>
                <w:ilvl w:val="0"/>
                <w:numId w:val="56"/>
              </w:numPr>
              <w:spacing w:line="360" w:lineRule="auto"/>
              <w:ind w:firstLineChars="0"/>
              <w:jc w:val="center"/>
              <w:rPr>
                <w:rFonts w:ascii="仿宋" w:hAnsi="仿宋" w:eastAsia="仿宋" w:cs="仿宋"/>
              </w:rPr>
            </w:pPr>
          </w:p>
        </w:tc>
        <w:tc>
          <w:tcPr>
            <w:tcW w:w="1383" w:type="dxa"/>
            <w:vAlign w:val="center"/>
          </w:tcPr>
          <w:p>
            <w:pPr>
              <w:jc w:val="center"/>
              <w:rPr>
                <w:rFonts w:ascii="仿宋" w:hAnsi="仿宋" w:eastAsia="仿宋" w:cs="仿宋"/>
                <w:sz w:val="18"/>
                <w:szCs w:val="18"/>
              </w:rPr>
            </w:pPr>
            <w:r>
              <w:rPr>
                <w:rFonts w:hint="eastAsia" w:ascii="仿宋" w:hAnsi="仿宋" w:eastAsia="仿宋" w:cs="仿宋"/>
                <w:sz w:val="18"/>
                <w:szCs w:val="18"/>
              </w:rPr>
              <w:t>权属单位</w:t>
            </w:r>
          </w:p>
        </w:tc>
        <w:tc>
          <w:tcPr>
            <w:tcW w:w="1393" w:type="dxa"/>
            <w:vAlign w:val="center"/>
          </w:tcPr>
          <w:p>
            <w:pPr>
              <w:jc w:val="center"/>
              <w:rPr>
                <w:rFonts w:ascii="仿宋" w:hAnsi="仿宋" w:eastAsia="仿宋" w:cs="仿宋"/>
                <w:sz w:val="18"/>
                <w:szCs w:val="18"/>
              </w:rPr>
            </w:pPr>
            <w:r>
              <w:rPr>
                <w:rFonts w:hint="eastAsia" w:ascii="仿宋" w:hAnsi="仿宋" w:eastAsia="仿宋" w:cs="仿宋"/>
                <w:sz w:val="18"/>
                <w:szCs w:val="18"/>
              </w:rPr>
              <w:t>Belong</w:t>
            </w:r>
          </w:p>
        </w:tc>
        <w:tc>
          <w:tcPr>
            <w:tcW w:w="1265"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056" w:type="dxa"/>
            <w:vAlign w:val="center"/>
          </w:tcPr>
          <w:p>
            <w:pPr>
              <w:jc w:val="center"/>
              <w:rPr>
                <w:rFonts w:ascii="仿宋" w:hAnsi="仿宋" w:eastAsia="仿宋" w:cs="仿宋"/>
                <w:sz w:val="18"/>
                <w:szCs w:val="18"/>
              </w:rPr>
            </w:pPr>
            <w:r>
              <w:rPr>
                <w:rFonts w:hint="eastAsia" w:ascii="仿宋" w:hAnsi="仿宋" w:eastAsia="仿宋" w:cs="仿宋"/>
                <w:sz w:val="18"/>
                <w:szCs w:val="18"/>
              </w:rPr>
              <w:t>255</w:t>
            </w:r>
          </w:p>
        </w:tc>
        <w:tc>
          <w:tcPr>
            <w:tcW w:w="939" w:type="dxa"/>
            <w:vAlign w:val="center"/>
          </w:tcPr>
          <w:p>
            <w:pPr>
              <w:jc w:val="center"/>
              <w:rPr>
                <w:rFonts w:ascii="仿宋" w:hAnsi="仿宋" w:eastAsia="仿宋" w:cs="仿宋"/>
                <w:sz w:val="18"/>
                <w:szCs w:val="18"/>
              </w:rPr>
            </w:pPr>
          </w:p>
        </w:tc>
        <w:tc>
          <w:tcPr>
            <w:tcW w:w="1329" w:type="dxa"/>
            <w:vAlign w:val="center"/>
          </w:tcPr>
          <w:p>
            <w:pPr>
              <w:jc w:val="center"/>
              <w:rPr>
                <w:rFonts w:ascii="仿宋" w:hAnsi="仿宋" w:eastAsia="仿宋" w:cs="仿宋"/>
                <w:sz w:val="18"/>
                <w:szCs w:val="18"/>
              </w:rPr>
            </w:pPr>
          </w:p>
        </w:tc>
        <w:tc>
          <w:tcPr>
            <w:tcW w:w="2268" w:type="dxa"/>
            <w:vAlign w:val="center"/>
          </w:tcPr>
          <w:p>
            <w:pPr>
              <w:jc w:val="center"/>
              <w:rPr>
                <w:rFonts w:ascii="仿宋" w:hAnsi="仿宋" w:eastAsia="仿宋" w:cs="仿宋"/>
                <w:sz w:val="18"/>
                <w:szCs w:val="18"/>
              </w:rPr>
            </w:pPr>
            <w:r>
              <w:rPr>
                <w:rFonts w:hint="eastAsia" w:ascii="仿宋" w:hAnsi="仿宋" w:eastAsia="仿宋" w:cs="仿宋"/>
                <w:kern w:val="0"/>
                <w:szCs w:val="21"/>
              </w:rPr>
              <w:t>▲</w:t>
            </w:r>
          </w:p>
        </w:tc>
        <w:tc>
          <w:tcPr>
            <w:tcW w:w="3484" w:type="dxa"/>
            <w:vAlign w:val="center"/>
          </w:tcPr>
          <w:p>
            <w:pPr>
              <w:jc w:val="center"/>
              <w:rPr>
                <w:rFonts w:ascii="仿宋" w:hAnsi="仿宋" w:eastAsia="仿宋" w:cs="仿宋"/>
                <w:sz w:val="18"/>
                <w:szCs w:val="18"/>
              </w:rPr>
            </w:pPr>
            <w:r>
              <w:rPr>
                <w:rFonts w:hint="eastAsia" w:ascii="仿宋" w:hAnsi="仿宋" w:eastAsia="仿宋" w:cs="仿宋"/>
                <w:sz w:val="18"/>
                <w:szCs w:val="18"/>
              </w:rPr>
              <w:t>填写全称，多个权属单位时以“；”分隔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pStyle w:val="80"/>
              <w:numPr>
                <w:ilvl w:val="0"/>
                <w:numId w:val="56"/>
              </w:numPr>
              <w:spacing w:line="360" w:lineRule="auto"/>
              <w:ind w:firstLineChars="0"/>
              <w:jc w:val="center"/>
              <w:rPr>
                <w:rFonts w:ascii="仿宋" w:hAnsi="仿宋" w:eastAsia="仿宋" w:cs="仿宋"/>
              </w:rPr>
            </w:pPr>
          </w:p>
        </w:tc>
        <w:tc>
          <w:tcPr>
            <w:tcW w:w="1383" w:type="dxa"/>
            <w:vAlign w:val="center"/>
          </w:tcPr>
          <w:p>
            <w:pPr>
              <w:jc w:val="center"/>
              <w:rPr>
                <w:rFonts w:ascii="仿宋" w:hAnsi="仿宋" w:eastAsia="仿宋" w:cs="仿宋"/>
                <w:sz w:val="18"/>
                <w:szCs w:val="18"/>
              </w:rPr>
            </w:pPr>
            <w:r>
              <w:rPr>
                <w:rFonts w:hint="eastAsia" w:ascii="仿宋" w:hAnsi="仿宋" w:eastAsia="仿宋" w:cs="仿宋"/>
                <w:sz w:val="18"/>
                <w:szCs w:val="18"/>
              </w:rPr>
              <w:t>建设日期</w:t>
            </w:r>
          </w:p>
        </w:tc>
        <w:tc>
          <w:tcPr>
            <w:tcW w:w="1393" w:type="dxa"/>
            <w:vAlign w:val="center"/>
          </w:tcPr>
          <w:p>
            <w:pPr>
              <w:jc w:val="center"/>
              <w:rPr>
                <w:rFonts w:ascii="仿宋" w:hAnsi="仿宋" w:eastAsia="仿宋" w:cs="仿宋"/>
                <w:sz w:val="18"/>
                <w:szCs w:val="18"/>
              </w:rPr>
            </w:pPr>
            <w:r>
              <w:rPr>
                <w:rFonts w:hint="eastAsia" w:ascii="仿宋" w:hAnsi="仿宋" w:eastAsia="仿宋" w:cs="仿宋"/>
                <w:sz w:val="18"/>
                <w:szCs w:val="18"/>
              </w:rPr>
              <w:t>MDate</w:t>
            </w:r>
          </w:p>
        </w:tc>
        <w:tc>
          <w:tcPr>
            <w:tcW w:w="1265"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056"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939" w:type="dxa"/>
            <w:vAlign w:val="center"/>
          </w:tcPr>
          <w:p>
            <w:pPr>
              <w:jc w:val="center"/>
              <w:rPr>
                <w:rFonts w:ascii="仿宋" w:hAnsi="仿宋" w:eastAsia="仿宋" w:cs="仿宋"/>
                <w:sz w:val="18"/>
                <w:szCs w:val="18"/>
              </w:rPr>
            </w:pPr>
          </w:p>
        </w:tc>
        <w:tc>
          <w:tcPr>
            <w:tcW w:w="1329" w:type="dxa"/>
            <w:vAlign w:val="center"/>
          </w:tcPr>
          <w:p>
            <w:pPr>
              <w:jc w:val="center"/>
              <w:rPr>
                <w:rFonts w:ascii="仿宋" w:hAnsi="仿宋" w:eastAsia="仿宋" w:cs="仿宋"/>
                <w:sz w:val="18"/>
                <w:szCs w:val="18"/>
              </w:rPr>
            </w:pPr>
          </w:p>
        </w:tc>
        <w:tc>
          <w:tcPr>
            <w:tcW w:w="2268" w:type="dxa"/>
            <w:vAlign w:val="center"/>
          </w:tcPr>
          <w:p>
            <w:pPr>
              <w:jc w:val="center"/>
              <w:rPr>
                <w:rFonts w:ascii="仿宋" w:hAnsi="仿宋" w:eastAsia="仿宋" w:cs="仿宋"/>
                <w:sz w:val="18"/>
                <w:szCs w:val="18"/>
              </w:rPr>
            </w:pPr>
            <w:r>
              <w:rPr>
                <w:rFonts w:hint="eastAsia" w:ascii="仿宋" w:hAnsi="仿宋" w:eastAsia="仿宋" w:cs="仿宋"/>
                <w:kern w:val="0"/>
                <w:szCs w:val="21"/>
              </w:rPr>
              <w:t>▲</w:t>
            </w:r>
          </w:p>
        </w:tc>
        <w:tc>
          <w:tcPr>
            <w:tcW w:w="3484" w:type="dxa"/>
            <w:vAlign w:val="center"/>
          </w:tcPr>
          <w:p>
            <w:pPr>
              <w:jc w:val="center"/>
              <w:rPr>
                <w:rFonts w:ascii="仿宋" w:hAnsi="仿宋" w:eastAsia="仿宋" w:cs="仿宋"/>
                <w:sz w:val="18"/>
                <w:szCs w:val="18"/>
              </w:rPr>
            </w:pPr>
            <w:r>
              <w:rPr>
                <w:rFonts w:hint="eastAsia" w:ascii="仿宋" w:hAnsi="仿宋" w:eastAsia="仿宋" w:cs="仿宋"/>
                <w:sz w:val="18"/>
                <w:szCs w:val="18"/>
              </w:rPr>
              <w:t>采用“YYYY-MM-DD”格式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pStyle w:val="80"/>
              <w:numPr>
                <w:ilvl w:val="0"/>
                <w:numId w:val="56"/>
              </w:numPr>
              <w:spacing w:line="360" w:lineRule="auto"/>
              <w:ind w:firstLineChars="0"/>
              <w:jc w:val="center"/>
              <w:rPr>
                <w:rFonts w:ascii="仿宋" w:hAnsi="仿宋" w:eastAsia="仿宋" w:cs="仿宋"/>
              </w:rPr>
            </w:pPr>
          </w:p>
        </w:tc>
        <w:tc>
          <w:tcPr>
            <w:tcW w:w="1383" w:type="dxa"/>
            <w:vAlign w:val="center"/>
          </w:tcPr>
          <w:p>
            <w:pPr>
              <w:jc w:val="center"/>
              <w:rPr>
                <w:rFonts w:ascii="仿宋" w:hAnsi="仿宋" w:eastAsia="仿宋" w:cs="仿宋"/>
                <w:sz w:val="18"/>
                <w:szCs w:val="18"/>
              </w:rPr>
            </w:pPr>
            <w:r>
              <w:rPr>
                <w:rFonts w:hint="eastAsia" w:ascii="仿宋" w:hAnsi="仿宋" w:eastAsia="仿宋" w:cs="仿宋"/>
                <w:sz w:val="18"/>
                <w:szCs w:val="18"/>
              </w:rPr>
              <w:t>探测单位</w:t>
            </w:r>
          </w:p>
        </w:tc>
        <w:tc>
          <w:tcPr>
            <w:tcW w:w="1393" w:type="dxa"/>
            <w:vAlign w:val="center"/>
          </w:tcPr>
          <w:p>
            <w:pPr>
              <w:jc w:val="center"/>
              <w:rPr>
                <w:rFonts w:ascii="仿宋" w:hAnsi="仿宋" w:eastAsia="仿宋" w:cs="仿宋"/>
                <w:sz w:val="18"/>
                <w:szCs w:val="18"/>
              </w:rPr>
            </w:pPr>
            <w:r>
              <w:rPr>
                <w:rFonts w:hint="eastAsia" w:ascii="仿宋" w:hAnsi="仿宋" w:eastAsia="仿宋" w:cs="仿宋"/>
                <w:sz w:val="18"/>
                <w:szCs w:val="18"/>
              </w:rPr>
              <w:t>TC_Code</w:t>
            </w:r>
          </w:p>
        </w:tc>
        <w:tc>
          <w:tcPr>
            <w:tcW w:w="1265" w:type="dxa"/>
            <w:vAlign w:val="center"/>
          </w:tcPr>
          <w:p>
            <w:pPr>
              <w:jc w:val="center"/>
              <w:rPr>
                <w:rFonts w:ascii="仿宋" w:hAnsi="仿宋" w:eastAsia="仿宋" w:cs="仿宋"/>
                <w:szCs w:val="22"/>
              </w:rPr>
            </w:pPr>
            <w:r>
              <w:rPr>
                <w:rFonts w:hint="eastAsia" w:ascii="仿宋" w:hAnsi="仿宋" w:eastAsia="仿宋" w:cs="仿宋"/>
                <w:sz w:val="18"/>
                <w:szCs w:val="18"/>
              </w:rPr>
              <w:t>字符型</w:t>
            </w:r>
          </w:p>
        </w:tc>
        <w:tc>
          <w:tcPr>
            <w:tcW w:w="1056" w:type="dxa"/>
            <w:vAlign w:val="center"/>
          </w:tcPr>
          <w:p>
            <w:pPr>
              <w:jc w:val="center"/>
              <w:rPr>
                <w:rFonts w:ascii="仿宋" w:hAnsi="仿宋" w:eastAsia="仿宋" w:cs="仿宋"/>
                <w:sz w:val="18"/>
                <w:szCs w:val="18"/>
              </w:rPr>
            </w:pPr>
            <w:r>
              <w:rPr>
                <w:rFonts w:hint="eastAsia" w:ascii="仿宋" w:hAnsi="仿宋" w:eastAsia="仿宋" w:cs="仿宋"/>
                <w:sz w:val="18"/>
                <w:szCs w:val="18"/>
              </w:rPr>
              <w:t>100</w:t>
            </w:r>
          </w:p>
        </w:tc>
        <w:tc>
          <w:tcPr>
            <w:tcW w:w="939" w:type="dxa"/>
            <w:vAlign w:val="center"/>
          </w:tcPr>
          <w:p>
            <w:pPr>
              <w:jc w:val="center"/>
              <w:rPr>
                <w:rFonts w:ascii="仿宋" w:hAnsi="仿宋" w:eastAsia="仿宋" w:cs="仿宋"/>
                <w:sz w:val="18"/>
                <w:szCs w:val="18"/>
              </w:rPr>
            </w:pPr>
          </w:p>
        </w:tc>
        <w:tc>
          <w:tcPr>
            <w:tcW w:w="1329" w:type="dxa"/>
            <w:vAlign w:val="center"/>
          </w:tcPr>
          <w:p>
            <w:pPr>
              <w:jc w:val="center"/>
              <w:rPr>
                <w:rFonts w:ascii="仿宋" w:hAnsi="仿宋" w:eastAsia="仿宋" w:cs="仿宋"/>
                <w:sz w:val="18"/>
                <w:szCs w:val="18"/>
              </w:rPr>
            </w:pPr>
          </w:p>
        </w:tc>
        <w:tc>
          <w:tcPr>
            <w:tcW w:w="2268" w:type="dxa"/>
            <w:vAlign w:val="center"/>
          </w:tcPr>
          <w:p>
            <w:pPr>
              <w:jc w:val="center"/>
              <w:rPr>
                <w:rFonts w:ascii="仿宋" w:hAnsi="仿宋" w:eastAsia="仿宋" w:cs="仿宋"/>
                <w:sz w:val="18"/>
                <w:szCs w:val="18"/>
              </w:rPr>
            </w:pPr>
            <w:r>
              <w:rPr>
                <w:rFonts w:hint="eastAsia" w:ascii="仿宋" w:hAnsi="仿宋" w:eastAsia="仿宋" w:cs="仿宋"/>
                <w:kern w:val="0"/>
                <w:szCs w:val="21"/>
              </w:rPr>
              <w:t>▲</w:t>
            </w:r>
          </w:p>
        </w:tc>
        <w:tc>
          <w:tcPr>
            <w:tcW w:w="3484" w:type="dxa"/>
            <w:vAlign w:val="center"/>
          </w:tcPr>
          <w:p>
            <w:pPr>
              <w:jc w:val="center"/>
              <w:rPr>
                <w:rFonts w:ascii="仿宋" w:hAnsi="仿宋" w:eastAsia="仿宋" w:cs="仿宋"/>
                <w:sz w:val="18"/>
                <w:szCs w:val="18"/>
              </w:rPr>
            </w:pPr>
            <w:r>
              <w:rPr>
                <w:rFonts w:hint="eastAsia" w:ascii="仿宋" w:hAnsi="仿宋" w:eastAsia="仿宋" w:cs="仿宋"/>
                <w:sz w:val="18"/>
                <w:szCs w:val="18"/>
              </w:rPr>
              <w:t>埴写作业单位全称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pStyle w:val="80"/>
              <w:numPr>
                <w:ilvl w:val="0"/>
                <w:numId w:val="56"/>
              </w:numPr>
              <w:spacing w:line="360" w:lineRule="auto"/>
              <w:ind w:firstLineChars="0"/>
              <w:jc w:val="center"/>
              <w:rPr>
                <w:rFonts w:ascii="仿宋" w:hAnsi="仿宋" w:eastAsia="仿宋" w:cs="仿宋"/>
              </w:rPr>
            </w:pPr>
          </w:p>
        </w:tc>
        <w:tc>
          <w:tcPr>
            <w:tcW w:w="1383" w:type="dxa"/>
            <w:vAlign w:val="center"/>
          </w:tcPr>
          <w:p>
            <w:pPr>
              <w:jc w:val="center"/>
              <w:rPr>
                <w:rFonts w:ascii="仿宋" w:hAnsi="仿宋" w:eastAsia="仿宋" w:cs="仿宋"/>
                <w:sz w:val="18"/>
                <w:szCs w:val="18"/>
              </w:rPr>
            </w:pPr>
            <w:r>
              <w:rPr>
                <w:rFonts w:hint="eastAsia" w:ascii="仿宋" w:hAnsi="仿宋" w:eastAsia="仿宋" w:cs="仿宋"/>
                <w:sz w:val="18"/>
                <w:szCs w:val="18"/>
              </w:rPr>
              <w:t>探测日期</w:t>
            </w:r>
          </w:p>
        </w:tc>
        <w:tc>
          <w:tcPr>
            <w:tcW w:w="1393" w:type="dxa"/>
            <w:vAlign w:val="center"/>
          </w:tcPr>
          <w:p>
            <w:pPr>
              <w:jc w:val="center"/>
              <w:rPr>
                <w:rFonts w:ascii="仿宋" w:hAnsi="仿宋" w:eastAsia="仿宋" w:cs="仿宋"/>
                <w:sz w:val="18"/>
                <w:szCs w:val="18"/>
              </w:rPr>
            </w:pPr>
            <w:r>
              <w:rPr>
                <w:rFonts w:hint="eastAsia" w:ascii="仿宋" w:hAnsi="仿宋" w:eastAsia="仿宋" w:cs="仿宋"/>
                <w:sz w:val="18"/>
                <w:szCs w:val="18"/>
              </w:rPr>
              <w:t>SDate</w:t>
            </w:r>
          </w:p>
        </w:tc>
        <w:tc>
          <w:tcPr>
            <w:tcW w:w="1265" w:type="dxa"/>
            <w:vAlign w:val="center"/>
          </w:tcPr>
          <w:p>
            <w:pPr>
              <w:jc w:val="center"/>
              <w:rPr>
                <w:rFonts w:ascii="仿宋" w:hAnsi="仿宋" w:eastAsia="仿宋" w:cs="仿宋"/>
                <w:szCs w:val="22"/>
              </w:rPr>
            </w:pPr>
            <w:r>
              <w:rPr>
                <w:rFonts w:hint="eastAsia" w:ascii="仿宋" w:hAnsi="仿宋" w:eastAsia="仿宋" w:cs="仿宋"/>
                <w:sz w:val="18"/>
                <w:szCs w:val="18"/>
              </w:rPr>
              <w:t>字符型</w:t>
            </w:r>
          </w:p>
        </w:tc>
        <w:tc>
          <w:tcPr>
            <w:tcW w:w="1056"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939" w:type="dxa"/>
            <w:vAlign w:val="center"/>
          </w:tcPr>
          <w:p>
            <w:pPr>
              <w:jc w:val="center"/>
              <w:rPr>
                <w:rFonts w:ascii="仿宋" w:hAnsi="仿宋" w:eastAsia="仿宋" w:cs="仿宋"/>
                <w:sz w:val="18"/>
                <w:szCs w:val="18"/>
              </w:rPr>
            </w:pPr>
          </w:p>
        </w:tc>
        <w:tc>
          <w:tcPr>
            <w:tcW w:w="1329" w:type="dxa"/>
            <w:vAlign w:val="center"/>
          </w:tcPr>
          <w:p>
            <w:pPr>
              <w:jc w:val="center"/>
              <w:rPr>
                <w:rFonts w:ascii="仿宋" w:hAnsi="仿宋" w:eastAsia="仿宋" w:cs="仿宋"/>
                <w:sz w:val="18"/>
                <w:szCs w:val="18"/>
              </w:rPr>
            </w:pPr>
          </w:p>
        </w:tc>
        <w:tc>
          <w:tcPr>
            <w:tcW w:w="2268" w:type="dxa"/>
            <w:vAlign w:val="center"/>
          </w:tcPr>
          <w:p>
            <w:pPr>
              <w:jc w:val="center"/>
              <w:rPr>
                <w:rFonts w:ascii="仿宋" w:hAnsi="仿宋" w:eastAsia="仿宋" w:cs="仿宋"/>
                <w:sz w:val="18"/>
                <w:szCs w:val="18"/>
              </w:rPr>
            </w:pPr>
            <w:r>
              <w:rPr>
                <w:rFonts w:hint="eastAsia" w:ascii="仿宋" w:hAnsi="仿宋" w:eastAsia="仿宋" w:cs="仿宋"/>
                <w:kern w:val="0"/>
                <w:szCs w:val="21"/>
              </w:rPr>
              <w:t>▲</w:t>
            </w:r>
          </w:p>
        </w:tc>
        <w:tc>
          <w:tcPr>
            <w:tcW w:w="3484" w:type="dxa"/>
            <w:vAlign w:val="center"/>
          </w:tcPr>
          <w:p>
            <w:pPr>
              <w:jc w:val="center"/>
              <w:rPr>
                <w:rFonts w:ascii="仿宋" w:hAnsi="仿宋" w:eastAsia="仿宋" w:cs="仿宋"/>
                <w:sz w:val="18"/>
                <w:szCs w:val="18"/>
              </w:rPr>
            </w:pPr>
            <w:r>
              <w:rPr>
                <w:rFonts w:hint="eastAsia" w:ascii="仿宋" w:hAnsi="仿宋" w:eastAsia="仿宋" w:cs="仿宋"/>
                <w:sz w:val="18"/>
                <w:szCs w:val="18"/>
              </w:rPr>
              <w:t>采用“YYYY-MM-DD”格式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pStyle w:val="80"/>
              <w:numPr>
                <w:ilvl w:val="0"/>
                <w:numId w:val="56"/>
              </w:numPr>
              <w:spacing w:line="360" w:lineRule="auto"/>
              <w:ind w:firstLineChars="0"/>
              <w:rPr>
                <w:rFonts w:ascii="仿宋" w:hAnsi="仿宋" w:eastAsia="仿宋" w:cs="仿宋"/>
              </w:rPr>
            </w:pPr>
          </w:p>
        </w:tc>
        <w:tc>
          <w:tcPr>
            <w:tcW w:w="1383" w:type="dxa"/>
            <w:vAlign w:val="center"/>
          </w:tcPr>
          <w:p>
            <w:pPr>
              <w:jc w:val="center"/>
              <w:rPr>
                <w:rFonts w:ascii="仿宋" w:hAnsi="仿宋" w:eastAsia="仿宋" w:cs="仿宋"/>
                <w:sz w:val="18"/>
                <w:szCs w:val="18"/>
              </w:rPr>
            </w:pPr>
            <w:r>
              <w:rPr>
                <w:rFonts w:hint="eastAsia" w:ascii="仿宋" w:hAnsi="仿宋" w:eastAsia="仿宋" w:cs="仿宋"/>
                <w:sz w:val="18"/>
                <w:szCs w:val="18"/>
              </w:rPr>
              <w:t>管段长度</w:t>
            </w:r>
          </w:p>
        </w:tc>
        <w:tc>
          <w:tcPr>
            <w:tcW w:w="1393" w:type="dxa"/>
            <w:vAlign w:val="center"/>
          </w:tcPr>
          <w:p>
            <w:pPr>
              <w:jc w:val="center"/>
              <w:rPr>
                <w:rFonts w:ascii="仿宋" w:hAnsi="仿宋" w:eastAsia="仿宋" w:cs="仿宋"/>
                <w:sz w:val="18"/>
                <w:szCs w:val="18"/>
              </w:rPr>
            </w:pPr>
            <w:r>
              <w:rPr>
                <w:rFonts w:hint="eastAsia" w:ascii="仿宋" w:hAnsi="仿宋" w:eastAsia="仿宋" w:cs="仿宋"/>
                <w:sz w:val="18"/>
                <w:szCs w:val="18"/>
              </w:rPr>
              <w:t>Length</w:t>
            </w:r>
          </w:p>
        </w:tc>
        <w:tc>
          <w:tcPr>
            <w:tcW w:w="1265" w:type="dxa"/>
            <w:vAlign w:val="center"/>
          </w:tcPr>
          <w:p>
            <w:pPr>
              <w:jc w:val="center"/>
              <w:rPr>
                <w:rFonts w:ascii="仿宋" w:hAnsi="仿宋" w:eastAsia="仿宋" w:cs="仿宋"/>
                <w:sz w:val="18"/>
                <w:szCs w:val="18"/>
              </w:rPr>
            </w:pPr>
            <w:r>
              <w:rPr>
                <w:rFonts w:hint="eastAsia" w:ascii="仿宋" w:hAnsi="仿宋" w:eastAsia="仿宋" w:cs="仿宋"/>
                <w:sz w:val="18"/>
                <w:szCs w:val="18"/>
              </w:rPr>
              <w:t>双精度</w:t>
            </w:r>
          </w:p>
        </w:tc>
        <w:tc>
          <w:tcPr>
            <w:tcW w:w="1056"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939" w:type="dxa"/>
            <w:vAlign w:val="center"/>
          </w:tcPr>
          <w:p>
            <w:pPr>
              <w:jc w:val="center"/>
              <w:rPr>
                <w:rFonts w:ascii="仿宋" w:hAnsi="仿宋" w:eastAsia="仿宋" w:cs="仿宋"/>
                <w:sz w:val="18"/>
                <w:szCs w:val="18"/>
              </w:rPr>
            </w:pPr>
            <w:r>
              <w:rPr>
                <w:rFonts w:hint="eastAsia" w:ascii="仿宋" w:hAnsi="仿宋" w:eastAsia="仿宋" w:cs="仿宋"/>
                <w:sz w:val="18"/>
                <w:szCs w:val="18"/>
              </w:rPr>
              <w:t>2</w:t>
            </w:r>
          </w:p>
        </w:tc>
        <w:tc>
          <w:tcPr>
            <w:tcW w:w="1329" w:type="dxa"/>
            <w:vAlign w:val="center"/>
          </w:tcPr>
          <w:p>
            <w:pPr>
              <w:jc w:val="center"/>
              <w:rPr>
                <w:rFonts w:ascii="仿宋" w:hAnsi="仿宋" w:eastAsia="仿宋" w:cs="仿宋"/>
                <w:sz w:val="18"/>
                <w:szCs w:val="18"/>
              </w:rPr>
            </w:pPr>
          </w:p>
        </w:tc>
        <w:tc>
          <w:tcPr>
            <w:tcW w:w="2268" w:type="dxa"/>
            <w:vAlign w:val="center"/>
          </w:tcPr>
          <w:p>
            <w:pPr>
              <w:jc w:val="center"/>
              <w:rPr>
                <w:rFonts w:ascii="仿宋" w:hAnsi="仿宋" w:eastAsia="仿宋" w:cs="仿宋"/>
                <w:color w:val="000000"/>
                <w:kern w:val="0"/>
                <w:sz w:val="18"/>
                <w:szCs w:val="18"/>
              </w:rPr>
            </w:pPr>
            <w:r>
              <w:rPr>
                <w:rFonts w:hint="eastAsia" w:ascii="仿宋" w:hAnsi="仿宋" w:eastAsia="仿宋" w:cs="仿宋"/>
                <w:kern w:val="0"/>
                <w:szCs w:val="21"/>
              </w:rPr>
              <w:t>▲</w:t>
            </w:r>
          </w:p>
        </w:tc>
        <w:tc>
          <w:tcPr>
            <w:tcW w:w="3484"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pStyle w:val="80"/>
              <w:numPr>
                <w:ilvl w:val="0"/>
                <w:numId w:val="56"/>
              </w:numPr>
              <w:spacing w:line="360" w:lineRule="auto"/>
              <w:ind w:firstLineChars="0"/>
              <w:rPr>
                <w:rFonts w:ascii="仿宋" w:hAnsi="仿宋" w:eastAsia="仿宋" w:cs="仿宋"/>
              </w:rPr>
            </w:pPr>
          </w:p>
        </w:tc>
        <w:tc>
          <w:tcPr>
            <w:tcW w:w="1383" w:type="dxa"/>
            <w:vAlign w:val="center"/>
          </w:tcPr>
          <w:p>
            <w:pPr>
              <w:jc w:val="center"/>
              <w:rPr>
                <w:rFonts w:ascii="仿宋" w:hAnsi="仿宋" w:eastAsia="仿宋" w:cs="仿宋"/>
                <w:sz w:val="18"/>
                <w:szCs w:val="18"/>
              </w:rPr>
            </w:pPr>
            <w:r>
              <w:rPr>
                <w:rFonts w:hint="eastAsia" w:ascii="仿宋" w:hAnsi="仿宋" w:eastAsia="仿宋" w:cs="仿宋"/>
                <w:sz w:val="18"/>
                <w:szCs w:val="18"/>
              </w:rPr>
              <w:t>入库日期</w:t>
            </w:r>
          </w:p>
        </w:tc>
        <w:tc>
          <w:tcPr>
            <w:tcW w:w="1393" w:type="dxa"/>
            <w:vAlign w:val="center"/>
          </w:tcPr>
          <w:p>
            <w:pPr>
              <w:jc w:val="center"/>
              <w:rPr>
                <w:rFonts w:ascii="仿宋" w:hAnsi="仿宋" w:eastAsia="仿宋" w:cs="仿宋"/>
                <w:sz w:val="18"/>
                <w:szCs w:val="18"/>
              </w:rPr>
            </w:pPr>
            <w:r>
              <w:rPr>
                <w:rFonts w:hint="eastAsia" w:ascii="仿宋" w:hAnsi="仿宋" w:eastAsia="仿宋" w:cs="仿宋"/>
                <w:sz w:val="18"/>
                <w:szCs w:val="18"/>
              </w:rPr>
              <w:t>InputDate</w:t>
            </w:r>
          </w:p>
        </w:tc>
        <w:tc>
          <w:tcPr>
            <w:tcW w:w="1265"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056"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939" w:type="dxa"/>
            <w:vAlign w:val="center"/>
          </w:tcPr>
          <w:p>
            <w:pPr>
              <w:jc w:val="center"/>
              <w:rPr>
                <w:rFonts w:ascii="仿宋" w:hAnsi="仿宋" w:eastAsia="仿宋" w:cs="仿宋"/>
                <w:sz w:val="18"/>
                <w:szCs w:val="18"/>
              </w:rPr>
            </w:pPr>
          </w:p>
        </w:tc>
        <w:tc>
          <w:tcPr>
            <w:tcW w:w="1329" w:type="dxa"/>
            <w:vAlign w:val="center"/>
          </w:tcPr>
          <w:p>
            <w:pPr>
              <w:jc w:val="center"/>
              <w:rPr>
                <w:rFonts w:ascii="仿宋" w:hAnsi="仿宋" w:eastAsia="仿宋" w:cs="仿宋"/>
                <w:sz w:val="18"/>
                <w:szCs w:val="18"/>
              </w:rPr>
            </w:pPr>
          </w:p>
        </w:tc>
        <w:tc>
          <w:tcPr>
            <w:tcW w:w="2268" w:type="dxa"/>
            <w:vAlign w:val="center"/>
          </w:tcPr>
          <w:p>
            <w:pPr>
              <w:jc w:val="center"/>
              <w:rPr>
                <w:rFonts w:ascii="仿宋" w:hAnsi="仿宋" w:eastAsia="仿宋" w:cs="仿宋"/>
                <w:kern w:val="0"/>
                <w:szCs w:val="21"/>
              </w:rPr>
            </w:pPr>
            <w:r>
              <w:rPr>
                <w:rFonts w:hint="eastAsia" w:ascii="仿宋" w:hAnsi="仿宋" w:eastAsia="仿宋" w:cs="仿宋"/>
                <w:kern w:val="0"/>
                <w:szCs w:val="21"/>
              </w:rPr>
              <w:t>▲</w:t>
            </w:r>
          </w:p>
        </w:tc>
        <w:tc>
          <w:tcPr>
            <w:tcW w:w="3484" w:type="dxa"/>
            <w:vAlign w:val="center"/>
          </w:tcPr>
          <w:p>
            <w:pPr>
              <w:jc w:val="center"/>
              <w:rPr>
                <w:rFonts w:ascii="仿宋" w:hAnsi="仿宋" w:eastAsia="仿宋" w:cs="仿宋"/>
                <w:sz w:val="18"/>
                <w:szCs w:val="18"/>
              </w:rPr>
            </w:pPr>
            <w:r>
              <w:rPr>
                <w:rFonts w:hint="eastAsia" w:ascii="仿宋" w:hAnsi="仿宋" w:eastAsia="仿宋" w:cs="仿宋"/>
                <w:sz w:val="18"/>
                <w:szCs w:val="18"/>
              </w:rPr>
              <w:t>采用“YYYY-MM-DD”格式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pStyle w:val="80"/>
              <w:numPr>
                <w:ilvl w:val="0"/>
                <w:numId w:val="56"/>
              </w:numPr>
              <w:spacing w:line="360" w:lineRule="auto"/>
              <w:ind w:firstLineChars="0"/>
              <w:rPr>
                <w:rFonts w:ascii="仿宋" w:hAnsi="仿宋" w:eastAsia="仿宋" w:cs="仿宋"/>
              </w:rPr>
            </w:pPr>
          </w:p>
        </w:tc>
        <w:tc>
          <w:tcPr>
            <w:tcW w:w="1383" w:type="dxa"/>
            <w:vAlign w:val="center"/>
          </w:tcPr>
          <w:p>
            <w:pPr>
              <w:jc w:val="center"/>
              <w:rPr>
                <w:rFonts w:ascii="仿宋" w:hAnsi="仿宋" w:eastAsia="仿宋" w:cs="仿宋"/>
                <w:sz w:val="18"/>
                <w:szCs w:val="18"/>
              </w:rPr>
            </w:pPr>
            <w:r>
              <w:rPr>
                <w:rFonts w:hint="eastAsia" w:ascii="仿宋" w:hAnsi="仿宋" w:eastAsia="仿宋" w:cs="仿宋"/>
                <w:sz w:val="18"/>
                <w:szCs w:val="18"/>
              </w:rPr>
              <w:t>数据来源</w:t>
            </w:r>
          </w:p>
        </w:tc>
        <w:tc>
          <w:tcPr>
            <w:tcW w:w="1393" w:type="dxa"/>
            <w:vAlign w:val="center"/>
          </w:tcPr>
          <w:p>
            <w:pPr>
              <w:jc w:val="center"/>
              <w:rPr>
                <w:rFonts w:ascii="仿宋" w:hAnsi="仿宋" w:eastAsia="仿宋" w:cs="仿宋"/>
                <w:sz w:val="18"/>
                <w:szCs w:val="18"/>
              </w:rPr>
            </w:pPr>
            <w:r>
              <w:rPr>
                <w:rFonts w:hint="eastAsia" w:ascii="仿宋" w:hAnsi="仿宋" w:eastAsia="仿宋" w:cs="仿宋"/>
                <w:sz w:val="18"/>
                <w:szCs w:val="18"/>
              </w:rPr>
              <w:t>Source</w:t>
            </w:r>
          </w:p>
        </w:tc>
        <w:tc>
          <w:tcPr>
            <w:tcW w:w="1265"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056"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939" w:type="dxa"/>
            <w:vAlign w:val="center"/>
          </w:tcPr>
          <w:p>
            <w:pPr>
              <w:jc w:val="center"/>
              <w:rPr>
                <w:rFonts w:ascii="仿宋" w:hAnsi="仿宋" w:eastAsia="仿宋" w:cs="仿宋"/>
                <w:sz w:val="18"/>
                <w:szCs w:val="18"/>
              </w:rPr>
            </w:pPr>
          </w:p>
        </w:tc>
        <w:tc>
          <w:tcPr>
            <w:tcW w:w="1329" w:type="dxa"/>
            <w:vAlign w:val="center"/>
          </w:tcPr>
          <w:p>
            <w:pPr>
              <w:jc w:val="center"/>
              <w:rPr>
                <w:rFonts w:ascii="仿宋" w:hAnsi="仿宋" w:eastAsia="仿宋" w:cs="仿宋"/>
                <w:sz w:val="18"/>
                <w:szCs w:val="18"/>
              </w:rPr>
            </w:pPr>
            <w:r>
              <w:rPr>
                <w:rFonts w:hint="eastAsia" w:ascii="仿宋" w:hAnsi="仿宋" w:eastAsia="仿宋" w:cs="仿宋"/>
                <w:sz w:val="18"/>
                <w:szCs w:val="18"/>
              </w:rPr>
              <w:t>见附表A.</w:t>
            </w:r>
            <w:r>
              <w:rPr>
                <w:rFonts w:ascii="仿宋" w:hAnsi="仿宋" w:eastAsia="仿宋" w:cs="仿宋"/>
                <w:sz w:val="18"/>
                <w:szCs w:val="18"/>
              </w:rPr>
              <w:t>1</w:t>
            </w:r>
            <w:r>
              <w:rPr>
                <w:rFonts w:hint="eastAsia" w:ascii="仿宋" w:hAnsi="仿宋" w:eastAsia="仿宋" w:cs="仿宋"/>
                <w:sz w:val="18"/>
                <w:szCs w:val="18"/>
              </w:rPr>
              <w:t>3</w:t>
            </w:r>
            <w:r>
              <w:rPr>
                <w:rFonts w:ascii="仿宋" w:hAnsi="仿宋" w:eastAsia="仿宋" w:cs="仿宋"/>
                <w:sz w:val="18"/>
                <w:szCs w:val="18"/>
              </w:rPr>
              <w:t>.6</w:t>
            </w:r>
          </w:p>
        </w:tc>
        <w:tc>
          <w:tcPr>
            <w:tcW w:w="2268" w:type="dxa"/>
            <w:vAlign w:val="center"/>
          </w:tcPr>
          <w:p>
            <w:pPr>
              <w:jc w:val="center"/>
              <w:rPr>
                <w:rFonts w:ascii="仿宋" w:hAnsi="仿宋" w:eastAsia="仿宋" w:cs="仿宋"/>
                <w:color w:val="000000"/>
                <w:kern w:val="0"/>
                <w:sz w:val="18"/>
                <w:szCs w:val="18"/>
              </w:rPr>
            </w:pPr>
            <w:r>
              <w:rPr>
                <w:rFonts w:hint="eastAsia" w:ascii="仿宋" w:hAnsi="仿宋" w:eastAsia="仿宋" w:cs="仿宋"/>
                <w:kern w:val="0"/>
                <w:szCs w:val="21"/>
              </w:rPr>
              <w:t>▲</w:t>
            </w:r>
          </w:p>
        </w:tc>
        <w:tc>
          <w:tcPr>
            <w:tcW w:w="3484"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pStyle w:val="80"/>
              <w:numPr>
                <w:ilvl w:val="0"/>
                <w:numId w:val="56"/>
              </w:numPr>
              <w:spacing w:line="360" w:lineRule="auto"/>
              <w:ind w:firstLineChars="0"/>
              <w:rPr>
                <w:rFonts w:ascii="仿宋" w:hAnsi="仿宋" w:eastAsia="仿宋" w:cs="仿宋"/>
              </w:rPr>
            </w:pPr>
          </w:p>
        </w:tc>
        <w:tc>
          <w:tcPr>
            <w:tcW w:w="1383" w:type="dxa"/>
            <w:vAlign w:val="center"/>
          </w:tcPr>
          <w:p>
            <w:pPr>
              <w:jc w:val="center"/>
              <w:rPr>
                <w:rFonts w:ascii="仿宋" w:hAnsi="仿宋" w:eastAsia="仿宋" w:cs="仿宋"/>
                <w:sz w:val="18"/>
                <w:szCs w:val="18"/>
              </w:rPr>
            </w:pPr>
            <w:r>
              <w:rPr>
                <w:rFonts w:hint="eastAsia" w:ascii="仿宋" w:hAnsi="仿宋" w:eastAsia="仿宋" w:cs="仿宋"/>
                <w:sz w:val="18"/>
                <w:szCs w:val="18"/>
              </w:rPr>
              <w:t>备注</w:t>
            </w:r>
          </w:p>
        </w:tc>
        <w:tc>
          <w:tcPr>
            <w:tcW w:w="1393" w:type="dxa"/>
            <w:vAlign w:val="center"/>
          </w:tcPr>
          <w:p>
            <w:pPr>
              <w:jc w:val="center"/>
              <w:rPr>
                <w:rFonts w:ascii="仿宋" w:hAnsi="仿宋" w:eastAsia="仿宋" w:cs="仿宋"/>
                <w:sz w:val="18"/>
                <w:szCs w:val="18"/>
              </w:rPr>
            </w:pPr>
            <w:r>
              <w:rPr>
                <w:rFonts w:hint="eastAsia" w:ascii="仿宋" w:hAnsi="仿宋" w:eastAsia="仿宋" w:cs="仿宋"/>
                <w:sz w:val="18"/>
                <w:szCs w:val="18"/>
              </w:rPr>
              <w:t>Remark</w:t>
            </w:r>
          </w:p>
        </w:tc>
        <w:tc>
          <w:tcPr>
            <w:tcW w:w="1265" w:type="dxa"/>
            <w:vAlign w:val="center"/>
          </w:tcPr>
          <w:p>
            <w:pPr>
              <w:jc w:val="center"/>
              <w:rPr>
                <w:rFonts w:ascii="仿宋" w:hAnsi="仿宋" w:eastAsia="仿宋" w:cs="仿宋"/>
                <w:szCs w:val="22"/>
              </w:rPr>
            </w:pPr>
            <w:r>
              <w:rPr>
                <w:rFonts w:hint="eastAsia" w:ascii="仿宋" w:hAnsi="仿宋" w:eastAsia="仿宋" w:cs="仿宋"/>
                <w:sz w:val="18"/>
                <w:szCs w:val="18"/>
              </w:rPr>
              <w:t>字符型</w:t>
            </w:r>
          </w:p>
        </w:tc>
        <w:tc>
          <w:tcPr>
            <w:tcW w:w="1056" w:type="dxa"/>
            <w:vAlign w:val="center"/>
          </w:tcPr>
          <w:p>
            <w:pPr>
              <w:jc w:val="center"/>
              <w:rPr>
                <w:rFonts w:ascii="仿宋" w:hAnsi="仿宋" w:eastAsia="仿宋" w:cs="仿宋"/>
                <w:sz w:val="18"/>
                <w:szCs w:val="18"/>
              </w:rPr>
            </w:pPr>
            <w:r>
              <w:rPr>
                <w:rFonts w:hint="eastAsia" w:ascii="仿宋" w:hAnsi="仿宋" w:eastAsia="仿宋" w:cs="仿宋"/>
                <w:sz w:val="18"/>
                <w:szCs w:val="18"/>
              </w:rPr>
              <w:t>100</w:t>
            </w:r>
          </w:p>
        </w:tc>
        <w:tc>
          <w:tcPr>
            <w:tcW w:w="939" w:type="dxa"/>
            <w:vAlign w:val="center"/>
          </w:tcPr>
          <w:p>
            <w:pPr>
              <w:jc w:val="center"/>
              <w:rPr>
                <w:rFonts w:ascii="仿宋" w:hAnsi="仿宋" w:eastAsia="仿宋" w:cs="仿宋"/>
                <w:sz w:val="18"/>
                <w:szCs w:val="18"/>
              </w:rPr>
            </w:pPr>
          </w:p>
        </w:tc>
        <w:tc>
          <w:tcPr>
            <w:tcW w:w="1329" w:type="dxa"/>
            <w:vAlign w:val="center"/>
          </w:tcPr>
          <w:p>
            <w:pPr>
              <w:jc w:val="center"/>
              <w:rPr>
                <w:rFonts w:ascii="仿宋" w:hAnsi="仿宋" w:eastAsia="仿宋" w:cs="仿宋"/>
                <w:sz w:val="18"/>
                <w:szCs w:val="18"/>
              </w:rPr>
            </w:pPr>
          </w:p>
        </w:tc>
        <w:tc>
          <w:tcPr>
            <w:tcW w:w="2268" w:type="dxa"/>
            <w:vAlign w:val="center"/>
          </w:tcPr>
          <w:p>
            <w:pPr>
              <w:jc w:val="center"/>
              <w:rPr>
                <w:rFonts w:ascii="仿宋" w:hAnsi="仿宋" w:eastAsia="仿宋" w:cs="仿宋"/>
                <w:sz w:val="18"/>
                <w:szCs w:val="18"/>
              </w:rPr>
            </w:pPr>
            <w:r>
              <w:rPr>
                <w:rFonts w:hint="eastAsia" w:ascii="仿宋" w:hAnsi="仿宋" w:eastAsia="仿宋" w:cs="仿宋"/>
                <w:color w:val="000000"/>
                <w:kern w:val="0"/>
                <w:sz w:val="18"/>
                <w:szCs w:val="18"/>
              </w:rPr>
              <w:t>○</w:t>
            </w:r>
          </w:p>
        </w:tc>
        <w:tc>
          <w:tcPr>
            <w:tcW w:w="3484" w:type="dxa"/>
            <w:vAlign w:val="center"/>
          </w:tcPr>
          <w:p>
            <w:pPr>
              <w:jc w:val="center"/>
              <w:rPr>
                <w:rFonts w:ascii="仿宋" w:hAnsi="仿宋" w:eastAsia="仿宋" w:cs="仿宋"/>
                <w:sz w:val="18"/>
                <w:szCs w:val="18"/>
              </w:rPr>
            </w:pPr>
          </w:p>
        </w:tc>
      </w:tr>
    </w:tbl>
    <w:p>
      <w:pPr>
        <w:pStyle w:val="5"/>
        <w:spacing w:line="360" w:lineRule="auto"/>
        <w:jc w:val="center"/>
        <w:rPr>
          <w:rFonts w:ascii="仿宋" w:hAnsi="仿宋" w:eastAsia="仿宋" w:cs="仿宋"/>
          <w:sz w:val="24"/>
          <w:szCs w:val="24"/>
        </w:rPr>
      </w:pPr>
      <w:bookmarkStart w:id="1672" w:name="_Toc22018"/>
      <w:bookmarkStart w:id="1673" w:name="_Toc18991"/>
      <w:bookmarkStart w:id="1674" w:name="_Toc29720"/>
      <w:bookmarkStart w:id="1675" w:name="_Toc25400"/>
      <w:bookmarkStart w:id="1676" w:name="_Toc241"/>
      <w:bookmarkStart w:id="1677" w:name="_Toc14110"/>
      <w:bookmarkStart w:id="1678" w:name="_Toc8737"/>
      <w:r>
        <w:rPr>
          <w:rFonts w:hint="eastAsia" w:ascii="仿宋" w:hAnsi="仿宋" w:eastAsia="仿宋" w:cs="仿宋"/>
          <w:sz w:val="24"/>
          <w:szCs w:val="24"/>
        </w:rPr>
        <w:t>附表A.3 管线面属性结构表</w:t>
      </w:r>
      <w:bookmarkEnd w:id="1672"/>
      <w:bookmarkEnd w:id="1673"/>
      <w:bookmarkEnd w:id="1674"/>
      <w:bookmarkEnd w:id="1675"/>
      <w:bookmarkEnd w:id="1676"/>
      <w:bookmarkEnd w:id="1677"/>
      <w:bookmarkEnd w:id="1678"/>
    </w:p>
    <w:tbl>
      <w:tblPr>
        <w:tblStyle w:val="26"/>
        <w:tblW w:w="137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2"/>
        <w:gridCol w:w="1361"/>
        <w:gridCol w:w="1053"/>
        <w:gridCol w:w="1276"/>
        <w:gridCol w:w="992"/>
        <w:gridCol w:w="1270"/>
        <w:gridCol w:w="2280"/>
        <w:gridCol w:w="3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10" w:type="dxa"/>
            <w:shd w:val="clear" w:color="auto" w:fill="BFBFBF"/>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序号</w:t>
            </w:r>
          </w:p>
        </w:tc>
        <w:tc>
          <w:tcPr>
            <w:tcW w:w="1412" w:type="dxa"/>
            <w:shd w:val="clear" w:color="auto" w:fill="BFBFBF"/>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中文名称</w:t>
            </w:r>
          </w:p>
        </w:tc>
        <w:tc>
          <w:tcPr>
            <w:tcW w:w="1361" w:type="dxa"/>
            <w:shd w:val="clear" w:color="auto" w:fill="BFBFBF"/>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英文名称</w:t>
            </w:r>
          </w:p>
        </w:tc>
        <w:tc>
          <w:tcPr>
            <w:tcW w:w="1053" w:type="dxa"/>
            <w:shd w:val="clear" w:color="auto" w:fill="BFBFBF"/>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字段类型</w:t>
            </w:r>
          </w:p>
        </w:tc>
        <w:tc>
          <w:tcPr>
            <w:tcW w:w="1276" w:type="dxa"/>
            <w:shd w:val="clear" w:color="auto" w:fill="BFBFBF"/>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字段长度</w:t>
            </w:r>
          </w:p>
        </w:tc>
        <w:tc>
          <w:tcPr>
            <w:tcW w:w="992" w:type="dxa"/>
            <w:shd w:val="clear" w:color="auto" w:fill="BFBFBF"/>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小数位数</w:t>
            </w:r>
          </w:p>
        </w:tc>
        <w:tc>
          <w:tcPr>
            <w:tcW w:w="1270" w:type="dxa"/>
            <w:shd w:val="clear" w:color="auto" w:fill="BFBFBF"/>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值域</w:t>
            </w:r>
          </w:p>
        </w:tc>
        <w:tc>
          <w:tcPr>
            <w:tcW w:w="2280" w:type="dxa"/>
            <w:shd w:val="clear" w:color="auto" w:fill="BFBFBF"/>
            <w:vAlign w:val="center"/>
          </w:tcPr>
          <w:p>
            <w:pPr>
              <w:widowControl/>
              <w:jc w:val="center"/>
              <w:rPr>
                <w:rFonts w:ascii="仿宋" w:hAnsi="仿宋" w:eastAsia="仿宋" w:cs="仿宋"/>
                <w:kern w:val="0"/>
                <w:sz w:val="18"/>
                <w:szCs w:val="18"/>
              </w:rPr>
            </w:pPr>
            <w:r>
              <w:rPr>
                <w:rFonts w:hint="eastAsia" w:ascii="仿宋" w:hAnsi="仿宋" w:eastAsia="仿宋" w:cs="仿宋"/>
                <w:color w:val="000000"/>
                <w:kern w:val="0"/>
                <w:sz w:val="18"/>
                <w:szCs w:val="18"/>
              </w:rPr>
              <w:t>是否必填（</w:t>
            </w:r>
            <w:r>
              <w:rPr>
                <w:rFonts w:hint="eastAsia" w:ascii="仿宋" w:hAnsi="仿宋" w:eastAsia="仿宋" w:cs="仿宋"/>
                <w:kern w:val="0"/>
                <w:szCs w:val="21"/>
              </w:rPr>
              <w:t>▲</w:t>
            </w:r>
            <w:r>
              <w:rPr>
                <w:rFonts w:hint="eastAsia" w:ascii="仿宋" w:hAnsi="仿宋" w:eastAsia="仿宋" w:cs="仿宋"/>
                <w:color w:val="000000"/>
                <w:kern w:val="0"/>
                <w:sz w:val="18"/>
                <w:szCs w:val="18"/>
              </w:rPr>
              <w:t>为必填，△为条件必填，○为选填）</w:t>
            </w:r>
          </w:p>
        </w:tc>
        <w:tc>
          <w:tcPr>
            <w:tcW w:w="3358" w:type="dxa"/>
            <w:shd w:val="clear" w:color="auto" w:fill="BFBFBF"/>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Align w:val="center"/>
          </w:tcPr>
          <w:p>
            <w:pPr>
              <w:numPr>
                <w:ilvl w:val="0"/>
                <w:numId w:val="57"/>
              </w:numPr>
              <w:autoSpaceDE w:val="0"/>
              <w:autoSpaceDN w:val="0"/>
              <w:adjustRightInd w:val="0"/>
              <w:spacing w:line="360" w:lineRule="auto"/>
              <w:jc w:val="center"/>
              <w:rPr>
                <w:rFonts w:ascii="仿宋" w:hAnsi="仿宋" w:eastAsia="仿宋" w:cs="仿宋"/>
                <w:sz w:val="18"/>
                <w:szCs w:val="18"/>
              </w:rPr>
            </w:pPr>
          </w:p>
        </w:tc>
        <w:tc>
          <w:tcPr>
            <w:tcW w:w="1412" w:type="dxa"/>
            <w:vAlign w:val="center"/>
          </w:tcPr>
          <w:p>
            <w:pPr>
              <w:jc w:val="center"/>
              <w:rPr>
                <w:rFonts w:ascii="仿宋" w:hAnsi="仿宋" w:eastAsia="仿宋" w:cs="仿宋"/>
                <w:sz w:val="18"/>
                <w:szCs w:val="18"/>
              </w:rPr>
            </w:pPr>
            <w:r>
              <w:rPr>
                <w:rFonts w:hint="eastAsia" w:ascii="仿宋" w:hAnsi="仿宋" w:eastAsia="仿宋" w:cs="仿宋"/>
                <w:sz w:val="18"/>
                <w:szCs w:val="18"/>
              </w:rPr>
              <w:t>项目编号</w:t>
            </w:r>
          </w:p>
        </w:tc>
        <w:tc>
          <w:tcPr>
            <w:tcW w:w="1361" w:type="dxa"/>
            <w:vAlign w:val="center"/>
          </w:tcPr>
          <w:p>
            <w:pPr>
              <w:jc w:val="center"/>
              <w:rPr>
                <w:rFonts w:ascii="仿宋" w:hAnsi="仿宋" w:eastAsia="仿宋" w:cs="仿宋"/>
                <w:sz w:val="18"/>
                <w:szCs w:val="18"/>
              </w:rPr>
            </w:pPr>
            <w:r>
              <w:rPr>
                <w:rFonts w:hint="eastAsia" w:ascii="仿宋" w:hAnsi="仿宋" w:eastAsia="仿宋" w:cs="仿宋"/>
                <w:sz w:val="18"/>
                <w:szCs w:val="18"/>
              </w:rPr>
              <w:t>Work_No</w:t>
            </w:r>
          </w:p>
        </w:tc>
        <w:tc>
          <w:tcPr>
            <w:tcW w:w="1053" w:type="dxa"/>
            <w:vAlign w:val="center"/>
          </w:tcPr>
          <w:p>
            <w:pPr>
              <w:jc w:val="center"/>
              <w:rPr>
                <w:rFonts w:ascii="仿宋" w:hAnsi="仿宋" w:eastAsia="仿宋" w:cs="仿宋"/>
                <w:szCs w:val="22"/>
              </w:rPr>
            </w:pPr>
            <w:r>
              <w:rPr>
                <w:rFonts w:hint="eastAsia" w:ascii="仿宋" w:hAnsi="仿宋" w:eastAsia="仿宋" w:cs="仿宋"/>
                <w:sz w:val="18"/>
                <w:szCs w:val="18"/>
              </w:rPr>
              <w:t>字符型</w:t>
            </w:r>
          </w:p>
        </w:tc>
        <w:tc>
          <w:tcPr>
            <w:tcW w:w="1276" w:type="dxa"/>
            <w:vAlign w:val="center"/>
          </w:tcPr>
          <w:p>
            <w:pPr>
              <w:jc w:val="center"/>
              <w:rPr>
                <w:rFonts w:ascii="仿宋" w:hAnsi="仿宋" w:eastAsia="仿宋" w:cs="仿宋"/>
                <w:sz w:val="18"/>
                <w:szCs w:val="18"/>
              </w:rPr>
            </w:pPr>
            <w:r>
              <w:rPr>
                <w:rFonts w:hint="eastAsia" w:ascii="仿宋" w:hAnsi="仿宋" w:eastAsia="仿宋" w:cs="仿宋"/>
                <w:sz w:val="18"/>
                <w:szCs w:val="18"/>
              </w:rPr>
              <w:t>100</w:t>
            </w:r>
          </w:p>
        </w:tc>
        <w:tc>
          <w:tcPr>
            <w:tcW w:w="992" w:type="dxa"/>
            <w:vAlign w:val="center"/>
          </w:tcPr>
          <w:p>
            <w:pPr>
              <w:jc w:val="center"/>
              <w:rPr>
                <w:rFonts w:ascii="仿宋" w:hAnsi="仿宋" w:eastAsia="仿宋" w:cs="仿宋"/>
                <w:sz w:val="18"/>
                <w:szCs w:val="18"/>
              </w:rPr>
            </w:pPr>
          </w:p>
        </w:tc>
        <w:tc>
          <w:tcPr>
            <w:tcW w:w="1270" w:type="dxa"/>
            <w:vAlign w:val="center"/>
          </w:tcPr>
          <w:p>
            <w:pPr>
              <w:jc w:val="center"/>
              <w:rPr>
                <w:rFonts w:ascii="仿宋" w:hAnsi="仿宋" w:eastAsia="仿宋" w:cs="仿宋"/>
                <w:sz w:val="18"/>
                <w:szCs w:val="18"/>
              </w:rPr>
            </w:pPr>
          </w:p>
        </w:tc>
        <w:tc>
          <w:tcPr>
            <w:tcW w:w="2280" w:type="dxa"/>
            <w:vAlign w:val="center"/>
          </w:tcPr>
          <w:p>
            <w:pPr>
              <w:jc w:val="center"/>
              <w:rPr>
                <w:rFonts w:ascii="仿宋" w:hAnsi="仿宋" w:eastAsia="仿宋" w:cs="仿宋"/>
                <w:sz w:val="18"/>
                <w:szCs w:val="18"/>
              </w:rPr>
            </w:pPr>
            <w:r>
              <w:rPr>
                <w:rFonts w:hint="eastAsia" w:ascii="仿宋" w:hAnsi="仿宋" w:eastAsia="仿宋" w:cs="仿宋"/>
                <w:kern w:val="0"/>
                <w:szCs w:val="21"/>
              </w:rPr>
              <w:t>▲</w:t>
            </w:r>
          </w:p>
        </w:tc>
        <w:tc>
          <w:tcPr>
            <w:tcW w:w="3358" w:type="dxa"/>
            <w:vAlign w:val="center"/>
          </w:tcPr>
          <w:p>
            <w:pPr>
              <w:jc w:val="center"/>
              <w:rPr>
                <w:rFonts w:ascii="仿宋" w:hAnsi="仿宋" w:eastAsia="仿宋" w:cs="仿宋"/>
                <w:sz w:val="18"/>
                <w:szCs w:val="18"/>
              </w:rPr>
            </w:pPr>
            <w:r>
              <w:rPr>
                <w:rFonts w:hint="eastAsia" w:ascii="仿宋" w:hAnsi="仿宋" w:eastAsia="仿宋" w:cs="仿宋"/>
                <w:sz w:val="18"/>
                <w:szCs w:val="18"/>
              </w:rPr>
              <w:t>行政区代码</w:t>
            </w:r>
            <w:r>
              <w:rPr>
                <w:rFonts w:ascii="仿宋" w:hAnsi="仿宋" w:eastAsia="仿宋" w:cs="仿宋"/>
                <w:sz w:val="18"/>
                <w:szCs w:val="18"/>
              </w:rPr>
              <w:t>+年份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Align w:val="center"/>
          </w:tcPr>
          <w:p>
            <w:pPr>
              <w:numPr>
                <w:ilvl w:val="0"/>
                <w:numId w:val="57"/>
              </w:numPr>
              <w:autoSpaceDE w:val="0"/>
              <w:autoSpaceDN w:val="0"/>
              <w:adjustRightInd w:val="0"/>
              <w:spacing w:line="360" w:lineRule="auto"/>
              <w:jc w:val="center"/>
              <w:rPr>
                <w:rFonts w:ascii="仿宋" w:hAnsi="仿宋" w:eastAsia="仿宋" w:cs="仿宋"/>
                <w:sz w:val="18"/>
                <w:szCs w:val="18"/>
              </w:rPr>
            </w:pPr>
          </w:p>
        </w:tc>
        <w:tc>
          <w:tcPr>
            <w:tcW w:w="1412" w:type="dxa"/>
            <w:vAlign w:val="center"/>
          </w:tcPr>
          <w:p>
            <w:pPr>
              <w:jc w:val="center"/>
              <w:rPr>
                <w:rFonts w:ascii="仿宋" w:hAnsi="仿宋" w:eastAsia="仿宋" w:cs="仿宋"/>
                <w:sz w:val="18"/>
                <w:szCs w:val="18"/>
              </w:rPr>
            </w:pPr>
            <w:r>
              <w:rPr>
                <w:rFonts w:hint="eastAsia" w:ascii="仿宋" w:hAnsi="仿宋" w:eastAsia="仿宋" w:cs="仿宋"/>
                <w:sz w:val="18"/>
                <w:szCs w:val="18"/>
              </w:rPr>
              <w:t>工程编号</w:t>
            </w:r>
          </w:p>
        </w:tc>
        <w:tc>
          <w:tcPr>
            <w:tcW w:w="1361" w:type="dxa"/>
            <w:vAlign w:val="center"/>
          </w:tcPr>
          <w:p>
            <w:pPr>
              <w:jc w:val="center"/>
              <w:rPr>
                <w:rFonts w:ascii="仿宋" w:hAnsi="仿宋" w:eastAsia="仿宋" w:cs="仿宋"/>
                <w:sz w:val="18"/>
                <w:szCs w:val="18"/>
              </w:rPr>
            </w:pPr>
            <w:r>
              <w:rPr>
                <w:rFonts w:hint="eastAsia" w:ascii="仿宋" w:hAnsi="仿宋" w:eastAsia="仿宋" w:cs="仿宋"/>
                <w:sz w:val="18"/>
                <w:szCs w:val="18"/>
              </w:rPr>
              <w:t>Prj_No</w:t>
            </w:r>
          </w:p>
        </w:tc>
        <w:tc>
          <w:tcPr>
            <w:tcW w:w="1053"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276"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992" w:type="dxa"/>
            <w:vAlign w:val="center"/>
          </w:tcPr>
          <w:p>
            <w:pPr>
              <w:jc w:val="center"/>
              <w:rPr>
                <w:rFonts w:ascii="仿宋" w:hAnsi="仿宋" w:eastAsia="仿宋" w:cs="仿宋"/>
                <w:sz w:val="18"/>
                <w:szCs w:val="18"/>
              </w:rPr>
            </w:pPr>
          </w:p>
        </w:tc>
        <w:tc>
          <w:tcPr>
            <w:tcW w:w="1270" w:type="dxa"/>
            <w:vAlign w:val="center"/>
          </w:tcPr>
          <w:p>
            <w:pPr>
              <w:jc w:val="center"/>
              <w:rPr>
                <w:rFonts w:ascii="仿宋" w:hAnsi="仿宋" w:eastAsia="仿宋" w:cs="仿宋"/>
                <w:sz w:val="18"/>
                <w:szCs w:val="18"/>
              </w:rPr>
            </w:pPr>
          </w:p>
        </w:tc>
        <w:tc>
          <w:tcPr>
            <w:tcW w:w="2280" w:type="dxa"/>
            <w:vAlign w:val="center"/>
          </w:tcPr>
          <w:p>
            <w:pPr>
              <w:jc w:val="center"/>
              <w:rPr>
                <w:rFonts w:ascii="仿宋" w:hAnsi="仿宋" w:eastAsia="仿宋" w:cs="仿宋"/>
                <w:kern w:val="0"/>
                <w:sz w:val="18"/>
                <w:szCs w:val="18"/>
              </w:rPr>
            </w:pPr>
            <w:r>
              <w:rPr>
                <w:rFonts w:hint="eastAsia" w:ascii="仿宋" w:hAnsi="仿宋" w:eastAsia="仿宋" w:cs="仿宋"/>
                <w:kern w:val="0"/>
                <w:szCs w:val="21"/>
              </w:rPr>
              <w:t>▲</w:t>
            </w:r>
          </w:p>
        </w:tc>
        <w:tc>
          <w:tcPr>
            <w:tcW w:w="3358" w:type="dxa"/>
            <w:vAlign w:val="center"/>
          </w:tcPr>
          <w:p>
            <w:pPr>
              <w:jc w:val="center"/>
              <w:rPr>
                <w:rFonts w:ascii="仿宋" w:hAnsi="仿宋" w:eastAsia="仿宋" w:cs="仿宋"/>
                <w:sz w:val="18"/>
                <w:szCs w:val="18"/>
              </w:rPr>
            </w:pPr>
            <w:r>
              <w:rPr>
                <w:rFonts w:hint="eastAsia" w:ascii="仿宋" w:hAnsi="仿宋" w:eastAsia="仿宋" w:cs="仿宋"/>
                <w:sz w:val="18"/>
                <w:szCs w:val="18"/>
              </w:rPr>
              <w:t>标段号+测区号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Align w:val="center"/>
          </w:tcPr>
          <w:p>
            <w:pPr>
              <w:numPr>
                <w:ilvl w:val="0"/>
                <w:numId w:val="57"/>
              </w:numPr>
              <w:autoSpaceDE w:val="0"/>
              <w:autoSpaceDN w:val="0"/>
              <w:adjustRightInd w:val="0"/>
              <w:spacing w:line="360" w:lineRule="auto"/>
              <w:jc w:val="center"/>
              <w:rPr>
                <w:rFonts w:ascii="仿宋" w:hAnsi="仿宋" w:eastAsia="仿宋" w:cs="仿宋"/>
                <w:sz w:val="18"/>
                <w:szCs w:val="18"/>
              </w:rPr>
            </w:pPr>
          </w:p>
        </w:tc>
        <w:tc>
          <w:tcPr>
            <w:tcW w:w="1412" w:type="dxa"/>
            <w:vAlign w:val="center"/>
          </w:tcPr>
          <w:p>
            <w:pPr>
              <w:jc w:val="center"/>
              <w:rPr>
                <w:rFonts w:ascii="仿宋" w:hAnsi="仿宋" w:eastAsia="仿宋" w:cs="仿宋"/>
                <w:sz w:val="18"/>
                <w:szCs w:val="18"/>
              </w:rPr>
            </w:pPr>
            <w:r>
              <w:rPr>
                <w:rFonts w:hint="eastAsia" w:ascii="仿宋" w:hAnsi="仿宋" w:eastAsia="仿宋" w:cs="仿宋"/>
                <w:sz w:val="18"/>
                <w:szCs w:val="18"/>
              </w:rPr>
              <w:t>管线面编号</w:t>
            </w:r>
          </w:p>
        </w:tc>
        <w:tc>
          <w:tcPr>
            <w:tcW w:w="1361" w:type="dxa"/>
            <w:vAlign w:val="center"/>
          </w:tcPr>
          <w:p>
            <w:pPr>
              <w:jc w:val="center"/>
              <w:rPr>
                <w:rFonts w:ascii="仿宋" w:hAnsi="仿宋" w:eastAsia="仿宋" w:cs="仿宋"/>
                <w:sz w:val="18"/>
                <w:szCs w:val="18"/>
              </w:rPr>
            </w:pPr>
            <w:r>
              <w:rPr>
                <w:rFonts w:hint="eastAsia" w:ascii="仿宋" w:hAnsi="仿宋" w:eastAsia="仿宋" w:cs="仿宋"/>
                <w:sz w:val="18"/>
                <w:szCs w:val="18"/>
              </w:rPr>
              <w:t>Name</w:t>
            </w:r>
          </w:p>
        </w:tc>
        <w:tc>
          <w:tcPr>
            <w:tcW w:w="1053" w:type="dxa"/>
            <w:vAlign w:val="center"/>
          </w:tcPr>
          <w:p>
            <w:pPr>
              <w:jc w:val="center"/>
              <w:rPr>
                <w:rFonts w:ascii="仿宋" w:hAnsi="仿宋" w:eastAsia="仿宋" w:cs="仿宋"/>
                <w:szCs w:val="22"/>
              </w:rPr>
            </w:pPr>
            <w:r>
              <w:rPr>
                <w:rFonts w:hint="eastAsia" w:ascii="仿宋" w:hAnsi="仿宋" w:eastAsia="仿宋" w:cs="仿宋"/>
                <w:sz w:val="18"/>
                <w:szCs w:val="18"/>
              </w:rPr>
              <w:t>字符型</w:t>
            </w:r>
          </w:p>
        </w:tc>
        <w:tc>
          <w:tcPr>
            <w:tcW w:w="1276" w:type="dxa"/>
            <w:vAlign w:val="center"/>
          </w:tcPr>
          <w:p>
            <w:pPr>
              <w:jc w:val="center"/>
              <w:rPr>
                <w:rFonts w:ascii="仿宋" w:hAnsi="仿宋" w:eastAsia="仿宋" w:cs="仿宋"/>
                <w:sz w:val="18"/>
                <w:szCs w:val="18"/>
              </w:rPr>
            </w:pPr>
            <w:r>
              <w:rPr>
                <w:rFonts w:hint="eastAsia" w:ascii="仿宋" w:hAnsi="仿宋" w:eastAsia="仿宋" w:cs="仿宋"/>
                <w:sz w:val="18"/>
                <w:szCs w:val="18"/>
              </w:rPr>
              <w:t>28</w:t>
            </w:r>
          </w:p>
        </w:tc>
        <w:tc>
          <w:tcPr>
            <w:tcW w:w="992" w:type="dxa"/>
            <w:vAlign w:val="center"/>
          </w:tcPr>
          <w:p>
            <w:pPr>
              <w:jc w:val="center"/>
              <w:rPr>
                <w:rFonts w:ascii="仿宋" w:hAnsi="仿宋" w:eastAsia="仿宋" w:cs="仿宋"/>
                <w:sz w:val="18"/>
                <w:szCs w:val="18"/>
              </w:rPr>
            </w:pPr>
          </w:p>
        </w:tc>
        <w:tc>
          <w:tcPr>
            <w:tcW w:w="1270" w:type="dxa"/>
            <w:vAlign w:val="center"/>
          </w:tcPr>
          <w:p>
            <w:pPr>
              <w:jc w:val="center"/>
              <w:rPr>
                <w:rFonts w:ascii="仿宋" w:hAnsi="仿宋" w:eastAsia="仿宋" w:cs="仿宋"/>
                <w:sz w:val="18"/>
                <w:szCs w:val="18"/>
              </w:rPr>
            </w:pPr>
          </w:p>
        </w:tc>
        <w:tc>
          <w:tcPr>
            <w:tcW w:w="2280" w:type="dxa"/>
            <w:vAlign w:val="center"/>
          </w:tcPr>
          <w:p>
            <w:pPr>
              <w:jc w:val="center"/>
              <w:rPr>
                <w:rFonts w:ascii="仿宋" w:hAnsi="仿宋" w:eastAsia="仿宋" w:cs="仿宋"/>
                <w:sz w:val="18"/>
                <w:szCs w:val="18"/>
              </w:rPr>
            </w:pPr>
            <w:r>
              <w:rPr>
                <w:rFonts w:hint="eastAsia" w:ascii="仿宋" w:hAnsi="仿宋" w:eastAsia="仿宋" w:cs="仿宋"/>
                <w:kern w:val="0"/>
                <w:szCs w:val="21"/>
              </w:rPr>
              <w:t>▲</w:t>
            </w:r>
          </w:p>
        </w:tc>
        <w:tc>
          <w:tcPr>
            <w:tcW w:w="3358" w:type="dxa"/>
            <w:vAlign w:val="center"/>
          </w:tcPr>
          <w:p>
            <w:pPr>
              <w:jc w:val="center"/>
              <w:rPr>
                <w:rFonts w:ascii="仿宋" w:hAnsi="仿宋" w:eastAsia="仿宋" w:cs="仿宋"/>
                <w:sz w:val="18"/>
                <w:szCs w:val="18"/>
              </w:rPr>
            </w:pPr>
            <w:r>
              <w:rPr>
                <w:rFonts w:hint="eastAsia" w:ascii="仿宋" w:hAnsi="仿宋" w:eastAsia="仿宋" w:cs="仿宋"/>
                <w:sz w:val="18"/>
                <w:szCs w:val="18"/>
              </w:rPr>
              <w:t>对应的附属设施管线点号+“U”+2位自然顺序码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Align w:val="center"/>
          </w:tcPr>
          <w:p>
            <w:pPr>
              <w:numPr>
                <w:ilvl w:val="0"/>
                <w:numId w:val="57"/>
              </w:numPr>
              <w:autoSpaceDE w:val="0"/>
              <w:autoSpaceDN w:val="0"/>
              <w:adjustRightInd w:val="0"/>
              <w:spacing w:line="360" w:lineRule="auto"/>
              <w:jc w:val="center"/>
              <w:rPr>
                <w:rFonts w:ascii="仿宋" w:hAnsi="仿宋" w:eastAsia="仿宋" w:cs="仿宋"/>
                <w:sz w:val="18"/>
                <w:szCs w:val="18"/>
              </w:rPr>
            </w:pPr>
          </w:p>
        </w:tc>
        <w:tc>
          <w:tcPr>
            <w:tcW w:w="1412" w:type="dxa"/>
            <w:vAlign w:val="center"/>
          </w:tcPr>
          <w:p>
            <w:pPr>
              <w:jc w:val="center"/>
              <w:rPr>
                <w:rFonts w:ascii="仿宋" w:hAnsi="仿宋" w:eastAsia="仿宋" w:cs="仿宋"/>
                <w:sz w:val="18"/>
                <w:szCs w:val="18"/>
              </w:rPr>
            </w:pPr>
            <w:r>
              <w:rPr>
                <w:rFonts w:hint="eastAsia" w:ascii="仿宋" w:hAnsi="仿宋" w:eastAsia="仿宋" w:cs="仿宋"/>
                <w:sz w:val="18"/>
                <w:szCs w:val="18"/>
              </w:rPr>
              <w:t>设施名称</w:t>
            </w:r>
          </w:p>
        </w:tc>
        <w:tc>
          <w:tcPr>
            <w:tcW w:w="1361" w:type="dxa"/>
            <w:vAlign w:val="center"/>
          </w:tcPr>
          <w:p>
            <w:pPr>
              <w:jc w:val="center"/>
              <w:rPr>
                <w:rFonts w:ascii="仿宋" w:hAnsi="仿宋" w:eastAsia="仿宋" w:cs="仿宋"/>
                <w:sz w:val="18"/>
                <w:szCs w:val="18"/>
              </w:rPr>
            </w:pPr>
            <w:r>
              <w:rPr>
                <w:rFonts w:hint="eastAsia" w:ascii="仿宋" w:hAnsi="仿宋" w:eastAsia="仿宋" w:cs="仿宋"/>
                <w:sz w:val="18"/>
                <w:szCs w:val="18"/>
              </w:rPr>
              <w:t>FacilityName</w:t>
            </w:r>
          </w:p>
        </w:tc>
        <w:tc>
          <w:tcPr>
            <w:tcW w:w="1053" w:type="dxa"/>
            <w:vAlign w:val="center"/>
          </w:tcPr>
          <w:p>
            <w:pPr>
              <w:jc w:val="center"/>
              <w:rPr>
                <w:rFonts w:ascii="仿宋" w:hAnsi="仿宋" w:eastAsia="仿宋" w:cs="仿宋"/>
                <w:szCs w:val="22"/>
              </w:rPr>
            </w:pPr>
            <w:r>
              <w:rPr>
                <w:rFonts w:hint="eastAsia" w:ascii="仿宋" w:hAnsi="仿宋" w:eastAsia="仿宋" w:cs="仿宋"/>
                <w:sz w:val="18"/>
                <w:szCs w:val="18"/>
              </w:rPr>
              <w:t>字符型</w:t>
            </w:r>
          </w:p>
        </w:tc>
        <w:tc>
          <w:tcPr>
            <w:tcW w:w="1276" w:type="dxa"/>
            <w:vAlign w:val="center"/>
          </w:tcPr>
          <w:p>
            <w:pPr>
              <w:jc w:val="center"/>
              <w:rPr>
                <w:rFonts w:ascii="仿宋" w:hAnsi="仿宋" w:eastAsia="仿宋" w:cs="仿宋"/>
                <w:sz w:val="18"/>
                <w:szCs w:val="18"/>
              </w:rPr>
            </w:pPr>
            <w:r>
              <w:rPr>
                <w:rFonts w:hint="eastAsia" w:ascii="仿宋" w:hAnsi="仿宋" w:eastAsia="仿宋" w:cs="仿宋"/>
                <w:sz w:val="18"/>
                <w:szCs w:val="18"/>
              </w:rPr>
              <w:t>100</w:t>
            </w:r>
          </w:p>
        </w:tc>
        <w:tc>
          <w:tcPr>
            <w:tcW w:w="992" w:type="dxa"/>
            <w:vAlign w:val="center"/>
          </w:tcPr>
          <w:p>
            <w:pPr>
              <w:jc w:val="center"/>
              <w:rPr>
                <w:rFonts w:ascii="仿宋" w:hAnsi="仿宋" w:eastAsia="仿宋" w:cs="仿宋"/>
                <w:sz w:val="18"/>
                <w:szCs w:val="18"/>
              </w:rPr>
            </w:pPr>
          </w:p>
        </w:tc>
        <w:tc>
          <w:tcPr>
            <w:tcW w:w="1270" w:type="dxa"/>
            <w:vAlign w:val="center"/>
          </w:tcPr>
          <w:p>
            <w:pPr>
              <w:jc w:val="center"/>
              <w:rPr>
                <w:rFonts w:ascii="仿宋" w:hAnsi="仿宋" w:eastAsia="仿宋" w:cs="仿宋"/>
                <w:sz w:val="18"/>
                <w:szCs w:val="18"/>
              </w:rPr>
            </w:pPr>
          </w:p>
        </w:tc>
        <w:tc>
          <w:tcPr>
            <w:tcW w:w="2280" w:type="dxa"/>
            <w:vAlign w:val="center"/>
          </w:tcPr>
          <w:p>
            <w:pPr>
              <w:jc w:val="center"/>
              <w:rPr>
                <w:rFonts w:ascii="仿宋" w:hAnsi="仿宋" w:eastAsia="仿宋" w:cs="仿宋"/>
                <w:sz w:val="18"/>
                <w:szCs w:val="18"/>
              </w:rPr>
            </w:pPr>
            <w:r>
              <w:rPr>
                <w:rFonts w:hint="eastAsia" w:ascii="仿宋" w:hAnsi="仿宋" w:eastAsia="仿宋" w:cs="仿宋"/>
                <w:kern w:val="0"/>
                <w:szCs w:val="21"/>
              </w:rPr>
              <w:t>▲</w:t>
            </w:r>
          </w:p>
        </w:tc>
        <w:tc>
          <w:tcPr>
            <w:tcW w:w="3358"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Align w:val="center"/>
          </w:tcPr>
          <w:p>
            <w:pPr>
              <w:numPr>
                <w:ilvl w:val="0"/>
                <w:numId w:val="57"/>
              </w:numPr>
              <w:autoSpaceDE w:val="0"/>
              <w:autoSpaceDN w:val="0"/>
              <w:adjustRightInd w:val="0"/>
              <w:spacing w:line="360" w:lineRule="auto"/>
              <w:jc w:val="center"/>
              <w:rPr>
                <w:rFonts w:ascii="仿宋" w:hAnsi="仿宋" w:eastAsia="仿宋" w:cs="仿宋"/>
                <w:sz w:val="18"/>
                <w:szCs w:val="18"/>
              </w:rPr>
            </w:pPr>
          </w:p>
        </w:tc>
        <w:tc>
          <w:tcPr>
            <w:tcW w:w="1412" w:type="dxa"/>
            <w:vAlign w:val="center"/>
          </w:tcPr>
          <w:p>
            <w:pPr>
              <w:jc w:val="center"/>
              <w:rPr>
                <w:rFonts w:ascii="仿宋" w:hAnsi="仿宋" w:eastAsia="仿宋" w:cs="仿宋"/>
                <w:sz w:val="18"/>
                <w:szCs w:val="18"/>
              </w:rPr>
            </w:pPr>
            <w:r>
              <w:rPr>
                <w:rFonts w:hint="eastAsia" w:ascii="仿宋" w:hAnsi="仿宋" w:eastAsia="仿宋" w:cs="仿宋"/>
                <w:sz w:val="18"/>
                <w:szCs w:val="18"/>
              </w:rPr>
              <w:t>要素代码</w:t>
            </w:r>
          </w:p>
        </w:tc>
        <w:tc>
          <w:tcPr>
            <w:tcW w:w="1361" w:type="dxa"/>
            <w:vAlign w:val="center"/>
          </w:tcPr>
          <w:p>
            <w:pPr>
              <w:jc w:val="center"/>
              <w:rPr>
                <w:rFonts w:ascii="仿宋" w:hAnsi="仿宋" w:eastAsia="仿宋" w:cs="仿宋"/>
                <w:sz w:val="18"/>
                <w:szCs w:val="18"/>
              </w:rPr>
            </w:pPr>
            <w:r>
              <w:rPr>
                <w:rFonts w:hint="eastAsia" w:ascii="仿宋" w:hAnsi="仿宋" w:eastAsia="仿宋" w:cs="仿宋"/>
                <w:sz w:val="18"/>
                <w:szCs w:val="18"/>
              </w:rPr>
              <w:t>Code</w:t>
            </w:r>
          </w:p>
        </w:tc>
        <w:tc>
          <w:tcPr>
            <w:tcW w:w="1053" w:type="dxa"/>
            <w:vAlign w:val="center"/>
          </w:tcPr>
          <w:p>
            <w:pPr>
              <w:jc w:val="center"/>
              <w:rPr>
                <w:rFonts w:ascii="仿宋" w:hAnsi="仿宋" w:eastAsia="仿宋" w:cs="仿宋"/>
                <w:szCs w:val="22"/>
              </w:rPr>
            </w:pPr>
            <w:r>
              <w:rPr>
                <w:rFonts w:hint="eastAsia" w:ascii="仿宋" w:hAnsi="仿宋" w:eastAsia="仿宋" w:cs="仿宋"/>
                <w:sz w:val="18"/>
                <w:szCs w:val="18"/>
              </w:rPr>
              <w:t>字符型</w:t>
            </w:r>
          </w:p>
        </w:tc>
        <w:tc>
          <w:tcPr>
            <w:tcW w:w="1276" w:type="dxa"/>
            <w:vAlign w:val="center"/>
          </w:tcPr>
          <w:p>
            <w:pPr>
              <w:jc w:val="center"/>
              <w:rPr>
                <w:rFonts w:ascii="仿宋" w:hAnsi="仿宋" w:eastAsia="仿宋" w:cs="仿宋"/>
                <w:sz w:val="18"/>
                <w:szCs w:val="18"/>
              </w:rPr>
            </w:pPr>
            <w:r>
              <w:rPr>
                <w:rFonts w:hint="eastAsia" w:ascii="仿宋" w:hAnsi="仿宋" w:eastAsia="仿宋" w:cs="仿宋"/>
                <w:sz w:val="18"/>
                <w:szCs w:val="18"/>
              </w:rPr>
              <w:t>7</w:t>
            </w:r>
          </w:p>
        </w:tc>
        <w:tc>
          <w:tcPr>
            <w:tcW w:w="992" w:type="dxa"/>
            <w:vAlign w:val="center"/>
          </w:tcPr>
          <w:p>
            <w:pPr>
              <w:jc w:val="center"/>
              <w:rPr>
                <w:rFonts w:ascii="仿宋" w:hAnsi="仿宋" w:eastAsia="仿宋" w:cs="仿宋"/>
                <w:sz w:val="18"/>
                <w:szCs w:val="18"/>
              </w:rPr>
            </w:pPr>
          </w:p>
        </w:tc>
        <w:tc>
          <w:tcPr>
            <w:tcW w:w="1270" w:type="dxa"/>
            <w:vAlign w:val="center"/>
          </w:tcPr>
          <w:p>
            <w:pPr>
              <w:jc w:val="center"/>
              <w:rPr>
                <w:rFonts w:ascii="仿宋" w:hAnsi="仿宋" w:eastAsia="仿宋" w:cs="仿宋"/>
                <w:sz w:val="18"/>
                <w:szCs w:val="18"/>
              </w:rPr>
            </w:pPr>
            <w:r>
              <w:rPr>
                <w:rFonts w:hint="eastAsia" w:ascii="仿宋" w:hAnsi="仿宋" w:eastAsia="仿宋" w:cs="仿宋"/>
                <w:sz w:val="18"/>
                <w:szCs w:val="18"/>
              </w:rPr>
              <w:t>见附表A.</w:t>
            </w:r>
            <w:r>
              <w:rPr>
                <w:rFonts w:ascii="仿宋" w:hAnsi="仿宋" w:eastAsia="仿宋" w:cs="仿宋"/>
                <w:sz w:val="18"/>
                <w:szCs w:val="18"/>
              </w:rPr>
              <w:t>1</w:t>
            </w:r>
            <w:r>
              <w:rPr>
                <w:rFonts w:hint="eastAsia" w:ascii="仿宋" w:hAnsi="仿宋" w:eastAsia="仿宋" w:cs="仿宋"/>
                <w:sz w:val="18"/>
                <w:szCs w:val="18"/>
              </w:rPr>
              <w:t>2</w:t>
            </w:r>
          </w:p>
        </w:tc>
        <w:tc>
          <w:tcPr>
            <w:tcW w:w="2280" w:type="dxa"/>
            <w:vAlign w:val="center"/>
          </w:tcPr>
          <w:p>
            <w:pPr>
              <w:jc w:val="center"/>
              <w:rPr>
                <w:rFonts w:ascii="仿宋" w:hAnsi="仿宋" w:eastAsia="仿宋" w:cs="仿宋"/>
                <w:sz w:val="18"/>
                <w:szCs w:val="18"/>
              </w:rPr>
            </w:pPr>
            <w:r>
              <w:rPr>
                <w:rFonts w:hint="eastAsia" w:ascii="仿宋" w:hAnsi="仿宋" w:eastAsia="仿宋" w:cs="仿宋"/>
                <w:kern w:val="0"/>
                <w:szCs w:val="21"/>
              </w:rPr>
              <w:t>▲</w:t>
            </w:r>
          </w:p>
        </w:tc>
        <w:tc>
          <w:tcPr>
            <w:tcW w:w="3358"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Align w:val="center"/>
          </w:tcPr>
          <w:p>
            <w:pPr>
              <w:numPr>
                <w:ilvl w:val="0"/>
                <w:numId w:val="57"/>
              </w:numPr>
              <w:autoSpaceDE w:val="0"/>
              <w:autoSpaceDN w:val="0"/>
              <w:adjustRightInd w:val="0"/>
              <w:spacing w:line="360" w:lineRule="auto"/>
              <w:jc w:val="center"/>
              <w:rPr>
                <w:rFonts w:ascii="仿宋" w:hAnsi="仿宋" w:eastAsia="仿宋" w:cs="仿宋"/>
                <w:sz w:val="18"/>
                <w:szCs w:val="18"/>
              </w:rPr>
            </w:pPr>
          </w:p>
        </w:tc>
        <w:tc>
          <w:tcPr>
            <w:tcW w:w="1412" w:type="dxa"/>
            <w:vAlign w:val="center"/>
          </w:tcPr>
          <w:p>
            <w:pPr>
              <w:jc w:val="center"/>
              <w:rPr>
                <w:rFonts w:ascii="仿宋" w:hAnsi="仿宋" w:eastAsia="仿宋" w:cs="仿宋"/>
                <w:sz w:val="18"/>
                <w:szCs w:val="18"/>
              </w:rPr>
            </w:pPr>
            <w:r>
              <w:rPr>
                <w:rFonts w:hint="eastAsia" w:ascii="仿宋" w:hAnsi="仿宋" w:eastAsia="仿宋" w:cs="仿宋"/>
                <w:sz w:val="18"/>
                <w:szCs w:val="18"/>
              </w:rPr>
              <w:t>底面高程</w:t>
            </w:r>
          </w:p>
        </w:tc>
        <w:tc>
          <w:tcPr>
            <w:tcW w:w="1361" w:type="dxa"/>
            <w:vAlign w:val="center"/>
          </w:tcPr>
          <w:p>
            <w:pPr>
              <w:jc w:val="center"/>
              <w:rPr>
                <w:rFonts w:ascii="仿宋" w:hAnsi="仿宋" w:eastAsia="仿宋" w:cs="仿宋"/>
                <w:sz w:val="18"/>
                <w:szCs w:val="18"/>
              </w:rPr>
            </w:pPr>
            <w:r>
              <w:rPr>
                <w:rFonts w:hint="eastAsia" w:ascii="仿宋" w:hAnsi="仿宋" w:eastAsia="仿宋" w:cs="仿宋"/>
                <w:sz w:val="18"/>
                <w:szCs w:val="18"/>
              </w:rPr>
              <w:t>SubfaceHigh</w:t>
            </w:r>
          </w:p>
        </w:tc>
        <w:tc>
          <w:tcPr>
            <w:tcW w:w="1053" w:type="dxa"/>
            <w:vAlign w:val="center"/>
          </w:tcPr>
          <w:p>
            <w:pPr>
              <w:jc w:val="center"/>
              <w:rPr>
                <w:rFonts w:ascii="仿宋" w:hAnsi="仿宋" w:eastAsia="仿宋" w:cs="仿宋"/>
                <w:szCs w:val="22"/>
              </w:rPr>
            </w:pPr>
            <w:r>
              <w:rPr>
                <w:rFonts w:hint="eastAsia" w:ascii="仿宋" w:hAnsi="仿宋" w:eastAsia="仿宋" w:cs="仿宋"/>
                <w:sz w:val="18"/>
                <w:szCs w:val="18"/>
              </w:rPr>
              <w:t>双精度</w:t>
            </w:r>
          </w:p>
        </w:tc>
        <w:tc>
          <w:tcPr>
            <w:tcW w:w="1276" w:type="dxa"/>
            <w:vAlign w:val="center"/>
          </w:tcPr>
          <w:p>
            <w:pPr>
              <w:jc w:val="center"/>
              <w:rPr>
                <w:rFonts w:ascii="仿宋" w:hAnsi="仿宋" w:eastAsia="仿宋" w:cs="仿宋"/>
                <w:sz w:val="18"/>
                <w:szCs w:val="18"/>
              </w:rPr>
            </w:pPr>
          </w:p>
        </w:tc>
        <w:tc>
          <w:tcPr>
            <w:tcW w:w="992" w:type="dxa"/>
            <w:vAlign w:val="center"/>
          </w:tcPr>
          <w:p>
            <w:pPr>
              <w:jc w:val="center"/>
              <w:rPr>
                <w:rFonts w:ascii="仿宋" w:hAnsi="仿宋" w:eastAsia="仿宋" w:cs="仿宋"/>
                <w:sz w:val="18"/>
                <w:szCs w:val="18"/>
              </w:rPr>
            </w:pPr>
            <w:r>
              <w:rPr>
                <w:rFonts w:hint="eastAsia" w:ascii="仿宋" w:hAnsi="仿宋" w:eastAsia="仿宋" w:cs="仿宋"/>
                <w:sz w:val="18"/>
                <w:szCs w:val="18"/>
              </w:rPr>
              <w:t>2</w:t>
            </w:r>
          </w:p>
        </w:tc>
        <w:tc>
          <w:tcPr>
            <w:tcW w:w="1270" w:type="dxa"/>
            <w:vAlign w:val="center"/>
          </w:tcPr>
          <w:p>
            <w:pPr>
              <w:jc w:val="center"/>
              <w:rPr>
                <w:rFonts w:ascii="仿宋" w:hAnsi="仿宋" w:eastAsia="仿宋" w:cs="仿宋"/>
                <w:sz w:val="18"/>
                <w:szCs w:val="18"/>
              </w:rPr>
            </w:pPr>
          </w:p>
        </w:tc>
        <w:tc>
          <w:tcPr>
            <w:tcW w:w="2280" w:type="dxa"/>
            <w:vAlign w:val="center"/>
          </w:tcPr>
          <w:p>
            <w:pPr>
              <w:jc w:val="center"/>
              <w:rPr>
                <w:rFonts w:ascii="仿宋" w:hAnsi="仿宋" w:eastAsia="仿宋" w:cs="仿宋"/>
                <w:sz w:val="18"/>
                <w:szCs w:val="18"/>
              </w:rPr>
            </w:pPr>
            <w:r>
              <w:rPr>
                <w:rFonts w:hint="eastAsia" w:ascii="仿宋" w:hAnsi="仿宋" w:eastAsia="仿宋" w:cs="仿宋"/>
                <w:kern w:val="0"/>
                <w:szCs w:val="21"/>
              </w:rPr>
              <w:t>▲</w:t>
            </w:r>
          </w:p>
        </w:tc>
        <w:tc>
          <w:tcPr>
            <w:tcW w:w="3358"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Align w:val="center"/>
          </w:tcPr>
          <w:p>
            <w:pPr>
              <w:numPr>
                <w:ilvl w:val="0"/>
                <w:numId w:val="57"/>
              </w:numPr>
              <w:autoSpaceDE w:val="0"/>
              <w:autoSpaceDN w:val="0"/>
              <w:adjustRightInd w:val="0"/>
              <w:spacing w:line="360" w:lineRule="auto"/>
              <w:jc w:val="center"/>
              <w:rPr>
                <w:rFonts w:ascii="仿宋" w:hAnsi="仿宋" w:eastAsia="仿宋" w:cs="仿宋"/>
                <w:sz w:val="18"/>
                <w:szCs w:val="18"/>
              </w:rPr>
            </w:pPr>
          </w:p>
        </w:tc>
        <w:tc>
          <w:tcPr>
            <w:tcW w:w="1412" w:type="dxa"/>
            <w:vAlign w:val="center"/>
          </w:tcPr>
          <w:p>
            <w:pPr>
              <w:jc w:val="center"/>
              <w:rPr>
                <w:rFonts w:ascii="仿宋" w:hAnsi="仿宋" w:eastAsia="仿宋" w:cs="仿宋"/>
                <w:sz w:val="18"/>
                <w:szCs w:val="18"/>
              </w:rPr>
            </w:pPr>
            <w:r>
              <w:rPr>
                <w:rFonts w:hint="eastAsia" w:ascii="仿宋" w:hAnsi="仿宋" w:eastAsia="仿宋" w:cs="仿宋"/>
                <w:sz w:val="18"/>
                <w:szCs w:val="18"/>
              </w:rPr>
              <w:t>顶面高程</w:t>
            </w:r>
          </w:p>
        </w:tc>
        <w:tc>
          <w:tcPr>
            <w:tcW w:w="1361" w:type="dxa"/>
            <w:vAlign w:val="center"/>
          </w:tcPr>
          <w:p>
            <w:pPr>
              <w:jc w:val="center"/>
              <w:rPr>
                <w:rFonts w:ascii="仿宋" w:hAnsi="仿宋" w:eastAsia="仿宋" w:cs="仿宋"/>
                <w:sz w:val="18"/>
                <w:szCs w:val="18"/>
              </w:rPr>
            </w:pPr>
            <w:r>
              <w:rPr>
                <w:rFonts w:hint="eastAsia" w:ascii="仿宋" w:hAnsi="仿宋" w:eastAsia="仿宋" w:cs="仿宋"/>
                <w:sz w:val="18"/>
                <w:szCs w:val="18"/>
              </w:rPr>
              <w:t>SurfaceHigh</w:t>
            </w:r>
          </w:p>
        </w:tc>
        <w:tc>
          <w:tcPr>
            <w:tcW w:w="1053" w:type="dxa"/>
            <w:vAlign w:val="center"/>
          </w:tcPr>
          <w:p>
            <w:pPr>
              <w:jc w:val="center"/>
              <w:rPr>
                <w:rFonts w:ascii="仿宋" w:hAnsi="仿宋" w:eastAsia="仿宋" w:cs="仿宋"/>
                <w:szCs w:val="22"/>
              </w:rPr>
            </w:pPr>
            <w:r>
              <w:rPr>
                <w:rFonts w:hint="eastAsia" w:ascii="仿宋" w:hAnsi="仿宋" w:eastAsia="仿宋" w:cs="仿宋"/>
                <w:sz w:val="18"/>
                <w:szCs w:val="18"/>
              </w:rPr>
              <w:t>双精度</w:t>
            </w:r>
          </w:p>
        </w:tc>
        <w:tc>
          <w:tcPr>
            <w:tcW w:w="1276" w:type="dxa"/>
            <w:vAlign w:val="center"/>
          </w:tcPr>
          <w:p>
            <w:pPr>
              <w:jc w:val="center"/>
              <w:rPr>
                <w:rFonts w:ascii="仿宋" w:hAnsi="仿宋" w:eastAsia="仿宋" w:cs="仿宋"/>
                <w:sz w:val="18"/>
                <w:szCs w:val="18"/>
              </w:rPr>
            </w:pPr>
          </w:p>
        </w:tc>
        <w:tc>
          <w:tcPr>
            <w:tcW w:w="992" w:type="dxa"/>
            <w:vAlign w:val="center"/>
          </w:tcPr>
          <w:p>
            <w:pPr>
              <w:jc w:val="center"/>
              <w:rPr>
                <w:rFonts w:ascii="仿宋" w:hAnsi="仿宋" w:eastAsia="仿宋" w:cs="仿宋"/>
                <w:sz w:val="18"/>
                <w:szCs w:val="18"/>
              </w:rPr>
            </w:pPr>
            <w:r>
              <w:rPr>
                <w:rFonts w:hint="eastAsia" w:ascii="仿宋" w:hAnsi="仿宋" w:eastAsia="仿宋" w:cs="仿宋"/>
                <w:sz w:val="18"/>
                <w:szCs w:val="18"/>
              </w:rPr>
              <w:t>2</w:t>
            </w:r>
          </w:p>
        </w:tc>
        <w:tc>
          <w:tcPr>
            <w:tcW w:w="1270" w:type="dxa"/>
            <w:vAlign w:val="center"/>
          </w:tcPr>
          <w:p>
            <w:pPr>
              <w:jc w:val="center"/>
              <w:rPr>
                <w:rFonts w:ascii="仿宋" w:hAnsi="仿宋" w:eastAsia="仿宋" w:cs="仿宋"/>
                <w:sz w:val="18"/>
                <w:szCs w:val="18"/>
              </w:rPr>
            </w:pPr>
          </w:p>
        </w:tc>
        <w:tc>
          <w:tcPr>
            <w:tcW w:w="2280" w:type="dxa"/>
            <w:vAlign w:val="center"/>
          </w:tcPr>
          <w:p>
            <w:pPr>
              <w:jc w:val="center"/>
              <w:rPr>
                <w:rFonts w:ascii="仿宋" w:hAnsi="仿宋" w:eastAsia="仿宋" w:cs="仿宋"/>
                <w:sz w:val="18"/>
                <w:szCs w:val="18"/>
              </w:rPr>
            </w:pPr>
            <w:r>
              <w:rPr>
                <w:rFonts w:hint="eastAsia" w:ascii="仿宋" w:hAnsi="仿宋" w:eastAsia="仿宋" w:cs="仿宋"/>
                <w:kern w:val="0"/>
                <w:szCs w:val="21"/>
              </w:rPr>
              <w:t>▲</w:t>
            </w:r>
          </w:p>
        </w:tc>
        <w:tc>
          <w:tcPr>
            <w:tcW w:w="3358"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Align w:val="center"/>
          </w:tcPr>
          <w:p>
            <w:pPr>
              <w:numPr>
                <w:ilvl w:val="0"/>
                <w:numId w:val="57"/>
              </w:numPr>
              <w:autoSpaceDE w:val="0"/>
              <w:autoSpaceDN w:val="0"/>
              <w:adjustRightInd w:val="0"/>
              <w:spacing w:line="360" w:lineRule="auto"/>
              <w:jc w:val="center"/>
              <w:rPr>
                <w:rFonts w:ascii="仿宋" w:hAnsi="仿宋" w:eastAsia="仿宋" w:cs="仿宋"/>
                <w:sz w:val="18"/>
                <w:szCs w:val="18"/>
              </w:rPr>
            </w:pPr>
          </w:p>
        </w:tc>
        <w:tc>
          <w:tcPr>
            <w:tcW w:w="1412"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起点编号</w:t>
            </w:r>
          </w:p>
        </w:tc>
        <w:tc>
          <w:tcPr>
            <w:tcW w:w="1361"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S_Exp</w:t>
            </w:r>
          </w:p>
        </w:tc>
        <w:tc>
          <w:tcPr>
            <w:tcW w:w="1053"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276" w:type="dxa"/>
            <w:vAlign w:val="center"/>
          </w:tcPr>
          <w:p>
            <w:pPr>
              <w:jc w:val="center"/>
              <w:rPr>
                <w:rFonts w:ascii="仿宋" w:hAnsi="仿宋" w:eastAsia="仿宋" w:cs="仿宋"/>
                <w:sz w:val="18"/>
                <w:szCs w:val="18"/>
              </w:rPr>
            </w:pPr>
          </w:p>
        </w:tc>
        <w:tc>
          <w:tcPr>
            <w:tcW w:w="992" w:type="dxa"/>
            <w:vAlign w:val="center"/>
          </w:tcPr>
          <w:p>
            <w:pPr>
              <w:jc w:val="center"/>
              <w:rPr>
                <w:rFonts w:ascii="仿宋" w:hAnsi="仿宋" w:eastAsia="仿宋" w:cs="仿宋"/>
                <w:sz w:val="18"/>
                <w:szCs w:val="18"/>
              </w:rPr>
            </w:pPr>
          </w:p>
        </w:tc>
        <w:tc>
          <w:tcPr>
            <w:tcW w:w="1270" w:type="dxa"/>
            <w:vAlign w:val="center"/>
          </w:tcPr>
          <w:p>
            <w:pPr>
              <w:jc w:val="center"/>
              <w:rPr>
                <w:rFonts w:ascii="仿宋" w:hAnsi="仿宋" w:eastAsia="仿宋" w:cs="仿宋"/>
                <w:sz w:val="18"/>
                <w:szCs w:val="18"/>
              </w:rPr>
            </w:pPr>
          </w:p>
        </w:tc>
        <w:tc>
          <w:tcPr>
            <w:tcW w:w="2280" w:type="dxa"/>
            <w:vAlign w:val="center"/>
          </w:tcPr>
          <w:p>
            <w:pPr>
              <w:jc w:val="center"/>
              <w:rPr>
                <w:rFonts w:ascii="仿宋" w:hAnsi="仿宋" w:eastAsia="仿宋" w:cs="仿宋"/>
                <w:color w:val="000000"/>
                <w:kern w:val="0"/>
                <w:sz w:val="18"/>
                <w:szCs w:val="18"/>
              </w:rPr>
            </w:pPr>
            <w:r>
              <w:rPr>
                <w:rFonts w:hint="eastAsia" w:ascii="仿宋" w:hAnsi="仿宋" w:eastAsia="仿宋" w:cs="仿宋"/>
                <w:kern w:val="0"/>
                <w:szCs w:val="21"/>
              </w:rPr>
              <w:t>▲</w:t>
            </w:r>
          </w:p>
        </w:tc>
        <w:tc>
          <w:tcPr>
            <w:tcW w:w="3358" w:type="dxa"/>
            <w:vAlign w:val="center"/>
          </w:tcPr>
          <w:p>
            <w:pPr>
              <w:jc w:val="center"/>
              <w:rPr>
                <w:rFonts w:ascii="仿宋" w:hAnsi="仿宋" w:eastAsia="仿宋" w:cs="仿宋"/>
                <w:sz w:val="18"/>
                <w:szCs w:val="18"/>
              </w:rPr>
            </w:pPr>
            <w:r>
              <w:rPr>
                <w:rFonts w:hint="eastAsia" w:ascii="仿宋" w:hAnsi="仿宋" w:eastAsia="仿宋" w:cs="仿宋"/>
                <w:sz w:val="18"/>
                <w:szCs w:val="18"/>
              </w:rPr>
              <w:t>由从1开始的自然顺序数组成，在同一个地下井室中保持唯一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Align w:val="center"/>
          </w:tcPr>
          <w:p>
            <w:pPr>
              <w:numPr>
                <w:ilvl w:val="0"/>
                <w:numId w:val="57"/>
              </w:numPr>
              <w:autoSpaceDE w:val="0"/>
              <w:autoSpaceDN w:val="0"/>
              <w:adjustRightInd w:val="0"/>
              <w:spacing w:line="360" w:lineRule="auto"/>
              <w:jc w:val="center"/>
              <w:rPr>
                <w:rFonts w:ascii="仿宋" w:hAnsi="仿宋" w:eastAsia="仿宋" w:cs="仿宋"/>
                <w:sz w:val="18"/>
                <w:szCs w:val="18"/>
              </w:rPr>
            </w:pPr>
          </w:p>
        </w:tc>
        <w:tc>
          <w:tcPr>
            <w:tcW w:w="1412"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起点X坐标</w:t>
            </w:r>
          </w:p>
        </w:tc>
        <w:tc>
          <w:tcPr>
            <w:tcW w:w="1361"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S_X</w:t>
            </w:r>
          </w:p>
        </w:tc>
        <w:tc>
          <w:tcPr>
            <w:tcW w:w="1053" w:type="dxa"/>
            <w:vAlign w:val="center"/>
          </w:tcPr>
          <w:p>
            <w:pPr>
              <w:jc w:val="center"/>
              <w:rPr>
                <w:rFonts w:ascii="仿宋" w:hAnsi="仿宋" w:eastAsia="仿宋" w:cs="仿宋"/>
                <w:sz w:val="18"/>
                <w:szCs w:val="18"/>
              </w:rPr>
            </w:pPr>
            <w:r>
              <w:rPr>
                <w:rFonts w:hint="eastAsia" w:ascii="仿宋" w:hAnsi="仿宋" w:eastAsia="仿宋" w:cs="仿宋"/>
                <w:sz w:val="18"/>
                <w:szCs w:val="18"/>
              </w:rPr>
              <w:t>双精度</w:t>
            </w:r>
          </w:p>
        </w:tc>
        <w:tc>
          <w:tcPr>
            <w:tcW w:w="1276" w:type="dxa"/>
            <w:vAlign w:val="center"/>
          </w:tcPr>
          <w:p>
            <w:pPr>
              <w:jc w:val="center"/>
              <w:rPr>
                <w:rFonts w:ascii="仿宋" w:hAnsi="仿宋" w:eastAsia="仿宋" w:cs="仿宋"/>
                <w:sz w:val="18"/>
                <w:szCs w:val="18"/>
              </w:rPr>
            </w:pPr>
          </w:p>
        </w:tc>
        <w:tc>
          <w:tcPr>
            <w:tcW w:w="992" w:type="dxa"/>
            <w:vAlign w:val="center"/>
          </w:tcPr>
          <w:p>
            <w:pPr>
              <w:jc w:val="center"/>
              <w:rPr>
                <w:rFonts w:ascii="仿宋" w:hAnsi="仿宋" w:eastAsia="仿宋" w:cs="仿宋"/>
                <w:sz w:val="18"/>
                <w:szCs w:val="18"/>
              </w:rPr>
            </w:pPr>
            <w:r>
              <w:rPr>
                <w:rFonts w:hint="eastAsia" w:ascii="仿宋" w:hAnsi="仿宋" w:eastAsia="仿宋" w:cs="仿宋"/>
                <w:sz w:val="18"/>
                <w:szCs w:val="18"/>
              </w:rPr>
              <w:t>3</w:t>
            </w:r>
          </w:p>
        </w:tc>
        <w:tc>
          <w:tcPr>
            <w:tcW w:w="1270" w:type="dxa"/>
            <w:vAlign w:val="center"/>
          </w:tcPr>
          <w:p>
            <w:pPr>
              <w:jc w:val="center"/>
              <w:rPr>
                <w:rFonts w:ascii="仿宋" w:hAnsi="仿宋" w:eastAsia="仿宋" w:cs="仿宋"/>
                <w:sz w:val="18"/>
                <w:szCs w:val="18"/>
              </w:rPr>
            </w:pPr>
          </w:p>
        </w:tc>
        <w:tc>
          <w:tcPr>
            <w:tcW w:w="2280" w:type="dxa"/>
            <w:vAlign w:val="center"/>
          </w:tcPr>
          <w:p>
            <w:pPr>
              <w:jc w:val="center"/>
              <w:rPr>
                <w:rFonts w:ascii="仿宋" w:hAnsi="仿宋" w:eastAsia="仿宋" w:cs="仿宋"/>
                <w:color w:val="000000"/>
                <w:kern w:val="0"/>
                <w:sz w:val="18"/>
                <w:szCs w:val="18"/>
              </w:rPr>
            </w:pPr>
            <w:r>
              <w:rPr>
                <w:rFonts w:hint="eastAsia" w:ascii="仿宋" w:hAnsi="仿宋" w:eastAsia="仿宋" w:cs="仿宋"/>
                <w:kern w:val="0"/>
                <w:szCs w:val="21"/>
              </w:rPr>
              <w:t>▲</w:t>
            </w:r>
          </w:p>
        </w:tc>
        <w:tc>
          <w:tcPr>
            <w:tcW w:w="3358"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Align w:val="center"/>
          </w:tcPr>
          <w:p>
            <w:pPr>
              <w:numPr>
                <w:ilvl w:val="0"/>
                <w:numId w:val="57"/>
              </w:numPr>
              <w:autoSpaceDE w:val="0"/>
              <w:autoSpaceDN w:val="0"/>
              <w:adjustRightInd w:val="0"/>
              <w:spacing w:line="360" w:lineRule="auto"/>
              <w:jc w:val="center"/>
              <w:rPr>
                <w:rFonts w:ascii="仿宋" w:hAnsi="仿宋" w:eastAsia="仿宋" w:cs="仿宋"/>
                <w:sz w:val="18"/>
                <w:szCs w:val="18"/>
              </w:rPr>
            </w:pPr>
          </w:p>
        </w:tc>
        <w:tc>
          <w:tcPr>
            <w:tcW w:w="1412"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起点Y坐标</w:t>
            </w:r>
          </w:p>
        </w:tc>
        <w:tc>
          <w:tcPr>
            <w:tcW w:w="1361"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S_Y</w:t>
            </w:r>
          </w:p>
        </w:tc>
        <w:tc>
          <w:tcPr>
            <w:tcW w:w="1053" w:type="dxa"/>
            <w:vAlign w:val="center"/>
          </w:tcPr>
          <w:p>
            <w:pPr>
              <w:jc w:val="center"/>
              <w:rPr>
                <w:rFonts w:ascii="仿宋" w:hAnsi="仿宋" w:eastAsia="仿宋" w:cs="仿宋"/>
                <w:sz w:val="18"/>
                <w:szCs w:val="18"/>
              </w:rPr>
            </w:pPr>
            <w:r>
              <w:rPr>
                <w:rFonts w:hint="eastAsia" w:ascii="仿宋" w:hAnsi="仿宋" w:eastAsia="仿宋" w:cs="仿宋"/>
                <w:sz w:val="18"/>
                <w:szCs w:val="18"/>
              </w:rPr>
              <w:t>双精度</w:t>
            </w:r>
          </w:p>
        </w:tc>
        <w:tc>
          <w:tcPr>
            <w:tcW w:w="1276" w:type="dxa"/>
            <w:vAlign w:val="center"/>
          </w:tcPr>
          <w:p>
            <w:pPr>
              <w:jc w:val="center"/>
              <w:rPr>
                <w:rFonts w:ascii="仿宋" w:hAnsi="仿宋" w:eastAsia="仿宋" w:cs="仿宋"/>
                <w:sz w:val="18"/>
                <w:szCs w:val="18"/>
              </w:rPr>
            </w:pPr>
          </w:p>
        </w:tc>
        <w:tc>
          <w:tcPr>
            <w:tcW w:w="992" w:type="dxa"/>
            <w:vAlign w:val="center"/>
          </w:tcPr>
          <w:p>
            <w:pPr>
              <w:jc w:val="center"/>
              <w:rPr>
                <w:rFonts w:ascii="仿宋" w:hAnsi="仿宋" w:eastAsia="仿宋" w:cs="仿宋"/>
                <w:sz w:val="18"/>
                <w:szCs w:val="18"/>
              </w:rPr>
            </w:pPr>
            <w:r>
              <w:rPr>
                <w:rFonts w:hint="eastAsia" w:ascii="仿宋" w:hAnsi="仿宋" w:eastAsia="仿宋" w:cs="仿宋"/>
                <w:sz w:val="18"/>
                <w:szCs w:val="18"/>
              </w:rPr>
              <w:t>3</w:t>
            </w:r>
          </w:p>
        </w:tc>
        <w:tc>
          <w:tcPr>
            <w:tcW w:w="1270" w:type="dxa"/>
            <w:vAlign w:val="center"/>
          </w:tcPr>
          <w:p>
            <w:pPr>
              <w:jc w:val="center"/>
              <w:rPr>
                <w:rFonts w:ascii="仿宋" w:hAnsi="仿宋" w:eastAsia="仿宋" w:cs="仿宋"/>
                <w:sz w:val="18"/>
                <w:szCs w:val="18"/>
              </w:rPr>
            </w:pPr>
          </w:p>
        </w:tc>
        <w:tc>
          <w:tcPr>
            <w:tcW w:w="2280" w:type="dxa"/>
            <w:vAlign w:val="center"/>
          </w:tcPr>
          <w:p>
            <w:pPr>
              <w:jc w:val="center"/>
              <w:rPr>
                <w:rFonts w:ascii="仿宋" w:hAnsi="仿宋" w:eastAsia="仿宋" w:cs="仿宋"/>
                <w:color w:val="000000"/>
                <w:kern w:val="0"/>
                <w:sz w:val="18"/>
                <w:szCs w:val="18"/>
              </w:rPr>
            </w:pPr>
            <w:r>
              <w:rPr>
                <w:rFonts w:hint="eastAsia" w:ascii="仿宋" w:hAnsi="仿宋" w:eastAsia="仿宋" w:cs="仿宋"/>
                <w:kern w:val="0"/>
                <w:szCs w:val="21"/>
              </w:rPr>
              <w:t>▲</w:t>
            </w:r>
          </w:p>
        </w:tc>
        <w:tc>
          <w:tcPr>
            <w:tcW w:w="3358"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Align w:val="center"/>
          </w:tcPr>
          <w:p>
            <w:pPr>
              <w:numPr>
                <w:ilvl w:val="0"/>
                <w:numId w:val="57"/>
              </w:numPr>
              <w:autoSpaceDE w:val="0"/>
              <w:autoSpaceDN w:val="0"/>
              <w:adjustRightInd w:val="0"/>
              <w:spacing w:line="360" w:lineRule="auto"/>
              <w:jc w:val="center"/>
              <w:rPr>
                <w:rFonts w:ascii="仿宋" w:hAnsi="仿宋" w:eastAsia="仿宋" w:cs="仿宋"/>
                <w:sz w:val="18"/>
                <w:szCs w:val="18"/>
              </w:rPr>
            </w:pPr>
          </w:p>
        </w:tc>
        <w:tc>
          <w:tcPr>
            <w:tcW w:w="1412"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连接点编号</w:t>
            </w:r>
          </w:p>
        </w:tc>
        <w:tc>
          <w:tcPr>
            <w:tcW w:w="1361" w:type="dxa"/>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 xml:space="preserve">E_Exp </w:t>
            </w:r>
          </w:p>
        </w:tc>
        <w:tc>
          <w:tcPr>
            <w:tcW w:w="1053"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276" w:type="dxa"/>
            <w:vAlign w:val="center"/>
          </w:tcPr>
          <w:p>
            <w:pPr>
              <w:jc w:val="center"/>
              <w:rPr>
                <w:rFonts w:ascii="仿宋" w:hAnsi="仿宋" w:eastAsia="仿宋" w:cs="仿宋"/>
                <w:sz w:val="18"/>
                <w:szCs w:val="18"/>
              </w:rPr>
            </w:pPr>
          </w:p>
        </w:tc>
        <w:tc>
          <w:tcPr>
            <w:tcW w:w="992" w:type="dxa"/>
            <w:vAlign w:val="center"/>
          </w:tcPr>
          <w:p>
            <w:pPr>
              <w:jc w:val="center"/>
              <w:rPr>
                <w:rFonts w:ascii="仿宋" w:hAnsi="仿宋" w:eastAsia="仿宋" w:cs="仿宋"/>
                <w:sz w:val="18"/>
                <w:szCs w:val="18"/>
              </w:rPr>
            </w:pPr>
          </w:p>
        </w:tc>
        <w:tc>
          <w:tcPr>
            <w:tcW w:w="1270" w:type="dxa"/>
            <w:vAlign w:val="center"/>
          </w:tcPr>
          <w:p>
            <w:pPr>
              <w:jc w:val="center"/>
              <w:rPr>
                <w:rFonts w:ascii="仿宋" w:hAnsi="仿宋" w:eastAsia="仿宋" w:cs="仿宋"/>
                <w:sz w:val="18"/>
                <w:szCs w:val="18"/>
              </w:rPr>
            </w:pPr>
          </w:p>
        </w:tc>
        <w:tc>
          <w:tcPr>
            <w:tcW w:w="2280" w:type="dxa"/>
          </w:tcPr>
          <w:p>
            <w:pPr>
              <w:jc w:val="center"/>
              <w:rPr>
                <w:rFonts w:ascii="仿宋" w:hAnsi="仿宋" w:eastAsia="仿宋" w:cs="仿宋"/>
                <w:color w:val="000000"/>
                <w:kern w:val="0"/>
                <w:sz w:val="18"/>
                <w:szCs w:val="18"/>
              </w:rPr>
            </w:pPr>
            <w:r>
              <w:rPr>
                <w:rFonts w:hint="eastAsia" w:ascii="仿宋" w:hAnsi="仿宋" w:eastAsia="仿宋" w:cs="仿宋"/>
                <w:kern w:val="0"/>
                <w:szCs w:val="21"/>
              </w:rPr>
              <w:t>▲</w:t>
            </w:r>
          </w:p>
        </w:tc>
        <w:tc>
          <w:tcPr>
            <w:tcW w:w="3358"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Align w:val="center"/>
          </w:tcPr>
          <w:p>
            <w:pPr>
              <w:numPr>
                <w:ilvl w:val="0"/>
                <w:numId w:val="57"/>
              </w:numPr>
              <w:autoSpaceDE w:val="0"/>
              <w:autoSpaceDN w:val="0"/>
              <w:adjustRightInd w:val="0"/>
              <w:spacing w:line="360" w:lineRule="auto"/>
              <w:jc w:val="center"/>
              <w:rPr>
                <w:rFonts w:ascii="仿宋" w:hAnsi="仿宋" w:eastAsia="仿宋" w:cs="仿宋"/>
                <w:sz w:val="18"/>
                <w:szCs w:val="18"/>
              </w:rPr>
            </w:pPr>
          </w:p>
        </w:tc>
        <w:tc>
          <w:tcPr>
            <w:tcW w:w="1412" w:type="dxa"/>
            <w:vAlign w:val="center"/>
          </w:tcPr>
          <w:p>
            <w:pPr>
              <w:widowControl/>
              <w:rPr>
                <w:rFonts w:ascii="仿宋" w:hAnsi="仿宋" w:eastAsia="仿宋" w:cs="仿宋"/>
                <w:kern w:val="0"/>
                <w:sz w:val="18"/>
                <w:szCs w:val="18"/>
              </w:rPr>
            </w:pPr>
            <w:r>
              <w:rPr>
                <w:rFonts w:hint="eastAsia" w:ascii="仿宋" w:hAnsi="仿宋" w:eastAsia="仿宋" w:cs="仿宋"/>
                <w:kern w:val="0"/>
                <w:sz w:val="18"/>
                <w:szCs w:val="18"/>
              </w:rPr>
              <w:t>连接点X坐标</w:t>
            </w:r>
          </w:p>
        </w:tc>
        <w:tc>
          <w:tcPr>
            <w:tcW w:w="1361" w:type="dxa"/>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E_X</w:t>
            </w:r>
          </w:p>
        </w:tc>
        <w:tc>
          <w:tcPr>
            <w:tcW w:w="1053" w:type="dxa"/>
            <w:vAlign w:val="center"/>
          </w:tcPr>
          <w:p>
            <w:pPr>
              <w:jc w:val="center"/>
              <w:rPr>
                <w:rFonts w:ascii="仿宋" w:hAnsi="仿宋" w:eastAsia="仿宋" w:cs="仿宋"/>
                <w:sz w:val="18"/>
                <w:szCs w:val="18"/>
              </w:rPr>
            </w:pPr>
            <w:r>
              <w:rPr>
                <w:rFonts w:hint="eastAsia" w:ascii="仿宋" w:hAnsi="仿宋" w:eastAsia="仿宋" w:cs="仿宋"/>
                <w:sz w:val="18"/>
                <w:szCs w:val="18"/>
              </w:rPr>
              <w:t>双精度</w:t>
            </w:r>
          </w:p>
        </w:tc>
        <w:tc>
          <w:tcPr>
            <w:tcW w:w="1276" w:type="dxa"/>
            <w:vAlign w:val="center"/>
          </w:tcPr>
          <w:p>
            <w:pPr>
              <w:jc w:val="center"/>
              <w:rPr>
                <w:rFonts w:ascii="仿宋" w:hAnsi="仿宋" w:eastAsia="仿宋" w:cs="仿宋"/>
                <w:sz w:val="18"/>
                <w:szCs w:val="18"/>
              </w:rPr>
            </w:pPr>
          </w:p>
        </w:tc>
        <w:tc>
          <w:tcPr>
            <w:tcW w:w="992" w:type="dxa"/>
            <w:vAlign w:val="center"/>
          </w:tcPr>
          <w:p>
            <w:pPr>
              <w:jc w:val="center"/>
              <w:rPr>
                <w:rFonts w:ascii="仿宋" w:hAnsi="仿宋" w:eastAsia="仿宋" w:cs="仿宋"/>
                <w:sz w:val="18"/>
                <w:szCs w:val="18"/>
              </w:rPr>
            </w:pPr>
            <w:r>
              <w:rPr>
                <w:rFonts w:hint="eastAsia" w:ascii="仿宋" w:hAnsi="仿宋" w:eastAsia="仿宋" w:cs="仿宋"/>
                <w:sz w:val="18"/>
                <w:szCs w:val="18"/>
              </w:rPr>
              <w:t>3</w:t>
            </w:r>
          </w:p>
        </w:tc>
        <w:tc>
          <w:tcPr>
            <w:tcW w:w="1270" w:type="dxa"/>
            <w:vAlign w:val="center"/>
          </w:tcPr>
          <w:p>
            <w:pPr>
              <w:jc w:val="center"/>
              <w:rPr>
                <w:rFonts w:ascii="仿宋" w:hAnsi="仿宋" w:eastAsia="仿宋" w:cs="仿宋"/>
                <w:sz w:val="18"/>
                <w:szCs w:val="18"/>
              </w:rPr>
            </w:pPr>
          </w:p>
        </w:tc>
        <w:tc>
          <w:tcPr>
            <w:tcW w:w="2280" w:type="dxa"/>
          </w:tcPr>
          <w:p>
            <w:pPr>
              <w:jc w:val="center"/>
              <w:rPr>
                <w:rFonts w:ascii="仿宋" w:hAnsi="仿宋" w:eastAsia="仿宋" w:cs="仿宋"/>
                <w:color w:val="000000"/>
                <w:kern w:val="0"/>
                <w:sz w:val="18"/>
                <w:szCs w:val="18"/>
              </w:rPr>
            </w:pPr>
            <w:r>
              <w:rPr>
                <w:rFonts w:hint="eastAsia" w:ascii="仿宋" w:hAnsi="仿宋" w:eastAsia="仿宋" w:cs="仿宋"/>
                <w:kern w:val="0"/>
                <w:szCs w:val="21"/>
              </w:rPr>
              <w:t>▲</w:t>
            </w:r>
          </w:p>
        </w:tc>
        <w:tc>
          <w:tcPr>
            <w:tcW w:w="3358"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Align w:val="center"/>
          </w:tcPr>
          <w:p>
            <w:pPr>
              <w:numPr>
                <w:ilvl w:val="0"/>
                <w:numId w:val="57"/>
              </w:numPr>
              <w:autoSpaceDE w:val="0"/>
              <w:autoSpaceDN w:val="0"/>
              <w:adjustRightInd w:val="0"/>
              <w:spacing w:line="360" w:lineRule="auto"/>
              <w:jc w:val="center"/>
              <w:rPr>
                <w:rFonts w:ascii="仿宋" w:hAnsi="仿宋" w:eastAsia="仿宋" w:cs="仿宋"/>
                <w:sz w:val="18"/>
                <w:szCs w:val="18"/>
              </w:rPr>
            </w:pPr>
          </w:p>
        </w:tc>
        <w:tc>
          <w:tcPr>
            <w:tcW w:w="1412" w:type="dxa"/>
            <w:vAlign w:val="center"/>
          </w:tcPr>
          <w:p>
            <w:pPr>
              <w:widowControl/>
              <w:rPr>
                <w:rFonts w:ascii="仿宋" w:hAnsi="仿宋" w:eastAsia="仿宋" w:cs="仿宋"/>
                <w:kern w:val="0"/>
                <w:sz w:val="18"/>
                <w:szCs w:val="18"/>
              </w:rPr>
            </w:pPr>
            <w:r>
              <w:rPr>
                <w:rFonts w:hint="eastAsia" w:ascii="仿宋" w:hAnsi="仿宋" w:eastAsia="仿宋" w:cs="仿宋"/>
                <w:kern w:val="0"/>
                <w:sz w:val="18"/>
                <w:szCs w:val="18"/>
              </w:rPr>
              <w:t>连接点Y坐标</w:t>
            </w:r>
          </w:p>
        </w:tc>
        <w:tc>
          <w:tcPr>
            <w:tcW w:w="1361" w:type="dxa"/>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E_Y</w:t>
            </w:r>
          </w:p>
        </w:tc>
        <w:tc>
          <w:tcPr>
            <w:tcW w:w="1053" w:type="dxa"/>
            <w:vAlign w:val="center"/>
          </w:tcPr>
          <w:p>
            <w:pPr>
              <w:jc w:val="center"/>
              <w:rPr>
                <w:rFonts w:ascii="仿宋" w:hAnsi="仿宋" w:eastAsia="仿宋" w:cs="仿宋"/>
                <w:sz w:val="18"/>
                <w:szCs w:val="18"/>
              </w:rPr>
            </w:pPr>
            <w:r>
              <w:rPr>
                <w:rFonts w:hint="eastAsia" w:ascii="仿宋" w:hAnsi="仿宋" w:eastAsia="仿宋" w:cs="仿宋"/>
                <w:sz w:val="18"/>
                <w:szCs w:val="18"/>
              </w:rPr>
              <w:t>双精度</w:t>
            </w:r>
          </w:p>
        </w:tc>
        <w:tc>
          <w:tcPr>
            <w:tcW w:w="1276" w:type="dxa"/>
            <w:vAlign w:val="center"/>
          </w:tcPr>
          <w:p>
            <w:pPr>
              <w:jc w:val="center"/>
              <w:rPr>
                <w:rFonts w:ascii="仿宋" w:hAnsi="仿宋" w:eastAsia="仿宋" w:cs="仿宋"/>
                <w:sz w:val="18"/>
                <w:szCs w:val="18"/>
              </w:rPr>
            </w:pPr>
          </w:p>
        </w:tc>
        <w:tc>
          <w:tcPr>
            <w:tcW w:w="992" w:type="dxa"/>
            <w:vAlign w:val="center"/>
          </w:tcPr>
          <w:p>
            <w:pPr>
              <w:jc w:val="center"/>
              <w:rPr>
                <w:rFonts w:ascii="仿宋" w:hAnsi="仿宋" w:eastAsia="仿宋" w:cs="仿宋"/>
                <w:sz w:val="18"/>
                <w:szCs w:val="18"/>
              </w:rPr>
            </w:pPr>
            <w:r>
              <w:rPr>
                <w:rFonts w:hint="eastAsia" w:ascii="仿宋" w:hAnsi="仿宋" w:eastAsia="仿宋" w:cs="仿宋"/>
                <w:sz w:val="18"/>
                <w:szCs w:val="18"/>
              </w:rPr>
              <w:t>3</w:t>
            </w:r>
          </w:p>
        </w:tc>
        <w:tc>
          <w:tcPr>
            <w:tcW w:w="1270" w:type="dxa"/>
            <w:vAlign w:val="center"/>
          </w:tcPr>
          <w:p>
            <w:pPr>
              <w:jc w:val="center"/>
              <w:rPr>
                <w:rFonts w:ascii="仿宋" w:hAnsi="仿宋" w:eastAsia="仿宋" w:cs="仿宋"/>
                <w:sz w:val="18"/>
                <w:szCs w:val="18"/>
              </w:rPr>
            </w:pPr>
          </w:p>
        </w:tc>
        <w:tc>
          <w:tcPr>
            <w:tcW w:w="2280" w:type="dxa"/>
          </w:tcPr>
          <w:p>
            <w:pPr>
              <w:jc w:val="center"/>
              <w:rPr>
                <w:rFonts w:ascii="仿宋" w:hAnsi="仿宋" w:eastAsia="仿宋" w:cs="仿宋"/>
                <w:color w:val="000000"/>
                <w:kern w:val="0"/>
                <w:sz w:val="18"/>
                <w:szCs w:val="18"/>
              </w:rPr>
            </w:pPr>
            <w:r>
              <w:rPr>
                <w:rFonts w:hint="eastAsia" w:ascii="仿宋" w:hAnsi="仿宋" w:eastAsia="仿宋" w:cs="仿宋"/>
                <w:kern w:val="0"/>
                <w:szCs w:val="21"/>
              </w:rPr>
              <w:t>▲</w:t>
            </w:r>
          </w:p>
        </w:tc>
        <w:tc>
          <w:tcPr>
            <w:tcW w:w="3358"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Align w:val="center"/>
          </w:tcPr>
          <w:p>
            <w:pPr>
              <w:numPr>
                <w:ilvl w:val="0"/>
                <w:numId w:val="57"/>
              </w:numPr>
              <w:autoSpaceDE w:val="0"/>
              <w:autoSpaceDN w:val="0"/>
              <w:adjustRightInd w:val="0"/>
              <w:spacing w:line="360" w:lineRule="auto"/>
              <w:jc w:val="center"/>
              <w:rPr>
                <w:rFonts w:ascii="仿宋" w:hAnsi="仿宋" w:eastAsia="仿宋" w:cs="仿宋"/>
                <w:sz w:val="18"/>
                <w:szCs w:val="18"/>
              </w:rPr>
            </w:pPr>
          </w:p>
        </w:tc>
        <w:tc>
          <w:tcPr>
            <w:tcW w:w="1412" w:type="dxa"/>
            <w:vAlign w:val="center"/>
          </w:tcPr>
          <w:p>
            <w:pPr>
              <w:jc w:val="center"/>
              <w:rPr>
                <w:rFonts w:ascii="仿宋" w:hAnsi="仿宋" w:eastAsia="仿宋" w:cs="仿宋"/>
                <w:sz w:val="18"/>
                <w:szCs w:val="18"/>
              </w:rPr>
            </w:pPr>
            <w:r>
              <w:rPr>
                <w:rFonts w:hint="eastAsia" w:ascii="仿宋" w:hAnsi="仿宋" w:eastAsia="仿宋" w:cs="仿宋"/>
                <w:sz w:val="18"/>
                <w:szCs w:val="18"/>
              </w:rPr>
              <w:t>权属单位</w:t>
            </w:r>
          </w:p>
        </w:tc>
        <w:tc>
          <w:tcPr>
            <w:tcW w:w="1361" w:type="dxa"/>
            <w:vAlign w:val="center"/>
          </w:tcPr>
          <w:p>
            <w:pPr>
              <w:jc w:val="center"/>
              <w:rPr>
                <w:rFonts w:ascii="仿宋" w:hAnsi="仿宋" w:eastAsia="仿宋" w:cs="仿宋"/>
                <w:sz w:val="18"/>
                <w:szCs w:val="18"/>
              </w:rPr>
            </w:pPr>
            <w:r>
              <w:rPr>
                <w:rFonts w:hint="eastAsia" w:ascii="仿宋" w:hAnsi="仿宋" w:eastAsia="仿宋" w:cs="仿宋"/>
                <w:sz w:val="18"/>
                <w:szCs w:val="18"/>
              </w:rPr>
              <w:t>Belong</w:t>
            </w:r>
          </w:p>
        </w:tc>
        <w:tc>
          <w:tcPr>
            <w:tcW w:w="1053" w:type="dxa"/>
            <w:vAlign w:val="center"/>
          </w:tcPr>
          <w:p>
            <w:pPr>
              <w:jc w:val="center"/>
              <w:rPr>
                <w:rFonts w:ascii="仿宋" w:hAnsi="仿宋" w:eastAsia="仿宋" w:cs="仿宋"/>
                <w:szCs w:val="22"/>
              </w:rPr>
            </w:pPr>
            <w:r>
              <w:rPr>
                <w:rFonts w:hint="eastAsia" w:ascii="仿宋" w:hAnsi="仿宋" w:eastAsia="仿宋" w:cs="仿宋"/>
                <w:sz w:val="18"/>
                <w:szCs w:val="18"/>
              </w:rPr>
              <w:t>字符型</w:t>
            </w:r>
          </w:p>
        </w:tc>
        <w:tc>
          <w:tcPr>
            <w:tcW w:w="1276" w:type="dxa"/>
            <w:vAlign w:val="center"/>
          </w:tcPr>
          <w:p>
            <w:pPr>
              <w:jc w:val="center"/>
              <w:rPr>
                <w:rFonts w:ascii="仿宋" w:hAnsi="仿宋" w:eastAsia="仿宋" w:cs="仿宋"/>
                <w:sz w:val="18"/>
                <w:szCs w:val="18"/>
              </w:rPr>
            </w:pPr>
            <w:r>
              <w:rPr>
                <w:rFonts w:hint="eastAsia" w:ascii="仿宋" w:hAnsi="仿宋" w:eastAsia="仿宋" w:cs="仿宋"/>
                <w:sz w:val="18"/>
                <w:szCs w:val="18"/>
              </w:rPr>
              <w:t>255</w:t>
            </w:r>
          </w:p>
        </w:tc>
        <w:tc>
          <w:tcPr>
            <w:tcW w:w="992" w:type="dxa"/>
            <w:vAlign w:val="center"/>
          </w:tcPr>
          <w:p>
            <w:pPr>
              <w:jc w:val="center"/>
              <w:rPr>
                <w:rFonts w:ascii="仿宋" w:hAnsi="仿宋" w:eastAsia="仿宋" w:cs="仿宋"/>
                <w:sz w:val="18"/>
                <w:szCs w:val="18"/>
              </w:rPr>
            </w:pPr>
          </w:p>
        </w:tc>
        <w:tc>
          <w:tcPr>
            <w:tcW w:w="1270" w:type="dxa"/>
            <w:vAlign w:val="center"/>
          </w:tcPr>
          <w:p>
            <w:pPr>
              <w:jc w:val="center"/>
              <w:rPr>
                <w:rFonts w:ascii="仿宋" w:hAnsi="仿宋" w:eastAsia="仿宋" w:cs="仿宋"/>
                <w:sz w:val="18"/>
                <w:szCs w:val="18"/>
              </w:rPr>
            </w:pPr>
          </w:p>
        </w:tc>
        <w:tc>
          <w:tcPr>
            <w:tcW w:w="2280" w:type="dxa"/>
          </w:tcPr>
          <w:p>
            <w:pPr>
              <w:jc w:val="center"/>
              <w:rPr>
                <w:rFonts w:ascii="仿宋" w:hAnsi="仿宋" w:eastAsia="仿宋" w:cs="仿宋"/>
                <w:sz w:val="18"/>
                <w:szCs w:val="18"/>
              </w:rPr>
            </w:pPr>
            <w:r>
              <w:rPr>
                <w:rFonts w:hint="eastAsia" w:ascii="仿宋" w:hAnsi="仿宋" w:eastAsia="仿宋" w:cs="仿宋"/>
                <w:kern w:val="0"/>
                <w:szCs w:val="21"/>
              </w:rPr>
              <w:t>▲</w:t>
            </w:r>
          </w:p>
        </w:tc>
        <w:tc>
          <w:tcPr>
            <w:tcW w:w="3358" w:type="dxa"/>
            <w:vAlign w:val="center"/>
          </w:tcPr>
          <w:p>
            <w:pPr>
              <w:jc w:val="center"/>
              <w:rPr>
                <w:rFonts w:ascii="仿宋" w:hAnsi="仿宋" w:eastAsia="仿宋" w:cs="仿宋"/>
                <w:sz w:val="18"/>
                <w:szCs w:val="18"/>
              </w:rPr>
            </w:pPr>
            <w:r>
              <w:rPr>
                <w:rFonts w:hint="eastAsia" w:ascii="仿宋" w:hAnsi="仿宋" w:eastAsia="仿宋" w:cs="仿宋"/>
                <w:sz w:val="18"/>
                <w:szCs w:val="18"/>
              </w:rPr>
              <w:t>有多个权属单位时，以“；”分隔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Align w:val="center"/>
          </w:tcPr>
          <w:p>
            <w:pPr>
              <w:numPr>
                <w:ilvl w:val="0"/>
                <w:numId w:val="57"/>
              </w:numPr>
              <w:autoSpaceDE w:val="0"/>
              <w:autoSpaceDN w:val="0"/>
              <w:adjustRightInd w:val="0"/>
              <w:spacing w:line="360" w:lineRule="auto"/>
              <w:jc w:val="center"/>
              <w:rPr>
                <w:rFonts w:ascii="仿宋" w:hAnsi="仿宋" w:eastAsia="仿宋" w:cs="仿宋"/>
                <w:sz w:val="18"/>
                <w:szCs w:val="18"/>
              </w:rPr>
            </w:pPr>
          </w:p>
        </w:tc>
        <w:tc>
          <w:tcPr>
            <w:tcW w:w="1412" w:type="dxa"/>
            <w:vAlign w:val="center"/>
          </w:tcPr>
          <w:p>
            <w:pPr>
              <w:jc w:val="center"/>
              <w:rPr>
                <w:rFonts w:ascii="仿宋" w:hAnsi="仿宋" w:eastAsia="仿宋" w:cs="仿宋"/>
                <w:sz w:val="18"/>
                <w:szCs w:val="18"/>
              </w:rPr>
            </w:pPr>
            <w:r>
              <w:rPr>
                <w:rFonts w:hint="eastAsia" w:ascii="仿宋" w:hAnsi="仿宋" w:eastAsia="仿宋" w:cs="仿宋"/>
                <w:sz w:val="18"/>
                <w:szCs w:val="18"/>
              </w:rPr>
              <w:t>建设日期</w:t>
            </w:r>
          </w:p>
        </w:tc>
        <w:tc>
          <w:tcPr>
            <w:tcW w:w="1361" w:type="dxa"/>
            <w:vAlign w:val="center"/>
          </w:tcPr>
          <w:p>
            <w:pPr>
              <w:jc w:val="center"/>
              <w:rPr>
                <w:rFonts w:ascii="仿宋" w:hAnsi="仿宋" w:eastAsia="仿宋" w:cs="仿宋"/>
                <w:sz w:val="18"/>
                <w:szCs w:val="18"/>
              </w:rPr>
            </w:pPr>
            <w:r>
              <w:rPr>
                <w:rFonts w:hint="eastAsia" w:ascii="仿宋" w:hAnsi="仿宋" w:eastAsia="仿宋" w:cs="仿宋"/>
                <w:sz w:val="18"/>
                <w:szCs w:val="18"/>
              </w:rPr>
              <w:t>MDate</w:t>
            </w:r>
          </w:p>
        </w:tc>
        <w:tc>
          <w:tcPr>
            <w:tcW w:w="1053" w:type="dxa"/>
            <w:vAlign w:val="center"/>
          </w:tcPr>
          <w:p>
            <w:pPr>
              <w:jc w:val="center"/>
              <w:rPr>
                <w:rFonts w:ascii="仿宋" w:hAnsi="仿宋" w:eastAsia="仿宋" w:cs="仿宋"/>
                <w:szCs w:val="22"/>
              </w:rPr>
            </w:pPr>
            <w:r>
              <w:rPr>
                <w:rFonts w:hint="eastAsia" w:ascii="仿宋" w:hAnsi="仿宋" w:eastAsia="仿宋" w:cs="仿宋"/>
                <w:sz w:val="18"/>
                <w:szCs w:val="18"/>
              </w:rPr>
              <w:t>字符型</w:t>
            </w:r>
          </w:p>
        </w:tc>
        <w:tc>
          <w:tcPr>
            <w:tcW w:w="1276"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992" w:type="dxa"/>
            <w:vAlign w:val="center"/>
          </w:tcPr>
          <w:p>
            <w:pPr>
              <w:jc w:val="center"/>
              <w:rPr>
                <w:rFonts w:ascii="仿宋" w:hAnsi="仿宋" w:eastAsia="仿宋" w:cs="仿宋"/>
                <w:sz w:val="18"/>
                <w:szCs w:val="18"/>
              </w:rPr>
            </w:pPr>
          </w:p>
        </w:tc>
        <w:tc>
          <w:tcPr>
            <w:tcW w:w="1270" w:type="dxa"/>
            <w:vAlign w:val="center"/>
          </w:tcPr>
          <w:p>
            <w:pPr>
              <w:jc w:val="center"/>
              <w:rPr>
                <w:rFonts w:ascii="仿宋" w:hAnsi="仿宋" w:eastAsia="仿宋" w:cs="仿宋"/>
                <w:sz w:val="18"/>
                <w:szCs w:val="18"/>
              </w:rPr>
            </w:pPr>
          </w:p>
        </w:tc>
        <w:tc>
          <w:tcPr>
            <w:tcW w:w="2280" w:type="dxa"/>
          </w:tcPr>
          <w:p>
            <w:pPr>
              <w:jc w:val="center"/>
              <w:rPr>
                <w:rFonts w:ascii="仿宋" w:hAnsi="仿宋" w:eastAsia="仿宋" w:cs="仿宋"/>
                <w:sz w:val="18"/>
                <w:szCs w:val="18"/>
              </w:rPr>
            </w:pPr>
            <w:r>
              <w:rPr>
                <w:rFonts w:hint="eastAsia" w:ascii="仿宋" w:hAnsi="仿宋" w:eastAsia="仿宋" w:cs="仿宋"/>
                <w:kern w:val="0"/>
                <w:szCs w:val="21"/>
              </w:rPr>
              <w:t>▲</w:t>
            </w:r>
          </w:p>
        </w:tc>
        <w:tc>
          <w:tcPr>
            <w:tcW w:w="3358" w:type="dxa"/>
            <w:vAlign w:val="center"/>
          </w:tcPr>
          <w:p>
            <w:pPr>
              <w:jc w:val="center"/>
              <w:rPr>
                <w:rFonts w:ascii="仿宋" w:hAnsi="仿宋" w:eastAsia="仿宋" w:cs="仿宋"/>
                <w:sz w:val="18"/>
                <w:szCs w:val="18"/>
              </w:rPr>
            </w:pPr>
            <w:r>
              <w:rPr>
                <w:rFonts w:hint="eastAsia" w:ascii="仿宋" w:hAnsi="仿宋" w:eastAsia="仿宋" w:cs="仿宋"/>
                <w:sz w:val="18"/>
                <w:szCs w:val="18"/>
              </w:rPr>
              <w:t>采用“YYYY-MM-DD”格式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Align w:val="center"/>
          </w:tcPr>
          <w:p>
            <w:pPr>
              <w:numPr>
                <w:ilvl w:val="0"/>
                <w:numId w:val="57"/>
              </w:numPr>
              <w:autoSpaceDE w:val="0"/>
              <w:autoSpaceDN w:val="0"/>
              <w:adjustRightInd w:val="0"/>
              <w:spacing w:line="360" w:lineRule="auto"/>
              <w:jc w:val="center"/>
              <w:rPr>
                <w:rFonts w:ascii="仿宋" w:hAnsi="仿宋" w:eastAsia="仿宋" w:cs="仿宋"/>
                <w:sz w:val="18"/>
                <w:szCs w:val="18"/>
              </w:rPr>
            </w:pPr>
          </w:p>
        </w:tc>
        <w:tc>
          <w:tcPr>
            <w:tcW w:w="1412" w:type="dxa"/>
            <w:vAlign w:val="center"/>
          </w:tcPr>
          <w:p>
            <w:pPr>
              <w:jc w:val="center"/>
              <w:rPr>
                <w:rFonts w:ascii="仿宋" w:hAnsi="仿宋" w:eastAsia="仿宋" w:cs="仿宋"/>
                <w:sz w:val="18"/>
                <w:szCs w:val="18"/>
              </w:rPr>
            </w:pPr>
            <w:r>
              <w:rPr>
                <w:rFonts w:hint="eastAsia" w:ascii="仿宋" w:hAnsi="仿宋" w:eastAsia="仿宋" w:cs="仿宋"/>
                <w:sz w:val="18"/>
                <w:szCs w:val="18"/>
              </w:rPr>
              <w:t>探测单位</w:t>
            </w:r>
          </w:p>
        </w:tc>
        <w:tc>
          <w:tcPr>
            <w:tcW w:w="1361" w:type="dxa"/>
            <w:vAlign w:val="center"/>
          </w:tcPr>
          <w:p>
            <w:pPr>
              <w:jc w:val="center"/>
              <w:rPr>
                <w:rFonts w:ascii="仿宋" w:hAnsi="仿宋" w:eastAsia="仿宋" w:cs="仿宋"/>
                <w:sz w:val="18"/>
                <w:szCs w:val="18"/>
              </w:rPr>
            </w:pPr>
            <w:r>
              <w:rPr>
                <w:rFonts w:hint="eastAsia" w:ascii="仿宋" w:hAnsi="仿宋" w:eastAsia="仿宋" w:cs="仿宋"/>
                <w:sz w:val="18"/>
                <w:szCs w:val="18"/>
              </w:rPr>
              <w:t>TC_Unit</w:t>
            </w:r>
          </w:p>
        </w:tc>
        <w:tc>
          <w:tcPr>
            <w:tcW w:w="1053" w:type="dxa"/>
            <w:vAlign w:val="center"/>
          </w:tcPr>
          <w:p>
            <w:pPr>
              <w:jc w:val="center"/>
              <w:rPr>
                <w:rFonts w:ascii="仿宋" w:hAnsi="仿宋" w:eastAsia="仿宋" w:cs="仿宋"/>
                <w:szCs w:val="22"/>
              </w:rPr>
            </w:pPr>
            <w:r>
              <w:rPr>
                <w:rFonts w:hint="eastAsia" w:ascii="仿宋" w:hAnsi="仿宋" w:eastAsia="仿宋" w:cs="仿宋"/>
                <w:sz w:val="18"/>
                <w:szCs w:val="18"/>
              </w:rPr>
              <w:t>字符型</w:t>
            </w:r>
          </w:p>
        </w:tc>
        <w:tc>
          <w:tcPr>
            <w:tcW w:w="1276" w:type="dxa"/>
            <w:vAlign w:val="center"/>
          </w:tcPr>
          <w:p>
            <w:pPr>
              <w:jc w:val="center"/>
              <w:rPr>
                <w:rFonts w:ascii="仿宋" w:hAnsi="仿宋" w:eastAsia="仿宋" w:cs="仿宋"/>
                <w:sz w:val="18"/>
                <w:szCs w:val="18"/>
              </w:rPr>
            </w:pPr>
            <w:r>
              <w:rPr>
                <w:rFonts w:hint="eastAsia" w:ascii="仿宋" w:hAnsi="仿宋" w:eastAsia="仿宋" w:cs="仿宋"/>
                <w:sz w:val="18"/>
                <w:szCs w:val="18"/>
              </w:rPr>
              <w:t>100</w:t>
            </w:r>
          </w:p>
        </w:tc>
        <w:tc>
          <w:tcPr>
            <w:tcW w:w="992" w:type="dxa"/>
            <w:vAlign w:val="center"/>
          </w:tcPr>
          <w:p>
            <w:pPr>
              <w:jc w:val="center"/>
              <w:rPr>
                <w:rFonts w:ascii="仿宋" w:hAnsi="仿宋" w:eastAsia="仿宋" w:cs="仿宋"/>
                <w:sz w:val="18"/>
                <w:szCs w:val="18"/>
              </w:rPr>
            </w:pPr>
          </w:p>
        </w:tc>
        <w:tc>
          <w:tcPr>
            <w:tcW w:w="1270" w:type="dxa"/>
            <w:vAlign w:val="center"/>
          </w:tcPr>
          <w:p>
            <w:pPr>
              <w:jc w:val="center"/>
              <w:rPr>
                <w:rFonts w:ascii="仿宋" w:hAnsi="仿宋" w:eastAsia="仿宋" w:cs="仿宋"/>
                <w:sz w:val="18"/>
                <w:szCs w:val="18"/>
              </w:rPr>
            </w:pPr>
          </w:p>
        </w:tc>
        <w:tc>
          <w:tcPr>
            <w:tcW w:w="2280" w:type="dxa"/>
          </w:tcPr>
          <w:p>
            <w:pPr>
              <w:jc w:val="center"/>
              <w:rPr>
                <w:rFonts w:ascii="仿宋" w:hAnsi="仿宋" w:eastAsia="仿宋" w:cs="仿宋"/>
                <w:sz w:val="18"/>
                <w:szCs w:val="18"/>
              </w:rPr>
            </w:pPr>
            <w:r>
              <w:rPr>
                <w:rFonts w:hint="eastAsia" w:ascii="仿宋" w:hAnsi="仿宋" w:eastAsia="仿宋" w:cs="仿宋"/>
                <w:kern w:val="0"/>
                <w:szCs w:val="21"/>
              </w:rPr>
              <w:t>▲</w:t>
            </w:r>
          </w:p>
        </w:tc>
        <w:tc>
          <w:tcPr>
            <w:tcW w:w="3358" w:type="dxa"/>
            <w:vAlign w:val="center"/>
          </w:tcPr>
          <w:p>
            <w:pPr>
              <w:jc w:val="center"/>
              <w:rPr>
                <w:rFonts w:ascii="仿宋" w:hAnsi="仿宋" w:eastAsia="仿宋" w:cs="仿宋"/>
                <w:sz w:val="18"/>
                <w:szCs w:val="18"/>
              </w:rPr>
            </w:pPr>
            <w:r>
              <w:rPr>
                <w:rFonts w:hint="eastAsia" w:ascii="仿宋" w:hAnsi="仿宋" w:eastAsia="仿宋" w:cs="仿宋"/>
                <w:sz w:val="18"/>
                <w:szCs w:val="18"/>
              </w:rPr>
              <w:t>埴写作业单位全称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Align w:val="center"/>
          </w:tcPr>
          <w:p>
            <w:pPr>
              <w:numPr>
                <w:ilvl w:val="0"/>
                <w:numId w:val="57"/>
              </w:numPr>
              <w:autoSpaceDE w:val="0"/>
              <w:autoSpaceDN w:val="0"/>
              <w:adjustRightInd w:val="0"/>
              <w:spacing w:line="360" w:lineRule="auto"/>
              <w:jc w:val="center"/>
              <w:rPr>
                <w:rFonts w:ascii="仿宋" w:hAnsi="仿宋" w:eastAsia="仿宋" w:cs="仿宋"/>
                <w:sz w:val="18"/>
                <w:szCs w:val="18"/>
              </w:rPr>
            </w:pPr>
          </w:p>
        </w:tc>
        <w:tc>
          <w:tcPr>
            <w:tcW w:w="1412" w:type="dxa"/>
            <w:vAlign w:val="center"/>
          </w:tcPr>
          <w:p>
            <w:pPr>
              <w:jc w:val="center"/>
              <w:rPr>
                <w:rFonts w:ascii="仿宋" w:hAnsi="仿宋" w:eastAsia="仿宋" w:cs="仿宋"/>
                <w:sz w:val="18"/>
                <w:szCs w:val="18"/>
              </w:rPr>
            </w:pPr>
            <w:r>
              <w:rPr>
                <w:rFonts w:hint="eastAsia" w:ascii="仿宋" w:hAnsi="仿宋" w:eastAsia="仿宋" w:cs="仿宋"/>
                <w:sz w:val="18"/>
                <w:szCs w:val="18"/>
              </w:rPr>
              <w:t>探测日期</w:t>
            </w:r>
          </w:p>
        </w:tc>
        <w:tc>
          <w:tcPr>
            <w:tcW w:w="1361" w:type="dxa"/>
            <w:vAlign w:val="center"/>
          </w:tcPr>
          <w:p>
            <w:pPr>
              <w:jc w:val="center"/>
              <w:rPr>
                <w:rFonts w:ascii="仿宋" w:hAnsi="仿宋" w:eastAsia="仿宋" w:cs="仿宋"/>
                <w:sz w:val="18"/>
                <w:szCs w:val="18"/>
              </w:rPr>
            </w:pPr>
            <w:r>
              <w:rPr>
                <w:rFonts w:hint="eastAsia" w:ascii="仿宋" w:hAnsi="仿宋" w:eastAsia="仿宋" w:cs="仿宋"/>
                <w:sz w:val="18"/>
                <w:szCs w:val="18"/>
              </w:rPr>
              <w:t>SDate</w:t>
            </w:r>
          </w:p>
        </w:tc>
        <w:tc>
          <w:tcPr>
            <w:tcW w:w="1053" w:type="dxa"/>
            <w:vAlign w:val="center"/>
          </w:tcPr>
          <w:p>
            <w:pPr>
              <w:jc w:val="center"/>
              <w:rPr>
                <w:rFonts w:ascii="仿宋" w:hAnsi="仿宋" w:eastAsia="仿宋" w:cs="仿宋"/>
                <w:szCs w:val="22"/>
              </w:rPr>
            </w:pPr>
            <w:r>
              <w:rPr>
                <w:rFonts w:hint="eastAsia" w:ascii="仿宋" w:hAnsi="仿宋" w:eastAsia="仿宋" w:cs="仿宋"/>
                <w:sz w:val="18"/>
                <w:szCs w:val="18"/>
              </w:rPr>
              <w:t>字符型</w:t>
            </w:r>
          </w:p>
        </w:tc>
        <w:tc>
          <w:tcPr>
            <w:tcW w:w="1276"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992" w:type="dxa"/>
            <w:vAlign w:val="center"/>
          </w:tcPr>
          <w:p>
            <w:pPr>
              <w:jc w:val="center"/>
              <w:rPr>
                <w:rFonts w:ascii="仿宋" w:hAnsi="仿宋" w:eastAsia="仿宋" w:cs="仿宋"/>
                <w:sz w:val="18"/>
                <w:szCs w:val="18"/>
              </w:rPr>
            </w:pPr>
          </w:p>
        </w:tc>
        <w:tc>
          <w:tcPr>
            <w:tcW w:w="1270" w:type="dxa"/>
            <w:vAlign w:val="center"/>
          </w:tcPr>
          <w:p>
            <w:pPr>
              <w:jc w:val="center"/>
              <w:rPr>
                <w:rFonts w:ascii="仿宋" w:hAnsi="仿宋" w:eastAsia="仿宋" w:cs="仿宋"/>
                <w:sz w:val="18"/>
                <w:szCs w:val="18"/>
              </w:rPr>
            </w:pPr>
          </w:p>
        </w:tc>
        <w:tc>
          <w:tcPr>
            <w:tcW w:w="2280" w:type="dxa"/>
          </w:tcPr>
          <w:p>
            <w:pPr>
              <w:jc w:val="center"/>
              <w:rPr>
                <w:rFonts w:ascii="仿宋" w:hAnsi="仿宋" w:eastAsia="仿宋" w:cs="仿宋"/>
                <w:sz w:val="18"/>
                <w:szCs w:val="18"/>
              </w:rPr>
            </w:pPr>
            <w:r>
              <w:rPr>
                <w:rFonts w:hint="eastAsia" w:ascii="仿宋" w:hAnsi="仿宋" w:eastAsia="仿宋" w:cs="仿宋"/>
                <w:kern w:val="0"/>
                <w:szCs w:val="21"/>
              </w:rPr>
              <w:t>▲</w:t>
            </w:r>
          </w:p>
        </w:tc>
        <w:tc>
          <w:tcPr>
            <w:tcW w:w="3358" w:type="dxa"/>
            <w:vAlign w:val="center"/>
          </w:tcPr>
          <w:p>
            <w:pPr>
              <w:jc w:val="center"/>
              <w:rPr>
                <w:rFonts w:ascii="仿宋" w:hAnsi="仿宋" w:eastAsia="仿宋" w:cs="仿宋"/>
                <w:sz w:val="18"/>
                <w:szCs w:val="18"/>
              </w:rPr>
            </w:pPr>
            <w:r>
              <w:rPr>
                <w:rFonts w:hint="eastAsia" w:ascii="仿宋" w:hAnsi="仿宋" w:eastAsia="仿宋" w:cs="仿宋"/>
                <w:sz w:val="18"/>
                <w:szCs w:val="18"/>
              </w:rPr>
              <w:t>采用“YYYY-MM-DD”格式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Align w:val="center"/>
          </w:tcPr>
          <w:p>
            <w:pPr>
              <w:numPr>
                <w:ilvl w:val="0"/>
                <w:numId w:val="57"/>
              </w:numPr>
              <w:autoSpaceDE w:val="0"/>
              <w:autoSpaceDN w:val="0"/>
              <w:adjustRightInd w:val="0"/>
              <w:spacing w:line="360" w:lineRule="auto"/>
              <w:jc w:val="center"/>
              <w:rPr>
                <w:rFonts w:ascii="仿宋" w:hAnsi="仿宋" w:eastAsia="仿宋" w:cs="仿宋"/>
                <w:sz w:val="18"/>
                <w:szCs w:val="18"/>
              </w:rPr>
            </w:pPr>
          </w:p>
        </w:tc>
        <w:tc>
          <w:tcPr>
            <w:tcW w:w="1412" w:type="dxa"/>
            <w:vAlign w:val="center"/>
          </w:tcPr>
          <w:p>
            <w:pPr>
              <w:jc w:val="center"/>
              <w:rPr>
                <w:rFonts w:ascii="仿宋" w:hAnsi="仿宋" w:eastAsia="仿宋" w:cs="仿宋"/>
                <w:sz w:val="18"/>
                <w:szCs w:val="18"/>
              </w:rPr>
            </w:pPr>
            <w:r>
              <w:rPr>
                <w:rFonts w:hint="eastAsia" w:ascii="仿宋" w:hAnsi="仿宋" w:eastAsia="仿宋" w:cs="仿宋"/>
                <w:sz w:val="18"/>
                <w:szCs w:val="18"/>
              </w:rPr>
              <w:t>备注</w:t>
            </w:r>
          </w:p>
        </w:tc>
        <w:tc>
          <w:tcPr>
            <w:tcW w:w="1361" w:type="dxa"/>
            <w:vAlign w:val="center"/>
          </w:tcPr>
          <w:p>
            <w:pPr>
              <w:jc w:val="center"/>
              <w:rPr>
                <w:rFonts w:ascii="仿宋" w:hAnsi="仿宋" w:eastAsia="仿宋" w:cs="仿宋"/>
                <w:sz w:val="18"/>
                <w:szCs w:val="18"/>
              </w:rPr>
            </w:pPr>
            <w:r>
              <w:rPr>
                <w:rFonts w:hint="eastAsia" w:ascii="仿宋" w:hAnsi="仿宋" w:eastAsia="仿宋" w:cs="仿宋"/>
                <w:sz w:val="18"/>
                <w:szCs w:val="18"/>
              </w:rPr>
              <w:t>Remark</w:t>
            </w:r>
          </w:p>
        </w:tc>
        <w:tc>
          <w:tcPr>
            <w:tcW w:w="1053" w:type="dxa"/>
            <w:vAlign w:val="center"/>
          </w:tcPr>
          <w:p>
            <w:pPr>
              <w:jc w:val="center"/>
              <w:rPr>
                <w:rFonts w:ascii="仿宋" w:hAnsi="仿宋" w:eastAsia="仿宋" w:cs="仿宋"/>
                <w:szCs w:val="22"/>
              </w:rPr>
            </w:pPr>
            <w:r>
              <w:rPr>
                <w:rFonts w:hint="eastAsia" w:ascii="仿宋" w:hAnsi="仿宋" w:eastAsia="仿宋" w:cs="仿宋"/>
                <w:sz w:val="18"/>
                <w:szCs w:val="18"/>
              </w:rPr>
              <w:t>字符型</w:t>
            </w:r>
          </w:p>
        </w:tc>
        <w:tc>
          <w:tcPr>
            <w:tcW w:w="1276" w:type="dxa"/>
            <w:vAlign w:val="center"/>
          </w:tcPr>
          <w:p>
            <w:pPr>
              <w:jc w:val="center"/>
              <w:rPr>
                <w:rFonts w:ascii="仿宋" w:hAnsi="仿宋" w:eastAsia="仿宋" w:cs="仿宋"/>
                <w:sz w:val="18"/>
                <w:szCs w:val="18"/>
              </w:rPr>
            </w:pPr>
            <w:r>
              <w:rPr>
                <w:rFonts w:hint="eastAsia" w:ascii="仿宋" w:hAnsi="仿宋" w:eastAsia="仿宋" w:cs="仿宋"/>
                <w:sz w:val="18"/>
                <w:szCs w:val="18"/>
              </w:rPr>
              <w:t>100</w:t>
            </w:r>
          </w:p>
        </w:tc>
        <w:tc>
          <w:tcPr>
            <w:tcW w:w="992" w:type="dxa"/>
            <w:vAlign w:val="center"/>
          </w:tcPr>
          <w:p>
            <w:pPr>
              <w:jc w:val="center"/>
              <w:rPr>
                <w:rFonts w:ascii="仿宋" w:hAnsi="仿宋" w:eastAsia="仿宋" w:cs="仿宋"/>
                <w:sz w:val="18"/>
                <w:szCs w:val="18"/>
              </w:rPr>
            </w:pPr>
          </w:p>
        </w:tc>
        <w:tc>
          <w:tcPr>
            <w:tcW w:w="1270" w:type="dxa"/>
            <w:vAlign w:val="center"/>
          </w:tcPr>
          <w:p>
            <w:pPr>
              <w:jc w:val="center"/>
              <w:rPr>
                <w:rFonts w:ascii="仿宋" w:hAnsi="仿宋" w:eastAsia="仿宋" w:cs="仿宋"/>
                <w:sz w:val="18"/>
                <w:szCs w:val="18"/>
              </w:rPr>
            </w:pPr>
          </w:p>
        </w:tc>
        <w:tc>
          <w:tcPr>
            <w:tcW w:w="2280" w:type="dxa"/>
            <w:vAlign w:val="center"/>
          </w:tcPr>
          <w:p>
            <w:pPr>
              <w:jc w:val="center"/>
              <w:rPr>
                <w:rFonts w:ascii="仿宋" w:hAnsi="仿宋" w:eastAsia="仿宋" w:cs="仿宋"/>
                <w:sz w:val="18"/>
                <w:szCs w:val="18"/>
              </w:rPr>
            </w:pPr>
            <w:r>
              <w:rPr>
                <w:rFonts w:hint="eastAsia" w:ascii="仿宋" w:hAnsi="仿宋" w:eastAsia="仿宋" w:cs="仿宋"/>
                <w:color w:val="000000"/>
                <w:kern w:val="0"/>
                <w:sz w:val="18"/>
                <w:szCs w:val="18"/>
              </w:rPr>
              <w:t>○</w:t>
            </w:r>
          </w:p>
        </w:tc>
        <w:tc>
          <w:tcPr>
            <w:tcW w:w="3358" w:type="dxa"/>
            <w:vAlign w:val="center"/>
          </w:tcPr>
          <w:p>
            <w:pPr>
              <w:jc w:val="center"/>
              <w:rPr>
                <w:rFonts w:ascii="仿宋" w:hAnsi="仿宋" w:eastAsia="仿宋" w:cs="仿宋"/>
                <w:sz w:val="18"/>
                <w:szCs w:val="18"/>
              </w:rPr>
            </w:pPr>
          </w:p>
        </w:tc>
      </w:tr>
    </w:tbl>
    <w:p>
      <w:pPr>
        <w:pStyle w:val="2"/>
      </w:pPr>
    </w:p>
    <w:p>
      <w:pPr>
        <w:pStyle w:val="5"/>
        <w:spacing w:line="360" w:lineRule="auto"/>
        <w:jc w:val="center"/>
        <w:rPr>
          <w:rFonts w:ascii="仿宋" w:hAnsi="仿宋" w:eastAsia="仿宋" w:cs="仿宋"/>
          <w:sz w:val="24"/>
          <w:szCs w:val="24"/>
        </w:rPr>
      </w:pPr>
      <w:bookmarkStart w:id="1679" w:name="_Toc5886"/>
      <w:bookmarkStart w:id="1680" w:name="_Toc11464"/>
      <w:bookmarkStart w:id="1681" w:name="_Toc16267"/>
      <w:bookmarkStart w:id="1682" w:name="_Toc31294"/>
      <w:bookmarkStart w:id="1683" w:name="_Toc31163"/>
      <w:bookmarkStart w:id="1684" w:name="_Toc25813"/>
      <w:bookmarkStart w:id="1685" w:name="_Toc17642"/>
      <w:r>
        <w:rPr>
          <w:rFonts w:hint="eastAsia" w:ascii="仿宋" w:hAnsi="仿宋" w:eastAsia="仿宋" w:cs="仿宋"/>
          <w:sz w:val="24"/>
          <w:szCs w:val="24"/>
        </w:rPr>
        <w:t>附表A.4 管线辅助点属性结构表</w:t>
      </w:r>
      <w:bookmarkEnd w:id="1679"/>
      <w:bookmarkEnd w:id="1680"/>
      <w:bookmarkEnd w:id="1681"/>
      <w:bookmarkEnd w:id="1682"/>
      <w:bookmarkEnd w:id="1683"/>
      <w:bookmarkEnd w:id="1684"/>
      <w:bookmarkEnd w:id="1685"/>
    </w:p>
    <w:tbl>
      <w:tblPr>
        <w:tblStyle w:val="26"/>
        <w:tblW w:w="13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440"/>
        <w:gridCol w:w="1260"/>
        <w:gridCol w:w="1140"/>
        <w:gridCol w:w="1275"/>
        <w:gridCol w:w="1005"/>
        <w:gridCol w:w="1275"/>
        <w:gridCol w:w="2265"/>
        <w:gridCol w:w="3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97" w:type="dxa"/>
            <w:shd w:val="clear" w:color="auto" w:fill="BFBFBF"/>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序号</w:t>
            </w:r>
          </w:p>
        </w:tc>
        <w:tc>
          <w:tcPr>
            <w:tcW w:w="1440" w:type="dxa"/>
            <w:shd w:val="clear" w:color="auto" w:fill="BFBFBF"/>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中文名称</w:t>
            </w:r>
          </w:p>
        </w:tc>
        <w:tc>
          <w:tcPr>
            <w:tcW w:w="1260" w:type="dxa"/>
            <w:shd w:val="clear" w:color="auto" w:fill="BFBFBF"/>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英文名称</w:t>
            </w:r>
          </w:p>
        </w:tc>
        <w:tc>
          <w:tcPr>
            <w:tcW w:w="1140" w:type="dxa"/>
            <w:shd w:val="clear" w:color="auto" w:fill="BFBFBF"/>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英文类型</w:t>
            </w:r>
          </w:p>
        </w:tc>
        <w:tc>
          <w:tcPr>
            <w:tcW w:w="1275" w:type="dxa"/>
            <w:shd w:val="clear" w:color="auto" w:fill="BFBFBF"/>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字段长度</w:t>
            </w:r>
          </w:p>
        </w:tc>
        <w:tc>
          <w:tcPr>
            <w:tcW w:w="1005" w:type="dxa"/>
            <w:shd w:val="clear" w:color="auto" w:fill="BFBFBF"/>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小数位数</w:t>
            </w:r>
          </w:p>
        </w:tc>
        <w:tc>
          <w:tcPr>
            <w:tcW w:w="1275" w:type="dxa"/>
            <w:shd w:val="clear" w:color="auto" w:fill="BFBFBF"/>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值域</w:t>
            </w:r>
          </w:p>
        </w:tc>
        <w:tc>
          <w:tcPr>
            <w:tcW w:w="2265" w:type="dxa"/>
            <w:shd w:val="clear" w:color="auto" w:fill="BFBFBF"/>
            <w:vAlign w:val="center"/>
          </w:tcPr>
          <w:p>
            <w:pPr>
              <w:widowControl/>
              <w:jc w:val="center"/>
              <w:rPr>
                <w:rFonts w:ascii="仿宋" w:hAnsi="仿宋" w:eastAsia="仿宋" w:cs="仿宋"/>
                <w:kern w:val="0"/>
                <w:sz w:val="18"/>
                <w:szCs w:val="18"/>
              </w:rPr>
            </w:pPr>
            <w:r>
              <w:rPr>
                <w:rFonts w:hint="eastAsia" w:ascii="仿宋" w:hAnsi="仿宋" w:eastAsia="仿宋" w:cs="仿宋"/>
                <w:color w:val="000000"/>
                <w:kern w:val="0"/>
                <w:sz w:val="18"/>
                <w:szCs w:val="18"/>
              </w:rPr>
              <w:t>是否必填（</w:t>
            </w:r>
            <w:r>
              <w:rPr>
                <w:rFonts w:hint="eastAsia" w:ascii="仿宋" w:hAnsi="仿宋" w:eastAsia="仿宋" w:cs="仿宋"/>
                <w:kern w:val="0"/>
                <w:szCs w:val="21"/>
              </w:rPr>
              <w:t>▲</w:t>
            </w:r>
            <w:r>
              <w:rPr>
                <w:rFonts w:hint="eastAsia" w:ascii="仿宋" w:hAnsi="仿宋" w:eastAsia="仿宋" w:cs="仿宋"/>
                <w:color w:val="000000"/>
                <w:kern w:val="0"/>
                <w:sz w:val="18"/>
                <w:szCs w:val="18"/>
              </w:rPr>
              <w:t>为必填，△为条件必填，○为选填）</w:t>
            </w:r>
          </w:p>
        </w:tc>
        <w:tc>
          <w:tcPr>
            <w:tcW w:w="3283" w:type="dxa"/>
            <w:shd w:val="clear" w:color="auto" w:fill="BFBFBF"/>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vAlign w:val="center"/>
          </w:tcPr>
          <w:p>
            <w:pPr>
              <w:numPr>
                <w:ilvl w:val="0"/>
                <w:numId w:val="58"/>
              </w:numPr>
              <w:autoSpaceDE w:val="0"/>
              <w:autoSpaceDN w:val="0"/>
              <w:adjustRightInd w:val="0"/>
              <w:spacing w:line="360" w:lineRule="auto"/>
              <w:jc w:val="center"/>
              <w:rPr>
                <w:rFonts w:ascii="仿宋" w:hAnsi="仿宋" w:eastAsia="仿宋" w:cs="仿宋"/>
                <w:sz w:val="18"/>
                <w:szCs w:val="18"/>
              </w:rPr>
            </w:pPr>
          </w:p>
        </w:tc>
        <w:tc>
          <w:tcPr>
            <w:tcW w:w="1440" w:type="dxa"/>
            <w:vAlign w:val="center"/>
          </w:tcPr>
          <w:p>
            <w:pPr>
              <w:jc w:val="center"/>
              <w:rPr>
                <w:rFonts w:ascii="仿宋" w:hAnsi="仿宋" w:eastAsia="仿宋" w:cs="仿宋"/>
                <w:sz w:val="18"/>
                <w:szCs w:val="18"/>
              </w:rPr>
            </w:pPr>
            <w:r>
              <w:rPr>
                <w:rFonts w:hint="eastAsia" w:ascii="仿宋" w:hAnsi="仿宋" w:eastAsia="仿宋" w:cs="仿宋"/>
                <w:sz w:val="18"/>
                <w:szCs w:val="18"/>
              </w:rPr>
              <w:t>项目编号</w:t>
            </w:r>
          </w:p>
        </w:tc>
        <w:tc>
          <w:tcPr>
            <w:tcW w:w="1260" w:type="dxa"/>
            <w:vAlign w:val="center"/>
          </w:tcPr>
          <w:p>
            <w:pPr>
              <w:jc w:val="center"/>
              <w:rPr>
                <w:rFonts w:ascii="仿宋" w:hAnsi="仿宋" w:eastAsia="仿宋" w:cs="仿宋"/>
                <w:sz w:val="18"/>
                <w:szCs w:val="18"/>
              </w:rPr>
            </w:pPr>
            <w:r>
              <w:rPr>
                <w:rFonts w:hint="eastAsia" w:ascii="仿宋" w:hAnsi="仿宋" w:eastAsia="仿宋" w:cs="仿宋"/>
                <w:sz w:val="18"/>
                <w:szCs w:val="18"/>
              </w:rPr>
              <w:t>Work_No</w:t>
            </w:r>
          </w:p>
        </w:tc>
        <w:tc>
          <w:tcPr>
            <w:tcW w:w="1140" w:type="dxa"/>
            <w:vAlign w:val="center"/>
          </w:tcPr>
          <w:p>
            <w:pPr>
              <w:jc w:val="center"/>
              <w:rPr>
                <w:rFonts w:ascii="仿宋" w:hAnsi="仿宋" w:eastAsia="仿宋" w:cs="仿宋"/>
                <w:szCs w:val="22"/>
              </w:rPr>
            </w:pPr>
            <w:r>
              <w:rPr>
                <w:rFonts w:hint="eastAsia" w:ascii="仿宋" w:hAnsi="仿宋" w:eastAsia="仿宋" w:cs="仿宋"/>
                <w:sz w:val="18"/>
                <w:szCs w:val="18"/>
              </w:rPr>
              <w:t>字符型</w:t>
            </w:r>
          </w:p>
        </w:tc>
        <w:tc>
          <w:tcPr>
            <w:tcW w:w="1275" w:type="dxa"/>
            <w:vAlign w:val="center"/>
          </w:tcPr>
          <w:p>
            <w:pPr>
              <w:jc w:val="center"/>
              <w:rPr>
                <w:rFonts w:ascii="仿宋" w:hAnsi="仿宋" w:eastAsia="仿宋" w:cs="仿宋"/>
                <w:sz w:val="18"/>
                <w:szCs w:val="18"/>
              </w:rPr>
            </w:pPr>
            <w:r>
              <w:rPr>
                <w:rFonts w:hint="eastAsia" w:ascii="仿宋" w:hAnsi="仿宋" w:eastAsia="仿宋" w:cs="仿宋"/>
                <w:sz w:val="18"/>
                <w:szCs w:val="18"/>
              </w:rPr>
              <w:t>100</w:t>
            </w:r>
          </w:p>
        </w:tc>
        <w:tc>
          <w:tcPr>
            <w:tcW w:w="1005" w:type="dxa"/>
            <w:vAlign w:val="center"/>
          </w:tcPr>
          <w:p>
            <w:pPr>
              <w:jc w:val="center"/>
              <w:rPr>
                <w:rFonts w:ascii="仿宋" w:hAnsi="仿宋" w:eastAsia="仿宋" w:cs="仿宋"/>
                <w:sz w:val="18"/>
                <w:szCs w:val="18"/>
              </w:rPr>
            </w:pPr>
          </w:p>
        </w:tc>
        <w:tc>
          <w:tcPr>
            <w:tcW w:w="1275" w:type="dxa"/>
            <w:vAlign w:val="center"/>
          </w:tcPr>
          <w:p>
            <w:pPr>
              <w:jc w:val="center"/>
              <w:rPr>
                <w:rFonts w:ascii="仿宋" w:hAnsi="仿宋" w:eastAsia="仿宋" w:cs="仿宋"/>
                <w:sz w:val="18"/>
                <w:szCs w:val="18"/>
              </w:rPr>
            </w:pPr>
          </w:p>
        </w:tc>
        <w:tc>
          <w:tcPr>
            <w:tcW w:w="2265" w:type="dxa"/>
            <w:vAlign w:val="center"/>
          </w:tcPr>
          <w:p>
            <w:pPr>
              <w:jc w:val="center"/>
              <w:rPr>
                <w:rFonts w:ascii="仿宋" w:hAnsi="仿宋" w:eastAsia="仿宋" w:cs="仿宋"/>
                <w:sz w:val="18"/>
                <w:szCs w:val="18"/>
              </w:rPr>
            </w:pPr>
            <w:r>
              <w:rPr>
                <w:rFonts w:hint="eastAsia" w:ascii="仿宋" w:hAnsi="仿宋" w:eastAsia="仿宋" w:cs="仿宋"/>
                <w:kern w:val="0"/>
                <w:szCs w:val="21"/>
              </w:rPr>
              <w:t>▲</w:t>
            </w:r>
          </w:p>
        </w:tc>
        <w:tc>
          <w:tcPr>
            <w:tcW w:w="3283" w:type="dxa"/>
            <w:vAlign w:val="center"/>
          </w:tcPr>
          <w:p>
            <w:pPr>
              <w:jc w:val="center"/>
              <w:rPr>
                <w:rFonts w:ascii="仿宋" w:hAnsi="仿宋" w:eastAsia="仿宋" w:cs="仿宋"/>
                <w:sz w:val="18"/>
                <w:szCs w:val="18"/>
              </w:rPr>
            </w:pPr>
            <w:r>
              <w:rPr>
                <w:rFonts w:hint="eastAsia" w:ascii="仿宋" w:hAnsi="仿宋" w:eastAsia="仿宋" w:cs="仿宋"/>
                <w:sz w:val="18"/>
                <w:szCs w:val="18"/>
              </w:rPr>
              <w:t>行政区代码</w:t>
            </w:r>
            <w:r>
              <w:rPr>
                <w:rFonts w:ascii="仿宋" w:hAnsi="仿宋" w:eastAsia="仿宋" w:cs="仿宋"/>
                <w:sz w:val="18"/>
                <w:szCs w:val="18"/>
              </w:rPr>
              <w:t>+年份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vAlign w:val="center"/>
          </w:tcPr>
          <w:p>
            <w:pPr>
              <w:numPr>
                <w:ilvl w:val="0"/>
                <w:numId w:val="58"/>
              </w:numPr>
              <w:autoSpaceDE w:val="0"/>
              <w:autoSpaceDN w:val="0"/>
              <w:adjustRightInd w:val="0"/>
              <w:spacing w:line="360" w:lineRule="auto"/>
              <w:jc w:val="center"/>
              <w:rPr>
                <w:rFonts w:ascii="仿宋" w:hAnsi="仿宋" w:eastAsia="仿宋" w:cs="仿宋"/>
                <w:sz w:val="18"/>
                <w:szCs w:val="18"/>
              </w:rPr>
            </w:pPr>
          </w:p>
        </w:tc>
        <w:tc>
          <w:tcPr>
            <w:tcW w:w="1440" w:type="dxa"/>
            <w:vAlign w:val="center"/>
          </w:tcPr>
          <w:p>
            <w:pPr>
              <w:jc w:val="center"/>
              <w:rPr>
                <w:rFonts w:ascii="仿宋" w:hAnsi="仿宋" w:eastAsia="仿宋" w:cs="仿宋"/>
                <w:sz w:val="18"/>
                <w:szCs w:val="18"/>
              </w:rPr>
            </w:pPr>
            <w:r>
              <w:rPr>
                <w:rFonts w:hint="eastAsia" w:ascii="仿宋" w:hAnsi="仿宋" w:eastAsia="仿宋" w:cs="仿宋"/>
                <w:sz w:val="18"/>
                <w:szCs w:val="18"/>
              </w:rPr>
              <w:t>工程编号</w:t>
            </w:r>
          </w:p>
        </w:tc>
        <w:tc>
          <w:tcPr>
            <w:tcW w:w="1260" w:type="dxa"/>
            <w:vAlign w:val="center"/>
          </w:tcPr>
          <w:p>
            <w:pPr>
              <w:jc w:val="center"/>
              <w:rPr>
                <w:rFonts w:ascii="仿宋" w:hAnsi="仿宋" w:eastAsia="仿宋" w:cs="仿宋"/>
                <w:sz w:val="18"/>
                <w:szCs w:val="18"/>
              </w:rPr>
            </w:pPr>
            <w:r>
              <w:rPr>
                <w:rFonts w:hint="eastAsia" w:ascii="仿宋" w:hAnsi="仿宋" w:eastAsia="仿宋" w:cs="仿宋"/>
                <w:sz w:val="18"/>
                <w:szCs w:val="18"/>
              </w:rPr>
              <w:t>Prj_No</w:t>
            </w:r>
          </w:p>
        </w:tc>
        <w:tc>
          <w:tcPr>
            <w:tcW w:w="1140"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27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005" w:type="dxa"/>
            <w:vAlign w:val="center"/>
          </w:tcPr>
          <w:p>
            <w:pPr>
              <w:jc w:val="center"/>
              <w:rPr>
                <w:rFonts w:ascii="仿宋" w:hAnsi="仿宋" w:eastAsia="仿宋" w:cs="仿宋"/>
                <w:sz w:val="18"/>
                <w:szCs w:val="18"/>
              </w:rPr>
            </w:pPr>
          </w:p>
        </w:tc>
        <w:tc>
          <w:tcPr>
            <w:tcW w:w="1275" w:type="dxa"/>
            <w:vAlign w:val="center"/>
          </w:tcPr>
          <w:p>
            <w:pPr>
              <w:jc w:val="center"/>
              <w:rPr>
                <w:rFonts w:ascii="仿宋" w:hAnsi="仿宋" w:eastAsia="仿宋" w:cs="仿宋"/>
                <w:sz w:val="18"/>
                <w:szCs w:val="18"/>
              </w:rPr>
            </w:pPr>
          </w:p>
        </w:tc>
        <w:tc>
          <w:tcPr>
            <w:tcW w:w="2265" w:type="dxa"/>
            <w:vAlign w:val="center"/>
          </w:tcPr>
          <w:p>
            <w:pPr>
              <w:jc w:val="center"/>
              <w:rPr>
                <w:rFonts w:ascii="仿宋" w:hAnsi="仿宋" w:eastAsia="仿宋" w:cs="仿宋"/>
                <w:kern w:val="0"/>
                <w:sz w:val="18"/>
                <w:szCs w:val="18"/>
              </w:rPr>
            </w:pPr>
            <w:r>
              <w:rPr>
                <w:rFonts w:hint="eastAsia" w:ascii="仿宋" w:hAnsi="仿宋" w:eastAsia="仿宋" w:cs="仿宋"/>
                <w:kern w:val="0"/>
                <w:szCs w:val="21"/>
              </w:rPr>
              <w:t>▲</w:t>
            </w:r>
          </w:p>
        </w:tc>
        <w:tc>
          <w:tcPr>
            <w:tcW w:w="3283" w:type="dxa"/>
            <w:vAlign w:val="center"/>
          </w:tcPr>
          <w:p>
            <w:pPr>
              <w:jc w:val="center"/>
              <w:rPr>
                <w:rFonts w:ascii="仿宋" w:hAnsi="仿宋" w:eastAsia="仿宋" w:cs="仿宋"/>
                <w:sz w:val="18"/>
                <w:szCs w:val="18"/>
              </w:rPr>
            </w:pPr>
            <w:r>
              <w:rPr>
                <w:rFonts w:hint="eastAsia" w:ascii="仿宋" w:hAnsi="仿宋" w:eastAsia="仿宋" w:cs="仿宋"/>
                <w:sz w:val="18"/>
                <w:szCs w:val="18"/>
              </w:rPr>
              <w:t>标段号+测区号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vAlign w:val="center"/>
          </w:tcPr>
          <w:p>
            <w:pPr>
              <w:numPr>
                <w:ilvl w:val="0"/>
                <w:numId w:val="58"/>
              </w:numPr>
              <w:autoSpaceDE w:val="0"/>
              <w:autoSpaceDN w:val="0"/>
              <w:adjustRightInd w:val="0"/>
              <w:spacing w:line="360" w:lineRule="auto"/>
              <w:jc w:val="center"/>
              <w:rPr>
                <w:rFonts w:ascii="仿宋" w:hAnsi="仿宋" w:eastAsia="仿宋" w:cs="仿宋"/>
                <w:sz w:val="18"/>
                <w:szCs w:val="18"/>
              </w:rPr>
            </w:pPr>
          </w:p>
        </w:tc>
        <w:tc>
          <w:tcPr>
            <w:tcW w:w="1440" w:type="dxa"/>
            <w:vAlign w:val="center"/>
          </w:tcPr>
          <w:p>
            <w:pPr>
              <w:jc w:val="center"/>
              <w:rPr>
                <w:rFonts w:ascii="仿宋" w:hAnsi="仿宋" w:eastAsia="仿宋" w:cs="仿宋"/>
                <w:sz w:val="18"/>
                <w:szCs w:val="18"/>
              </w:rPr>
            </w:pPr>
            <w:r>
              <w:rPr>
                <w:rFonts w:hint="eastAsia" w:ascii="仿宋" w:hAnsi="仿宋" w:eastAsia="仿宋" w:cs="仿宋"/>
                <w:sz w:val="18"/>
                <w:szCs w:val="18"/>
              </w:rPr>
              <w:t>辅助点管线点号</w:t>
            </w:r>
          </w:p>
        </w:tc>
        <w:tc>
          <w:tcPr>
            <w:tcW w:w="1260" w:type="dxa"/>
            <w:vAlign w:val="center"/>
          </w:tcPr>
          <w:p>
            <w:pPr>
              <w:jc w:val="center"/>
              <w:rPr>
                <w:rFonts w:ascii="仿宋" w:hAnsi="仿宋" w:eastAsia="仿宋" w:cs="仿宋"/>
                <w:sz w:val="18"/>
                <w:szCs w:val="18"/>
              </w:rPr>
            </w:pPr>
            <w:r>
              <w:rPr>
                <w:rFonts w:hint="eastAsia" w:ascii="仿宋" w:hAnsi="仿宋" w:eastAsia="仿宋" w:cs="仿宋"/>
                <w:sz w:val="18"/>
                <w:szCs w:val="18"/>
              </w:rPr>
              <w:t>Exp_No</w:t>
            </w:r>
          </w:p>
        </w:tc>
        <w:tc>
          <w:tcPr>
            <w:tcW w:w="1140" w:type="dxa"/>
            <w:vAlign w:val="center"/>
          </w:tcPr>
          <w:p>
            <w:pPr>
              <w:jc w:val="center"/>
              <w:rPr>
                <w:rFonts w:ascii="仿宋" w:hAnsi="仿宋" w:eastAsia="仿宋" w:cs="仿宋"/>
                <w:szCs w:val="22"/>
              </w:rPr>
            </w:pPr>
            <w:r>
              <w:rPr>
                <w:rFonts w:hint="eastAsia" w:ascii="仿宋" w:hAnsi="仿宋" w:eastAsia="仿宋" w:cs="仿宋"/>
                <w:sz w:val="18"/>
                <w:szCs w:val="18"/>
              </w:rPr>
              <w:t>字符型</w:t>
            </w:r>
          </w:p>
        </w:tc>
        <w:tc>
          <w:tcPr>
            <w:tcW w:w="1275" w:type="dxa"/>
            <w:vAlign w:val="center"/>
          </w:tcPr>
          <w:p>
            <w:pPr>
              <w:jc w:val="center"/>
              <w:rPr>
                <w:rFonts w:ascii="仿宋" w:hAnsi="仿宋" w:eastAsia="仿宋" w:cs="仿宋"/>
                <w:sz w:val="18"/>
                <w:szCs w:val="18"/>
              </w:rPr>
            </w:pPr>
            <w:r>
              <w:rPr>
                <w:rFonts w:hint="eastAsia" w:ascii="仿宋" w:hAnsi="仿宋" w:eastAsia="仿宋" w:cs="仿宋"/>
                <w:sz w:val="18"/>
                <w:szCs w:val="18"/>
              </w:rPr>
              <w:t>25</w:t>
            </w:r>
          </w:p>
        </w:tc>
        <w:tc>
          <w:tcPr>
            <w:tcW w:w="1005" w:type="dxa"/>
            <w:vAlign w:val="center"/>
          </w:tcPr>
          <w:p>
            <w:pPr>
              <w:jc w:val="center"/>
              <w:rPr>
                <w:rFonts w:ascii="仿宋" w:hAnsi="仿宋" w:eastAsia="仿宋" w:cs="仿宋"/>
                <w:sz w:val="18"/>
                <w:szCs w:val="18"/>
              </w:rPr>
            </w:pPr>
          </w:p>
        </w:tc>
        <w:tc>
          <w:tcPr>
            <w:tcW w:w="1275" w:type="dxa"/>
            <w:vAlign w:val="center"/>
          </w:tcPr>
          <w:p>
            <w:pPr>
              <w:jc w:val="center"/>
              <w:rPr>
                <w:rFonts w:ascii="仿宋" w:hAnsi="仿宋" w:eastAsia="仿宋" w:cs="仿宋"/>
                <w:sz w:val="18"/>
                <w:szCs w:val="18"/>
              </w:rPr>
            </w:pPr>
          </w:p>
        </w:tc>
        <w:tc>
          <w:tcPr>
            <w:tcW w:w="2265" w:type="dxa"/>
          </w:tcPr>
          <w:p>
            <w:pPr>
              <w:jc w:val="center"/>
              <w:rPr>
                <w:rFonts w:ascii="仿宋" w:hAnsi="仿宋" w:eastAsia="仿宋" w:cs="仿宋"/>
                <w:sz w:val="18"/>
                <w:szCs w:val="18"/>
              </w:rPr>
            </w:pPr>
            <w:r>
              <w:rPr>
                <w:rFonts w:hint="eastAsia" w:ascii="仿宋" w:hAnsi="仿宋" w:eastAsia="仿宋" w:cs="仿宋"/>
                <w:kern w:val="0"/>
                <w:szCs w:val="21"/>
              </w:rPr>
              <w:t>▲</w:t>
            </w:r>
          </w:p>
        </w:tc>
        <w:tc>
          <w:tcPr>
            <w:tcW w:w="3283"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vAlign w:val="center"/>
          </w:tcPr>
          <w:p>
            <w:pPr>
              <w:numPr>
                <w:ilvl w:val="0"/>
                <w:numId w:val="58"/>
              </w:numPr>
              <w:autoSpaceDE w:val="0"/>
              <w:autoSpaceDN w:val="0"/>
              <w:adjustRightInd w:val="0"/>
              <w:spacing w:line="360" w:lineRule="auto"/>
              <w:jc w:val="center"/>
              <w:rPr>
                <w:rFonts w:ascii="仿宋" w:hAnsi="仿宋" w:eastAsia="仿宋" w:cs="仿宋"/>
                <w:sz w:val="18"/>
                <w:szCs w:val="18"/>
              </w:rPr>
            </w:pPr>
          </w:p>
        </w:tc>
        <w:tc>
          <w:tcPr>
            <w:tcW w:w="1440" w:type="dxa"/>
            <w:vAlign w:val="center"/>
          </w:tcPr>
          <w:p>
            <w:pPr>
              <w:jc w:val="center"/>
              <w:rPr>
                <w:rFonts w:ascii="仿宋" w:hAnsi="仿宋" w:eastAsia="仿宋" w:cs="仿宋"/>
                <w:sz w:val="18"/>
                <w:szCs w:val="18"/>
              </w:rPr>
            </w:pPr>
            <w:r>
              <w:rPr>
                <w:rFonts w:hint="eastAsia" w:ascii="仿宋" w:hAnsi="仿宋" w:eastAsia="仿宋" w:cs="仿宋"/>
                <w:sz w:val="18"/>
                <w:szCs w:val="18"/>
              </w:rPr>
              <w:t>X坐标</w:t>
            </w:r>
          </w:p>
        </w:tc>
        <w:tc>
          <w:tcPr>
            <w:tcW w:w="1260" w:type="dxa"/>
            <w:vAlign w:val="center"/>
          </w:tcPr>
          <w:p>
            <w:pPr>
              <w:jc w:val="center"/>
              <w:rPr>
                <w:rFonts w:ascii="仿宋" w:hAnsi="仿宋" w:eastAsia="仿宋" w:cs="仿宋"/>
                <w:sz w:val="18"/>
                <w:szCs w:val="18"/>
              </w:rPr>
            </w:pPr>
            <w:r>
              <w:rPr>
                <w:rFonts w:hint="eastAsia" w:ascii="仿宋" w:hAnsi="仿宋" w:eastAsia="仿宋" w:cs="仿宋"/>
                <w:sz w:val="18"/>
                <w:szCs w:val="18"/>
              </w:rPr>
              <w:t>X</w:t>
            </w:r>
          </w:p>
        </w:tc>
        <w:tc>
          <w:tcPr>
            <w:tcW w:w="1140" w:type="dxa"/>
            <w:vAlign w:val="center"/>
          </w:tcPr>
          <w:p>
            <w:pPr>
              <w:jc w:val="center"/>
              <w:rPr>
                <w:rFonts w:ascii="仿宋" w:hAnsi="仿宋" w:eastAsia="仿宋" w:cs="仿宋"/>
                <w:szCs w:val="22"/>
              </w:rPr>
            </w:pPr>
            <w:r>
              <w:rPr>
                <w:rFonts w:hint="eastAsia" w:ascii="仿宋" w:hAnsi="仿宋" w:eastAsia="仿宋" w:cs="仿宋"/>
                <w:sz w:val="18"/>
                <w:szCs w:val="18"/>
              </w:rPr>
              <w:t>双精度</w:t>
            </w:r>
          </w:p>
        </w:tc>
        <w:tc>
          <w:tcPr>
            <w:tcW w:w="1275" w:type="dxa"/>
            <w:vAlign w:val="center"/>
          </w:tcPr>
          <w:p>
            <w:pPr>
              <w:jc w:val="center"/>
              <w:rPr>
                <w:rFonts w:ascii="仿宋" w:hAnsi="仿宋" w:eastAsia="仿宋" w:cs="仿宋"/>
                <w:sz w:val="18"/>
                <w:szCs w:val="18"/>
              </w:rPr>
            </w:pPr>
          </w:p>
        </w:tc>
        <w:tc>
          <w:tcPr>
            <w:tcW w:w="1005" w:type="dxa"/>
            <w:vAlign w:val="center"/>
          </w:tcPr>
          <w:p>
            <w:pPr>
              <w:jc w:val="center"/>
              <w:rPr>
                <w:rFonts w:ascii="仿宋" w:hAnsi="仿宋" w:eastAsia="仿宋" w:cs="仿宋"/>
                <w:sz w:val="18"/>
                <w:szCs w:val="18"/>
              </w:rPr>
            </w:pPr>
            <w:r>
              <w:rPr>
                <w:rFonts w:hint="eastAsia" w:ascii="仿宋" w:hAnsi="仿宋" w:eastAsia="仿宋" w:cs="仿宋"/>
                <w:sz w:val="18"/>
                <w:szCs w:val="18"/>
              </w:rPr>
              <w:t>3</w:t>
            </w:r>
          </w:p>
        </w:tc>
        <w:tc>
          <w:tcPr>
            <w:tcW w:w="1275" w:type="dxa"/>
            <w:vAlign w:val="center"/>
          </w:tcPr>
          <w:p>
            <w:pPr>
              <w:jc w:val="center"/>
              <w:rPr>
                <w:rFonts w:ascii="仿宋" w:hAnsi="仿宋" w:eastAsia="仿宋" w:cs="仿宋"/>
                <w:sz w:val="18"/>
                <w:szCs w:val="18"/>
              </w:rPr>
            </w:pPr>
          </w:p>
        </w:tc>
        <w:tc>
          <w:tcPr>
            <w:tcW w:w="2265" w:type="dxa"/>
          </w:tcPr>
          <w:p>
            <w:pPr>
              <w:jc w:val="center"/>
              <w:rPr>
                <w:rFonts w:ascii="仿宋" w:hAnsi="仿宋" w:eastAsia="仿宋" w:cs="仿宋"/>
              </w:rPr>
            </w:pPr>
            <w:r>
              <w:rPr>
                <w:rFonts w:hint="eastAsia" w:ascii="仿宋" w:hAnsi="仿宋" w:eastAsia="仿宋" w:cs="仿宋"/>
                <w:kern w:val="0"/>
                <w:szCs w:val="21"/>
              </w:rPr>
              <w:t>▲</w:t>
            </w:r>
          </w:p>
        </w:tc>
        <w:tc>
          <w:tcPr>
            <w:tcW w:w="3283"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vAlign w:val="center"/>
          </w:tcPr>
          <w:p>
            <w:pPr>
              <w:numPr>
                <w:ilvl w:val="0"/>
                <w:numId w:val="58"/>
              </w:numPr>
              <w:autoSpaceDE w:val="0"/>
              <w:autoSpaceDN w:val="0"/>
              <w:adjustRightInd w:val="0"/>
              <w:spacing w:line="360" w:lineRule="auto"/>
              <w:jc w:val="center"/>
              <w:rPr>
                <w:rFonts w:ascii="仿宋" w:hAnsi="仿宋" w:eastAsia="仿宋" w:cs="仿宋"/>
                <w:sz w:val="18"/>
                <w:szCs w:val="18"/>
              </w:rPr>
            </w:pPr>
          </w:p>
        </w:tc>
        <w:tc>
          <w:tcPr>
            <w:tcW w:w="1440" w:type="dxa"/>
            <w:vAlign w:val="center"/>
          </w:tcPr>
          <w:p>
            <w:pPr>
              <w:jc w:val="center"/>
              <w:rPr>
                <w:rFonts w:ascii="仿宋" w:hAnsi="仿宋" w:eastAsia="仿宋" w:cs="仿宋"/>
                <w:sz w:val="18"/>
                <w:szCs w:val="18"/>
              </w:rPr>
            </w:pPr>
            <w:r>
              <w:rPr>
                <w:rFonts w:hint="eastAsia" w:ascii="仿宋" w:hAnsi="仿宋" w:eastAsia="仿宋" w:cs="仿宋"/>
                <w:sz w:val="18"/>
                <w:szCs w:val="18"/>
              </w:rPr>
              <w:t>Y坐标</w:t>
            </w:r>
          </w:p>
        </w:tc>
        <w:tc>
          <w:tcPr>
            <w:tcW w:w="1260" w:type="dxa"/>
            <w:vAlign w:val="center"/>
          </w:tcPr>
          <w:p>
            <w:pPr>
              <w:jc w:val="center"/>
              <w:rPr>
                <w:rFonts w:ascii="仿宋" w:hAnsi="仿宋" w:eastAsia="仿宋" w:cs="仿宋"/>
                <w:sz w:val="18"/>
                <w:szCs w:val="18"/>
              </w:rPr>
            </w:pPr>
            <w:r>
              <w:rPr>
                <w:rFonts w:hint="eastAsia" w:ascii="仿宋" w:hAnsi="仿宋" w:eastAsia="仿宋" w:cs="仿宋"/>
                <w:sz w:val="18"/>
                <w:szCs w:val="18"/>
              </w:rPr>
              <w:t>Y</w:t>
            </w:r>
          </w:p>
        </w:tc>
        <w:tc>
          <w:tcPr>
            <w:tcW w:w="1140" w:type="dxa"/>
            <w:vAlign w:val="center"/>
          </w:tcPr>
          <w:p>
            <w:pPr>
              <w:jc w:val="center"/>
              <w:rPr>
                <w:rFonts w:ascii="仿宋" w:hAnsi="仿宋" w:eastAsia="仿宋" w:cs="仿宋"/>
                <w:szCs w:val="22"/>
              </w:rPr>
            </w:pPr>
            <w:r>
              <w:rPr>
                <w:rFonts w:hint="eastAsia" w:ascii="仿宋" w:hAnsi="仿宋" w:eastAsia="仿宋" w:cs="仿宋"/>
                <w:sz w:val="18"/>
                <w:szCs w:val="18"/>
              </w:rPr>
              <w:t>双精度</w:t>
            </w:r>
          </w:p>
        </w:tc>
        <w:tc>
          <w:tcPr>
            <w:tcW w:w="1275" w:type="dxa"/>
            <w:vAlign w:val="center"/>
          </w:tcPr>
          <w:p>
            <w:pPr>
              <w:jc w:val="center"/>
              <w:rPr>
                <w:rFonts w:ascii="仿宋" w:hAnsi="仿宋" w:eastAsia="仿宋" w:cs="仿宋"/>
                <w:sz w:val="18"/>
                <w:szCs w:val="18"/>
              </w:rPr>
            </w:pPr>
          </w:p>
        </w:tc>
        <w:tc>
          <w:tcPr>
            <w:tcW w:w="1005" w:type="dxa"/>
            <w:vAlign w:val="center"/>
          </w:tcPr>
          <w:p>
            <w:pPr>
              <w:jc w:val="center"/>
              <w:rPr>
                <w:rFonts w:ascii="仿宋" w:hAnsi="仿宋" w:eastAsia="仿宋" w:cs="仿宋"/>
                <w:sz w:val="18"/>
                <w:szCs w:val="18"/>
              </w:rPr>
            </w:pPr>
            <w:r>
              <w:rPr>
                <w:rFonts w:hint="eastAsia" w:ascii="仿宋" w:hAnsi="仿宋" w:eastAsia="仿宋" w:cs="仿宋"/>
                <w:sz w:val="18"/>
                <w:szCs w:val="18"/>
              </w:rPr>
              <w:t>3</w:t>
            </w:r>
          </w:p>
        </w:tc>
        <w:tc>
          <w:tcPr>
            <w:tcW w:w="1275" w:type="dxa"/>
            <w:vAlign w:val="center"/>
          </w:tcPr>
          <w:p>
            <w:pPr>
              <w:jc w:val="center"/>
              <w:rPr>
                <w:rFonts w:ascii="仿宋" w:hAnsi="仿宋" w:eastAsia="仿宋" w:cs="仿宋"/>
                <w:sz w:val="18"/>
                <w:szCs w:val="18"/>
              </w:rPr>
            </w:pPr>
          </w:p>
        </w:tc>
        <w:tc>
          <w:tcPr>
            <w:tcW w:w="2265" w:type="dxa"/>
          </w:tcPr>
          <w:p>
            <w:pPr>
              <w:jc w:val="center"/>
              <w:rPr>
                <w:rFonts w:ascii="仿宋" w:hAnsi="仿宋" w:eastAsia="仿宋" w:cs="仿宋"/>
              </w:rPr>
            </w:pPr>
            <w:r>
              <w:rPr>
                <w:rFonts w:hint="eastAsia" w:ascii="仿宋" w:hAnsi="仿宋" w:eastAsia="仿宋" w:cs="仿宋"/>
                <w:kern w:val="0"/>
                <w:szCs w:val="21"/>
              </w:rPr>
              <w:t>▲</w:t>
            </w:r>
          </w:p>
        </w:tc>
        <w:tc>
          <w:tcPr>
            <w:tcW w:w="3283"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vAlign w:val="center"/>
          </w:tcPr>
          <w:p>
            <w:pPr>
              <w:numPr>
                <w:ilvl w:val="0"/>
                <w:numId w:val="58"/>
              </w:numPr>
              <w:autoSpaceDE w:val="0"/>
              <w:autoSpaceDN w:val="0"/>
              <w:adjustRightInd w:val="0"/>
              <w:spacing w:line="360" w:lineRule="auto"/>
              <w:jc w:val="center"/>
              <w:rPr>
                <w:rFonts w:ascii="仿宋" w:hAnsi="仿宋" w:eastAsia="仿宋" w:cs="仿宋"/>
                <w:sz w:val="18"/>
                <w:szCs w:val="18"/>
              </w:rPr>
            </w:pPr>
          </w:p>
        </w:tc>
        <w:tc>
          <w:tcPr>
            <w:tcW w:w="1440" w:type="dxa"/>
            <w:vAlign w:val="center"/>
          </w:tcPr>
          <w:p>
            <w:pPr>
              <w:jc w:val="center"/>
              <w:rPr>
                <w:rFonts w:ascii="仿宋" w:hAnsi="仿宋" w:eastAsia="仿宋" w:cs="仿宋"/>
                <w:sz w:val="18"/>
                <w:szCs w:val="18"/>
              </w:rPr>
            </w:pPr>
            <w:r>
              <w:rPr>
                <w:rFonts w:hint="eastAsia" w:ascii="仿宋" w:hAnsi="仿宋" w:eastAsia="仿宋" w:cs="仿宋"/>
                <w:sz w:val="18"/>
                <w:szCs w:val="18"/>
              </w:rPr>
              <w:t>地面高程</w:t>
            </w:r>
          </w:p>
        </w:tc>
        <w:tc>
          <w:tcPr>
            <w:tcW w:w="1260" w:type="dxa"/>
            <w:vAlign w:val="center"/>
          </w:tcPr>
          <w:p>
            <w:pPr>
              <w:jc w:val="center"/>
              <w:rPr>
                <w:rFonts w:ascii="仿宋" w:hAnsi="仿宋" w:eastAsia="仿宋" w:cs="仿宋"/>
                <w:sz w:val="18"/>
                <w:szCs w:val="18"/>
              </w:rPr>
            </w:pPr>
            <w:r>
              <w:rPr>
                <w:rFonts w:hint="eastAsia" w:ascii="仿宋" w:hAnsi="仿宋" w:eastAsia="仿宋" w:cs="仿宋"/>
                <w:sz w:val="18"/>
                <w:szCs w:val="18"/>
              </w:rPr>
              <w:t>High</w:t>
            </w:r>
          </w:p>
        </w:tc>
        <w:tc>
          <w:tcPr>
            <w:tcW w:w="1140" w:type="dxa"/>
            <w:vAlign w:val="center"/>
          </w:tcPr>
          <w:p>
            <w:pPr>
              <w:jc w:val="center"/>
              <w:rPr>
                <w:rFonts w:ascii="仿宋" w:hAnsi="仿宋" w:eastAsia="仿宋" w:cs="仿宋"/>
                <w:szCs w:val="22"/>
              </w:rPr>
            </w:pPr>
            <w:r>
              <w:rPr>
                <w:rFonts w:hint="eastAsia" w:ascii="仿宋" w:hAnsi="仿宋" w:eastAsia="仿宋" w:cs="仿宋"/>
                <w:sz w:val="18"/>
                <w:szCs w:val="18"/>
              </w:rPr>
              <w:t>双精度</w:t>
            </w:r>
          </w:p>
        </w:tc>
        <w:tc>
          <w:tcPr>
            <w:tcW w:w="1275" w:type="dxa"/>
            <w:vAlign w:val="center"/>
          </w:tcPr>
          <w:p>
            <w:pPr>
              <w:jc w:val="center"/>
              <w:rPr>
                <w:rFonts w:ascii="仿宋" w:hAnsi="仿宋" w:eastAsia="仿宋" w:cs="仿宋"/>
                <w:sz w:val="18"/>
                <w:szCs w:val="18"/>
              </w:rPr>
            </w:pPr>
          </w:p>
        </w:tc>
        <w:tc>
          <w:tcPr>
            <w:tcW w:w="1005" w:type="dxa"/>
            <w:vAlign w:val="center"/>
          </w:tcPr>
          <w:p>
            <w:pPr>
              <w:jc w:val="center"/>
              <w:rPr>
                <w:rFonts w:ascii="仿宋" w:hAnsi="仿宋" w:eastAsia="仿宋" w:cs="仿宋"/>
                <w:sz w:val="18"/>
                <w:szCs w:val="18"/>
              </w:rPr>
            </w:pPr>
            <w:r>
              <w:rPr>
                <w:rFonts w:hint="eastAsia" w:ascii="仿宋" w:hAnsi="仿宋" w:eastAsia="仿宋" w:cs="仿宋"/>
                <w:sz w:val="18"/>
                <w:szCs w:val="18"/>
              </w:rPr>
              <w:t>3</w:t>
            </w:r>
          </w:p>
        </w:tc>
        <w:tc>
          <w:tcPr>
            <w:tcW w:w="1275" w:type="dxa"/>
            <w:vAlign w:val="center"/>
          </w:tcPr>
          <w:p>
            <w:pPr>
              <w:jc w:val="center"/>
              <w:rPr>
                <w:rFonts w:ascii="仿宋" w:hAnsi="仿宋" w:eastAsia="仿宋" w:cs="仿宋"/>
                <w:sz w:val="18"/>
                <w:szCs w:val="18"/>
              </w:rPr>
            </w:pPr>
          </w:p>
        </w:tc>
        <w:tc>
          <w:tcPr>
            <w:tcW w:w="2265" w:type="dxa"/>
          </w:tcPr>
          <w:p>
            <w:pPr>
              <w:jc w:val="center"/>
              <w:rPr>
                <w:rFonts w:ascii="仿宋" w:hAnsi="仿宋" w:eastAsia="仿宋" w:cs="仿宋"/>
              </w:rPr>
            </w:pPr>
            <w:r>
              <w:rPr>
                <w:rFonts w:hint="eastAsia" w:ascii="仿宋" w:hAnsi="仿宋" w:eastAsia="仿宋" w:cs="仿宋"/>
                <w:kern w:val="0"/>
                <w:szCs w:val="21"/>
              </w:rPr>
              <w:t>▲</w:t>
            </w:r>
          </w:p>
        </w:tc>
        <w:tc>
          <w:tcPr>
            <w:tcW w:w="3283"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vAlign w:val="center"/>
          </w:tcPr>
          <w:p>
            <w:pPr>
              <w:numPr>
                <w:ilvl w:val="0"/>
                <w:numId w:val="58"/>
              </w:numPr>
              <w:autoSpaceDE w:val="0"/>
              <w:autoSpaceDN w:val="0"/>
              <w:adjustRightInd w:val="0"/>
              <w:spacing w:line="360" w:lineRule="auto"/>
              <w:jc w:val="center"/>
              <w:rPr>
                <w:rFonts w:ascii="仿宋" w:hAnsi="仿宋" w:eastAsia="仿宋" w:cs="仿宋"/>
                <w:sz w:val="18"/>
                <w:szCs w:val="18"/>
              </w:rPr>
            </w:pPr>
          </w:p>
        </w:tc>
        <w:tc>
          <w:tcPr>
            <w:tcW w:w="1440" w:type="dxa"/>
            <w:vAlign w:val="center"/>
          </w:tcPr>
          <w:p>
            <w:pPr>
              <w:jc w:val="center"/>
              <w:rPr>
                <w:rFonts w:ascii="仿宋" w:hAnsi="仿宋" w:eastAsia="仿宋" w:cs="仿宋"/>
                <w:sz w:val="18"/>
                <w:szCs w:val="18"/>
              </w:rPr>
            </w:pPr>
            <w:r>
              <w:rPr>
                <w:rFonts w:hint="eastAsia" w:ascii="仿宋" w:hAnsi="仿宋" w:eastAsia="仿宋" w:cs="仿宋"/>
                <w:sz w:val="18"/>
                <w:szCs w:val="18"/>
              </w:rPr>
              <w:t>探测单位</w:t>
            </w:r>
          </w:p>
        </w:tc>
        <w:tc>
          <w:tcPr>
            <w:tcW w:w="1260" w:type="dxa"/>
            <w:vAlign w:val="center"/>
          </w:tcPr>
          <w:p>
            <w:pPr>
              <w:jc w:val="center"/>
              <w:rPr>
                <w:rFonts w:ascii="仿宋" w:hAnsi="仿宋" w:eastAsia="仿宋" w:cs="仿宋"/>
                <w:sz w:val="18"/>
                <w:szCs w:val="18"/>
              </w:rPr>
            </w:pPr>
            <w:r>
              <w:rPr>
                <w:rFonts w:hint="eastAsia" w:ascii="仿宋" w:hAnsi="仿宋" w:eastAsia="仿宋" w:cs="仿宋"/>
                <w:sz w:val="18"/>
                <w:szCs w:val="18"/>
              </w:rPr>
              <w:t>SUnit</w:t>
            </w:r>
          </w:p>
        </w:tc>
        <w:tc>
          <w:tcPr>
            <w:tcW w:w="1140" w:type="dxa"/>
            <w:vAlign w:val="center"/>
          </w:tcPr>
          <w:p>
            <w:pPr>
              <w:jc w:val="center"/>
              <w:rPr>
                <w:rFonts w:ascii="仿宋" w:hAnsi="仿宋" w:eastAsia="仿宋" w:cs="仿宋"/>
                <w:szCs w:val="22"/>
              </w:rPr>
            </w:pPr>
            <w:r>
              <w:rPr>
                <w:rFonts w:hint="eastAsia" w:ascii="仿宋" w:hAnsi="仿宋" w:eastAsia="仿宋" w:cs="仿宋"/>
                <w:sz w:val="18"/>
                <w:szCs w:val="18"/>
              </w:rPr>
              <w:t>字符型</w:t>
            </w:r>
          </w:p>
        </w:tc>
        <w:tc>
          <w:tcPr>
            <w:tcW w:w="1275" w:type="dxa"/>
            <w:vAlign w:val="center"/>
          </w:tcPr>
          <w:p>
            <w:pPr>
              <w:jc w:val="center"/>
              <w:rPr>
                <w:rFonts w:ascii="仿宋" w:hAnsi="仿宋" w:eastAsia="仿宋" w:cs="仿宋"/>
                <w:sz w:val="18"/>
                <w:szCs w:val="18"/>
              </w:rPr>
            </w:pPr>
            <w:r>
              <w:rPr>
                <w:rFonts w:hint="eastAsia" w:ascii="仿宋" w:hAnsi="仿宋" w:eastAsia="仿宋" w:cs="仿宋"/>
                <w:sz w:val="18"/>
                <w:szCs w:val="18"/>
              </w:rPr>
              <w:t>100</w:t>
            </w:r>
          </w:p>
        </w:tc>
        <w:tc>
          <w:tcPr>
            <w:tcW w:w="1005" w:type="dxa"/>
            <w:vAlign w:val="center"/>
          </w:tcPr>
          <w:p>
            <w:pPr>
              <w:jc w:val="center"/>
              <w:rPr>
                <w:rFonts w:ascii="仿宋" w:hAnsi="仿宋" w:eastAsia="仿宋" w:cs="仿宋"/>
                <w:sz w:val="18"/>
                <w:szCs w:val="18"/>
              </w:rPr>
            </w:pPr>
          </w:p>
        </w:tc>
        <w:tc>
          <w:tcPr>
            <w:tcW w:w="1275" w:type="dxa"/>
            <w:vAlign w:val="center"/>
          </w:tcPr>
          <w:p>
            <w:pPr>
              <w:jc w:val="center"/>
              <w:rPr>
                <w:rFonts w:ascii="仿宋" w:hAnsi="仿宋" w:eastAsia="仿宋" w:cs="仿宋"/>
                <w:sz w:val="18"/>
                <w:szCs w:val="18"/>
              </w:rPr>
            </w:pPr>
          </w:p>
        </w:tc>
        <w:tc>
          <w:tcPr>
            <w:tcW w:w="2265" w:type="dxa"/>
          </w:tcPr>
          <w:p>
            <w:pPr>
              <w:jc w:val="center"/>
              <w:rPr>
                <w:rFonts w:ascii="仿宋" w:hAnsi="仿宋" w:eastAsia="仿宋" w:cs="仿宋"/>
              </w:rPr>
            </w:pPr>
            <w:r>
              <w:rPr>
                <w:rFonts w:hint="eastAsia" w:ascii="仿宋" w:hAnsi="仿宋" w:eastAsia="仿宋" w:cs="仿宋"/>
                <w:kern w:val="0"/>
                <w:szCs w:val="21"/>
              </w:rPr>
              <w:t>▲</w:t>
            </w:r>
          </w:p>
        </w:tc>
        <w:tc>
          <w:tcPr>
            <w:tcW w:w="3283" w:type="dxa"/>
            <w:vAlign w:val="center"/>
          </w:tcPr>
          <w:p>
            <w:pPr>
              <w:jc w:val="center"/>
              <w:rPr>
                <w:rFonts w:ascii="仿宋" w:hAnsi="仿宋" w:eastAsia="仿宋" w:cs="仿宋"/>
                <w:sz w:val="18"/>
                <w:szCs w:val="18"/>
              </w:rPr>
            </w:pPr>
            <w:r>
              <w:rPr>
                <w:rFonts w:hint="eastAsia" w:ascii="仿宋" w:hAnsi="仿宋" w:eastAsia="仿宋" w:cs="仿宋"/>
                <w:sz w:val="18"/>
                <w:szCs w:val="18"/>
              </w:rPr>
              <w:t>埴写作业单位全称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97" w:type="dxa"/>
            <w:vAlign w:val="center"/>
          </w:tcPr>
          <w:p>
            <w:pPr>
              <w:numPr>
                <w:ilvl w:val="0"/>
                <w:numId w:val="58"/>
              </w:numPr>
              <w:autoSpaceDE w:val="0"/>
              <w:autoSpaceDN w:val="0"/>
              <w:adjustRightInd w:val="0"/>
              <w:spacing w:line="360" w:lineRule="auto"/>
              <w:jc w:val="center"/>
              <w:rPr>
                <w:rFonts w:ascii="仿宋" w:hAnsi="仿宋" w:eastAsia="仿宋" w:cs="仿宋"/>
                <w:sz w:val="18"/>
                <w:szCs w:val="18"/>
              </w:rPr>
            </w:pPr>
          </w:p>
        </w:tc>
        <w:tc>
          <w:tcPr>
            <w:tcW w:w="1440" w:type="dxa"/>
            <w:vAlign w:val="center"/>
          </w:tcPr>
          <w:p>
            <w:pPr>
              <w:jc w:val="center"/>
              <w:rPr>
                <w:rFonts w:ascii="仿宋" w:hAnsi="仿宋" w:eastAsia="仿宋" w:cs="仿宋"/>
                <w:sz w:val="18"/>
                <w:szCs w:val="18"/>
              </w:rPr>
            </w:pPr>
            <w:r>
              <w:rPr>
                <w:rFonts w:hint="eastAsia" w:ascii="仿宋" w:hAnsi="仿宋" w:eastAsia="仿宋" w:cs="仿宋"/>
                <w:sz w:val="18"/>
                <w:szCs w:val="18"/>
              </w:rPr>
              <w:t>探测日期</w:t>
            </w:r>
          </w:p>
        </w:tc>
        <w:tc>
          <w:tcPr>
            <w:tcW w:w="1260" w:type="dxa"/>
            <w:vAlign w:val="center"/>
          </w:tcPr>
          <w:p>
            <w:pPr>
              <w:jc w:val="center"/>
              <w:rPr>
                <w:rFonts w:ascii="仿宋" w:hAnsi="仿宋" w:eastAsia="仿宋" w:cs="仿宋"/>
                <w:sz w:val="18"/>
                <w:szCs w:val="18"/>
              </w:rPr>
            </w:pPr>
            <w:r>
              <w:rPr>
                <w:rFonts w:hint="eastAsia" w:ascii="仿宋" w:hAnsi="仿宋" w:eastAsia="仿宋" w:cs="仿宋"/>
                <w:sz w:val="18"/>
                <w:szCs w:val="18"/>
              </w:rPr>
              <w:t>SDate</w:t>
            </w:r>
          </w:p>
        </w:tc>
        <w:tc>
          <w:tcPr>
            <w:tcW w:w="1140" w:type="dxa"/>
            <w:vAlign w:val="center"/>
          </w:tcPr>
          <w:p>
            <w:pPr>
              <w:jc w:val="center"/>
              <w:rPr>
                <w:rFonts w:ascii="仿宋" w:hAnsi="仿宋" w:eastAsia="仿宋" w:cs="仿宋"/>
                <w:szCs w:val="22"/>
              </w:rPr>
            </w:pPr>
            <w:r>
              <w:rPr>
                <w:rFonts w:hint="eastAsia" w:ascii="仿宋" w:hAnsi="仿宋" w:eastAsia="仿宋" w:cs="仿宋"/>
                <w:sz w:val="18"/>
                <w:szCs w:val="18"/>
              </w:rPr>
              <w:t>字符型</w:t>
            </w:r>
          </w:p>
        </w:tc>
        <w:tc>
          <w:tcPr>
            <w:tcW w:w="127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005" w:type="dxa"/>
            <w:vAlign w:val="center"/>
          </w:tcPr>
          <w:p>
            <w:pPr>
              <w:jc w:val="center"/>
              <w:rPr>
                <w:rFonts w:ascii="仿宋" w:hAnsi="仿宋" w:eastAsia="仿宋" w:cs="仿宋"/>
                <w:sz w:val="18"/>
                <w:szCs w:val="18"/>
              </w:rPr>
            </w:pPr>
          </w:p>
        </w:tc>
        <w:tc>
          <w:tcPr>
            <w:tcW w:w="1275" w:type="dxa"/>
            <w:vAlign w:val="center"/>
          </w:tcPr>
          <w:p>
            <w:pPr>
              <w:jc w:val="center"/>
              <w:rPr>
                <w:rFonts w:ascii="仿宋" w:hAnsi="仿宋" w:eastAsia="仿宋" w:cs="仿宋"/>
                <w:sz w:val="18"/>
                <w:szCs w:val="18"/>
              </w:rPr>
            </w:pPr>
          </w:p>
        </w:tc>
        <w:tc>
          <w:tcPr>
            <w:tcW w:w="2265" w:type="dxa"/>
          </w:tcPr>
          <w:p>
            <w:pPr>
              <w:jc w:val="center"/>
              <w:rPr>
                <w:rFonts w:ascii="仿宋" w:hAnsi="仿宋" w:eastAsia="仿宋" w:cs="仿宋"/>
              </w:rPr>
            </w:pPr>
            <w:r>
              <w:rPr>
                <w:rFonts w:hint="eastAsia" w:ascii="仿宋" w:hAnsi="仿宋" w:eastAsia="仿宋" w:cs="仿宋"/>
                <w:kern w:val="0"/>
                <w:szCs w:val="21"/>
              </w:rPr>
              <w:t>▲</w:t>
            </w:r>
          </w:p>
        </w:tc>
        <w:tc>
          <w:tcPr>
            <w:tcW w:w="3283" w:type="dxa"/>
            <w:vAlign w:val="center"/>
          </w:tcPr>
          <w:p>
            <w:pPr>
              <w:jc w:val="center"/>
              <w:rPr>
                <w:rFonts w:ascii="仿宋" w:hAnsi="仿宋" w:eastAsia="仿宋" w:cs="仿宋"/>
                <w:sz w:val="18"/>
                <w:szCs w:val="18"/>
              </w:rPr>
            </w:pPr>
            <w:r>
              <w:rPr>
                <w:rFonts w:hint="eastAsia" w:ascii="仿宋" w:hAnsi="仿宋" w:eastAsia="仿宋" w:cs="仿宋"/>
                <w:sz w:val="18"/>
                <w:szCs w:val="18"/>
              </w:rPr>
              <w:t>采用“YYYY-MM-DD”格式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97" w:type="dxa"/>
            <w:vAlign w:val="center"/>
          </w:tcPr>
          <w:p>
            <w:pPr>
              <w:numPr>
                <w:ilvl w:val="0"/>
                <w:numId w:val="58"/>
              </w:numPr>
              <w:autoSpaceDE w:val="0"/>
              <w:autoSpaceDN w:val="0"/>
              <w:adjustRightInd w:val="0"/>
              <w:spacing w:line="360" w:lineRule="auto"/>
              <w:jc w:val="center"/>
              <w:rPr>
                <w:rFonts w:ascii="仿宋" w:hAnsi="仿宋" w:eastAsia="仿宋" w:cs="仿宋"/>
                <w:sz w:val="18"/>
                <w:szCs w:val="18"/>
              </w:rPr>
            </w:pPr>
          </w:p>
        </w:tc>
        <w:tc>
          <w:tcPr>
            <w:tcW w:w="1440" w:type="dxa"/>
            <w:vAlign w:val="center"/>
          </w:tcPr>
          <w:p>
            <w:pPr>
              <w:jc w:val="center"/>
              <w:rPr>
                <w:rFonts w:ascii="仿宋" w:hAnsi="仿宋" w:eastAsia="仿宋" w:cs="仿宋"/>
                <w:sz w:val="18"/>
                <w:szCs w:val="18"/>
              </w:rPr>
            </w:pPr>
            <w:r>
              <w:rPr>
                <w:rFonts w:hint="eastAsia" w:ascii="仿宋" w:hAnsi="仿宋" w:eastAsia="仿宋" w:cs="仿宋"/>
                <w:sz w:val="18"/>
                <w:szCs w:val="18"/>
              </w:rPr>
              <w:t>备注</w:t>
            </w:r>
          </w:p>
        </w:tc>
        <w:tc>
          <w:tcPr>
            <w:tcW w:w="1260" w:type="dxa"/>
            <w:vAlign w:val="center"/>
          </w:tcPr>
          <w:p>
            <w:pPr>
              <w:jc w:val="center"/>
              <w:rPr>
                <w:rFonts w:ascii="仿宋" w:hAnsi="仿宋" w:eastAsia="仿宋" w:cs="仿宋"/>
                <w:sz w:val="18"/>
                <w:szCs w:val="18"/>
              </w:rPr>
            </w:pPr>
            <w:r>
              <w:rPr>
                <w:rFonts w:hint="eastAsia" w:ascii="仿宋" w:hAnsi="仿宋" w:eastAsia="仿宋" w:cs="仿宋"/>
                <w:sz w:val="18"/>
                <w:szCs w:val="18"/>
              </w:rPr>
              <w:t>Remark</w:t>
            </w:r>
          </w:p>
        </w:tc>
        <w:tc>
          <w:tcPr>
            <w:tcW w:w="1140" w:type="dxa"/>
            <w:vAlign w:val="center"/>
          </w:tcPr>
          <w:p>
            <w:pPr>
              <w:jc w:val="center"/>
              <w:rPr>
                <w:rFonts w:ascii="仿宋" w:hAnsi="仿宋" w:eastAsia="仿宋" w:cs="仿宋"/>
                <w:szCs w:val="22"/>
              </w:rPr>
            </w:pPr>
            <w:r>
              <w:rPr>
                <w:rFonts w:hint="eastAsia" w:ascii="仿宋" w:hAnsi="仿宋" w:eastAsia="仿宋" w:cs="仿宋"/>
                <w:sz w:val="18"/>
                <w:szCs w:val="18"/>
              </w:rPr>
              <w:t>字符型</w:t>
            </w:r>
          </w:p>
        </w:tc>
        <w:tc>
          <w:tcPr>
            <w:tcW w:w="1275" w:type="dxa"/>
            <w:vAlign w:val="center"/>
          </w:tcPr>
          <w:p>
            <w:pPr>
              <w:jc w:val="center"/>
              <w:rPr>
                <w:rFonts w:ascii="仿宋" w:hAnsi="仿宋" w:eastAsia="仿宋" w:cs="仿宋"/>
                <w:sz w:val="18"/>
                <w:szCs w:val="18"/>
              </w:rPr>
            </w:pPr>
            <w:r>
              <w:rPr>
                <w:rFonts w:hint="eastAsia" w:ascii="仿宋" w:hAnsi="仿宋" w:eastAsia="仿宋" w:cs="仿宋"/>
                <w:sz w:val="18"/>
                <w:szCs w:val="18"/>
              </w:rPr>
              <w:t>100</w:t>
            </w:r>
          </w:p>
        </w:tc>
        <w:tc>
          <w:tcPr>
            <w:tcW w:w="1005" w:type="dxa"/>
            <w:vAlign w:val="center"/>
          </w:tcPr>
          <w:p>
            <w:pPr>
              <w:jc w:val="center"/>
              <w:rPr>
                <w:rFonts w:ascii="仿宋" w:hAnsi="仿宋" w:eastAsia="仿宋" w:cs="仿宋"/>
                <w:sz w:val="18"/>
                <w:szCs w:val="18"/>
              </w:rPr>
            </w:pPr>
          </w:p>
        </w:tc>
        <w:tc>
          <w:tcPr>
            <w:tcW w:w="1275" w:type="dxa"/>
            <w:vAlign w:val="center"/>
          </w:tcPr>
          <w:p>
            <w:pPr>
              <w:jc w:val="center"/>
              <w:rPr>
                <w:rFonts w:ascii="仿宋" w:hAnsi="仿宋" w:eastAsia="仿宋" w:cs="仿宋"/>
                <w:sz w:val="18"/>
                <w:szCs w:val="18"/>
              </w:rPr>
            </w:pPr>
          </w:p>
        </w:tc>
        <w:tc>
          <w:tcPr>
            <w:tcW w:w="2265" w:type="dxa"/>
            <w:vAlign w:val="center"/>
          </w:tcPr>
          <w:p>
            <w:pPr>
              <w:jc w:val="center"/>
              <w:rPr>
                <w:rFonts w:ascii="仿宋" w:hAnsi="仿宋" w:eastAsia="仿宋" w:cs="仿宋"/>
                <w:sz w:val="18"/>
                <w:szCs w:val="18"/>
              </w:rPr>
            </w:pPr>
            <w:r>
              <w:rPr>
                <w:rFonts w:hint="eastAsia" w:ascii="仿宋" w:hAnsi="仿宋" w:eastAsia="仿宋" w:cs="仿宋"/>
                <w:color w:val="000000"/>
                <w:kern w:val="0"/>
                <w:sz w:val="18"/>
                <w:szCs w:val="18"/>
              </w:rPr>
              <w:t>○</w:t>
            </w:r>
          </w:p>
        </w:tc>
        <w:tc>
          <w:tcPr>
            <w:tcW w:w="3283" w:type="dxa"/>
            <w:vAlign w:val="center"/>
          </w:tcPr>
          <w:p>
            <w:pPr>
              <w:jc w:val="center"/>
              <w:rPr>
                <w:rFonts w:ascii="仿宋" w:hAnsi="仿宋" w:eastAsia="仿宋" w:cs="仿宋"/>
                <w:sz w:val="18"/>
                <w:szCs w:val="18"/>
              </w:rPr>
            </w:pPr>
          </w:p>
        </w:tc>
      </w:tr>
    </w:tbl>
    <w:p>
      <w:pPr>
        <w:pStyle w:val="2"/>
      </w:pPr>
    </w:p>
    <w:p>
      <w:pPr>
        <w:pStyle w:val="5"/>
        <w:spacing w:line="360" w:lineRule="auto"/>
        <w:jc w:val="center"/>
        <w:rPr>
          <w:rFonts w:ascii="仿宋" w:hAnsi="仿宋" w:eastAsia="仿宋" w:cs="仿宋"/>
          <w:sz w:val="24"/>
          <w:szCs w:val="24"/>
        </w:rPr>
      </w:pPr>
      <w:bookmarkStart w:id="1686" w:name="_Toc16137"/>
      <w:bookmarkStart w:id="1687" w:name="_Toc10205"/>
      <w:bookmarkStart w:id="1688" w:name="_Toc5128"/>
      <w:bookmarkStart w:id="1689" w:name="_Toc23574"/>
      <w:bookmarkStart w:id="1690" w:name="_Toc2526"/>
      <w:bookmarkStart w:id="1691" w:name="_Toc8486"/>
      <w:r>
        <w:rPr>
          <w:rFonts w:hint="eastAsia" w:ascii="仿宋" w:hAnsi="仿宋" w:eastAsia="仿宋" w:cs="仿宋"/>
          <w:sz w:val="24"/>
          <w:szCs w:val="24"/>
        </w:rPr>
        <w:t>附表A.5 管线辅助线属性结构表</w:t>
      </w:r>
      <w:bookmarkEnd w:id="1686"/>
      <w:bookmarkEnd w:id="1687"/>
      <w:bookmarkEnd w:id="1688"/>
      <w:bookmarkEnd w:id="1689"/>
      <w:bookmarkEnd w:id="1690"/>
      <w:bookmarkEnd w:id="1691"/>
    </w:p>
    <w:tbl>
      <w:tblPr>
        <w:tblStyle w:val="26"/>
        <w:tblW w:w="136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440"/>
        <w:gridCol w:w="1245"/>
        <w:gridCol w:w="1155"/>
        <w:gridCol w:w="1275"/>
        <w:gridCol w:w="1005"/>
        <w:gridCol w:w="1290"/>
        <w:gridCol w:w="2265"/>
        <w:gridCol w:w="3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719" w:type="dxa"/>
            <w:shd w:val="clear" w:color="auto" w:fill="BFBFBF"/>
            <w:vAlign w:val="center"/>
          </w:tcPr>
          <w:p>
            <w:pPr>
              <w:jc w:val="center"/>
              <w:rPr>
                <w:rFonts w:ascii="仿宋" w:hAnsi="仿宋" w:eastAsia="仿宋" w:cs="仿宋"/>
                <w:sz w:val="18"/>
                <w:szCs w:val="18"/>
              </w:rPr>
            </w:pPr>
            <w:r>
              <w:rPr>
                <w:rFonts w:hint="eastAsia" w:ascii="仿宋" w:hAnsi="仿宋" w:eastAsia="仿宋" w:cs="仿宋"/>
                <w:sz w:val="18"/>
                <w:szCs w:val="18"/>
              </w:rPr>
              <w:t>序号</w:t>
            </w:r>
          </w:p>
        </w:tc>
        <w:tc>
          <w:tcPr>
            <w:tcW w:w="1440" w:type="dxa"/>
            <w:shd w:val="clear" w:color="auto" w:fill="BFBFBF"/>
            <w:vAlign w:val="center"/>
          </w:tcPr>
          <w:p>
            <w:pPr>
              <w:jc w:val="center"/>
              <w:rPr>
                <w:rFonts w:ascii="仿宋" w:hAnsi="仿宋" w:eastAsia="仿宋" w:cs="仿宋"/>
                <w:sz w:val="18"/>
                <w:szCs w:val="18"/>
              </w:rPr>
            </w:pPr>
            <w:r>
              <w:rPr>
                <w:rFonts w:hint="eastAsia" w:ascii="仿宋" w:hAnsi="仿宋" w:eastAsia="仿宋" w:cs="仿宋"/>
                <w:sz w:val="18"/>
                <w:szCs w:val="18"/>
              </w:rPr>
              <w:t>中文名称</w:t>
            </w:r>
          </w:p>
        </w:tc>
        <w:tc>
          <w:tcPr>
            <w:tcW w:w="1245" w:type="dxa"/>
            <w:shd w:val="clear" w:color="auto" w:fill="BFBFBF"/>
            <w:vAlign w:val="center"/>
          </w:tcPr>
          <w:p>
            <w:pPr>
              <w:jc w:val="center"/>
              <w:rPr>
                <w:rFonts w:ascii="仿宋" w:hAnsi="仿宋" w:eastAsia="仿宋" w:cs="仿宋"/>
                <w:sz w:val="18"/>
                <w:szCs w:val="18"/>
              </w:rPr>
            </w:pPr>
            <w:r>
              <w:rPr>
                <w:rFonts w:hint="eastAsia" w:ascii="仿宋" w:hAnsi="仿宋" w:eastAsia="仿宋" w:cs="仿宋"/>
                <w:sz w:val="18"/>
                <w:szCs w:val="18"/>
              </w:rPr>
              <w:t>英文名称</w:t>
            </w:r>
          </w:p>
        </w:tc>
        <w:tc>
          <w:tcPr>
            <w:tcW w:w="1155" w:type="dxa"/>
            <w:shd w:val="clear" w:color="auto" w:fill="BFBFBF"/>
            <w:vAlign w:val="center"/>
          </w:tcPr>
          <w:p>
            <w:pPr>
              <w:jc w:val="center"/>
              <w:rPr>
                <w:rFonts w:ascii="仿宋" w:hAnsi="仿宋" w:eastAsia="仿宋" w:cs="仿宋"/>
                <w:sz w:val="18"/>
                <w:szCs w:val="18"/>
              </w:rPr>
            </w:pPr>
            <w:r>
              <w:rPr>
                <w:rFonts w:hint="eastAsia" w:ascii="仿宋" w:hAnsi="仿宋" w:eastAsia="仿宋" w:cs="仿宋"/>
                <w:sz w:val="18"/>
                <w:szCs w:val="18"/>
              </w:rPr>
              <w:t>字段类型</w:t>
            </w:r>
          </w:p>
        </w:tc>
        <w:tc>
          <w:tcPr>
            <w:tcW w:w="1275" w:type="dxa"/>
            <w:shd w:val="clear" w:color="auto" w:fill="BFBFBF"/>
            <w:vAlign w:val="center"/>
          </w:tcPr>
          <w:p>
            <w:pPr>
              <w:jc w:val="center"/>
              <w:rPr>
                <w:rFonts w:ascii="仿宋" w:hAnsi="仿宋" w:eastAsia="仿宋" w:cs="仿宋"/>
                <w:sz w:val="18"/>
                <w:szCs w:val="18"/>
              </w:rPr>
            </w:pPr>
            <w:r>
              <w:rPr>
                <w:rFonts w:hint="eastAsia" w:ascii="仿宋" w:hAnsi="仿宋" w:eastAsia="仿宋" w:cs="仿宋"/>
                <w:sz w:val="18"/>
                <w:szCs w:val="18"/>
              </w:rPr>
              <w:t>字段长度</w:t>
            </w:r>
          </w:p>
        </w:tc>
        <w:tc>
          <w:tcPr>
            <w:tcW w:w="1005" w:type="dxa"/>
            <w:shd w:val="clear" w:color="auto" w:fill="BFBFBF"/>
            <w:vAlign w:val="center"/>
          </w:tcPr>
          <w:p>
            <w:pPr>
              <w:jc w:val="center"/>
              <w:rPr>
                <w:rFonts w:ascii="仿宋" w:hAnsi="仿宋" w:eastAsia="仿宋" w:cs="仿宋"/>
                <w:sz w:val="18"/>
                <w:szCs w:val="18"/>
              </w:rPr>
            </w:pPr>
            <w:r>
              <w:rPr>
                <w:rFonts w:hint="eastAsia" w:ascii="仿宋" w:hAnsi="仿宋" w:eastAsia="仿宋" w:cs="仿宋"/>
                <w:sz w:val="18"/>
                <w:szCs w:val="18"/>
              </w:rPr>
              <w:t>小数位数</w:t>
            </w:r>
          </w:p>
        </w:tc>
        <w:tc>
          <w:tcPr>
            <w:tcW w:w="1290" w:type="dxa"/>
            <w:shd w:val="clear" w:color="auto" w:fill="BFBFBF"/>
            <w:vAlign w:val="center"/>
          </w:tcPr>
          <w:p>
            <w:pPr>
              <w:jc w:val="center"/>
              <w:rPr>
                <w:rFonts w:ascii="仿宋" w:hAnsi="仿宋" w:eastAsia="仿宋" w:cs="仿宋"/>
                <w:sz w:val="18"/>
                <w:szCs w:val="18"/>
              </w:rPr>
            </w:pPr>
            <w:r>
              <w:rPr>
                <w:rFonts w:hint="eastAsia" w:ascii="仿宋" w:hAnsi="仿宋" w:eastAsia="仿宋" w:cs="仿宋"/>
                <w:sz w:val="18"/>
                <w:szCs w:val="18"/>
              </w:rPr>
              <w:t>值域</w:t>
            </w:r>
          </w:p>
        </w:tc>
        <w:tc>
          <w:tcPr>
            <w:tcW w:w="2265" w:type="dxa"/>
            <w:shd w:val="clear" w:color="auto" w:fill="BFBFBF"/>
            <w:vAlign w:val="center"/>
          </w:tcPr>
          <w:p>
            <w:pPr>
              <w:jc w:val="center"/>
              <w:rPr>
                <w:rFonts w:ascii="仿宋" w:hAnsi="仿宋" w:eastAsia="仿宋" w:cs="仿宋"/>
                <w:sz w:val="18"/>
                <w:szCs w:val="18"/>
              </w:rPr>
            </w:pPr>
            <w:r>
              <w:rPr>
                <w:rFonts w:hint="eastAsia" w:ascii="仿宋" w:hAnsi="仿宋" w:eastAsia="仿宋" w:cs="仿宋"/>
                <w:color w:val="000000"/>
                <w:kern w:val="0"/>
                <w:sz w:val="18"/>
                <w:szCs w:val="18"/>
              </w:rPr>
              <w:t>是否必填（</w:t>
            </w:r>
            <w:r>
              <w:rPr>
                <w:rFonts w:hint="eastAsia" w:ascii="仿宋" w:hAnsi="仿宋" w:eastAsia="仿宋" w:cs="仿宋"/>
                <w:kern w:val="0"/>
                <w:szCs w:val="21"/>
              </w:rPr>
              <w:t>▲</w:t>
            </w:r>
            <w:r>
              <w:rPr>
                <w:rFonts w:hint="eastAsia" w:ascii="仿宋" w:hAnsi="仿宋" w:eastAsia="仿宋" w:cs="仿宋"/>
                <w:color w:val="000000"/>
                <w:kern w:val="0"/>
                <w:sz w:val="18"/>
                <w:szCs w:val="18"/>
              </w:rPr>
              <w:t>为必填，△为条件必填，○为选填）</w:t>
            </w:r>
          </w:p>
        </w:tc>
        <w:tc>
          <w:tcPr>
            <w:tcW w:w="3268" w:type="dxa"/>
            <w:shd w:val="clear" w:color="auto" w:fill="BFBFBF"/>
            <w:vAlign w:val="center"/>
          </w:tcPr>
          <w:p>
            <w:pPr>
              <w:jc w:val="center"/>
              <w:rPr>
                <w:rFonts w:ascii="仿宋" w:hAnsi="仿宋" w:eastAsia="仿宋" w:cs="仿宋"/>
                <w:sz w:val="18"/>
                <w:szCs w:val="18"/>
              </w:rPr>
            </w:pPr>
            <w:r>
              <w:rPr>
                <w:rFonts w:hint="eastAsia" w:ascii="仿宋" w:hAnsi="仿宋" w:eastAsia="仿宋" w:cs="仿宋"/>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vAlign w:val="center"/>
          </w:tcPr>
          <w:p>
            <w:pPr>
              <w:numPr>
                <w:ilvl w:val="0"/>
                <w:numId w:val="59"/>
              </w:numPr>
              <w:autoSpaceDE w:val="0"/>
              <w:autoSpaceDN w:val="0"/>
              <w:adjustRightInd w:val="0"/>
              <w:spacing w:line="360" w:lineRule="auto"/>
              <w:jc w:val="center"/>
              <w:rPr>
                <w:rFonts w:ascii="仿宋" w:hAnsi="仿宋" w:eastAsia="仿宋" w:cs="仿宋"/>
                <w:sz w:val="18"/>
                <w:szCs w:val="18"/>
              </w:rPr>
            </w:pPr>
          </w:p>
        </w:tc>
        <w:tc>
          <w:tcPr>
            <w:tcW w:w="1440" w:type="dxa"/>
            <w:vAlign w:val="center"/>
          </w:tcPr>
          <w:p>
            <w:pPr>
              <w:jc w:val="center"/>
              <w:rPr>
                <w:rFonts w:ascii="仿宋" w:hAnsi="仿宋" w:eastAsia="仿宋" w:cs="仿宋"/>
                <w:sz w:val="18"/>
                <w:szCs w:val="18"/>
              </w:rPr>
            </w:pPr>
            <w:r>
              <w:rPr>
                <w:rFonts w:hint="eastAsia" w:ascii="仿宋" w:hAnsi="仿宋" w:eastAsia="仿宋" w:cs="仿宋"/>
                <w:sz w:val="18"/>
                <w:szCs w:val="18"/>
              </w:rPr>
              <w:t>项目编号</w:t>
            </w:r>
          </w:p>
        </w:tc>
        <w:tc>
          <w:tcPr>
            <w:tcW w:w="1245" w:type="dxa"/>
            <w:vAlign w:val="center"/>
          </w:tcPr>
          <w:p>
            <w:pPr>
              <w:jc w:val="center"/>
              <w:rPr>
                <w:rFonts w:ascii="仿宋" w:hAnsi="仿宋" w:eastAsia="仿宋" w:cs="仿宋"/>
                <w:sz w:val="18"/>
                <w:szCs w:val="18"/>
              </w:rPr>
            </w:pPr>
            <w:r>
              <w:rPr>
                <w:rFonts w:hint="eastAsia" w:ascii="仿宋" w:hAnsi="仿宋" w:eastAsia="仿宋" w:cs="仿宋"/>
                <w:sz w:val="18"/>
                <w:szCs w:val="18"/>
              </w:rPr>
              <w:t>Work_No</w:t>
            </w:r>
          </w:p>
        </w:tc>
        <w:tc>
          <w:tcPr>
            <w:tcW w:w="1155"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275" w:type="dxa"/>
            <w:vAlign w:val="center"/>
          </w:tcPr>
          <w:p>
            <w:pPr>
              <w:jc w:val="center"/>
              <w:rPr>
                <w:rFonts w:ascii="仿宋" w:hAnsi="仿宋" w:eastAsia="仿宋" w:cs="仿宋"/>
                <w:sz w:val="18"/>
                <w:szCs w:val="18"/>
              </w:rPr>
            </w:pPr>
            <w:r>
              <w:rPr>
                <w:rFonts w:hint="eastAsia" w:ascii="仿宋" w:hAnsi="仿宋" w:eastAsia="仿宋" w:cs="仿宋"/>
                <w:sz w:val="18"/>
                <w:szCs w:val="18"/>
              </w:rPr>
              <w:t>100</w:t>
            </w:r>
          </w:p>
        </w:tc>
        <w:tc>
          <w:tcPr>
            <w:tcW w:w="1005" w:type="dxa"/>
            <w:vAlign w:val="center"/>
          </w:tcPr>
          <w:p>
            <w:pPr>
              <w:jc w:val="center"/>
              <w:rPr>
                <w:rFonts w:ascii="仿宋" w:hAnsi="仿宋" w:eastAsia="仿宋" w:cs="仿宋"/>
                <w:sz w:val="18"/>
                <w:szCs w:val="18"/>
              </w:rPr>
            </w:pPr>
          </w:p>
        </w:tc>
        <w:tc>
          <w:tcPr>
            <w:tcW w:w="1290" w:type="dxa"/>
            <w:vAlign w:val="center"/>
          </w:tcPr>
          <w:p>
            <w:pPr>
              <w:jc w:val="center"/>
              <w:rPr>
                <w:rFonts w:ascii="仿宋" w:hAnsi="仿宋" w:eastAsia="仿宋" w:cs="仿宋"/>
                <w:sz w:val="18"/>
                <w:szCs w:val="18"/>
              </w:rPr>
            </w:pPr>
          </w:p>
        </w:tc>
        <w:tc>
          <w:tcPr>
            <w:tcW w:w="2265" w:type="dxa"/>
            <w:vAlign w:val="center"/>
          </w:tcPr>
          <w:p>
            <w:pPr>
              <w:jc w:val="center"/>
              <w:rPr>
                <w:rFonts w:ascii="仿宋" w:hAnsi="仿宋" w:eastAsia="仿宋" w:cs="仿宋"/>
                <w:sz w:val="18"/>
                <w:szCs w:val="18"/>
              </w:rPr>
            </w:pPr>
            <w:r>
              <w:rPr>
                <w:rFonts w:hint="eastAsia" w:ascii="仿宋" w:hAnsi="仿宋" w:eastAsia="仿宋" w:cs="仿宋"/>
                <w:kern w:val="0"/>
                <w:szCs w:val="21"/>
              </w:rPr>
              <w:t>▲</w:t>
            </w:r>
          </w:p>
        </w:tc>
        <w:tc>
          <w:tcPr>
            <w:tcW w:w="3268" w:type="dxa"/>
            <w:vAlign w:val="center"/>
          </w:tcPr>
          <w:p>
            <w:pPr>
              <w:jc w:val="center"/>
              <w:rPr>
                <w:rFonts w:ascii="仿宋" w:hAnsi="仿宋" w:eastAsia="仿宋" w:cs="仿宋"/>
                <w:sz w:val="18"/>
                <w:szCs w:val="18"/>
              </w:rPr>
            </w:pPr>
            <w:r>
              <w:rPr>
                <w:rFonts w:hint="eastAsia" w:ascii="仿宋" w:hAnsi="仿宋" w:eastAsia="仿宋" w:cs="仿宋"/>
                <w:sz w:val="18"/>
                <w:szCs w:val="18"/>
              </w:rPr>
              <w:t>行政区代码</w:t>
            </w:r>
            <w:r>
              <w:rPr>
                <w:rFonts w:ascii="仿宋" w:hAnsi="仿宋" w:eastAsia="仿宋" w:cs="仿宋"/>
                <w:sz w:val="18"/>
                <w:szCs w:val="18"/>
              </w:rPr>
              <w:t>+年份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vAlign w:val="center"/>
          </w:tcPr>
          <w:p>
            <w:pPr>
              <w:numPr>
                <w:ilvl w:val="0"/>
                <w:numId w:val="59"/>
              </w:numPr>
              <w:autoSpaceDE w:val="0"/>
              <w:autoSpaceDN w:val="0"/>
              <w:adjustRightInd w:val="0"/>
              <w:spacing w:line="360" w:lineRule="auto"/>
              <w:jc w:val="center"/>
              <w:rPr>
                <w:rFonts w:ascii="仿宋" w:hAnsi="仿宋" w:eastAsia="仿宋" w:cs="仿宋"/>
                <w:sz w:val="18"/>
                <w:szCs w:val="18"/>
              </w:rPr>
            </w:pPr>
          </w:p>
        </w:tc>
        <w:tc>
          <w:tcPr>
            <w:tcW w:w="1440" w:type="dxa"/>
            <w:vAlign w:val="center"/>
          </w:tcPr>
          <w:p>
            <w:pPr>
              <w:jc w:val="center"/>
              <w:rPr>
                <w:rFonts w:ascii="仿宋" w:hAnsi="仿宋" w:eastAsia="仿宋" w:cs="仿宋"/>
                <w:sz w:val="18"/>
                <w:szCs w:val="18"/>
              </w:rPr>
            </w:pPr>
            <w:r>
              <w:rPr>
                <w:rFonts w:hint="eastAsia" w:ascii="仿宋" w:hAnsi="仿宋" w:eastAsia="仿宋" w:cs="仿宋"/>
                <w:sz w:val="18"/>
                <w:szCs w:val="18"/>
              </w:rPr>
              <w:t>工程编号</w:t>
            </w:r>
          </w:p>
        </w:tc>
        <w:tc>
          <w:tcPr>
            <w:tcW w:w="1245" w:type="dxa"/>
            <w:vAlign w:val="center"/>
          </w:tcPr>
          <w:p>
            <w:pPr>
              <w:jc w:val="center"/>
              <w:rPr>
                <w:rFonts w:ascii="仿宋" w:hAnsi="仿宋" w:eastAsia="仿宋" w:cs="仿宋"/>
                <w:sz w:val="18"/>
                <w:szCs w:val="18"/>
              </w:rPr>
            </w:pPr>
            <w:r>
              <w:rPr>
                <w:rFonts w:hint="eastAsia" w:ascii="仿宋" w:hAnsi="仿宋" w:eastAsia="仿宋" w:cs="仿宋"/>
                <w:sz w:val="18"/>
                <w:szCs w:val="18"/>
              </w:rPr>
              <w:t>Prj_No</w:t>
            </w:r>
          </w:p>
        </w:tc>
        <w:tc>
          <w:tcPr>
            <w:tcW w:w="1155"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275" w:type="dxa"/>
            <w:vAlign w:val="center"/>
          </w:tcPr>
          <w:p>
            <w:pPr>
              <w:jc w:val="center"/>
              <w:rPr>
                <w:rFonts w:ascii="仿宋" w:hAnsi="仿宋" w:eastAsia="仿宋" w:cs="仿宋"/>
                <w:sz w:val="18"/>
                <w:szCs w:val="18"/>
              </w:rPr>
            </w:pPr>
          </w:p>
        </w:tc>
        <w:tc>
          <w:tcPr>
            <w:tcW w:w="1005" w:type="dxa"/>
            <w:vAlign w:val="center"/>
          </w:tcPr>
          <w:p>
            <w:pPr>
              <w:jc w:val="center"/>
              <w:rPr>
                <w:rFonts w:ascii="仿宋" w:hAnsi="仿宋" w:eastAsia="仿宋" w:cs="仿宋"/>
                <w:sz w:val="18"/>
                <w:szCs w:val="18"/>
              </w:rPr>
            </w:pPr>
          </w:p>
        </w:tc>
        <w:tc>
          <w:tcPr>
            <w:tcW w:w="1290" w:type="dxa"/>
            <w:vAlign w:val="center"/>
          </w:tcPr>
          <w:p>
            <w:pPr>
              <w:jc w:val="center"/>
              <w:rPr>
                <w:rFonts w:ascii="仿宋" w:hAnsi="仿宋" w:eastAsia="仿宋" w:cs="仿宋"/>
                <w:sz w:val="18"/>
                <w:szCs w:val="18"/>
              </w:rPr>
            </w:pPr>
          </w:p>
        </w:tc>
        <w:tc>
          <w:tcPr>
            <w:tcW w:w="2265" w:type="dxa"/>
          </w:tcPr>
          <w:p>
            <w:pPr>
              <w:jc w:val="center"/>
              <w:rPr>
                <w:rFonts w:ascii="仿宋" w:hAnsi="仿宋" w:eastAsia="仿宋" w:cs="仿宋"/>
                <w:kern w:val="0"/>
                <w:sz w:val="18"/>
                <w:szCs w:val="18"/>
              </w:rPr>
            </w:pPr>
            <w:r>
              <w:rPr>
                <w:rFonts w:hint="eastAsia" w:ascii="仿宋" w:hAnsi="仿宋" w:eastAsia="仿宋" w:cs="仿宋"/>
                <w:kern w:val="0"/>
                <w:szCs w:val="21"/>
              </w:rPr>
              <w:t>▲</w:t>
            </w:r>
          </w:p>
        </w:tc>
        <w:tc>
          <w:tcPr>
            <w:tcW w:w="3268" w:type="dxa"/>
            <w:vAlign w:val="center"/>
          </w:tcPr>
          <w:p>
            <w:pPr>
              <w:jc w:val="center"/>
              <w:rPr>
                <w:rFonts w:ascii="仿宋" w:hAnsi="仿宋" w:eastAsia="仿宋" w:cs="仿宋"/>
                <w:sz w:val="18"/>
                <w:szCs w:val="18"/>
              </w:rPr>
            </w:pPr>
            <w:r>
              <w:rPr>
                <w:rFonts w:hint="eastAsia" w:ascii="仿宋" w:hAnsi="仿宋" w:eastAsia="仿宋" w:cs="仿宋"/>
                <w:sz w:val="18"/>
                <w:szCs w:val="18"/>
              </w:rPr>
              <w:t>标段号+测区号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vAlign w:val="center"/>
          </w:tcPr>
          <w:p>
            <w:pPr>
              <w:numPr>
                <w:ilvl w:val="0"/>
                <w:numId w:val="59"/>
              </w:numPr>
              <w:autoSpaceDE w:val="0"/>
              <w:autoSpaceDN w:val="0"/>
              <w:adjustRightInd w:val="0"/>
              <w:spacing w:line="360" w:lineRule="auto"/>
              <w:jc w:val="center"/>
              <w:rPr>
                <w:rFonts w:ascii="仿宋" w:hAnsi="仿宋" w:eastAsia="仿宋" w:cs="仿宋"/>
                <w:sz w:val="18"/>
                <w:szCs w:val="18"/>
              </w:rPr>
            </w:pPr>
          </w:p>
        </w:tc>
        <w:tc>
          <w:tcPr>
            <w:tcW w:w="1440" w:type="dxa"/>
            <w:vAlign w:val="center"/>
          </w:tcPr>
          <w:p>
            <w:pPr>
              <w:jc w:val="center"/>
              <w:rPr>
                <w:rFonts w:ascii="仿宋" w:hAnsi="仿宋" w:eastAsia="仿宋" w:cs="仿宋"/>
                <w:sz w:val="18"/>
                <w:szCs w:val="18"/>
              </w:rPr>
            </w:pPr>
            <w:r>
              <w:rPr>
                <w:rFonts w:hint="eastAsia" w:ascii="仿宋" w:hAnsi="仿宋" w:eastAsia="仿宋" w:cs="仿宋"/>
                <w:sz w:val="18"/>
                <w:szCs w:val="18"/>
              </w:rPr>
              <w:t>起始管线点号</w:t>
            </w:r>
          </w:p>
        </w:tc>
        <w:tc>
          <w:tcPr>
            <w:tcW w:w="1245" w:type="dxa"/>
            <w:vAlign w:val="center"/>
          </w:tcPr>
          <w:p>
            <w:pPr>
              <w:jc w:val="center"/>
              <w:rPr>
                <w:rFonts w:ascii="仿宋" w:hAnsi="仿宋" w:eastAsia="仿宋" w:cs="仿宋"/>
                <w:sz w:val="18"/>
                <w:szCs w:val="18"/>
              </w:rPr>
            </w:pPr>
            <w:r>
              <w:rPr>
                <w:rFonts w:hint="eastAsia" w:ascii="仿宋" w:hAnsi="仿宋" w:eastAsia="仿宋" w:cs="仿宋"/>
                <w:sz w:val="18"/>
                <w:szCs w:val="18"/>
              </w:rPr>
              <w:t>S_Exp</w:t>
            </w:r>
          </w:p>
        </w:tc>
        <w:tc>
          <w:tcPr>
            <w:tcW w:w="1155"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275" w:type="dxa"/>
            <w:vAlign w:val="center"/>
          </w:tcPr>
          <w:p>
            <w:pPr>
              <w:jc w:val="center"/>
              <w:rPr>
                <w:rFonts w:ascii="仿宋" w:hAnsi="仿宋" w:eastAsia="仿宋" w:cs="仿宋"/>
                <w:sz w:val="18"/>
                <w:szCs w:val="18"/>
              </w:rPr>
            </w:pPr>
            <w:r>
              <w:rPr>
                <w:rFonts w:hint="eastAsia" w:ascii="仿宋" w:hAnsi="仿宋" w:eastAsia="仿宋" w:cs="仿宋"/>
                <w:sz w:val="18"/>
                <w:szCs w:val="18"/>
              </w:rPr>
              <w:t>25</w:t>
            </w:r>
          </w:p>
        </w:tc>
        <w:tc>
          <w:tcPr>
            <w:tcW w:w="1005" w:type="dxa"/>
            <w:vAlign w:val="center"/>
          </w:tcPr>
          <w:p>
            <w:pPr>
              <w:jc w:val="center"/>
              <w:rPr>
                <w:rFonts w:ascii="仿宋" w:hAnsi="仿宋" w:eastAsia="仿宋" w:cs="仿宋"/>
                <w:sz w:val="18"/>
                <w:szCs w:val="18"/>
              </w:rPr>
            </w:pPr>
          </w:p>
        </w:tc>
        <w:tc>
          <w:tcPr>
            <w:tcW w:w="1290" w:type="dxa"/>
            <w:vAlign w:val="center"/>
          </w:tcPr>
          <w:p>
            <w:pPr>
              <w:jc w:val="center"/>
              <w:rPr>
                <w:rFonts w:ascii="仿宋" w:hAnsi="仿宋" w:eastAsia="仿宋" w:cs="仿宋"/>
                <w:sz w:val="18"/>
                <w:szCs w:val="18"/>
              </w:rPr>
            </w:pPr>
          </w:p>
        </w:tc>
        <w:tc>
          <w:tcPr>
            <w:tcW w:w="2265" w:type="dxa"/>
          </w:tcPr>
          <w:p>
            <w:pPr>
              <w:jc w:val="center"/>
              <w:rPr>
                <w:rFonts w:ascii="仿宋" w:hAnsi="仿宋" w:eastAsia="仿宋" w:cs="仿宋"/>
              </w:rPr>
            </w:pPr>
            <w:r>
              <w:rPr>
                <w:rFonts w:hint="eastAsia" w:ascii="仿宋" w:hAnsi="仿宋" w:eastAsia="仿宋" w:cs="仿宋"/>
                <w:kern w:val="0"/>
                <w:szCs w:val="21"/>
              </w:rPr>
              <w:t>▲</w:t>
            </w:r>
          </w:p>
        </w:tc>
        <w:tc>
          <w:tcPr>
            <w:tcW w:w="3268" w:type="dxa"/>
            <w:vAlign w:val="center"/>
          </w:tcPr>
          <w:p>
            <w:pPr>
              <w:jc w:val="center"/>
              <w:rPr>
                <w:rFonts w:ascii="仿宋" w:hAnsi="仿宋" w:eastAsia="仿宋" w:cs="仿宋"/>
                <w:sz w:val="18"/>
                <w:szCs w:val="18"/>
              </w:rPr>
            </w:pPr>
            <w:r>
              <w:rPr>
                <w:rFonts w:hint="eastAsia" w:ascii="仿宋" w:hAnsi="仿宋" w:eastAsia="仿宋" w:cs="仿宋"/>
                <w:sz w:val="18"/>
                <w:szCs w:val="18"/>
              </w:rPr>
              <w:t>辅助点点号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vAlign w:val="center"/>
          </w:tcPr>
          <w:p>
            <w:pPr>
              <w:numPr>
                <w:ilvl w:val="0"/>
                <w:numId w:val="59"/>
              </w:numPr>
              <w:autoSpaceDE w:val="0"/>
              <w:autoSpaceDN w:val="0"/>
              <w:adjustRightInd w:val="0"/>
              <w:spacing w:line="360" w:lineRule="auto"/>
              <w:jc w:val="center"/>
              <w:rPr>
                <w:rFonts w:ascii="仿宋" w:hAnsi="仿宋" w:eastAsia="仿宋" w:cs="仿宋"/>
                <w:sz w:val="18"/>
                <w:szCs w:val="18"/>
              </w:rPr>
            </w:pPr>
          </w:p>
        </w:tc>
        <w:tc>
          <w:tcPr>
            <w:tcW w:w="1440" w:type="dxa"/>
            <w:vAlign w:val="center"/>
          </w:tcPr>
          <w:p>
            <w:pPr>
              <w:jc w:val="center"/>
              <w:rPr>
                <w:rFonts w:ascii="仿宋" w:hAnsi="仿宋" w:eastAsia="仿宋" w:cs="仿宋"/>
                <w:sz w:val="18"/>
                <w:szCs w:val="18"/>
              </w:rPr>
            </w:pPr>
            <w:r>
              <w:rPr>
                <w:rFonts w:hint="eastAsia" w:ascii="仿宋" w:hAnsi="仿宋" w:eastAsia="仿宋" w:cs="仿宋"/>
                <w:sz w:val="18"/>
                <w:szCs w:val="18"/>
              </w:rPr>
              <w:t>起点X坐标</w:t>
            </w:r>
          </w:p>
        </w:tc>
        <w:tc>
          <w:tcPr>
            <w:tcW w:w="1245" w:type="dxa"/>
            <w:vAlign w:val="center"/>
          </w:tcPr>
          <w:p>
            <w:pPr>
              <w:jc w:val="center"/>
              <w:rPr>
                <w:rFonts w:ascii="仿宋" w:hAnsi="仿宋" w:eastAsia="仿宋" w:cs="仿宋"/>
                <w:sz w:val="18"/>
                <w:szCs w:val="18"/>
              </w:rPr>
            </w:pPr>
            <w:r>
              <w:rPr>
                <w:rFonts w:hint="eastAsia" w:ascii="仿宋" w:hAnsi="仿宋" w:eastAsia="仿宋" w:cs="仿宋"/>
                <w:sz w:val="18"/>
                <w:szCs w:val="18"/>
              </w:rPr>
              <w:t>S_X</w:t>
            </w:r>
          </w:p>
        </w:tc>
        <w:tc>
          <w:tcPr>
            <w:tcW w:w="1155" w:type="dxa"/>
            <w:vAlign w:val="center"/>
          </w:tcPr>
          <w:p>
            <w:pPr>
              <w:jc w:val="center"/>
              <w:rPr>
                <w:rFonts w:ascii="仿宋" w:hAnsi="仿宋" w:eastAsia="仿宋" w:cs="仿宋"/>
                <w:sz w:val="18"/>
                <w:szCs w:val="18"/>
              </w:rPr>
            </w:pPr>
            <w:r>
              <w:rPr>
                <w:rFonts w:hint="eastAsia" w:ascii="仿宋" w:hAnsi="仿宋" w:eastAsia="仿宋" w:cs="仿宋"/>
                <w:sz w:val="18"/>
                <w:szCs w:val="18"/>
              </w:rPr>
              <w:t>双精度</w:t>
            </w:r>
          </w:p>
        </w:tc>
        <w:tc>
          <w:tcPr>
            <w:tcW w:w="127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005" w:type="dxa"/>
            <w:vAlign w:val="center"/>
          </w:tcPr>
          <w:p>
            <w:pPr>
              <w:jc w:val="center"/>
              <w:rPr>
                <w:rFonts w:ascii="仿宋" w:hAnsi="仿宋" w:eastAsia="仿宋" w:cs="仿宋"/>
                <w:sz w:val="18"/>
                <w:szCs w:val="18"/>
              </w:rPr>
            </w:pPr>
            <w:r>
              <w:rPr>
                <w:rFonts w:hint="eastAsia" w:ascii="仿宋" w:hAnsi="仿宋" w:eastAsia="仿宋" w:cs="仿宋"/>
                <w:sz w:val="18"/>
                <w:szCs w:val="18"/>
              </w:rPr>
              <w:t>3</w:t>
            </w:r>
          </w:p>
        </w:tc>
        <w:tc>
          <w:tcPr>
            <w:tcW w:w="1290" w:type="dxa"/>
            <w:vAlign w:val="center"/>
          </w:tcPr>
          <w:p>
            <w:pPr>
              <w:jc w:val="center"/>
              <w:rPr>
                <w:rFonts w:ascii="仿宋" w:hAnsi="仿宋" w:eastAsia="仿宋" w:cs="仿宋"/>
                <w:sz w:val="18"/>
                <w:szCs w:val="18"/>
              </w:rPr>
            </w:pPr>
          </w:p>
        </w:tc>
        <w:tc>
          <w:tcPr>
            <w:tcW w:w="2265" w:type="dxa"/>
          </w:tcPr>
          <w:p>
            <w:pPr>
              <w:jc w:val="center"/>
              <w:rPr>
                <w:rFonts w:ascii="仿宋" w:hAnsi="仿宋" w:eastAsia="仿宋" w:cs="仿宋"/>
              </w:rPr>
            </w:pPr>
            <w:r>
              <w:rPr>
                <w:rFonts w:hint="eastAsia" w:ascii="仿宋" w:hAnsi="仿宋" w:eastAsia="仿宋" w:cs="仿宋"/>
                <w:kern w:val="0"/>
                <w:szCs w:val="21"/>
              </w:rPr>
              <w:t>▲</w:t>
            </w:r>
          </w:p>
        </w:tc>
        <w:tc>
          <w:tcPr>
            <w:tcW w:w="3268"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vAlign w:val="center"/>
          </w:tcPr>
          <w:p>
            <w:pPr>
              <w:numPr>
                <w:ilvl w:val="0"/>
                <w:numId w:val="59"/>
              </w:numPr>
              <w:autoSpaceDE w:val="0"/>
              <w:autoSpaceDN w:val="0"/>
              <w:adjustRightInd w:val="0"/>
              <w:spacing w:line="360" w:lineRule="auto"/>
              <w:jc w:val="center"/>
              <w:rPr>
                <w:rFonts w:ascii="仿宋" w:hAnsi="仿宋" w:eastAsia="仿宋" w:cs="仿宋"/>
                <w:sz w:val="18"/>
                <w:szCs w:val="18"/>
              </w:rPr>
            </w:pPr>
          </w:p>
        </w:tc>
        <w:tc>
          <w:tcPr>
            <w:tcW w:w="1440" w:type="dxa"/>
            <w:vAlign w:val="center"/>
          </w:tcPr>
          <w:p>
            <w:pPr>
              <w:jc w:val="center"/>
              <w:rPr>
                <w:rFonts w:ascii="仿宋" w:hAnsi="仿宋" w:eastAsia="仿宋" w:cs="仿宋"/>
                <w:sz w:val="18"/>
                <w:szCs w:val="18"/>
              </w:rPr>
            </w:pPr>
            <w:r>
              <w:rPr>
                <w:rFonts w:hint="eastAsia" w:ascii="仿宋" w:hAnsi="仿宋" w:eastAsia="仿宋" w:cs="仿宋"/>
                <w:sz w:val="18"/>
                <w:szCs w:val="18"/>
              </w:rPr>
              <w:t>起点Y坐标</w:t>
            </w:r>
          </w:p>
        </w:tc>
        <w:tc>
          <w:tcPr>
            <w:tcW w:w="1245" w:type="dxa"/>
            <w:vAlign w:val="center"/>
          </w:tcPr>
          <w:p>
            <w:pPr>
              <w:jc w:val="center"/>
              <w:rPr>
                <w:rFonts w:ascii="仿宋" w:hAnsi="仿宋" w:eastAsia="仿宋" w:cs="仿宋"/>
                <w:sz w:val="18"/>
                <w:szCs w:val="18"/>
              </w:rPr>
            </w:pPr>
            <w:r>
              <w:rPr>
                <w:rFonts w:hint="eastAsia" w:ascii="仿宋" w:hAnsi="仿宋" w:eastAsia="仿宋" w:cs="仿宋"/>
                <w:sz w:val="18"/>
                <w:szCs w:val="18"/>
              </w:rPr>
              <w:t>S_Y</w:t>
            </w:r>
          </w:p>
        </w:tc>
        <w:tc>
          <w:tcPr>
            <w:tcW w:w="1155" w:type="dxa"/>
            <w:vAlign w:val="center"/>
          </w:tcPr>
          <w:p>
            <w:pPr>
              <w:jc w:val="center"/>
              <w:rPr>
                <w:rFonts w:ascii="仿宋" w:hAnsi="仿宋" w:eastAsia="仿宋" w:cs="仿宋"/>
                <w:sz w:val="18"/>
                <w:szCs w:val="18"/>
              </w:rPr>
            </w:pPr>
            <w:r>
              <w:rPr>
                <w:rFonts w:hint="eastAsia" w:ascii="仿宋" w:hAnsi="仿宋" w:eastAsia="仿宋" w:cs="仿宋"/>
                <w:sz w:val="18"/>
                <w:szCs w:val="18"/>
              </w:rPr>
              <w:t>双精度</w:t>
            </w:r>
          </w:p>
        </w:tc>
        <w:tc>
          <w:tcPr>
            <w:tcW w:w="127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005" w:type="dxa"/>
            <w:vAlign w:val="center"/>
          </w:tcPr>
          <w:p>
            <w:pPr>
              <w:jc w:val="center"/>
              <w:rPr>
                <w:rFonts w:ascii="仿宋" w:hAnsi="仿宋" w:eastAsia="仿宋" w:cs="仿宋"/>
                <w:sz w:val="18"/>
                <w:szCs w:val="18"/>
              </w:rPr>
            </w:pPr>
            <w:r>
              <w:rPr>
                <w:rFonts w:hint="eastAsia" w:ascii="仿宋" w:hAnsi="仿宋" w:eastAsia="仿宋" w:cs="仿宋"/>
                <w:sz w:val="18"/>
                <w:szCs w:val="18"/>
              </w:rPr>
              <w:t>3</w:t>
            </w:r>
          </w:p>
        </w:tc>
        <w:tc>
          <w:tcPr>
            <w:tcW w:w="1290" w:type="dxa"/>
            <w:vAlign w:val="center"/>
          </w:tcPr>
          <w:p>
            <w:pPr>
              <w:jc w:val="center"/>
              <w:rPr>
                <w:rFonts w:ascii="仿宋" w:hAnsi="仿宋" w:eastAsia="仿宋" w:cs="仿宋"/>
                <w:sz w:val="18"/>
                <w:szCs w:val="18"/>
              </w:rPr>
            </w:pPr>
          </w:p>
        </w:tc>
        <w:tc>
          <w:tcPr>
            <w:tcW w:w="2265" w:type="dxa"/>
          </w:tcPr>
          <w:p>
            <w:pPr>
              <w:jc w:val="center"/>
              <w:rPr>
                <w:rFonts w:ascii="仿宋" w:hAnsi="仿宋" w:eastAsia="仿宋" w:cs="仿宋"/>
              </w:rPr>
            </w:pPr>
            <w:r>
              <w:rPr>
                <w:rFonts w:hint="eastAsia" w:ascii="仿宋" w:hAnsi="仿宋" w:eastAsia="仿宋" w:cs="仿宋"/>
                <w:kern w:val="0"/>
                <w:szCs w:val="21"/>
              </w:rPr>
              <w:t>▲</w:t>
            </w:r>
          </w:p>
        </w:tc>
        <w:tc>
          <w:tcPr>
            <w:tcW w:w="3268"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vAlign w:val="center"/>
          </w:tcPr>
          <w:p>
            <w:pPr>
              <w:numPr>
                <w:ilvl w:val="0"/>
                <w:numId w:val="59"/>
              </w:numPr>
              <w:autoSpaceDE w:val="0"/>
              <w:autoSpaceDN w:val="0"/>
              <w:adjustRightInd w:val="0"/>
              <w:spacing w:line="360" w:lineRule="auto"/>
              <w:jc w:val="center"/>
              <w:rPr>
                <w:rFonts w:ascii="仿宋" w:hAnsi="仿宋" w:eastAsia="仿宋" w:cs="仿宋"/>
                <w:sz w:val="18"/>
                <w:szCs w:val="18"/>
              </w:rPr>
            </w:pPr>
          </w:p>
        </w:tc>
        <w:tc>
          <w:tcPr>
            <w:tcW w:w="1440" w:type="dxa"/>
            <w:vAlign w:val="center"/>
          </w:tcPr>
          <w:p>
            <w:pPr>
              <w:jc w:val="center"/>
              <w:rPr>
                <w:rFonts w:ascii="仿宋" w:hAnsi="仿宋" w:eastAsia="仿宋" w:cs="仿宋"/>
                <w:sz w:val="18"/>
                <w:szCs w:val="18"/>
              </w:rPr>
            </w:pPr>
            <w:r>
              <w:rPr>
                <w:rFonts w:hint="eastAsia" w:ascii="仿宋" w:hAnsi="仿宋" w:eastAsia="仿宋" w:cs="仿宋"/>
                <w:sz w:val="18"/>
                <w:szCs w:val="18"/>
              </w:rPr>
              <w:t>终止管线点号</w:t>
            </w:r>
          </w:p>
        </w:tc>
        <w:tc>
          <w:tcPr>
            <w:tcW w:w="1245" w:type="dxa"/>
            <w:vAlign w:val="center"/>
          </w:tcPr>
          <w:p>
            <w:pPr>
              <w:jc w:val="center"/>
              <w:rPr>
                <w:rFonts w:ascii="仿宋" w:hAnsi="仿宋" w:eastAsia="仿宋" w:cs="仿宋"/>
                <w:sz w:val="18"/>
                <w:szCs w:val="18"/>
              </w:rPr>
            </w:pPr>
            <w:r>
              <w:rPr>
                <w:rFonts w:hint="eastAsia" w:ascii="仿宋" w:hAnsi="仿宋" w:eastAsia="仿宋" w:cs="仿宋"/>
                <w:sz w:val="18"/>
                <w:szCs w:val="18"/>
              </w:rPr>
              <w:t>E_Exp</w:t>
            </w:r>
          </w:p>
        </w:tc>
        <w:tc>
          <w:tcPr>
            <w:tcW w:w="1155"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275" w:type="dxa"/>
            <w:vAlign w:val="center"/>
          </w:tcPr>
          <w:p>
            <w:pPr>
              <w:jc w:val="center"/>
              <w:rPr>
                <w:rFonts w:ascii="仿宋" w:hAnsi="仿宋" w:eastAsia="仿宋" w:cs="仿宋"/>
                <w:sz w:val="18"/>
                <w:szCs w:val="18"/>
              </w:rPr>
            </w:pPr>
            <w:r>
              <w:rPr>
                <w:rFonts w:hint="eastAsia" w:ascii="仿宋" w:hAnsi="仿宋" w:eastAsia="仿宋" w:cs="仿宋"/>
                <w:sz w:val="18"/>
                <w:szCs w:val="18"/>
              </w:rPr>
              <w:t>25</w:t>
            </w:r>
          </w:p>
        </w:tc>
        <w:tc>
          <w:tcPr>
            <w:tcW w:w="1005" w:type="dxa"/>
            <w:vAlign w:val="center"/>
          </w:tcPr>
          <w:p>
            <w:pPr>
              <w:jc w:val="center"/>
              <w:rPr>
                <w:rFonts w:ascii="仿宋" w:hAnsi="仿宋" w:eastAsia="仿宋" w:cs="仿宋"/>
                <w:sz w:val="18"/>
                <w:szCs w:val="18"/>
              </w:rPr>
            </w:pPr>
          </w:p>
        </w:tc>
        <w:tc>
          <w:tcPr>
            <w:tcW w:w="1290" w:type="dxa"/>
            <w:vAlign w:val="center"/>
          </w:tcPr>
          <w:p>
            <w:pPr>
              <w:jc w:val="center"/>
              <w:rPr>
                <w:rFonts w:ascii="仿宋" w:hAnsi="仿宋" w:eastAsia="仿宋" w:cs="仿宋"/>
                <w:sz w:val="18"/>
                <w:szCs w:val="18"/>
              </w:rPr>
            </w:pPr>
          </w:p>
        </w:tc>
        <w:tc>
          <w:tcPr>
            <w:tcW w:w="2265" w:type="dxa"/>
          </w:tcPr>
          <w:p>
            <w:pPr>
              <w:jc w:val="center"/>
              <w:rPr>
                <w:rFonts w:ascii="仿宋" w:hAnsi="仿宋" w:eastAsia="仿宋" w:cs="仿宋"/>
              </w:rPr>
            </w:pPr>
            <w:r>
              <w:rPr>
                <w:rFonts w:hint="eastAsia" w:ascii="仿宋" w:hAnsi="仿宋" w:eastAsia="仿宋" w:cs="仿宋"/>
                <w:kern w:val="0"/>
                <w:szCs w:val="21"/>
              </w:rPr>
              <w:t>▲</w:t>
            </w:r>
          </w:p>
        </w:tc>
        <w:tc>
          <w:tcPr>
            <w:tcW w:w="3268" w:type="dxa"/>
            <w:vAlign w:val="center"/>
          </w:tcPr>
          <w:p>
            <w:pPr>
              <w:jc w:val="center"/>
              <w:rPr>
                <w:rFonts w:ascii="仿宋" w:hAnsi="仿宋" w:eastAsia="仿宋" w:cs="仿宋"/>
                <w:sz w:val="18"/>
                <w:szCs w:val="18"/>
              </w:rPr>
            </w:pPr>
            <w:r>
              <w:rPr>
                <w:rFonts w:hint="eastAsia" w:ascii="仿宋" w:hAnsi="仿宋" w:eastAsia="仿宋" w:cs="仿宋"/>
                <w:sz w:val="18"/>
                <w:szCs w:val="18"/>
              </w:rPr>
              <w:t>辅助点点号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vAlign w:val="center"/>
          </w:tcPr>
          <w:p>
            <w:pPr>
              <w:numPr>
                <w:ilvl w:val="0"/>
                <w:numId w:val="59"/>
              </w:numPr>
              <w:autoSpaceDE w:val="0"/>
              <w:autoSpaceDN w:val="0"/>
              <w:adjustRightInd w:val="0"/>
              <w:spacing w:line="360" w:lineRule="auto"/>
              <w:jc w:val="center"/>
              <w:rPr>
                <w:rFonts w:ascii="仿宋" w:hAnsi="仿宋" w:eastAsia="仿宋" w:cs="仿宋"/>
                <w:sz w:val="18"/>
                <w:szCs w:val="18"/>
              </w:rPr>
            </w:pPr>
          </w:p>
        </w:tc>
        <w:tc>
          <w:tcPr>
            <w:tcW w:w="1440" w:type="dxa"/>
            <w:vAlign w:val="center"/>
          </w:tcPr>
          <w:p>
            <w:pPr>
              <w:jc w:val="center"/>
              <w:rPr>
                <w:rFonts w:ascii="仿宋" w:hAnsi="仿宋" w:eastAsia="仿宋" w:cs="仿宋"/>
                <w:sz w:val="18"/>
                <w:szCs w:val="18"/>
              </w:rPr>
            </w:pPr>
            <w:r>
              <w:rPr>
                <w:rFonts w:hint="eastAsia" w:ascii="仿宋" w:hAnsi="仿宋" w:eastAsia="仿宋" w:cs="仿宋"/>
                <w:sz w:val="18"/>
                <w:szCs w:val="18"/>
              </w:rPr>
              <w:t>终点X坐标</w:t>
            </w:r>
          </w:p>
        </w:tc>
        <w:tc>
          <w:tcPr>
            <w:tcW w:w="1245" w:type="dxa"/>
            <w:vAlign w:val="center"/>
          </w:tcPr>
          <w:p>
            <w:pPr>
              <w:jc w:val="center"/>
              <w:rPr>
                <w:rFonts w:ascii="仿宋" w:hAnsi="仿宋" w:eastAsia="仿宋" w:cs="仿宋"/>
                <w:sz w:val="18"/>
                <w:szCs w:val="18"/>
              </w:rPr>
            </w:pPr>
            <w:r>
              <w:rPr>
                <w:rFonts w:hint="eastAsia" w:ascii="仿宋" w:hAnsi="仿宋" w:eastAsia="仿宋" w:cs="仿宋"/>
                <w:sz w:val="18"/>
                <w:szCs w:val="18"/>
              </w:rPr>
              <w:t>E_X</w:t>
            </w:r>
          </w:p>
        </w:tc>
        <w:tc>
          <w:tcPr>
            <w:tcW w:w="1155" w:type="dxa"/>
            <w:vAlign w:val="center"/>
          </w:tcPr>
          <w:p>
            <w:pPr>
              <w:jc w:val="center"/>
              <w:rPr>
                <w:rFonts w:ascii="仿宋" w:hAnsi="仿宋" w:eastAsia="仿宋" w:cs="仿宋"/>
                <w:sz w:val="18"/>
                <w:szCs w:val="18"/>
              </w:rPr>
            </w:pPr>
            <w:r>
              <w:rPr>
                <w:rFonts w:hint="eastAsia" w:ascii="仿宋" w:hAnsi="仿宋" w:eastAsia="仿宋" w:cs="仿宋"/>
                <w:sz w:val="18"/>
                <w:szCs w:val="18"/>
              </w:rPr>
              <w:t>双精度</w:t>
            </w:r>
          </w:p>
        </w:tc>
        <w:tc>
          <w:tcPr>
            <w:tcW w:w="127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005" w:type="dxa"/>
            <w:vAlign w:val="center"/>
          </w:tcPr>
          <w:p>
            <w:pPr>
              <w:jc w:val="center"/>
              <w:rPr>
                <w:rFonts w:ascii="仿宋" w:hAnsi="仿宋" w:eastAsia="仿宋" w:cs="仿宋"/>
                <w:sz w:val="18"/>
                <w:szCs w:val="18"/>
              </w:rPr>
            </w:pPr>
            <w:r>
              <w:rPr>
                <w:rFonts w:hint="eastAsia" w:ascii="仿宋" w:hAnsi="仿宋" w:eastAsia="仿宋" w:cs="仿宋"/>
                <w:sz w:val="18"/>
                <w:szCs w:val="18"/>
              </w:rPr>
              <w:t>3</w:t>
            </w:r>
          </w:p>
        </w:tc>
        <w:tc>
          <w:tcPr>
            <w:tcW w:w="1290" w:type="dxa"/>
            <w:vAlign w:val="center"/>
          </w:tcPr>
          <w:p>
            <w:pPr>
              <w:jc w:val="center"/>
              <w:rPr>
                <w:rFonts w:ascii="仿宋" w:hAnsi="仿宋" w:eastAsia="仿宋" w:cs="仿宋"/>
                <w:sz w:val="18"/>
                <w:szCs w:val="18"/>
              </w:rPr>
            </w:pPr>
          </w:p>
        </w:tc>
        <w:tc>
          <w:tcPr>
            <w:tcW w:w="2265" w:type="dxa"/>
          </w:tcPr>
          <w:p>
            <w:pPr>
              <w:jc w:val="center"/>
              <w:rPr>
                <w:rFonts w:ascii="仿宋" w:hAnsi="仿宋" w:eastAsia="仿宋" w:cs="仿宋"/>
              </w:rPr>
            </w:pPr>
            <w:r>
              <w:rPr>
                <w:rFonts w:hint="eastAsia" w:ascii="仿宋" w:hAnsi="仿宋" w:eastAsia="仿宋" w:cs="仿宋"/>
                <w:kern w:val="0"/>
                <w:szCs w:val="21"/>
              </w:rPr>
              <w:t>▲</w:t>
            </w:r>
          </w:p>
        </w:tc>
        <w:tc>
          <w:tcPr>
            <w:tcW w:w="3268"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vAlign w:val="center"/>
          </w:tcPr>
          <w:p>
            <w:pPr>
              <w:numPr>
                <w:ilvl w:val="0"/>
                <w:numId w:val="59"/>
              </w:numPr>
              <w:autoSpaceDE w:val="0"/>
              <w:autoSpaceDN w:val="0"/>
              <w:adjustRightInd w:val="0"/>
              <w:spacing w:line="360" w:lineRule="auto"/>
              <w:jc w:val="center"/>
              <w:rPr>
                <w:rFonts w:ascii="仿宋" w:hAnsi="仿宋" w:eastAsia="仿宋" w:cs="仿宋"/>
                <w:sz w:val="18"/>
                <w:szCs w:val="18"/>
              </w:rPr>
            </w:pPr>
          </w:p>
        </w:tc>
        <w:tc>
          <w:tcPr>
            <w:tcW w:w="1440" w:type="dxa"/>
            <w:vAlign w:val="center"/>
          </w:tcPr>
          <w:p>
            <w:pPr>
              <w:jc w:val="center"/>
              <w:rPr>
                <w:rFonts w:ascii="仿宋" w:hAnsi="仿宋" w:eastAsia="仿宋" w:cs="仿宋"/>
                <w:sz w:val="18"/>
                <w:szCs w:val="18"/>
              </w:rPr>
            </w:pPr>
            <w:r>
              <w:rPr>
                <w:rFonts w:hint="eastAsia" w:ascii="仿宋" w:hAnsi="仿宋" w:eastAsia="仿宋" w:cs="仿宋"/>
                <w:sz w:val="18"/>
                <w:szCs w:val="18"/>
              </w:rPr>
              <w:t>终点Y坐标</w:t>
            </w:r>
          </w:p>
        </w:tc>
        <w:tc>
          <w:tcPr>
            <w:tcW w:w="1245" w:type="dxa"/>
            <w:vAlign w:val="center"/>
          </w:tcPr>
          <w:p>
            <w:pPr>
              <w:jc w:val="center"/>
              <w:rPr>
                <w:rFonts w:ascii="仿宋" w:hAnsi="仿宋" w:eastAsia="仿宋" w:cs="仿宋"/>
                <w:sz w:val="18"/>
                <w:szCs w:val="18"/>
              </w:rPr>
            </w:pPr>
            <w:r>
              <w:rPr>
                <w:rFonts w:hint="eastAsia" w:ascii="仿宋" w:hAnsi="仿宋" w:eastAsia="仿宋" w:cs="仿宋"/>
                <w:sz w:val="18"/>
                <w:szCs w:val="18"/>
              </w:rPr>
              <w:t>E_Y</w:t>
            </w:r>
          </w:p>
        </w:tc>
        <w:tc>
          <w:tcPr>
            <w:tcW w:w="1155" w:type="dxa"/>
            <w:vAlign w:val="center"/>
          </w:tcPr>
          <w:p>
            <w:pPr>
              <w:jc w:val="center"/>
              <w:rPr>
                <w:rFonts w:ascii="仿宋" w:hAnsi="仿宋" w:eastAsia="仿宋" w:cs="仿宋"/>
                <w:sz w:val="18"/>
                <w:szCs w:val="18"/>
              </w:rPr>
            </w:pPr>
            <w:r>
              <w:rPr>
                <w:rFonts w:hint="eastAsia" w:ascii="仿宋" w:hAnsi="仿宋" w:eastAsia="仿宋" w:cs="仿宋"/>
                <w:sz w:val="18"/>
                <w:szCs w:val="18"/>
              </w:rPr>
              <w:t>双精度</w:t>
            </w:r>
          </w:p>
        </w:tc>
        <w:tc>
          <w:tcPr>
            <w:tcW w:w="127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005" w:type="dxa"/>
            <w:vAlign w:val="center"/>
          </w:tcPr>
          <w:p>
            <w:pPr>
              <w:jc w:val="center"/>
              <w:rPr>
                <w:rFonts w:ascii="仿宋" w:hAnsi="仿宋" w:eastAsia="仿宋" w:cs="仿宋"/>
                <w:sz w:val="18"/>
                <w:szCs w:val="18"/>
              </w:rPr>
            </w:pPr>
            <w:r>
              <w:rPr>
                <w:rFonts w:hint="eastAsia" w:ascii="仿宋" w:hAnsi="仿宋" w:eastAsia="仿宋" w:cs="仿宋"/>
                <w:sz w:val="18"/>
                <w:szCs w:val="18"/>
              </w:rPr>
              <w:t>3</w:t>
            </w:r>
          </w:p>
        </w:tc>
        <w:tc>
          <w:tcPr>
            <w:tcW w:w="1290" w:type="dxa"/>
            <w:vAlign w:val="center"/>
          </w:tcPr>
          <w:p>
            <w:pPr>
              <w:jc w:val="center"/>
              <w:rPr>
                <w:rFonts w:ascii="仿宋" w:hAnsi="仿宋" w:eastAsia="仿宋" w:cs="仿宋"/>
                <w:sz w:val="18"/>
                <w:szCs w:val="18"/>
              </w:rPr>
            </w:pPr>
          </w:p>
        </w:tc>
        <w:tc>
          <w:tcPr>
            <w:tcW w:w="2265" w:type="dxa"/>
          </w:tcPr>
          <w:p>
            <w:pPr>
              <w:jc w:val="center"/>
              <w:rPr>
                <w:rFonts w:ascii="仿宋" w:hAnsi="仿宋" w:eastAsia="仿宋" w:cs="仿宋"/>
              </w:rPr>
            </w:pPr>
            <w:r>
              <w:rPr>
                <w:rFonts w:hint="eastAsia" w:ascii="仿宋" w:hAnsi="仿宋" w:eastAsia="仿宋" w:cs="仿宋"/>
                <w:kern w:val="0"/>
                <w:szCs w:val="21"/>
              </w:rPr>
              <w:t>▲</w:t>
            </w:r>
          </w:p>
        </w:tc>
        <w:tc>
          <w:tcPr>
            <w:tcW w:w="3268"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vAlign w:val="center"/>
          </w:tcPr>
          <w:p>
            <w:pPr>
              <w:numPr>
                <w:ilvl w:val="0"/>
                <w:numId w:val="59"/>
              </w:numPr>
              <w:autoSpaceDE w:val="0"/>
              <w:autoSpaceDN w:val="0"/>
              <w:adjustRightInd w:val="0"/>
              <w:spacing w:line="360" w:lineRule="auto"/>
              <w:jc w:val="center"/>
              <w:rPr>
                <w:rFonts w:ascii="仿宋" w:hAnsi="仿宋" w:eastAsia="仿宋" w:cs="仿宋"/>
                <w:sz w:val="18"/>
                <w:szCs w:val="18"/>
              </w:rPr>
            </w:pPr>
          </w:p>
        </w:tc>
        <w:tc>
          <w:tcPr>
            <w:tcW w:w="1440" w:type="dxa"/>
            <w:vAlign w:val="center"/>
          </w:tcPr>
          <w:p>
            <w:pPr>
              <w:jc w:val="center"/>
              <w:rPr>
                <w:rFonts w:ascii="仿宋" w:hAnsi="仿宋" w:eastAsia="仿宋" w:cs="仿宋"/>
                <w:sz w:val="18"/>
                <w:szCs w:val="18"/>
              </w:rPr>
            </w:pPr>
            <w:r>
              <w:rPr>
                <w:rFonts w:hint="eastAsia" w:ascii="仿宋" w:hAnsi="仿宋" w:eastAsia="仿宋" w:cs="仿宋"/>
                <w:sz w:val="18"/>
                <w:szCs w:val="18"/>
              </w:rPr>
              <w:t>探测单位</w:t>
            </w:r>
          </w:p>
        </w:tc>
        <w:tc>
          <w:tcPr>
            <w:tcW w:w="1245" w:type="dxa"/>
            <w:vAlign w:val="center"/>
          </w:tcPr>
          <w:p>
            <w:pPr>
              <w:jc w:val="center"/>
              <w:rPr>
                <w:rFonts w:ascii="仿宋" w:hAnsi="仿宋" w:eastAsia="仿宋" w:cs="仿宋"/>
                <w:sz w:val="18"/>
                <w:szCs w:val="18"/>
              </w:rPr>
            </w:pPr>
            <w:r>
              <w:rPr>
                <w:rFonts w:hint="eastAsia" w:ascii="仿宋" w:hAnsi="仿宋" w:eastAsia="仿宋" w:cs="仿宋"/>
                <w:sz w:val="18"/>
                <w:szCs w:val="18"/>
              </w:rPr>
              <w:t>SUnit</w:t>
            </w:r>
          </w:p>
        </w:tc>
        <w:tc>
          <w:tcPr>
            <w:tcW w:w="1155"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275" w:type="dxa"/>
            <w:vAlign w:val="center"/>
          </w:tcPr>
          <w:p>
            <w:pPr>
              <w:jc w:val="center"/>
              <w:rPr>
                <w:rFonts w:ascii="仿宋" w:hAnsi="仿宋" w:eastAsia="仿宋" w:cs="仿宋"/>
                <w:sz w:val="18"/>
                <w:szCs w:val="18"/>
              </w:rPr>
            </w:pPr>
            <w:r>
              <w:rPr>
                <w:rFonts w:hint="eastAsia" w:ascii="仿宋" w:hAnsi="仿宋" w:eastAsia="仿宋" w:cs="仿宋"/>
                <w:sz w:val="18"/>
                <w:szCs w:val="18"/>
              </w:rPr>
              <w:t>100</w:t>
            </w:r>
          </w:p>
        </w:tc>
        <w:tc>
          <w:tcPr>
            <w:tcW w:w="1005" w:type="dxa"/>
            <w:vAlign w:val="center"/>
          </w:tcPr>
          <w:p>
            <w:pPr>
              <w:jc w:val="center"/>
              <w:rPr>
                <w:rFonts w:ascii="仿宋" w:hAnsi="仿宋" w:eastAsia="仿宋" w:cs="仿宋"/>
                <w:sz w:val="18"/>
                <w:szCs w:val="18"/>
              </w:rPr>
            </w:pPr>
          </w:p>
        </w:tc>
        <w:tc>
          <w:tcPr>
            <w:tcW w:w="1290" w:type="dxa"/>
            <w:vAlign w:val="center"/>
          </w:tcPr>
          <w:p>
            <w:pPr>
              <w:jc w:val="center"/>
              <w:rPr>
                <w:rFonts w:ascii="仿宋" w:hAnsi="仿宋" w:eastAsia="仿宋" w:cs="仿宋"/>
                <w:sz w:val="18"/>
                <w:szCs w:val="18"/>
              </w:rPr>
            </w:pPr>
          </w:p>
        </w:tc>
        <w:tc>
          <w:tcPr>
            <w:tcW w:w="2265" w:type="dxa"/>
          </w:tcPr>
          <w:p>
            <w:pPr>
              <w:jc w:val="center"/>
              <w:rPr>
                <w:rFonts w:ascii="仿宋" w:hAnsi="仿宋" w:eastAsia="仿宋" w:cs="仿宋"/>
              </w:rPr>
            </w:pPr>
            <w:r>
              <w:rPr>
                <w:rFonts w:hint="eastAsia" w:ascii="仿宋" w:hAnsi="仿宋" w:eastAsia="仿宋" w:cs="仿宋"/>
                <w:kern w:val="0"/>
                <w:szCs w:val="21"/>
              </w:rPr>
              <w:t>▲</w:t>
            </w:r>
          </w:p>
        </w:tc>
        <w:tc>
          <w:tcPr>
            <w:tcW w:w="3268" w:type="dxa"/>
            <w:vAlign w:val="center"/>
          </w:tcPr>
          <w:p>
            <w:pPr>
              <w:jc w:val="center"/>
              <w:rPr>
                <w:rFonts w:ascii="仿宋" w:hAnsi="仿宋" w:eastAsia="仿宋" w:cs="仿宋"/>
                <w:sz w:val="18"/>
                <w:szCs w:val="18"/>
              </w:rPr>
            </w:pPr>
            <w:r>
              <w:rPr>
                <w:rFonts w:hint="eastAsia" w:ascii="仿宋" w:hAnsi="仿宋" w:eastAsia="仿宋" w:cs="仿宋"/>
                <w:sz w:val="18"/>
                <w:szCs w:val="18"/>
              </w:rPr>
              <w:t>埴写作业单位全称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vAlign w:val="center"/>
          </w:tcPr>
          <w:p>
            <w:pPr>
              <w:numPr>
                <w:ilvl w:val="0"/>
                <w:numId w:val="59"/>
              </w:numPr>
              <w:autoSpaceDE w:val="0"/>
              <w:autoSpaceDN w:val="0"/>
              <w:adjustRightInd w:val="0"/>
              <w:spacing w:line="360" w:lineRule="auto"/>
              <w:jc w:val="center"/>
              <w:rPr>
                <w:rFonts w:ascii="仿宋" w:hAnsi="仿宋" w:eastAsia="仿宋" w:cs="仿宋"/>
                <w:sz w:val="18"/>
                <w:szCs w:val="18"/>
              </w:rPr>
            </w:pPr>
          </w:p>
        </w:tc>
        <w:tc>
          <w:tcPr>
            <w:tcW w:w="1440" w:type="dxa"/>
            <w:vAlign w:val="center"/>
          </w:tcPr>
          <w:p>
            <w:pPr>
              <w:jc w:val="center"/>
              <w:rPr>
                <w:rFonts w:ascii="仿宋" w:hAnsi="仿宋" w:eastAsia="仿宋" w:cs="仿宋"/>
                <w:sz w:val="18"/>
                <w:szCs w:val="18"/>
              </w:rPr>
            </w:pPr>
            <w:r>
              <w:rPr>
                <w:rFonts w:hint="eastAsia" w:ascii="仿宋" w:hAnsi="仿宋" w:eastAsia="仿宋" w:cs="仿宋"/>
                <w:sz w:val="18"/>
                <w:szCs w:val="18"/>
              </w:rPr>
              <w:t>探测日期</w:t>
            </w:r>
          </w:p>
        </w:tc>
        <w:tc>
          <w:tcPr>
            <w:tcW w:w="1245" w:type="dxa"/>
            <w:vAlign w:val="center"/>
          </w:tcPr>
          <w:p>
            <w:pPr>
              <w:jc w:val="center"/>
              <w:rPr>
                <w:rFonts w:ascii="仿宋" w:hAnsi="仿宋" w:eastAsia="仿宋" w:cs="仿宋"/>
                <w:sz w:val="18"/>
                <w:szCs w:val="18"/>
              </w:rPr>
            </w:pPr>
            <w:r>
              <w:rPr>
                <w:rFonts w:hint="eastAsia" w:ascii="仿宋" w:hAnsi="仿宋" w:eastAsia="仿宋" w:cs="仿宋"/>
                <w:sz w:val="18"/>
                <w:szCs w:val="18"/>
              </w:rPr>
              <w:t>SDate</w:t>
            </w:r>
          </w:p>
        </w:tc>
        <w:tc>
          <w:tcPr>
            <w:tcW w:w="1155"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27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005" w:type="dxa"/>
            <w:vAlign w:val="center"/>
          </w:tcPr>
          <w:p>
            <w:pPr>
              <w:jc w:val="center"/>
              <w:rPr>
                <w:rFonts w:ascii="仿宋" w:hAnsi="仿宋" w:eastAsia="仿宋" w:cs="仿宋"/>
                <w:sz w:val="18"/>
                <w:szCs w:val="18"/>
              </w:rPr>
            </w:pPr>
          </w:p>
        </w:tc>
        <w:tc>
          <w:tcPr>
            <w:tcW w:w="1290" w:type="dxa"/>
            <w:vAlign w:val="center"/>
          </w:tcPr>
          <w:p>
            <w:pPr>
              <w:jc w:val="center"/>
              <w:rPr>
                <w:rFonts w:ascii="仿宋" w:hAnsi="仿宋" w:eastAsia="仿宋" w:cs="仿宋"/>
                <w:sz w:val="18"/>
                <w:szCs w:val="18"/>
              </w:rPr>
            </w:pPr>
          </w:p>
        </w:tc>
        <w:tc>
          <w:tcPr>
            <w:tcW w:w="2265" w:type="dxa"/>
          </w:tcPr>
          <w:p>
            <w:pPr>
              <w:jc w:val="center"/>
              <w:rPr>
                <w:rFonts w:ascii="仿宋" w:hAnsi="仿宋" w:eastAsia="仿宋" w:cs="仿宋"/>
              </w:rPr>
            </w:pPr>
            <w:r>
              <w:rPr>
                <w:rFonts w:hint="eastAsia" w:ascii="仿宋" w:hAnsi="仿宋" w:eastAsia="仿宋" w:cs="仿宋"/>
                <w:kern w:val="0"/>
                <w:szCs w:val="21"/>
              </w:rPr>
              <w:t>▲</w:t>
            </w:r>
          </w:p>
        </w:tc>
        <w:tc>
          <w:tcPr>
            <w:tcW w:w="3268" w:type="dxa"/>
            <w:vAlign w:val="center"/>
          </w:tcPr>
          <w:p>
            <w:pPr>
              <w:jc w:val="center"/>
              <w:rPr>
                <w:rFonts w:ascii="仿宋" w:hAnsi="仿宋" w:eastAsia="仿宋" w:cs="仿宋"/>
                <w:sz w:val="18"/>
                <w:szCs w:val="18"/>
              </w:rPr>
            </w:pPr>
            <w:r>
              <w:rPr>
                <w:rFonts w:hint="eastAsia" w:ascii="仿宋" w:hAnsi="仿宋" w:eastAsia="仿宋" w:cs="仿宋"/>
                <w:sz w:val="18"/>
                <w:szCs w:val="18"/>
              </w:rPr>
              <w:t>采用“YYYY-MM-DD”格式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vAlign w:val="center"/>
          </w:tcPr>
          <w:p>
            <w:pPr>
              <w:numPr>
                <w:ilvl w:val="0"/>
                <w:numId w:val="59"/>
              </w:numPr>
              <w:autoSpaceDE w:val="0"/>
              <w:autoSpaceDN w:val="0"/>
              <w:adjustRightInd w:val="0"/>
              <w:spacing w:line="360" w:lineRule="auto"/>
              <w:jc w:val="center"/>
              <w:rPr>
                <w:rFonts w:ascii="仿宋" w:hAnsi="仿宋" w:eastAsia="仿宋" w:cs="仿宋"/>
                <w:sz w:val="18"/>
                <w:szCs w:val="18"/>
              </w:rPr>
            </w:pPr>
          </w:p>
        </w:tc>
        <w:tc>
          <w:tcPr>
            <w:tcW w:w="1440" w:type="dxa"/>
            <w:vAlign w:val="center"/>
          </w:tcPr>
          <w:p>
            <w:pPr>
              <w:jc w:val="center"/>
              <w:rPr>
                <w:rFonts w:ascii="仿宋" w:hAnsi="仿宋" w:eastAsia="仿宋" w:cs="仿宋"/>
                <w:sz w:val="18"/>
                <w:szCs w:val="18"/>
              </w:rPr>
            </w:pPr>
            <w:r>
              <w:rPr>
                <w:rFonts w:hint="eastAsia" w:ascii="仿宋" w:hAnsi="仿宋" w:eastAsia="仿宋" w:cs="仿宋"/>
                <w:sz w:val="18"/>
                <w:szCs w:val="18"/>
              </w:rPr>
              <w:t>备注</w:t>
            </w:r>
          </w:p>
        </w:tc>
        <w:tc>
          <w:tcPr>
            <w:tcW w:w="1245" w:type="dxa"/>
            <w:vAlign w:val="center"/>
          </w:tcPr>
          <w:p>
            <w:pPr>
              <w:jc w:val="center"/>
              <w:rPr>
                <w:rFonts w:ascii="仿宋" w:hAnsi="仿宋" w:eastAsia="仿宋" w:cs="仿宋"/>
                <w:sz w:val="18"/>
                <w:szCs w:val="18"/>
              </w:rPr>
            </w:pPr>
            <w:r>
              <w:rPr>
                <w:rFonts w:hint="eastAsia" w:ascii="仿宋" w:hAnsi="仿宋" w:eastAsia="仿宋" w:cs="仿宋"/>
                <w:sz w:val="18"/>
                <w:szCs w:val="18"/>
              </w:rPr>
              <w:t>Remark</w:t>
            </w:r>
          </w:p>
        </w:tc>
        <w:tc>
          <w:tcPr>
            <w:tcW w:w="1155"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275" w:type="dxa"/>
            <w:vAlign w:val="center"/>
          </w:tcPr>
          <w:p>
            <w:pPr>
              <w:jc w:val="center"/>
              <w:rPr>
                <w:rFonts w:ascii="仿宋" w:hAnsi="仿宋" w:eastAsia="仿宋" w:cs="仿宋"/>
                <w:sz w:val="18"/>
                <w:szCs w:val="18"/>
              </w:rPr>
            </w:pPr>
            <w:r>
              <w:rPr>
                <w:rFonts w:hint="eastAsia" w:ascii="仿宋" w:hAnsi="仿宋" w:eastAsia="仿宋" w:cs="仿宋"/>
                <w:sz w:val="18"/>
                <w:szCs w:val="18"/>
              </w:rPr>
              <w:t>100</w:t>
            </w:r>
          </w:p>
        </w:tc>
        <w:tc>
          <w:tcPr>
            <w:tcW w:w="1005" w:type="dxa"/>
            <w:vAlign w:val="center"/>
          </w:tcPr>
          <w:p>
            <w:pPr>
              <w:jc w:val="center"/>
              <w:rPr>
                <w:rFonts w:ascii="仿宋" w:hAnsi="仿宋" w:eastAsia="仿宋" w:cs="仿宋"/>
                <w:sz w:val="18"/>
                <w:szCs w:val="18"/>
              </w:rPr>
            </w:pPr>
          </w:p>
        </w:tc>
        <w:tc>
          <w:tcPr>
            <w:tcW w:w="1290" w:type="dxa"/>
            <w:vAlign w:val="center"/>
          </w:tcPr>
          <w:p>
            <w:pPr>
              <w:jc w:val="center"/>
              <w:rPr>
                <w:rFonts w:ascii="仿宋" w:hAnsi="仿宋" w:eastAsia="仿宋" w:cs="仿宋"/>
                <w:sz w:val="18"/>
                <w:szCs w:val="18"/>
              </w:rPr>
            </w:pPr>
          </w:p>
        </w:tc>
        <w:tc>
          <w:tcPr>
            <w:tcW w:w="2265" w:type="dxa"/>
            <w:vAlign w:val="center"/>
          </w:tcPr>
          <w:p>
            <w:pPr>
              <w:jc w:val="center"/>
              <w:rPr>
                <w:rFonts w:ascii="仿宋" w:hAnsi="仿宋" w:eastAsia="仿宋" w:cs="仿宋"/>
                <w:sz w:val="18"/>
                <w:szCs w:val="18"/>
              </w:rPr>
            </w:pPr>
            <w:r>
              <w:rPr>
                <w:rFonts w:hint="eastAsia" w:ascii="仿宋" w:hAnsi="仿宋" w:eastAsia="仿宋" w:cs="仿宋"/>
                <w:color w:val="000000"/>
                <w:kern w:val="0"/>
                <w:sz w:val="18"/>
                <w:szCs w:val="18"/>
              </w:rPr>
              <w:t>○</w:t>
            </w:r>
          </w:p>
        </w:tc>
        <w:tc>
          <w:tcPr>
            <w:tcW w:w="3268" w:type="dxa"/>
            <w:vAlign w:val="center"/>
          </w:tcPr>
          <w:p>
            <w:pPr>
              <w:jc w:val="center"/>
              <w:rPr>
                <w:rFonts w:ascii="仿宋" w:hAnsi="仿宋" w:eastAsia="仿宋" w:cs="仿宋"/>
                <w:sz w:val="18"/>
                <w:szCs w:val="18"/>
              </w:rPr>
            </w:pPr>
          </w:p>
        </w:tc>
      </w:tr>
    </w:tbl>
    <w:p>
      <w:pPr>
        <w:pStyle w:val="2"/>
      </w:pPr>
    </w:p>
    <w:p>
      <w:pPr>
        <w:pStyle w:val="5"/>
        <w:spacing w:line="360" w:lineRule="auto"/>
        <w:jc w:val="center"/>
        <w:rPr>
          <w:rFonts w:ascii="仿宋" w:hAnsi="仿宋" w:eastAsia="仿宋" w:cs="仿宋"/>
          <w:sz w:val="24"/>
          <w:szCs w:val="24"/>
        </w:rPr>
      </w:pPr>
      <w:bookmarkStart w:id="1692" w:name="_Toc9498"/>
      <w:bookmarkStart w:id="1693" w:name="_Toc12020"/>
      <w:bookmarkStart w:id="1694" w:name="_Toc5810"/>
      <w:bookmarkStart w:id="1695" w:name="_Toc6859"/>
      <w:bookmarkStart w:id="1696" w:name="_Toc10824"/>
      <w:bookmarkStart w:id="1697" w:name="_Toc30368"/>
      <w:bookmarkStart w:id="1698" w:name="_Toc2926"/>
      <w:r>
        <w:rPr>
          <w:rFonts w:hint="eastAsia" w:ascii="仿宋" w:hAnsi="仿宋" w:eastAsia="仿宋" w:cs="仿宋"/>
          <w:sz w:val="24"/>
          <w:szCs w:val="24"/>
        </w:rPr>
        <w:t>附表A.6 管线注记属性结构表</w:t>
      </w:r>
      <w:bookmarkEnd w:id="1692"/>
      <w:bookmarkEnd w:id="1693"/>
      <w:bookmarkEnd w:id="1694"/>
      <w:bookmarkEnd w:id="1695"/>
      <w:bookmarkEnd w:id="1696"/>
      <w:bookmarkEnd w:id="1697"/>
      <w:bookmarkEnd w:id="1698"/>
    </w:p>
    <w:tbl>
      <w:tblPr>
        <w:tblStyle w:val="26"/>
        <w:tblW w:w="13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36"/>
        <w:gridCol w:w="1260"/>
        <w:gridCol w:w="1140"/>
        <w:gridCol w:w="1275"/>
        <w:gridCol w:w="1020"/>
        <w:gridCol w:w="1275"/>
        <w:gridCol w:w="2280"/>
        <w:gridCol w:w="3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blHeader/>
          <w:jc w:val="center"/>
        </w:trPr>
        <w:tc>
          <w:tcPr>
            <w:tcW w:w="720" w:type="dxa"/>
            <w:shd w:val="clear" w:color="auto" w:fill="BFBFBF"/>
            <w:vAlign w:val="center"/>
          </w:tcPr>
          <w:p>
            <w:pPr>
              <w:jc w:val="center"/>
              <w:rPr>
                <w:rFonts w:ascii="仿宋" w:hAnsi="仿宋" w:eastAsia="仿宋" w:cs="仿宋"/>
                <w:sz w:val="18"/>
                <w:szCs w:val="18"/>
              </w:rPr>
            </w:pPr>
            <w:r>
              <w:rPr>
                <w:rFonts w:hint="eastAsia" w:ascii="仿宋" w:hAnsi="仿宋" w:eastAsia="仿宋" w:cs="仿宋"/>
                <w:sz w:val="18"/>
                <w:szCs w:val="18"/>
              </w:rPr>
              <w:t>序号</w:t>
            </w:r>
          </w:p>
        </w:tc>
        <w:tc>
          <w:tcPr>
            <w:tcW w:w="1436" w:type="dxa"/>
            <w:shd w:val="clear" w:color="auto" w:fill="BFBFBF"/>
            <w:vAlign w:val="center"/>
          </w:tcPr>
          <w:p>
            <w:pPr>
              <w:jc w:val="center"/>
              <w:rPr>
                <w:rFonts w:ascii="仿宋" w:hAnsi="仿宋" w:eastAsia="仿宋" w:cs="仿宋"/>
                <w:sz w:val="18"/>
                <w:szCs w:val="18"/>
              </w:rPr>
            </w:pPr>
            <w:r>
              <w:rPr>
                <w:rFonts w:hint="eastAsia" w:ascii="仿宋" w:hAnsi="仿宋" w:eastAsia="仿宋" w:cs="仿宋"/>
                <w:sz w:val="18"/>
                <w:szCs w:val="18"/>
              </w:rPr>
              <w:t>中文名称</w:t>
            </w:r>
          </w:p>
        </w:tc>
        <w:tc>
          <w:tcPr>
            <w:tcW w:w="1260" w:type="dxa"/>
            <w:shd w:val="clear" w:color="auto" w:fill="BFBFBF"/>
            <w:vAlign w:val="center"/>
          </w:tcPr>
          <w:p>
            <w:pPr>
              <w:jc w:val="center"/>
              <w:rPr>
                <w:rFonts w:ascii="仿宋" w:hAnsi="仿宋" w:eastAsia="仿宋" w:cs="仿宋"/>
                <w:sz w:val="18"/>
                <w:szCs w:val="18"/>
              </w:rPr>
            </w:pPr>
            <w:r>
              <w:rPr>
                <w:rFonts w:hint="eastAsia" w:ascii="仿宋" w:hAnsi="仿宋" w:eastAsia="仿宋" w:cs="仿宋"/>
                <w:sz w:val="18"/>
                <w:szCs w:val="18"/>
              </w:rPr>
              <w:t>英文名称</w:t>
            </w:r>
          </w:p>
        </w:tc>
        <w:tc>
          <w:tcPr>
            <w:tcW w:w="1140" w:type="dxa"/>
            <w:shd w:val="clear" w:color="auto" w:fill="BFBFBF"/>
            <w:vAlign w:val="center"/>
          </w:tcPr>
          <w:p>
            <w:pPr>
              <w:jc w:val="center"/>
              <w:rPr>
                <w:rFonts w:ascii="仿宋" w:hAnsi="仿宋" w:eastAsia="仿宋" w:cs="仿宋"/>
                <w:sz w:val="18"/>
                <w:szCs w:val="18"/>
              </w:rPr>
            </w:pPr>
            <w:r>
              <w:rPr>
                <w:rFonts w:hint="eastAsia" w:ascii="仿宋" w:hAnsi="仿宋" w:eastAsia="仿宋" w:cs="仿宋"/>
                <w:sz w:val="18"/>
                <w:szCs w:val="18"/>
              </w:rPr>
              <w:t>字段类型</w:t>
            </w:r>
          </w:p>
        </w:tc>
        <w:tc>
          <w:tcPr>
            <w:tcW w:w="1275" w:type="dxa"/>
            <w:shd w:val="clear" w:color="auto" w:fill="BFBFBF"/>
            <w:vAlign w:val="center"/>
          </w:tcPr>
          <w:p>
            <w:pPr>
              <w:jc w:val="center"/>
              <w:rPr>
                <w:rFonts w:ascii="仿宋" w:hAnsi="仿宋" w:eastAsia="仿宋" w:cs="仿宋"/>
                <w:sz w:val="18"/>
                <w:szCs w:val="18"/>
              </w:rPr>
            </w:pPr>
            <w:r>
              <w:rPr>
                <w:rFonts w:hint="eastAsia" w:ascii="仿宋" w:hAnsi="仿宋" w:eastAsia="仿宋" w:cs="仿宋"/>
                <w:sz w:val="18"/>
                <w:szCs w:val="18"/>
              </w:rPr>
              <w:t>字段长度</w:t>
            </w:r>
          </w:p>
        </w:tc>
        <w:tc>
          <w:tcPr>
            <w:tcW w:w="1020" w:type="dxa"/>
            <w:shd w:val="clear" w:color="auto" w:fill="BFBFBF"/>
            <w:vAlign w:val="center"/>
          </w:tcPr>
          <w:p>
            <w:pPr>
              <w:jc w:val="center"/>
              <w:rPr>
                <w:rFonts w:ascii="仿宋" w:hAnsi="仿宋" w:eastAsia="仿宋" w:cs="仿宋"/>
                <w:sz w:val="18"/>
                <w:szCs w:val="18"/>
              </w:rPr>
            </w:pPr>
            <w:r>
              <w:rPr>
                <w:rFonts w:hint="eastAsia" w:ascii="仿宋" w:hAnsi="仿宋" w:eastAsia="仿宋" w:cs="仿宋"/>
                <w:sz w:val="18"/>
                <w:szCs w:val="18"/>
              </w:rPr>
              <w:t>小数位数</w:t>
            </w:r>
          </w:p>
        </w:tc>
        <w:tc>
          <w:tcPr>
            <w:tcW w:w="1275" w:type="dxa"/>
            <w:shd w:val="clear" w:color="auto" w:fill="BFBFBF"/>
            <w:vAlign w:val="center"/>
          </w:tcPr>
          <w:p>
            <w:pPr>
              <w:jc w:val="center"/>
              <w:rPr>
                <w:rFonts w:ascii="仿宋" w:hAnsi="仿宋" w:eastAsia="仿宋" w:cs="仿宋"/>
                <w:sz w:val="18"/>
                <w:szCs w:val="18"/>
              </w:rPr>
            </w:pPr>
            <w:r>
              <w:rPr>
                <w:rFonts w:hint="eastAsia" w:ascii="仿宋" w:hAnsi="仿宋" w:eastAsia="仿宋" w:cs="仿宋"/>
                <w:sz w:val="18"/>
                <w:szCs w:val="18"/>
              </w:rPr>
              <w:t>值域</w:t>
            </w:r>
          </w:p>
        </w:tc>
        <w:tc>
          <w:tcPr>
            <w:tcW w:w="2280" w:type="dxa"/>
            <w:shd w:val="clear" w:color="auto" w:fill="BFBFBF"/>
            <w:vAlign w:val="center"/>
          </w:tcPr>
          <w:p>
            <w:pPr>
              <w:jc w:val="center"/>
              <w:rPr>
                <w:rFonts w:ascii="仿宋" w:hAnsi="仿宋" w:eastAsia="仿宋" w:cs="仿宋"/>
                <w:sz w:val="18"/>
                <w:szCs w:val="18"/>
              </w:rPr>
            </w:pPr>
            <w:r>
              <w:rPr>
                <w:rFonts w:hint="eastAsia" w:ascii="仿宋" w:hAnsi="仿宋" w:eastAsia="仿宋" w:cs="仿宋"/>
                <w:color w:val="000000"/>
                <w:kern w:val="0"/>
                <w:sz w:val="18"/>
                <w:szCs w:val="18"/>
              </w:rPr>
              <w:t>是否必填（</w:t>
            </w:r>
            <w:r>
              <w:rPr>
                <w:rFonts w:hint="eastAsia" w:ascii="仿宋" w:hAnsi="仿宋" w:eastAsia="仿宋" w:cs="仿宋"/>
                <w:kern w:val="0"/>
                <w:szCs w:val="21"/>
              </w:rPr>
              <w:t>▲</w:t>
            </w:r>
            <w:r>
              <w:rPr>
                <w:rFonts w:hint="eastAsia" w:ascii="仿宋" w:hAnsi="仿宋" w:eastAsia="仿宋" w:cs="仿宋"/>
                <w:color w:val="000000"/>
                <w:kern w:val="0"/>
                <w:sz w:val="18"/>
                <w:szCs w:val="18"/>
              </w:rPr>
              <w:t>为必填，△为条件必填，○为选填）</w:t>
            </w:r>
          </w:p>
        </w:tc>
        <w:tc>
          <w:tcPr>
            <w:tcW w:w="3298" w:type="dxa"/>
            <w:shd w:val="clear" w:color="auto" w:fill="BFBFBF"/>
            <w:vAlign w:val="center"/>
          </w:tcPr>
          <w:p>
            <w:pPr>
              <w:jc w:val="center"/>
              <w:rPr>
                <w:rFonts w:ascii="仿宋" w:hAnsi="仿宋" w:eastAsia="仿宋" w:cs="仿宋"/>
                <w:sz w:val="18"/>
                <w:szCs w:val="18"/>
              </w:rPr>
            </w:pPr>
            <w:r>
              <w:rPr>
                <w:rFonts w:hint="eastAsia" w:ascii="仿宋" w:hAnsi="仿宋" w:eastAsia="仿宋" w:cs="仿宋"/>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dxa"/>
            <w:vAlign w:val="center"/>
          </w:tcPr>
          <w:p>
            <w:pPr>
              <w:pStyle w:val="80"/>
              <w:numPr>
                <w:ilvl w:val="0"/>
                <w:numId w:val="60"/>
              </w:numPr>
              <w:autoSpaceDE w:val="0"/>
              <w:autoSpaceDN w:val="0"/>
              <w:adjustRightInd w:val="0"/>
              <w:spacing w:line="360" w:lineRule="auto"/>
              <w:ind w:firstLineChars="0"/>
              <w:rPr>
                <w:rFonts w:ascii="仿宋" w:hAnsi="仿宋" w:eastAsia="仿宋" w:cs="仿宋"/>
                <w:color w:val="000000"/>
              </w:rPr>
            </w:pPr>
          </w:p>
        </w:tc>
        <w:tc>
          <w:tcPr>
            <w:tcW w:w="1436" w:type="dxa"/>
            <w:vAlign w:val="center"/>
          </w:tcPr>
          <w:p>
            <w:pPr>
              <w:jc w:val="center"/>
              <w:rPr>
                <w:rFonts w:ascii="仿宋" w:hAnsi="仿宋" w:eastAsia="仿宋" w:cs="仿宋"/>
                <w:sz w:val="18"/>
                <w:szCs w:val="18"/>
              </w:rPr>
            </w:pPr>
            <w:r>
              <w:rPr>
                <w:rFonts w:hint="eastAsia" w:ascii="仿宋" w:hAnsi="仿宋" w:eastAsia="仿宋" w:cs="仿宋"/>
                <w:sz w:val="18"/>
                <w:szCs w:val="18"/>
              </w:rPr>
              <w:t>项目编号</w:t>
            </w:r>
          </w:p>
        </w:tc>
        <w:tc>
          <w:tcPr>
            <w:tcW w:w="1260" w:type="dxa"/>
            <w:vAlign w:val="center"/>
          </w:tcPr>
          <w:p>
            <w:pPr>
              <w:jc w:val="center"/>
              <w:rPr>
                <w:rFonts w:ascii="仿宋" w:hAnsi="仿宋" w:eastAsia="仿宋" w:cs="仿宋"/>
                <w:sz w:val="18"/>
                <w:szCs w:val="18"/>
              </w:rPr>
            </w:pPr>
            <w:r>
              <w:rPr>
                <w:rFonts w:hint="eastAsia" w:ascii="仿宋" w:hAnsi="仿宋" w:eastAsia="仿宋" w:cs="仿宋"/>
                <w:sz w:val="18"/>
                <w:szCs w:val="18"/>
              </w:rPr>
              <w:t>Work_No</w:t>
            </w:r>
          </w:p>
        </w:tc>
        <w:tc>
          <w:tcPr>
            <w:tcW w:w="1140"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275" w:type="dxa"/>
            <w:vAlign w:val="center"/>
          </w:tcPr>
          <w:p>
            <w:pPr>
              <w:jc w:val="center"/>
              <w:rPr>
                <w:rFonts w:ascii="仿宋" w:hAnsi="仿宋" w:eastAsia="仿宋" w:cs="仿宋"/>
                <w:sz w:val="18"/>
                <w:szCs w:val="18"/>
              </w:rPr>
            </w:pPr>
            <w:r>
              <w:rPr>
                <w:rFonts w:hint="eastAsia" w:ascii="仿宋" w:hAnsi="仿宋" w:eastAsia="仿宋" w:cs="仿宋"/>
                <w:sz w:val="18"/>
                <w:szCs w:val="18"/>
              </w:rPr>
              <w:t>100</w:t>
            </w:r>
          </w:p>
        </w:tc>
        <w:tc>
          <w:tcPr>
            <w:tcW w:w="1020" w:type="dxa"/>
            <w:vAlign w:val="center"/>
          </w:tcPr>
          <w:p>
            <w:pPr>
              <w:jc w:val="center"/>
              <w:rPr>
                <w:rFonts w:ascii="仿宋" w:hAnsi="仿宋" w:eastAsia="仿宋" w:cs="仿宋"/>
                <w:sz w:val="18"/>
                <w:szCs w:val="18"/>
              </w:rPr>
            </w:pPr>
          </w:p>
        </w:tc>
        <w:tc>
          <w:tcPr>
            <w:tcW w:w="1275" w:type="dxa"/>
            <w:vAlign w:val="center"/>
          </w:tcPr>
          <w:p>
            <w:pPr>
              <w:jc w:val="center"/>
              <w:rPr>
                <w:rFonts w:ascii="仿宋" w:hAnsi="仿宋" w:eastAsia="仿宋" w:cs="仿宋"/>
                <w:sz w:val="18"/>
                <w:szCs w:val="18"/>
              </w:rPr>
            </w:pPr>
          </w:p>
        </w:tc>
        <w:tc>
          <w:tcPr>
            <w:tcW w:w="2280" w:type="dxa"/>
            <w:vAlign w:val="center"/>
          </w:tcPr>
          <w:p>
            <w:pPr>
              <w:jc w:val="center"/>
              <w:rPr>
                <w:rFonts w:ascii="仿宋" w:hAnsi="仿宋" w:eastAsia="仿宋" w:cs="仿宋"/>
                <w:sz w:val="18"/>
                <w:szCs w:val="18"/>
              </w:rPr>
            </w:pPr>
            <w:r>
              <w:rPr>
                <w:rFonts w:hint="eastAsia" w:ascii="仿宋" w:hAnsi="仿宋" w:eastAsia="仿宋" w:cs="仿宋"/>
                <w:kern w:val="0"/>
                <w:szCs w:val="21"/>
              </w:rPr>
              <w:t>▲</w:t>
            </w:r>
          </w:p>
        </w:tc>
        <w:tc>
          <w:tcPr>
            <w:tcW w:w="3298" w:type="dxa"/>
            <w:vAlign w:val="center"/>
          </w:tcPr>
          <w:p>
            <w:pPr>
              <w:jc w:val="center"/>
              <w:rPr>
                <w:rFonts w:ascii="仿宋" w:hAnsi="仿宋" w:eastAsia="仿宋" w:cs="仿宋"/>
                <w:sz w:val="18"/>
                <w:szCs w:val="18"/>
              </w:rPr>
            </w:pPr>
            <w:r>
              <w:rPr>
                <w:rFonts w:hint="eastAsia" w:ascii="仿宋" w:hAnsi="仿宋" w:eastAsia="仿宋" w:cs="仿宋"/>
                <w:sz w:val="18"/>
                <w:szCs w:val="18"/>
              </w:rPr>
              <w:t>行政区代码</w:t>
            </w:r>
            <w:r>
              <w:rPr>
                <w:rFonts w:ascii="仿宋" w:hAnsi="仿宋" w:eastAsia="仿宋" w:cs="仿宋"/>
                <w:sz w:val="18"/>
                <w:szCs w:val="18"/>
              </w:rPr>
              <w:t>+年份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dxa"/>
            <w:vAlign w:val="center"/>
          </w:tcPr>
          <w:p>
            <w:pPr>
              <w:pStyle w:val="80"/>
              <w:numPr>
                <w:ilvl w:val="0"/>
                <w:numId w:val="60"/>
              </w:numPr>
              <w:autoSpaceDE w:val="0"/>
              <w:autoSpaceDN w:val="0"/>
              <w:adjustRightInd w:val="0"/>
              <w:spacing w:line="360" w:lineRule="auto"/>
              <w:ind w:firstLineChars="0"/>
              <w:rPr>
                <w:rFonts w:ascii="仿宋" w:hAnsi="仿宋" w:eastAsia="仿宋" w:cs="仿宋"/>
                <w:color w:val="000000"/>
              </w:rPr>
            </w:pPr>
          </w:p>
        </w:tc>
        <w:tc>
          <w:tcPr>
            <w:tcW w:w="1436" w:type="dxa"/>
            <w:vAlign w:val="center"/>
          </w:tcPr>
          <w:p>
            <w:pPr>
              <w:jc w:val="center"/>
              <w:rPr>
                <w:rFonts w:ascii="仿宋" w:hAnsi="仿宋" w:eastAsia="仿宋" w:cs="仿宋"/>
                <w:sz w:val="18"/>
                <w:szCs w:val="18"/>
              </w:rPr>
            </w:pPr>
            <w:r>
              <w:rPr>
                <w:rFonts w:hint="eastAsia" w:ascii="仿宋" w:hAnsi="仿宋" w:eastAsia="仿宋" w:cs="仿宋"/>
                <w:sz w:val="18"/>
                <w:szCs w:val="18"/>
              </w:rPr>
              <w:t>工程编号</w:t>
            </w:r>
          </w:p>
        </w:tc>
        <w:tc>
          <w:tcPr>
            <w:tcW w:w="1260" w:type="dxa"/>
            <w:vAlign w:val="center"/>
          </w:tcPr>
          <w:p>
            <w:pPr>
              <w:jc w:val="center"/>
              <w:rPr>
                <w:rFonts w:ascii="仿宋" w:hAnsi="仿宋" w:eastAsia="仿宋" w:cs="仿宋"/>
                <w:sz w:val="18"/>
                <w:szCs w:val="18"/>
              </w:rPr>
            </w:pPr>
            <w:r>
              <w:rPr>
                <w:rFonts w:hint="eastAsia" w:ascii="仿宋" w:hAnsi="仿宋" w:eastAsia="仿宋" w:cs="仿宋"/>
                <w:sz w:val="18"/>
                <w:szCs w:val="18"/>
              </w:rPr>
              <w:t>Prj_No</w:t>
            </w:r>
          </w:p>
        </w:tc>
        <w:tc>
          <w:tcPr>
            <w:tcW w:w="1140"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27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020" w:type="dxa"/>
            <w:vAlign w:val="center"/>
          </w:tcPr>
          <w:p>
            <w:pPr>
              <w:jc w:val="center"/>
              <w:rPr>
                <w:rFonts w:ascii="仿宋" w:hAnsi="仿宋" w:eastAsia="仿宋" w:cs="仿宋"/>
                <w:sz w:val="18"/>
                <w:szCs w:val="18"/>
              </w:rPr>
            </w:pPr>
          </w:p>
        </w:tc>
        <w:tc>
          <w:tcPr>
            <w:tcW w:w="1275" w:type="dxa"/>
            <w:vAlign w:val="center"/>
          </w:tcPr>
          <w:p>
            <w:pPr>
              <w:jc w:val="center"/>
              <w:rPr>
                <w:rFonts w:ascii="仿宋" w:hAnsi="仿宋" w:eastAsia="仿宋" w:cs="仿宋"/>
                <w:sz w:val="18"/>
                <w:szCs w:val="18"/>
              </w:rPr>
            </w:pPr>
          </w:p>
        </w:tc>
        <w:tc>
          <w:tcPr>
            <w:tcW w:w="2280" w:type="dxa"/>
          </w:tcPr>
          <w:p>
            <w:pPr>
              <w:jc w:val="center"/>
              <w:rPr>
                <w:rFonts w:ascii="仿宋" w:hAnsi="仿宋" w:eastAsia="仿宋" w:cs="仿宋"/>
                <w:sz w:val="18"/>
                <w:szCs w:val="18"/>
              </w:rPr>
            </w:pPr>
            <w:r>
              <w:rPr>
                <w:rFonts w:hint="eastAsia" w:ascii="仿宋" w:hAnsi="仿宋" w:eastAsia="仿宋" w:cs="仿宋"/>
                <w:kern w:val="0"/>
                <w:szCs w:val="21"/>
              </w:rPr>
              <w:t>▲</w:t>
            </w:r>
          </w:p>
        </w:tc>
        <w:tc>
          <w:tcPr>
            <w:tcW w:w="3298" w:type="dxa"/>
            <w:vAlign w:val="center"/>
          </w:tcPr>
          <w:p>
            <w:pPr>
              <w:jc w:val="center"/>
              <w:rPr>
                <w:rFonts w:ascii="仿宋" w:hAnsi="仿宋" w:eastAsia="仿宋" w:cs="仿宋"/>
                <w:sz w:val="18"/>
                <w:szCs w:val="18"/>
              </w:rPr>
            </w:pPr>
            <w:r>
              <w:rPr>
                <w:rFonts w:hint="eastAsia" w:ascii="仿宋" w:hAnsi="仿宋" w:eastAsia="仿宋" w:cs="仿宋"/>
                <w:sz w:val="18"/>
                <w:szCs w:val="18"/>
              </w:rPr>
              <w:t>标段号+测区号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dxa"/>
            <w:vAlign w:val="center"/>
          </w:tcPr>
          <w:p>
            <w:pPr>
              <w:pStyle w:val="80"/>
              <w:numPr>
                <w:ilvl w:val="0"/>
                <w:numId w:val="60"/>
              </w:numPr>
              <w:autoSpaceDE w:val="0"/>
              <w:autoSpaceDN w:val="0"/>
              <w:adjustRightInd w:val="0"/>
              <w:spacing w:line="360" w:lineRule="auto"/>
              <w:ind w:firstLineChars="0"/>
              <w:rPr>
                <w:rFonts w:ascii="仿宋" w:hAnsi="仿宋" w:eastAsia="仿宋" w:cs="仿宋"/>
                <w:color w:val="000000"/>
              </w:rPr>
            </w:pPr>
          </w:p>
        </w:tc>
        <w:tc>
          <w:tcPr>
            <w:tcW w:w="1436" w:type="dxa"/>
            <w:vAlign w:val="center"/>
          </w:tcPr>
          <w:p>
            <w:pPr>
              <w:jc w:val="center"/>
              <w:rPr>
                <w:rFonts w:ascii="仿宋" w:hAnsi="仿宋" w:eastAsia="仿宋" w:cs="仿宋"/>
                <w:sz w:val="18"/>
                <w:szCs w:val="18"/>
              </w:rPr>
            </w:pPr>
            <w:r>
              <w:rPr>
                <w:rFonts w:hint="eastAsia" w:ascii="仿宋" w:hAnsi="仿宋" w:eastAsia="仿宋" w:cs="仿宋"/>
                <w:sz w:val="18"/>
                <w:szCs w:val="18"/>
              </w:rPr>
              <w:t>探测单位</w:t>
            </w:r>
          </w:p>
        </w:tc>
        <w:tc>
          <w:tcPr>
            <w:tcW w:w="1260" w:type="dxa"/>
            <w:vAlign w:val="center"/>
          </w:tcPr>
          <w:p>
            <w:pPr>
              <w:jc w:val="center"/>
              <w:rPr>
                <w:rFonts w:ascii="仿宋" w:hAnsi="仿宋" w:eastAsia="仿宋" w:cs="仿宋"/>
                <w:sz w:val="18"/>
                <w:szCs w:val="18"/>
              </w:rPr>
            </w:pPr>
            <w:r>
              <w:rPr>
                <w:rFonts w:hint="eastAsia" w:ascii="仿宋" w:hAnsi="仿宋" w:eastAsia="仿宋" w:cs="仿宋"/>
                <w:sz w:val="18"/>
                <w:szCs w:val="18"/>
              </w:rPr>
              <w:t>KC</w:t>
            </w:r>
          </w:p>
        </w:tc>
        <w:tc>
          <w:tcPr>
            <w:tcW w:w="1140"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275" w:type="dxa"/>
            <w:vAlign w:val="center"/>
          </w:tcPr>
          <w:p>
            <w:pPr>
              <w:jc w:val="center"/>
              <w:rPr>
                <w:rFonts w:ascii="仿宋" w:hAnsi="仿宋" w:eastAsia="仿宋" w:cs="仿宋"/>
                <w:sz w:val="18"/>
                <w:szCs w:val="18"/>
              </w:rPr>
            </w:pPr>
            <w:r>
              <w:rPr>
                <w:rFonts w:hint="eastAsia" w:ascii="仿宋" w:hAnsi="仿宋" w:eastAsia="仿宋" w:cs="仿宋"/>
                <w:sz w:val="18"/>
                <w:szCs w:val="18"/>
              </w:rPr>
              <w:t>100</w:t>
            </w:r>
          </w:p>
        </w:tc>
        <w:tc>
          <w:tcPr>
            <w:tcW w:w="1020" w:type="dxa"/>
            <w:vAlign w:val="center"/>
          </w:tcPr>
          <w:p>
            <w:pPr>
              <w:jc w:val="center"/>
              <w:rPr>
                <w:rFonts w:ascii="仿宋" w:hAnsi="仿宋" w:eastAsia="仿宋" w:cs="仿宋"/>
                <w:sz w:val="18"/>
                <w:szCs w:val="18"/>
              </w:rPr>
            </w:pPr>
          </w:p>
        </w:tc>
        <w:tc>
          <w:tcPr>
            <w:tcW w:w="1275" w:type="dxa"/>
            <w:vAlign w:val="center"/>
          </w:tcPr>
          <w:p>
            <w:pPr>
              <w:jc w:val="center"/>
              <w:rPr>
                <w:rFonts w:ascii="仿宋" w:hAnsi="仿宋" w:eastAsia="仿宋" w:cs="仿宋"/>
                <w:sz w:val="18"/>
                <w:szCs w:val="18"/>
              </w:rPr>
            </w:pPr>
          </w:p>
        </w:tc>
        <w:tc>
          <w:tcPr>
            <w:tcW w:w="2280" w:type="dxa"/>
          </w:tcPr>
          <w:p>
            <w:pPr>
              <w:jc w:val="center"/>
              <w:rPr>
                <w:rFonts w:ascii="仿宋" w:hAnsi="仿宋" w:eastAsia="仿宋" w:cs="仿宋"/>
                <w:sz w:val="18"/>
                <w:szCs w:val="18"/>
              </w:rPr>
            </w:pPr>
            <w:r>
              <w:rPr>
                <w:rFonts w:hint="eastAsia" w:ascii="仿宋" w:hAnsi="仿宋" w:eastAsia="仿宋" w:cs="仿宋"/>
                <w:kern w:val="0"/>
                <w:szCs w:val="21"/>
              </w:rPr>
              <w:t>▲</w:t>
            </w:r>
          </w:p>
        </w:tc>
        <w:tc>
          <w:tcPr>
            <w:tcW w:w="3298" w:type="dxa"/>
            <w:vAlign w:val="center"/>
          </w:tcPr>
          <w:p>
            <w:pPr>
              <w:jc w:val="center"/>
              <w:rPr>
                <w:rFonts w:ascii="仿宋" w:hAnsi="仿宋" w:eastAsia="仿宋" w:cs="仿宋"/>
                <w:sz w:val="18"/>
                <w:szCs w:val="18"/>
              </w:rPr>
            </w:pPr>
            <w:r>
              <w:rPr>
                <w:rFonts w:hint="eastAsia" w:ascii="仿宋" w:hAnsi="仿宋" w:eastAsia="仿宋" w:cs="仿宋"/>
                <w:sz w:val="18"/>
                <w:szCs w:val="18"/>
              </w:rPr>
              <w:t>埴写作业单位全称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dxa"/>
            <w:vAlign w:val="center"/>
          </w:tcPr>
          <w:p>
            <w:pPr>
              <w:pStyle w:val="80"/>
              <w:numPr>
                <w:ilvl w:val="0"/>
                <w:numId w:val="60"/>
              </w:numPr>
              <w:autoSpaceDE w:val="0"/>
              <w:autoSpaceDN w:val="0"/>
              <w:adjustRightInd w:val="0"/>
              <w:spacing w:line="360" w:lineRule="auto"/>
              <w:ind w:firstLineChars="0"/>
              <w:rPr>
                <w:rFonts w:ascii="仿宋" w:hAnsi="仿宋" w:eastAsia="仿宋" w:cs="仿宋"/>
                <w:color w:val="000000"/>
              </w:rPr>
            </w:pPr>
          </w:p>
        </w:tc>
        <w:tc>
          <w:tcPr>
            <w:tcW w:w="1436" w:type="dxa"/>
            <w:vAlign w:val="center"/>
          </w:tcPr>
          <w:p>
            <w:pPr>
              <w:jc w:val="center"/>
              <w:rPr>
                <w:rFonts w:ascii="仿宋" w:hAnsi="仿宋" w:eastAsia="仿宋" w:cs="仿宋"/>
                <w:sz w:val="18"/>
                <w:szCs w:val="18"/>
              </w:rPr>
            </w:pPr>
            <w:r>
              <w:rPr>
                <w:rFonts w:hint="eastAsia" w:ascii="仿宋" w:hAnsi="仿宋" w:eastAsia="仿宋" w:cs="仿宋"/>
                <w:sz w:val="18"/>
                <w:szCs w:val="18"/>
              </w:rPr>
              <w:t>探测日期</w:t>
            </w:r>
          </w:p>
        </w:tc>
        <w:tc>
          <w:tcPr>
            <w:tcW w:w="1260" w:type="dxa"/>
            <w:vAlign w:val="center"/>
          </w:tcPr>
          <w:p>
            <w:pPr>
              <w:jc w:val="center"/>
              <w:rPr>
                <w:rFonts w:ascii="仿宋" w:hAnsi="仿宋" w:eastAsia="仿宋" w:cs="仿宋"/>
                <w:sz w:val="18"/>
                <w:szCs w:val="18"/>
              </w:rPr>
            </w:pPr>
            <w:r>
              <w:rPr>
                <w:rFonts w:hint="eastAsia" w:ascii="仿宋" w:hAnsi="仿宋" w:eastAsia="仿宋" w:cs="仿宋"/>
                <w:sz w:val="18"/>
                <w:szCs w:val="18"/>
              </w:rPr>
              <w:t>TC_Date</w:t>
            </w:r>
          </w:p>
        </w:tc>
        <w:tc>
          <w:tcPr>
            <w:tcW w:w="1140"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27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020" w:type="dxa"/>
            <w:vAlign w:val="center"/>
          </w:tcPr>
          <w:p>
            <w:pPr>
              <w:jc w:val="center"/>
              <w:rPr>
                <w:rFonts w:ascii="仿宋" w:hAnsi="仿宋" w:eastAsia="仿宋" w:cs="仿宋"/>
                <w:sz w:val="18"/>
                <w:szCs w:val="18"/>
              </w:rPr>
            </w:pPr>
          </w:p>
        </w:tc>
        <w:tc>
          <w:tcPr>
            <w:tcW w:w="1275" w:type="dxa"/>
            <w:vAlign w:val="center"/>
          </w:tcPr>
          <w:p>
            <w:pPr>
              <w:jc w:val="center"/>
              <w:rPr>
                <w:rFonts w:ascii="仿宋" w:hAnsi="仿宋" w:eastAsia="仿宋" w:cs="仿宋"/>
                <w:sz w:val="18"/>
                <w:szCs w:val="18"/>
              </w:rPr>
            </w:pPr>
          </w:p>
        </w:tc>
        <w:tc>
          <w:tcPr>
            <w:tcW w:w="2280" w:type="dxa"/>
          </w:tcPr>
          <w:p>
            <w:pPr>
              <w:jc w:val="center"/>
              <w:rPr>
                <w:rFonts w:ascii="仿宋" w:hAnsi="仿宋" w:eastAsia="仿宋" w:cs="仿宋"/>
                <w:sz w:val="18"/>
                <w:szCs w:val="18"/>
              </w:rPr>
            </w:pPr>
            <w:r>
              <w:rPr>
                <w:rFonts w:hint="eastAsia" w:ascii="仿宋" w:hAnsi="仿宋" w:eastAsia="仿宋" w:cs="仿宋"/>
                <w:kern w:val="0"/>
                <w:szCs w:val="21"/>
              </w:rPr>
              <w:t>▲</w:t>
            </w:r>
          </w:p>
        </w:tc>
        <w:tc>
          <w:tcPr>
            <w:tcW w:w="3298" w:type="dxa"/>
            <w:vAlign w:val="center"/>
          </w:tcPr>
          <w:p>
            <w:pPr>
              <w:jc w:val="center"/>
              <w:rPr>
                <w:rFonts w:ascii="仿宋" w:hAnsi="仿宋" w:eastAsia="仿宋" w:cs="仿宋"/>
                <w:sz w:val="18"/>
                <w:szCs w:val="18"/>
              </w:rPr>
            </w:pPr>
            <w:r>
              <w:rPr>
                <w:rFonts w:hint="eastAsia" w:ascii="仿宋" w:hAnsi="仿宋" w:eastAsia="仿宋" w:cs="仿宋"/>
                <w:sz w:val="18"/>
                <w:szCs w:val="18"/>
              </w:rPr>
              <w:t>采用“YYYY-MM-DD”格式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dxa"/>
            <w:vAlign w:val="center"/>
          </w:tcPr>
          <w:p>
            <w:pPr>
              <w:pStyle w:val="80"/>
              <w:numPr>
                <w:ilvl w:val="0"/>
                <w:numId w:val="60"/>
              </w:numPr>
              <w:autoSpaceDE w:val="0"/>
              <w:autoSpaceDN w:val="0"/>
              <w:adjustRightInd w:val="0"/>
              <w:spacing w:line="360" w:lineRule="auto"/>
              <w:ind w:firstLineChars="0"/>
              <w:rPr>
                <w:rFonts w:ascii="仿宋" w:hAnsi="仿宋" w:eastAsia="仿宋" w:cs="仿宋"/>
                <w:color w:val="000000"/>
              </w:rPr>
            </w:pPr>
          </w:p>
        </w:tc>
        <w:tc>
          <w:tcPr>
            <w:tcW w:w="1436" w:type="dxa"/>
            <w:vAlign w:val="center"/>
          </w:tcPr>
          <w:p>
            <w:pPr>
              <w:jc w:val="center"/>
              <w:rPr>
                <w:rFonts w:ascii="仿宋" w:hAnsi="仿宋" w:eastAsia="仿宋" w:cs="仿宋"/>
                <w:sz w:val="18"/>
                <w:szCs w:val="18"/>
              </w:rPr>
            </w:pPr>
            <w:r>
              <w:rPr>
                <w:rFonts w:hint="eastAsia" w:ascii="仿宋" w:hAnsi="仿宋" w:eastAsia="仿宋" w:cs="仿宋"/>
                <w:sz w:val="18"/>
                <w:szCs w:val="18"/>
              </w:rPr>
              <w:t>备注</w:t>
            </w:r>
          </w:p>
        </w:tc>
        <w:tc>
          <w:tcPr>
            <w:tcW w:w="1260" w:type="dxa"/>
            <w:vAlign w:val="center"/>
          </w:tcPr>
          <w:p>
            <w:pPr>
              <w:jc w:val="center"/>
              <w:rPr>
                <w:rFonts w:ascii="仿宋" w:hAnsi="仿宋" w:eastAsia="仿宋" w:cs="仿宋"/>
                <w:sz w:val="18"/>
                <w:szCs w:val="18"/>
              </w:rPr>
            </w:pPr>
            <w:r>
              <w:rPr>
                <w:rFonts w:hint="eastAsia" w:ascii="仿宋" w:hAnsi="仿宋" w:eastAsia="仿宋" w:cs="仿宋"/>
                <w:sz w:val="18"/>
                <w:szCs w:val="18"/>
              </w:rPr>
              <w:t>Remark</w:t>
            </w:r>
          </w:p>
        </w:tc>
        <w:tc>
          <w:tcPr>
            <w:tcW w:w="1140" w:type="dxa"/>
            <w:vAlign w:val="center"/>
          </w:tcPr>
          <w:p>
            <w:pPr>
              <w:jc w:val="center"/>
              <w:rPr>
                <w:rFonts w:ascii="仿宋" w:hAnsi="仿宋" w:eastAsia="仿宋" w:cs="仿宋"/>
                <w:szCs w:val="22"/>
              </w:rPr>
            </w:pPr>
            <w:r>
              <w:rPr>
                <w:rFonts w:hint="eastAsia" w:ascii="仿宋" w:hAnsi="仿宋" w:eastAsia="仿宋" w:cs="仿宋"/>
                <w:sz w:val="18"/>
                <w:szCs w:val="18"/>
              </w:rPr>
              <w:t>字符型</w:t>
            </w:r>
          </w:p>
        </w:tc>
        <w:tc>
          <w:tcPr>
            <w:tcW w:w="1275" w:type="dxa"/>
            <w:vAlign w:val="center"/>
          </w:tcPr>
          <w:p>
            <w:pPr>
              <w:jc w:val="center"/>
              <w:rPr>
                <w:rFonts w:ascii="仿宋" w:hAnsi="仿宋" w:eastAsia="仿宋" w:cs="仿宋"/>
                <w:sz w:val="18"/>
                <w:szCs w:val="18"/>
              </w:rPr>
            </w:pPr>
            <w:r>
              <w:rPr>
                <w:rFonts w:hint="eastAsia" w:ascii="仿宋" w:hAnsi="仿宋" w:eastAsia="仿宋" w:cs="仿宋"/>
                <w:sz w:val="18"/>
                <w:szCs w:val="18"/>
              </w:rPr>
              <w:t>100</w:t>
            </w:r>
          </w:p>
        </w:tc>
        <w:tc>
          <w:tcPr>
            <w:tcW w:w="1020" w:type="dxa"/>
            <w:vAlign w:val="center"/>
          </w:tcPr>
          <w:p>
            <w:pPr>
              <w:jc w:val="center"/>
              <w:rPr>
                <w:rFonts w:ascii="仿宋" w:hAnsi="仿宋" w:eastAsia="仿宋" w:cs="仿宋"/>
                <w:sz w:val="18"/>
                <w:szCs w:val="18"/>
              </w:rPr>
            </w:pPr>
          </w:p>
        </w:tc>
        <w:tc>
          <w:tcPr>
            <w:tcW w:w="1275" w:type="dxa"/>
            <w:vAlign w:val="center"/>
          </w:tcPr>
          <w:p>
            <w:pPr>
              <w:jc w:val="center"/>
              <w:rPr>
                <w:rFonts w:ascii="仿宋" w:hAnsi="仿宋" w:eastAsia="仿宋" w:cs="仿宋"/>
                <w:sz w:val="18"/>
                <w:szCs w:val="18"/>
              </w:rPr>
            </w:pPr>
          </w:p>
        </w:tc>
        <w:tc>
          <w:tcPr>
            <w:tcW w:w="2280" w:type="dxa"/>
            <w:vAlign w:val="center"/>
          </w:tcPr>
          <w:p>
            <w:pPr>
              <w:jc w:val="center"/>
              <w:rPr>
                <w:rFonts w:ascii="仿宋" w:hAnsi="仿宋" w:eastAsia="仿宋" w:cs="仿宋"/>
                <w:sz w:val="18"/>
                <w:szCs w:val="18"/>
              </w:rPr>
            </w:pPr>
            <w:r>
              <w:rPr>
                <w:rFonts w:hint="eastAsia" w:ascii="仿宋" w:hAnsi="仿宋" w:eastAsia="仿宋" w:cs="仿宋"/>
                <w:color w:val="000000"/>
                <w:kern w:val="0"/>
                <w:sz w:val="18"/>
                <w:szCs w:val="18"/>
              </w:rPr>
              <w:t>○</w:t>
            </w:r>
          </w:p>
        </w:tc>
        <w:tc>
          <w:tcPr>
            <w:tcW w:w="3298" w:type="dxa"/>
            <w:vAlign w:val="center"/>
          </w:tcPr>
          <w:p>
            <w:pPr>
              <w:jc w:val="center"/>
              <w:rPr>
                <w:rFonts w:ascii="仿宋" w:hAnsi="仿宋" w:eastAsia="仿宋" w:cs="仿宋"/>
                <w:sz w:val="18"/>
                <w:szCs w:val="18"/>
              </w:rPr>
            </w:pPr>
          </w:p>
        </w:tc>
      </w:tr>
    </w:tbl>
    <w:p>
      <w:pPr>
        <w:pStyle w:val="5"/>
        <w:spacing w:line="360" w:lineRule="auto"/>
        <w:jc w:val="center"/>
        <w:rPr>
          <w:rFonts w:ascii="仿宋" w:hAnsi="仿宋" w:eastAsia="仿宋" w:cs="仿宋"/>
          <w:sz w:val="24"/>
          <w:szCs w:val="24"/>
        </w:rPr>
      </w:pPr>
      <w:bookmarkStart w:id="1699" w:name="_Toc24255"/>
      <w:bookmarkStart w:id="1700" w:name="_Toc3788"/>
      <w:bookmarkStart w:id="1701" w:name="_Toc20771"/>
      <w:bookmarkStart w:id="1702" w:name="_Toc11460"/>
      <w:r>
        <w:rPr>
          <w:rFonts w:hint="eastAsia" w:ascii="仿宋" w:hAnsi="仿宋" w:eastAsia="仿宋" w:cs="仿宋"/>
          <w:sz w:val="24"/>
          <w:szCs w:val="24"/>
        </w:rPr>
        <w:t>附表A.7 管线隐患信息属性结构表</w:t>
      </w:r>
      <w:bookmarkEnd w:id="1699"/>
      <w:bookmarkEnd w:id="1700"/>
      <w:bookmarkEnd w:id="1701"/>
      <w:bookmarkEnd w:id="1702"/>
    </w:p>
    <w:tbl>
      <w:tblPr>
        <w:tblStyle w:val="26"/>
        <w:tblW w:w="131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436"/>
        <w:gridCol w:w="1541"/>
        <w:gridCol w:w="1134"/>
        <w:gridCol w:w="992"/>
        <w:gridCol w:w="1276"/>
        <w:gridCol w:w="2268"/>
        <w:gridCol w:w="3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blHeader/>
          <w:jc w:val="center"/>
        </w:trPr>
        <w:tc>
          <w:tcPr>
            <w:tcW w:w="874" w:type="dxa"/>
            <w:shd w:val="clear" w:color="auto" w:fill="BFBFBF"/>
            <w:vAlign w:val="center"/>
          </w:tcPr>
          <w:p>
            <w:pPr>
              <w:jc w:val="center"/>
              <w:rPr>
                <w:rFonts w:ascii="仿宋" w:hAnsi="仿宋" w:eastAsia="仿宋" w:cs="仿宋"/>
                <w:sz w:val="18"/>
                <w:szCs w:val="18"/>
              </w:rPr>
            </w:pPr>
            <w:r>
              <w:rPr>
                <w:rFonts w:hint="eastAsia" w:ascii="仿宋" w:hAnsi="仿宋" w:eastAsia="仿宋" w:cs="仿宋"/>
                <w:sz w:val="18"/>
                <w:szCs w:val="18"/>
              </w:rPr>
              <w:t>序号</w:t>
            </w:r>
          </w:p>
        </w:tc>
        <w:tc>
          <w:tcPr>
            <w:tcW w:w="1436" w:type="dxa"/>
            <w:shd w:val="clear" w:color="auto" w:fill="BFBFBF"/>
            <w:vAlign w:val="center"/>
          </w:tcPr>
          <w:p>
            <w:pPr>
              <w:jc w:val="center"/>
              <w:rPr>
                <w:rFonts w:ascii="仿宋" w:hAnsi="仿宋" w:eastAsia="仿宋" w:cs="仿宋"/>
                <w:sz w:val="18"/>
                <w:szCs w:val="18"/>
              </w:rPr>
            </w:pPr>
            <w:r>
              <w:rPr>
                <w:rFonts w:hint="eastAsia" w:ascii="仿宋" w:hAnsi="仿宋" w:eastAsia="仿宋" w:cs="仿宋"/>
                <w:sz w:val="18"/>
                <w:szCs w:val="18"/>
              </w:rPr>
              <w:t>中文名称</w:t>
            </w:r>
          </w:p>
        </w:tc>
        <w:tc>
          <w:tcPr>
            <w:tcW w:w="1541" w:type="dxa"/>
            <w:shd w:val="clear" w:color="auto" w:fill="BFBFBF"/>
            <w:vAlign w:val="center"/>
          </w:tcPr>
          <w:p>
            <w:pPr>
              <w:jc w:val="center"/>
              <w:rPr>
                <w:rFonts w:ascii="仿宋" w:hAnsi="仿宋" w:eastAsia="仿宋" w:cs="仿宋"/>
                <w:sz w:val="18"/>
                <w:szCs w:val="18"/>
              </w:rPr>
            </w:pPr>
            <w:r>
              <w:rPr>
                <w:rFonts w:hint="eastAsia" w:ascii="仿宋" w:hAnsi="仿宋" w:eastAsia="仿宋" w:cs="仿宋"/>
                <w:sz w:val="18"/>
                <w:szCs w:val="18"/>
              </w:rPr>
              <w:t>字段类型</w:t>
            </w:r>
          </w:p>
        </w:tc>
        <w:tc>
          <w:tcPr>
            <w:tcW w:w="1134" w:type="dxa"/>
            <w:shd w:val="clear" w:color="auto" w:fill="BFBFBF"/>
            <w:vAlign w:val="center"/>
          </w:tcPr>
          <w:p>
            <w:pPr>
              <w:jc w:val="center"/>
              <w:rPr>
                <w:rFonts w:ascii="仿宋" w:hAnsi="仿宋" w:eastAsia="仿宋" w:cs="仿宋"/>
                <w:sz w:val="18"/>
                <w:szCs w:val="18"/>
              </w:rPr>
            </w:pPr>
            <w:r>
              <w:rPr>
                <w:rFonts w:hint="eastAsia" w:ascii="仿宋" w:hAnsi="仿宋" w:eastAsia="仿宋" w:cs="仿宋"/>
                <w:sz w:val="18"/>
                <w:szCs w:val="18"/>
              </w:rPr>
              <w:t>字段长度</w:t>
            </w:r>
          </w:p>
        </w:tc>
        <w:tc>
          <w:tcPr>
            <w:tcW w:w="992" w:type="dxa"/>
            <w:shd w:val="clear" w:color="auto" w:fill="BFBFBF"/>
            <w:vAlign w:val="center"/>
          </w:tcPr>
          <w:p>
            <w:pPr>
              <w:jc w:val="center"/>
              <w:rPr>
                <w:rFonts w:ascii="仿宋" w:hAnsi="仿宋" w:eastAsia="仿宋" w:cs="仿宋"/>
                <w:sz w:val="18"/>
                <w:szCs w:val="18"/>
              </w:rPr>
            </w:pPr>
            <w:r>
              <w:rPr>
                <w:rFonts w:hint="eastAsia" w:ascii="仿宋" w:hAnsi="仿宋" w:eastAsia="仿宋" w:cs="仿宋"/>
                <w:sz w:val="18"/>
                <w:szCs w:val="18"/>
              </w:rPr>
              <w:t>小数位数</w:t>
            </w:r>
          </w:p>
        </w:tc>
        <w:tc>
          <w:tcPr>
            <w:tcW w:w="1276" w:type="dxa"/>
            <w:shd w:val="clear" w:color="auto" w:fill="BFBFBF"/>
            <w:vAlign w:val="center"/>
          </w:tcPr>
          <w:p>
            <w:pPr>
              <w:jc w:val="center"/>
              <w:rPr>
                <w:rFonts w:ascii="仿宋" w:hAnsi="仿宋" w:eastAsia="仿宋" w:cs="仿宋"/>
                <w:sz w:val="18"/>
                <w:szCs w:val="18"/>
              </w:rPr>
            </w:pPr>
            <w:r>
              <w:rPr>
                <w:rFonts w:hint="eastAsia" w:ascii="仿宋" w:hAnsi="仿宋" w:eastAsia="仿宋" w:cs="仿宋"/>
                <w:sz w:val="18"/>
                <w:szCs w:val="18"/>
              </w:rPr>
              <w:t>值域</w:t>
            </w:r>
          </w:p>
        </w:tc>
        <w:tc>
          <w:tcPr>
            <w:tcW w:w="2268" w:type="dxa"/>
            <w:shd w:val="clear" w:color="auto" w:fill="BFBFBF"/>
            <w:vAlign w:val="center"/>
          </w:tcPr>
          <w:p>
            <w:pPr>
              <w:jc w:val="center"/>
              <w:rPr>
                <w:rFonts w:ascii="仿宋" w:hAnsi="仿宋" w:eastAsia="仿宋" w:cs="仿宋"/>
                <w:sz w:val="18"/>
                <w:szCs w:val="18"/>
              </w:rPr>
            </w:pPr>
            <w:r>
              <w:rPr>
                <w:rFonts w:hint="eastAsia" w:ascii="仿宋" w:hAnsi="仿宋" w:eastAsia="仿宋" w:cs="仿宋"/>
                <w:color w:val="000000"/>
                <w:kern w:val="0"/>
                <w:sz w:val="18"/>
                <w:szCs w:val="18"/>
              </w:rPr>
              <w:t>是否必填（</w:t>
            </w:r>
            <w:r>
              <w:rPr>
                <w:rFonts w:hint="eastAsia" w:ascii="仿宋" w:hAnsi="仿宋" w:eastAsia="仿宋" w:cs="仿宋"/>
                <w:kern w:val="0"/>
                <w:szCs w:val="21"/>
              </w:rPr>
              <w:t>▲</w:t>
            </w:r>
            <w:r>
              <w:rPr>
                <w:rFonts w:hint="eastAsia" w:ascii="仿宋" w:hAnsi="仿宋" w:eastAsia="仿宋" w:cs="仿宋"/>
                <w:color w:val="000000"/>
                <w:kern w:val="0"/>
                <w:sz w:val="18"/>
                <w:szCs w:val="18"/>
              </w:rPr>
              <w:t>为必填，△为条件必填，○为选填）</w:t>
            </w:r>
          </w:p>
        </w:tc>
        <w:tc>
          <w:tcPr>
            <w:tcW w:w="3581" w:type="dxa"/>
            <w:shd w:val="clear" w:color="auto" w:fill="BFBFBF"/>
            <w:vAlign w:val="center"/>
          </w:tcPr>
          <w:p>
            <w:pPr>
              <w:jc w:val="center"/>
              <w:rPr>
                <w:rFonts w:ascii="仿宋" w:hAnsi="仿宋" w:eastAsia="仿宋" w:cs="仿宋"/>
                <w:sz w:val="18"/>
                <w:szCs w:val="18"/>
              </w:rPr>
            </w:pPr>
            <w:r>
              <w:rPr>
                <w:rFonts w:hint="eastAsia" w:ascii="仿宋" w:hAnsi="仿宋" w:eastAsia="仿宋" w:cs="仿宋"/>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tcPr>
          <w:p>
            <w:pPr>
              <w:pStyle w:val="80"/>
              <w:numPr>
                <w:ilvl w:val="0"/>
                <w:numId w:val="61"/>
              </w:numPr>
              <w:spacing w:line="360" w:lineRule="auto"/>
              <w:ind w:firstLineChars="0"/>
              <w:jc w:val="center"/>
              <w:rPr>
                <w:rFonts w:ascii="仿宋" w:hAnsi="仿宋" w:eastAsia="仿宋" w:cs="仿宋"/>
              </w:rPr>
            </w:pPr>
          </w:p>
        </w:tc>
        <w:tc>
          <w:tcPr>
            <w:tcW w:w="1436" w:type="dxa"/>
            <w:vAlign w:val="center"/>
          </w:tcPr>
          <w:p>
            <w:pPr>
              <w:jc w:val="center"/>
              <w:rPr>
                <w:rFonts w:ascii="仿宋" w:hAnsi="仿宋" w:eastAsia="仿宋" w:cs="仿宋"/>
                <w:sz w:val="18"/>
                <w:szCs w:val="18"/>
              </w:rPr>
            </w:pPr>
            <w:r>
              <w:rPr>
                <w:rFonts w:hint="eastAsia" w:ascii="仿宋" w:hAnsi="仿宋" w:eastAsia="仿宋" w:cs="仿宋"/>
                <w:sz w:val="18"/>
                <w:szCs w:val="18"/>
              </w:rPr>
              <w:t>标识码</w:t>
            </w:r>
          </w:p>
        </w:tc>
        <w:tc>
          <w:tcPr>
            <w:tcW w:w="1541"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134" w:type="dxa"/>
            <w:vAlign w:val="center"/>
          </w:tcPr>
          <w:p>
            <w:pPr>
              <w:jc w:val="center"/>
              <w:rPr>
                <w:rFonts w:ascii="仿宋" w:hAnsi="仿宋" w:eastAsia="仿宋" w:cs="仿宋"/>
                <w:sz w:val="18"/>
                <w:szCs w:val="18"/>
              </w:rPr>
            </w:pPr>
            <w:r>
              <w:rPr>
                <w:rFonts w:hint="eastAsia" w:ascii="仿宋" w:hAnsi="仿宋" w:eastAsia="仿宋" w:cs="仿宋"/>
                <w:sz w:val="18"/>
                <w:szCs w:val="18"/>
              </w:rPr>
              <w:t>25</w:t>
            </w:r>
          </w:p>
        </w:tc>
        <w:tc>
          <w:tcPr>
            <w:tcW w:w="992" w:type="dxa"/>
            <w:vAlign w:val="center"/>
          </w:tcPr>
          <w:p>
            <w:pPr>
              <w:jc w:val="center"/>
              <w:rPr>
                <w:rFonts w:ascii="仿宋" w:hAnsi="仿宋" w:eastAsia="仿宋" w:cs="仿宋"/>
                <w:sz w:val="18"/>
                <w:szCs w:val="18"/>
              </w:rPr>
            </w:pPr>
          </w:p>
        </w:tc>
        <w:tc>
          <w:tcPr>
            <w:tcW w:w="1276" w:type="dxa"/>
            <w:vAlign w:val="center"/>
          </w:tcPr>
          <w:p>
            <w:pPr>
              <w:jc w:val="center"/>
              <w:rPr>
                <w:rFonts w:ascii="仿宋" w:hAnsi="仿宋" w:eastAsia="仿宋" w:cs="仿宋"/>
                <w:sz w:val="18"/>
                <w:szCs w:val="18"/>
              </w:rPr>
            </w:pPr>
          </w:p>
        </w:tc>
        <w:tc>
          <w:tcPr>
            <w:tcW w:w="2268" w:type="dxa"/>
            <w:vAlign w:val="center"/>
          </w:tcPr>
          <w:p>
            <w:pPr>
              <w:jc w:val="center"/>
              <w:rPr>
                <w:rFonts w:ascii="仿宋" w:hAnsi="仿宋" w:eastAsia="仿宋" w:cs="仿宋"/>
                <w:sz w:val="18"/>
                <w:szCs w:val="18"/>
              </w:rPr>
            </w:pPr>
            <w:r>
              <w:rPr>
                <w:rFonts w:hint="eastAsia" w:ascii="仿宋" w:hAnsi="仿宋" w:eastAsia="仿宋" w:cs="仿宋"/>
                <w:kern w:val="0"/>
                <w:szCs w:val="21"/>
              </w:rPr>
              <w:t>▲</w:t>
            </w:r>
          </w:p>
        </w:tc>
        <w:tc>
          <w:tcPr>
            <w:tcW w:w="3581" w:type="dxa"/>
            <w:vAlign w:val="center"/>
          </w:tcPr>
          <w:p>
            <w:pPr>
              <w:jc w:val="center"/>
              <w:rPr>
                <w:rFonts w:ascii="仿宋" w:hAnsi="仿宋" w:eastAsia="仿宋" w:cs="仿宋"/>
                <w:sz w:val="18"/>
                <w:szCs w:val="18"/>
              </w:rPr>
            </w:pPr>
            <w:r>
              <w:rPr>
                <w:rFonts w:hint="eastAsia" w:ascii="仿宋" w:hAnsi="仿宋" w:eastAsia="仿宋" w:cs="仿宋"/>
                <w:sz w:val="18"/>
                <w:szCs w:val="18"/>
              </w:rPr>
              <w:t>见管线点号编号方法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tcPr>
          <w:p>
            <w:pPr>
              <w:pStyle w:val="80"/>
              <w:numPr>
                <w:ilvl w:val="0"/>
                <w:numId w:val="61"/>
              </w:numPr>
              <w:spacing w:line="360" w:lineRule="auto"/>
              <w:ind w:firstLineChars="0"/>
              <w:jc w:val="center"/>
              <w:rPr>
                <w:rFonts w:ascii="仿宋" w:hAnsi="仿宋" w:eastAsia="仿宋" w:cs="仿宋"/>
              </w:rPr>
            </w:pPr>
          </w:p>
        </w:tc>
        <w:tc>
          <w:tcPr>
            <w:tcW w:w="1436" w:type="dxa"/>
            <w:vAlign w:val="center"/>
          </w:tcPr>
          <w:p>
            <w:pPr>
              <w:jc w:val="center"/>
              <w:rPr>
                <w:rFonts w:ascii="仿宋" w:hAnsi="仿宋" w:eastAsia="仿宋" w:cs="仿宋"/>
                <w:sz w:val="18"/>
                <w:szCs w:val="18"/>
              </w:rPr>
            </w:pPr>
            <w:r>
              <w:rPr>
                <w:rFonts w:hint="eastAsia" w:ascii="仿宋" w:hAnsi="仿宋" w:eastAsia="仿宋" w:cs="仿宋"/>
                <w:sz w:val="18"/>
                <w:szCs w:val="18"/>
              </w:rPr>
              <w:t>X坐标</w:t>
            </w:r>
          </w:p>
        </w:tc>
        <w:tc>
          <w:tcPr>
            <w:tcW w:w="1541" w:type="dxa"/>
            <w:vAlign w:val="center"/>
          </w:tcPr>
          <w:p>
            <w:pPr>
              <w:jc w:val="center"/>
              <w:rPr>
                <w:rFonts w:ascii="仿宋" w:hAnsi="仿宋" w:eastAsia="仿宋" w:cs="仿宋"/>
                <w:sz w:val="18"/>
                <w:szCs w:val="18"/>
              </w:rPr>
            </w:pPr>
            <w:r>
              <w:rPr>
                <w:rFonts w:hint="eastAsia" w:ascii="仿宋" w:hAnsi="仿宋" w:eastAsia="仿宋" w:cs="仿宋"/>
                <w:sz w:val="18"/>
                <w:szCs w:val="18"/>
              </w:rPr>
              <w:t>双精度</w:t>
            </w:r>
          </w:p>
        </w:tc>
        <w:tc>
          <w:tcPr>
            <w:tcW w:w="1134" w:type="dxa"/>
            <w:vAlign w:val="center"/>
          </w:tcPr>
          <w:p>
            <w:pPr>
              <w:jc w:val="center"/>
              <w:rPr>
                <w:rFonts w:ascii="仿宋" w:hAnsi="仿宋" w:eastAsia="仿宋" w:cs="仿宋"/>
                <w:sz w:val="18"/>
                <w:szCs w:val="18"/>
              </w:rPr>
            </w:pPr>
          </w:p>
        </w:tc>
        <w:tc>
          <w:tcPr>
            <w:tcW w:w="992" w:type="dxa"/>
            <w:vAlign w:val="center"/>
          </w:tcPr>
          <w:p>
            <w:pPr>
              <w:jc w:val="center"/>
              <w:rPr>
                <w:rFonts w:ascii="仿宋" w:hAnsi="仿宋" w:eastAsia="仿宋" w:cs="仿宋"/>
                <w:sz w:val="18"/>
                <w:szCs w:val="18"/>
              </w:rPr>
            </w:pPr>
            <w:r>
              <w:rPr>
                <w:rFonts w:hint="eastAsia" w:ascii="仿宋" w:hAnsi="仿宋" w:eastAsia="仿宋" w:cs="仿宋"/>
                <w:sz w:val="18"/>
                <w:szCs w:val="18"/>
              </w:rPr>
              <w:t>3</w:t>
            </w:r>
          </w:p>
        </w:tc>
        <w:tc>
          <w:tcPr>
            <w:tcW w:w="1276" w:type="dxa"/>
            <w:vAlign w:val="center"/>
          </w:tcPr>
          <w:p>
            <w:pPr>
              <w:jc w:val="center"/>
              <w:rPr>
                <w:rFonts w:ascii="仿宋" w:hAnsi="仿宋" w:eastAsia="仿宋" w:cs="仿宋"/>
                <w:sz w:val="18"/>
                <w:szCs w:val="18"/>
              </w:rPr>
            </w:pPr>
          </w:p>
        </w:tc>
        <w:tc>
          <w:tcPr>
            <w:tcW w:w="2268" w:type="dxa"/>
          </w:tcPr>
          <w:p>
            <w:pPr>
              <w:jc w:val="center"/>
              <w:rPr>
                <w:rFonts w:ascii="仿宋" w:hAnsi="仿宋" w:eastAsia="仿宋" w:cs="仿宋"/>
                <w:sz w:val="18"/>
                <w:szCs w:val="18"/>
              </w:rPr>
            </w:pPr>
            <w:r>
              <w:rPr>
                <w:rFonts w:hint="eastAsia" w:ascii="仿宋" w:hAnsi="仿宋" w:eastAsia="仿宋" w:cs="仿宋"/>
                <w:kern w:val="0"/>
                <w:szCs w:val="21"/>
              </w:rPr>
              <w:t>▲</w:t>
            </w:r>
          </w:p>
        </w:tc>
        <w:tc>
          <w:tcPr>
            <w:tcW w:w="3581"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tcPr>
          <w:p>
            <w:pPr>
              <w:pStyle w:val="80"/>
              <w:numPr>
                <w:ilvl w:val="0"/>
                <w:numId w:val="61"/>
              </w:numPr>
              <w:spacing w:line="360" w:lineRule="auto"/>
              <w:ind w:firstLineChars="0"/>
              <w:jc w:val="center"/>
              <w:rPr>
                <w:rFonts w:ascii="仿宋" w:hAnsi="仿宋" w:eastAsia="仿宋" w:cs="仿宋"/>
              </w:rPr>
            </w:pPr>
          </w:p>
        </w:tc>
        <w:tc>
          <w:tcPr>
            <w:tcW w:w="1436" w:type="dxa"/>
            <w:vAlign w:val="center"/>
          </w:tcPr>
          <w:p>
            <w:pPr>
              <w:jc w:val="center"/>
              <w:rPr>
                <w:rFonts w:ascii="仿宋" w:hAnsi="仿宋" w:eastAsia="仿宋" w:cs="仿宋"/>
                <w:sz w:val="18"/>
                <w:szCs w:val="18"/>
              </w:rPr>
            </w:pPr>
            <w:r>
              <w:rPr>
                <w:rFonts w:hint="eastAsia" w:ascii="仿宋" w:hAnsi="仿宋" w:eastAsia="仿宋" w:cs="仿宋"/>
                <w:sz w:val="18"/>
                <w:szCs w:val="18"/>
              </w:rPr>
              <w:t>Y坐标</w:t>
            </w:r>
          </w:p>
        </w:tc>
        <w:tc>
          <w:tcPr>
            <w:tcW w:w="1541" w:type="dxa"/>
            <w:vAlign w:val="center"/>
          </w:tcPr>
          <w:p>
            <w:pPr>
              <w:jc w:val="center"/>
              <w:rPr>
                <w:rFonts w:ascii="仿宋" w:hAnsi="仿宋" w:eastAsia="仿宋" w:cs="仿宋"/>
                <w:sz w:val="18"/>
                <w:szCs w:val="18"/>
              </w:rPr>
            </w:pPr>
            <w:r>
              <w:rPr>
                <w:rFonts w:hint="eastAsia" w:ascii="仿宋" w:hAnsi="仿宋" w:eastAsia="仿宋" w:cs="仿宋"/>
                <w:sz w:val="18"/>
                <w:szCs w:val="18"/>
              </w:rPr>
              <w:t>双精度</w:t>
            </w:r>
          </w:p>
        </w:tc>
        <w:tc>
          <w:tcPr>
            <w:tcW w:w="1134" w:type="dxa"/>
            <w:vAlign w:val="center"/>
          </w:tcPr>
          <w:p>
            <w:pPr>
              <w:jc w:val="center"/>
              <w:rPr>
                <w:rFonts w:ascii="仿宋" w:hAnsi="仿宋" w:eastAsia="仿宋" w:cs="仿宋"/>
                <w:sz w:val="18"/>
                <w:szCs w:val="18"/>
              </w:rPr>
            </w:pPr>
            <w:r>
              <w:rPr>
                <w:rFonts w:hint="eastAsia" w:ascii="仿宋" w:hAnsi="仿宋" w:eastAsia="仿宋" w:cs="仿宋"/>
                <w:sz w:val="18"/>
                <w:szCs w:val="18"/>
              </w:rPr>
              <w:t>1</w:t>
            </w:r>
          </w:p>
        </w:tc>
        <w:tc>
          <w:tcPr>
            <w:tcW w:w="992" w:type="dxa"/>
            <w:vAlign w:val="center"/>
          </w:tcPr>
          <w:p>
            <w:pPr>
              <w:jc w:val="center"/>
              <w:rPr>
                <w:rFonts w:ascii="仿宋" w:hAnsi="仿宋" w:eastAsia="仿宋" w:cs="仿宋"/>
                <w:sz w:val="18"/>
                <w:szCs w:val="18"/>
              </w:rPr>
            </w:pPr>
            <w:r>
              <w:rPr>
                <w:rFonts w:hint="eastAsia" w:ascii="仿宋" w:hAnsi="仿宋" w:eastAsia="仿宋" w:cs="仿宋"/>
                <w:sz w:val="18"/>
                <w:szCs w:val="18"/>
              </w:rPr>
              <w:t>3</w:t>
            </w:r>
          </w:p>
        </w:tc>
        <w:tc>
          <w:tcPr>
            <w:tcW w:w="1276" w:type="dxa"/>
            <w:vAlign w:val="center"/>
          </w:tcPr>
          <w:p>
            <w:pPr>
              <w:jc w:val="center"/>
              <w:rPr>
                <w:rFonts w:ascii="仿宋" w:hAnsi="仿宋" w:eastAsia="仿宋" w:cs="仿宋"/>
                <w:sz w:val="18"/>
                <w:szCs w:val="18"/>
              </w:rPr>
            </w:pPr>
          </w:p>
        </w:tc>
        <w:tc>
          <w:tcPr>
            <w:tcW w:w="2268" w:type="dxa"/>
          </w:tcPr>
          <w:p>
            <w:pPr>
              <w:jc w:val="center"/>
              <w:rPr>
                <w:rFonts w:ascii="仿宋" w:hAnsi="仿宋" w:eastAsia="仿宋" w:cs="仿宋"/>
                <w:sz w:val="18"/>
                <w:szCs w:val="18"/>
              </w:rPr>
            </w:pPr>
            <w:r>
              <w:rPr>
                <w:rFonts w:hint="eastAsia" w:ascii="仿宋" w:hAnsi="仿宋" w:eastAsia="仿宋" w:cs="仿宋"/>
                <w:kern w:val="0"/>
                <w:szCs w:val="21"/>
              </w:rPr>
              <w:t>▲</w:t>
            </w:r>
          </w:p>
        </w:tc>
        <w:tc>
          <w:tcPr>
            <w:tcW w:w="3581"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tcPr>
          <w:p>
            <w:pPr>
              <w:pStyle w:val="80"/>
              <w:numPr>
                <w:ilvl w:val="0"/>
                <w:numId w:val="61"/>
              </w:numPr>
              <w:spacing w:line="360" w:lineRule="auto"/>
              <w:ind w:firstLineChars="0"/>
              <w:jc w:val="center"/>
              <w:rPr>
                <w:rFonts w:ascii="仿宋" w:hAnsi="仿宋" w:eastAsia="仿宋" w:cs="仿宋"/>
              </w:rPr>
            </w:pPr>
          </w:p>
        </w:tc>
        <w:tc>
          <w:tcPr>
            <w:tcW w:w="1436" w:type="dxa"/>
            <w:vAlign w:val="center"/>
          </w:tcPr>
          <w:p>
            <w:pPr>
              <w:jc w:val="center"/>
              <w:rPr>
                <w:rFonts w:ascii="仿宋" w:hAnsi="仿宋" w:eastAsia="仿宋" w:cs="仿宋"/>
                <w:sz w:val="18"/>
                <w:szCs w:val="18"/>
              </w:rPr>
            </w:pPr>
            <w:r>
              <w:rPr>
                <w:rFonts w:hint="eastAsia" w:ascii="仿宋" w:hAnsi="仿宋" w:eastAsia="仿宋" w:cs="仿宋"/>
                <w:sz w:val="18"/>
                <w:szCs w:val="18"/>
              </w:rPr>
              <w:t>地面高程</w:t>
            </w:r>
          </w:p>
        </w:tc>
        <w:tc>
          <w:tcPr>
            <w:tcW w:w="1541" w:type="dxa"/>
            <w:vAlign w:val="center"/>
          </w:tcPr>
          <w:p>
            <w:pPr>
              <w:jc w:val="center"/>
              <w:rPr>
                <w:rFonts w:ascii="仿宋" w:hAnsi="仿宋" w:eastAsia="仿宋" w:cs="仿宋"/>
                <w:sz w:val="18"/>
                <w:szCs w:val="18"/>
              </w:rPr>
            </w:pPr>
            <w:r>
              <w:rPr>
                <w:rFonts w:hint="eastAsia" w:ascii="仿宋" w:hAnsi="仿宋" w:eastAsia="仿宋" w:cs="仿宋"/>
                <w:sz w:val="18"/>
                <w:szCs w:val="18"/>
              </w:rPr>
              <w:t>双精度</w:t>
            </w:r>
          </w:p>
        </w:tc>
        <w:tc>
          <w:tcPr>
            <w:tcW w:w="1134" w:type="dxa"/>
            <w:vAlign w:val="center"/>
          </w:tcPr>
          <w:p>
            <w:pPr>
              <w:jc w:val="center"/>
              <w:rPr>
                <w:rFonts w:ascii="仿宋" w:hAnsi="仿宋" w:eastAsia="仿宋" w:cs="仿宋"/>
                <w:sz w:val="18"/>
                <w:szCs w:val="18"/>
              </w:rPr>
            </w:pPr>
          </w:p>
        </w:tc>
        <w:tc>
          <w:tcPr>
            <w:tcW w:w="992" w:type="dxa"/>
            <w:vAlign w:val="center"/>
          </w:tcPr>
          <w:p>
            <w:pPr>
              <w:jc w:val="center"/>
              <w:rPr>
                <w:rFonts w:ascii="仿宋" w:hAnsi="仿宋" w:eastAsia="仿宋" w:cs="仿宋"/>
                <w:sz w:val="18"/>
                <w:szCs w:val="18"/>
              </w:rPr>
            </w:pPr>
            <w:r>
              <w:rPr>
                <w:rFonts w:hint="eastAsia" w:ascii="仿宋" w:hAnsi="仿宋" w:eastAsia="仿宋" w:cs="仿宋"/>
                <w:sz w:val="18"/>
                <w:szCs w:val="18"/>
              </w:rPr>
              <w:t>2</w:t>
            </w:r>
          </w:p>
        </w:tc>
        <w:tc>
          <w:tcPr>
            <w:tcW w:w="1276" w:type="dxa"/>
            <w:vAlign w:val="center"/>
          </w:tcPr>
          <w:p>
            <w:pPr>
              <w:jc w:val="center"/>
              <w:rPr>
                <w:rFonts w:ascii="仿宋" w:hAnsi="仿宋" w:eastAsia="仿宋" w:cs="仿宋"/>
                <w:sz w:val="18"/>
                <w:szCs w:val="18"/>
              </w:rPr>
            </w:pPr>
          </w:p>
        </w:tc>
        <w:tc>
          <w:tcPr>
            <w:tcW w:w="2268" w:type="dxa"/>
          </w:tcPr>
          <w:p>
            <w:pPr>
              <w:jc w:val="center"/>
              <w:rPr>
                <w:rFonts w:ascii="仿宋" w:hAnsi="仿宋" w:eastAsia="仿宋" w:cs="仿宋"/>
                <w:sz w:val="18"/>
                <w:szCs w:val="18"/>
              </w:rPr>
            </w:pPr>
            <w:r>
              <w:rPr>
                <w:rFonts w:hint="eastAsia" w:ascii="仿宋" w:hAnsi="仿宋" w:eastAsia="仿宋" w:cs="仿宋"/>
                <w:kern w:val="0"/>
                <w:szCs w:val="21"/>
              </w:rPr>
              <w:t>▲</w:t>
            </w:r>
          </w:p>
        </w:tc>
        <w:tc>
          <w:tcPr>
            <w:tcW w:w="3581"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tcPr>
          <w:p>
            <w:pPr>
              <w:pStyle w:val="80"/>
              <w:numPr>
                <w:ilvl w:val="0"/>
                <w:numId w:val="61"/>
              </w:numPr>
              <w:spacing w:line="360" w:lineRule="auto"/>
              <w:ind w:firstLineChars="0"/>
              <w:jc w:val="center"/>
              <w:rPr>
                <w:rFonts w:ascii="仿宋" w:hAnsi="仿宋" w:eastAsia="仿宋" w:cs="仿宋"/>
              </w:rPr>
            </w:pPr>
          </w:p>
        </w:tc>
        <w:tc>
          <w:tcPr>
            <w:tcW w:w="1436" w:type="dxa"/>
            <w:vAlign w:val="center"/>
          </w:tcPr>
          <w:p>
            <w:pPr>
              <w:jc w:val="center"/>
              <w:rPr>
                <w:rFonts w:ascii="仿宋" w:hAnsi="仿宋" w:eastAsia="仿宋" w:cs="仿宋"/>
                <w:sz w:val="18"/>
                <w:szCs w:val="18"/>
              </w:rPr>
            </w:pPr>
            <w:r>
              <w:rPr>
                <w:rFonts w:hint="eastAsia" w:ascii="仿宋" w:hAnsi="仿宋" w:eastAsia="仿宋" w:cs="仿宋"/>
                <w:sz w:val="18"/>
                <w:szCs w:val="18"/>
              </w:rPr>
              <w:t>隐患地点</w:t>
            </w:r>
          </w:p>
        </w:tc>
        <w:tc>
          <w:tcPr>
            <w:tcW w:w="1541" w:type="dxa"/>
            <w:vAlign w:val="center"/>
          </w:tcPr>
          <w:p>
            <w:pPr>
              <w:jc w:val="center"/>
              <w:rPr>
                <w:rFonts w:ascii="仿宋" w:hAnsi="仿宋" w:eastAsia="仿宋" w:cs="仿宋"/>
                <w:szCs w:val="22"/>
              </w:rPr>
            </w:pPr>
            <w:r>
              <w:rPr>
                <w:rFonts w:hint="eastAsia" w:ascii="仿宋" w:hAnsi="仿宋" w:eastAsia="仿宋" w:cs="仿宋"/>
                <w:sz w:val="18"/>
                <w:szCs w:val="18"/>
              </w:rPr>
              <w:t>字符型</w:t>
            </w:r>
          </w:p>
        </w:tc>
        <w:tc>
          <w:tcPr>
            <w:tcW w:w="1134" w:type="dxa"/>
            <w:vAlign w:val="center"/>
          </w:tcPr>
          <w:p>
            <w:pPr>
              <w:jc w:val="center"/>
              <w:rPr>
                <w:rFonts w:ascii="仿宋" w:hAnsi="仿宋" w:eastAsia="仿宋" w:cs="仿宋"/>
                <w:sz w:val="18"/>
                <w:szCs w:val="18"/>
              </w:rPr>
            </w:pPr>
            <w:r>
              <w:rPr>
                <w:rFonts w:hint="eastAsia" w:ascii="仿宋" w:hAnsi="仿宋" w:eastAsia="仿宋" w:cs="仿宋"/>
                <w:sz w:val="18"/>
                <w:szCs w:val="18"/>
              </w:rPr>
              <w:t>300</w:t>
            </w:r>
          </w:p>
        </w:tc>
        <w:tc>
          <w:tcPr>
            <w:tcW w:w="992" w:type="dxa"/>
            <w:vAlign w:val="center"/>
          </w:tcPr>
          <w:p>
            <w:pPr>
              <w:jc w:val="center"/>
              <w:rPr>
                <w:rFonts w:ascii="仿宋" w:hAnsi="仿宋" w:eastAsia="仿宋" w:cs="仿宋"/>
                <w:sz w:val="18"/>
                <w:szCs w:val="18"/>
              </w:rPr>
            </w:pPr>
          </w:p>
        </w:tc>
        <w:tc>
          <w:tcPr>
            <w:tcW w:w="1276" w:type="dxa"/>
            <w:vAlign w:val="center"/>
          </w:tcPr>
          <w:p>
            <w:pPr>
              <w:jc w:val="center"/>
              <w:rPr>
                <w:rFonts w:ascii="仿宋" w:hAnsi="仿宋" w:eastAsia="仿宋" w:cs="仿宋"/>
                <w:sz w:val="18"/>
                <w:szCs w:val="18"/>
              </w:rPr>
            </w:pPr>
          </w:p>
        </w:tc>
        <w:tc>
          <w:tcPr>
            <w:tcW w:w="2268" w:type="dxa"/>
            <w:vAlign w:val="center"/>
          </w:tcPr>
          <w:p>
            <w:pPr>
              <w:jc w:val="center"/>
              <w:rPr>
                <w:rFonts w:ascii="仿宋" w:hAnsi="仿宋" w:eastAsia="仿宋" w:cs="仿宋"/>
                <w:sz w:val="18"/>
                <w:szCs w:val="18"/>
              </w:rPr>
            </w:pPr>
            <w:r>
              <w:rPr>
                <w:rFonts w:hint="eastAsia" w:ascii="仿宋" w:hAnsi="仿宋" w:eastAsia="仿宋" w:cs="仿宋"/>
                <w:kern w:val="0"/>
                <w:szCs w:val="21"/>
              </w:rPr>
              <w:t>▲</w:t>
            </w:r>
          </w:p>
        </w:tc>
        <w:tc>
          <w:tcPr>
            <w:tcW w:w="3581"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tcPr>
          <w:p>
            <w:pPr>
              <w:pStyle w:val="80"/>
              <w:numPr>
                <w:ilvl w:val="0"/>
                <w:numId w:val="61"/>
              </w:numPr>
              <w:spacing w:line="360" w:lineRule="auto"/>
              <w:ind w:firstLineChars="0"/>
              <w:jc w:val="center"/>
              <w:rPr>
                <w:rFonts w:ascii="仿宋" w:hAnsi="仿宋" w:eastAsia="仿宋" w:cs="仿宋"/>
              </w:rPr>
            </w:pPr>
          </w:p>
        </w:tc>
        <w:tc>
          <w:tcPr>
            <w:tcW w:w="1436" w:type="dxa"/>
            <w:vAlign w:val="center"/>
          </w:tcPr>
          <w:p>
            <w:pPr>
              <w:jc w:val="center"/>
              <w:rPr>
                <w:rFonts w:ascii="仿宋" w:hAnsi="仿宋" w:eastAsia="仿宋" w:cs="仿宋"/>
                <w:sz w:val="18"/>
                <w:szCs w:val="18"/>
              </w:rPr>
            </w:pPr>
            <w:r>
              <w:rPr>
                <w:rFonts w:hint="eastAsia" w:ascii="仿宋" w:hAnsi="仿宋" w:eastAsia="仿宋" w:cs="仿宋"/>
                <w:sz w:val="18"/>
                <w:szCs w:val="18"/>
              </w:rPr>
              <w:t>隐患类别</w:t>
            </w:r>
          </w:p>
        </w:tc>
        <w:tc>
          <w:tcPr>
            <w:tcW w:w="1541"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134" w:type="dxa"/>
            <w:vAlign w:val="center"/>
          </w:tcPr>
          <w:p>
            <w:pPr>
              <w:jc w:val="center"/>
              <w:rPr>
                <w:rFonts w:ascii="仿宋" w:hAnsi="仿宋" w:eastAsia="仿宋" w:cs="仿宋"/>
                <w:sz w:val="18"/>
                <w:szCs w:val="18"/>
              </w:rPr>
            </w:pPr>
            <w:r>
              <w:rPr>
                <w:rFonts w:ascii="仿宋" w:hAnsi="仿宋" w:eastAsia="仿宋" w:cs="仿宋"/>
                <w:sz w:val="18"/>
                <w:szCs w:val="18"/>
              </w:rPr>
              <w:t>15</w:t>
            </w:r>
          </w:p>
        </w:tc>
        <w:tc>
          <w:tcPr>
            <w:tcW w:w="992" w:type="dxa"/>
            <w:vAlign w:val="center"/>
          </w:tcPr>
          <w:p>
            <w:pPr>
              <w:jc w:val="center"/>
              <w:rPr>
                <w:rFonts w:ascii="仿宋" w:hAnsi="仿宋" w:eastAsia="仿宋" w:cs="仿宋"/>
                <w:sz w:val="18"/>
                <w:szCs w:val="18"/>
              </w:rPr>
            </w:pPr>
          </w:p>
        </w:tc>
        <w:tc>
          <w:tcPr>
            <w:tcW w:w="1276" w:type="dxa"/>
            <w:vAlign w:val="center"/>
          </w:tcPr>
          <w:p>
            <w:pPr>
              <w:jc w:val="center"/>
              <w:rPr>
                <w:rFonts w:ascii="仿宋" w:hAnsi="仿宋" w:eastAsia="仿宋" w:cs="仿宋"/>
                <w:sz w:val="18"/>
                <w:szCs w:val="18"/>
              </w:rPr>
            </w:pPr>
            <w:r>
              <w:rPr>
                <w:rFonts w:hint="eastAsia" w:ascii="仿宋" w:hAnsi="仿宋" w:eastAsia="仿宋" w:cs="仿宋"/>
                <w:sz w:val="18"/>
                <w:szCs w:val="18"/>
              </w:rPr>
              <w:t>见附录M</w:t>
            </w:r>
          </w:p>
        </w:tc>
        <w:tc>
          <w:tcPr>
            <w:tcW w:w="2268" w:type="dxa"/>
            <w:vAlign w:val="center"/>
          </w:tcPr>
          <w:p>
            <w:pPr>
              <w:jc w:val="center"/>
              <w:rPr>
                <w:rFonts w:ascii="仿宋" w:hAnsi="仿宋" w:eastAsia="仿宋" w:cs="仿宋"/>
                <w:color w:val="000000"/>
                <w:kern w:val="0"/>
                <w:sz w:val="18"/>
                <w:szCs w:val="18"/>
              </w:rPr>
            </w:pPr>
            <w:r>
              <w:rPr>
                <w:rFonts w:hint="eastAsia" w:ascii="仿宋" w:hAnsi="仿宋" w:eastAsia="仿宋" w:cs="仿宋"/>
                <w:kern w:val="0"/>
                <w:szCs w:val="21"/>
              </w:rPr>
              <w:t>▲</w:t>
            </w:r>
          </w:p>
        </w:tc>
        <w:tc>
          <w:tcPr>
            <w:tcW w:w="3581" w:type="dxa"/>
            <w:vAlign w:val="center"/>
          </w:tcPr>
          <w:p>
            <w:pPr>
              <w:rPr>
                <w:rFonts w:ascii="仿宋" w:hAnsi="仿宋" w:eastAsia="仿宋" w:cs="仿宋"/>
                <w:sz w:val="18"/>
                <w:szCs w:val="18"/>
              </w:rPr>
            </w:pPr>
            <w:r>
              <w:rPr>
                <w:rFonts w:hint="eastAsia" w:ascii="仿宋" w:hAnsi="仿宋" w:eastAsia="仿宋" w:cs="仿宋"/>
                <w:sz w:val="18"/>
                <w:szCs w:val="18"/>
              </w:rPr>
              <w:t xml:space="preserve"> 多种</w:t>
            </w:r>
            <w:r>
              <w:rPr>
                <w:rFonts w:ascii="仿宋" w:hAnsi="仿宋" w:eastAsia="仿宋" w:cs="仿宋"/>
                <w:sz w:val="18"/>
                <w:szCs w:val="18"/>
              </w:rPr>
              <w:t>类别以</w:t>
            </w:r>
            <w:r>
              <w:rPr>
                <w:rFonts w:hint="eastAsia" w:ascii="仿宋" w:hAnsi="仿宋" w:eastAsia="仿宋" w:cs="仿宋"/>
                <w:sz w:val="18"/>
                <w:szCs w:val="18"/>
              </w:rPr>
              <w:t>逗号分隔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tcPr>
          <w:p>
            <w:pPr>
              <w:pStyle w:val="80"/>
              <w:numPr>
                <w:ilvl w:val="0"/>
                <w:numId w:val="61"/>
              </w:numPr>
              <w:spacing w:line="360" w:lineRule="auto"/>
              <w:ind w:firstLineChars="0"/>
              <w:jc w:val="center"/>
              <w:rPr>
                <w:rFonts w:ascii="仿宋" w:hAnsi="仿宋" w:eastAsia="仿宋" w:cs="仿宋"/>
              </w:rPr>
            </w:pPr>
          </w:p>
        </w:tc>
        <w:tc>
          <w:tcPr>
            <w:tcW w:w="1436" w:type="dxa"/>
            <w:vAlign w:val="center"/>
          </w:tcPr>
          <w:p>
            <w:pPr>
              <w:jc w:val="center"/>
              <w:rPr>
                <w:rFonts w:ascii="仿宋" w:hAnsi="仿宋" w:eastAsia="仿宋" w:cs="仿宋"/>
                <w:sz w:val="18"/>
                <w:szCs w:val="18"/>
              </w:rPr>
            </w:pPr>
            <w:r>
              <w:rPr>
                <w:rFonts w:hint="eastAsia" w:ascii="仿宋" w:hAnsi="仿宋" w:eastAsia="仿宋" w:cs="仿宋"/>
                <w:sz w:val="18"/>
                <w:szCs w:val="18"/>
              </w:rPr>
              <w:t>隐患部位</w:t>
            </w:r>
          </w:p>
        </w:tc>
        <w:tc>
          <w:tcPr>
            <w:tcW w:w="1541"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134" w:type="dxa"/>
            <w:vAlign w:val="center"/>
          </w:tcPr>
          <w:p>
            <w:pPr>
              <w:jc w:val="center"/>
              <w:rPr>
                <w:rFonts w:ascii="仿宋" w:hAnsi="仿宋" w:eastAsia="仿宋" w:cs="仿宋"/>
                <w:sz w:val="18"/>
                <w:szCs w:val="18"/>
              </w:rPr>
            </w:pPr>
            <w:r>
              <w:rPr>
                <w:rFonts w:hint="eastAsia" w:ascii="仿宋" w:hAnsi="仿宋" w:eastAsia="仿宋" w:cs="仿宋"/>
                <w:sz w:val="18"/>
                <w:szCs w:val="18"/>
              </w:rPr>
              <w:t>300</w:t>
            </w:r>
          </w:p>
        </w:tc>
        <w:tc>
          <w:tcPr>
            <w:tcW w:w="992" w:type="dxa"/>
            <w:vAlign w:val="center"/>
          </w:tcPr>
          <w:p>
            <w:pPr>
              <w:jc w:val="center"/>
              <w:rPr>
                <w:rFonts w:ascii="仿宋" w:hAnsi="仿宋" w:eastAsia="仿宋" w:cs="仿宋"/>
                <w:sz w:val="18"/>
                <w:szCs w:val="18"/>
              </w:rPr>
            </w:pPr>
          </w:p>
        </w:tc>
        <w:tc>
          <w:tcPr>
            <w:tcW w:w="1276" w:type="dxa"/>
            <w:vAlign w:val="center"/>
          </w:tcPr>
          <w:p>
            <w:pPr>
              <w:jc w:val="center"/>
              <w:rPr>
                <w:rFonts w:ascii="仿宋" w:hAnsi="仿宋" w:eastAsia="仿宋" w:cs="仿宋"/>
                <w:sz w:val="18"/>
                <w:szCs w:val="18"/>
              </w:rPr>
            </w:pPr>
          </w:p>
        </w:tc>
        <w:tc>
          <w:tcPr>
            <w:tcW w:w="2268" w:type="dxa"/>
            <w:vAlign w:val="center"/>
          </w:tcPr>
          <w:p>
            <w:pPr>
              <w:jc w:val="center"/>
              <w:rPr>
                <w:rFonts w:ascii="仿宋" w:hAnsi="仿宋" w:eastAsia="仿宋" w:cs="仿宋"/>
                <w:color w:val="000000"/>
                <w:kern w:val="0"/>
                <w:sz w:val="18"/>
                <w:szCs w:val="18"/>
              </w:rPr>
            </w:pPr>
            <w:r>
              <w:rPr>
                <w:rFonts w:hint="eastAsia" w:ascii="仿宋" w:hAnsi="仿宋" w:eastAsia="仿宋" w:cs="仿宋"/>
                <w:kern w:val="0"/>
                <w:szCs w:val="21"/>
              </w:rPr>
              <w:t>▲</w:t>
            </w:r>
          </w:p>
        </w:tc>
        <w:tc>
          <w:tcPr>
            <w:tcW w:w="3581"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tcPr>
          <w:p>
            <w:pPr>
              <w:pStyle w:val="80"/>
              <w:numPr>
                <w:ilvl w:val="0"/>
                <w:numId w:val="61"/>
              </w:numPr>
              <w:spacing w:line="360" w:lineRule="auto"/>
              <w:ind w:firstLineChars="0"/>
              <w:jc w:val="center"/>
              <w:rPr>
                <w:rFonts w:ascii="仿宋" w:hAnsi="仿宋" w:eastAsia="仿宋" w:cs="仿宋"/>
              </w:rPr>
            </w:pPr>
          </w:p>
        </w:tc>
        <w:tc>
          <w:tcPr>
            <w:tcW w:w="1436" w:type="dxa"/>
            <w:vAlign w:val="center"/>
          </w:tcPr>
          <w:p>
            <w:pPr>
              <w:jc w:val="center"/>
              <w:rPr>
                <w:rFonts w:ascii="仿宋" w:hAnsi="仿宋" w:eastAsia="仿宋" w:cs="仿宋"/>
                <w:sz w:val="18"/>
                <w:szCs w:val="18"/>
              </w:rPr>
            </w:pPr>
            <w:r>
              <w:rPr>
                <w:rFonts w:hint="eastAsia" w:ascii="仿宋" w:hAnsi="仿宋" w:eastAsia="仿宋" w:cs="仿宋"/>
                <w:sz w:val="18"/>
                <w:szCs w:val="18"/>
              </w:rPr>
              <w:t>隐患描述</w:t>
            </w:r>
          </w:p>
        </w:tc>
        <w:tc>
          <w:tcPr>
            <w:tcW w:w="1541"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134" w:type="dxa"/>
            <w:vAlign w:val="center"/>
          </w:tcPr>
          <w:p>
            <w:pPr>
              <w:jc w:val="center"/>
              <w:rPr>
                <w:rFonts w:ascii="仿宋" w:hAnsi="仿宋" w:eastAsia="仿宋" w:cs="仿宋"/>
                <w:sz w:val="18"/>
                <w:szCs w:val="18"/>
              </w:rPr>
            </w:pPr>
            <w:r>
              <w:rPr>
                <w:rFonts w:hint="eastAsia" w:ascii="仿宋" w:hAnsi="仿宋" w:eastAsia="仿宋" w:cs="仿宋"/>
                <w:sz w:val="18"/>
                <w:szCs w:val="18"/>
              </w:rPr>
              <w:t>2000</w:t>
            </w:r>
          </w:p>
        </w:tc>
        <w:tc>
          <w:tcPr>
            <w:tcW w:w="992" w:type="dxa"/>
            <w:vAlign w:val="center"/>
          </w:tcPr>
          <w:p>
            <w:pPr>
              <w:jc w:val="center"/>
              <w:rPr>
                <w:rFonts w:ascii="仿宋" w:hAnsi="仿宋" w:eastAsia="仿宋" w:cs="仿宋"/>
                <w:sz w:val="18"/>
                <w:szCs w:val="18"/>
              </w:rPr>
            </w:pPr>
          </w:p>
        </w:tc>
        <w:tc>
          <w:tcPr>
            <w:tcW w:w="1276" w:type="dxa"/>
            <w:vAlign w:val="center"/>
          </w:tcPr>
          <w:p>
            <w:pPr>
              <w:jc w:val="center"/>
              <w:rPr>
                <w:rFonts w:ascii="仿宋" w:hAnsi="仿宋" w:eastAsia="仿宋" w:cs="仿宋"/>
                <w:sz w:val="18"/>
                <w:szCs w:val="18"/>
              </w:rPr>
            </w:pPr>
          </w:p>
        </w:tc>
        <w:tc>
          <w:tcPr>
            <w:tcW w:w="2268" w:type="dxa"/>
            <w:vAlign w:val="center"/>
          </w:tcPr>
          <w:p>
            <w:pPr>
              <w:jc w:val="center"/>
              <w:rPr>
                <w:rFonts w:ascii="仿宋" w:hAnsi="仿宋" w:eastAsia="仿宋" w:cs="仿宋"/>
                <w:color w:val="000000"/>
                <w:kern w:val="0"/>
                <w:sz w:val="18"/>
                <w:szCs w:val="18"/>
              </w:rPr>
            </w:pPr>
            <w:r>
              <w:rPr>
                <w:rFonts w:hint="eastAsia" w:ascii="仿宋" w:hAnsi="仿宋" w:eastAsia="仿宋" w:cs="仿宋"/>
                <w:kern w:val="0"/>
                <w:szCs w:val="21"/>
              </w:rPr>
              <w:t>▲</w:t>
            </w:r>
          </w:p>
        </w:tc>
        <w:tc>
          <w:tcPr>
            <w:tcW w:w="3581"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tcPr>
          <w:p>
            <w:pPr>
              <w:pStyle w:val="80"/>
              <w:numPr>
                <w:ilvl w:val="0"/>
                <w:numId w:val="61"/>
              </w:numPr>
              <w:spacing w:line="360" w:lineRule="auto"/>
              <w:ind w:firstLineChars="0"/>
              <w:jc w:val="center"/>
              <w:rPr>
                <w:rFonts w:ascii="仿宋" w:hAnsi="仿宋" w:eastAsia="仿宋" w:cs="仿宋"/>
              </w:rPr>
            </w:pPr>
          </w:p>
        </w:tc>
        <w:tc>
          <w:tcPr>
            <w:tcW w:w="1436" w:type="dxa"/>
            <w:vAlign w:val="center"/>
          </w:tcPr>
          <w:p>
            <w:pPr>
              <w:jc w:val="center"/>
              <w:rPr>
                <w:rFonts w:ascii="仿宋" w:hAnsi="仿宋" w:eastAsia="仿宋" w:cs="仿宋"/>
                <w:sz w:val="18"/>
                <w:szCs w:val="18"/>
              </w:rPr>
            </w:pPr>
            <w:r>
              <w:rPr>
                <w:rFonts w:hint="eastAsia" w:ascii="仿宋" w:hAnsi="仿宋" w:eastAsia="仿宋" w:cs="仿宋"/>
                <w:sz w:val="18"/>
                <w:szCs w:val="18"/>
              </w:rPr>
              <w:t>是否</w:t>
            </w:r>
            <w:r>
              <w:rPr>
                <w:rFonts w:ascii="仿宋" w:hAnsi="仿宋" w:eastAsia="仿宋" w:cs="仿宋"/>
                <w:sz w:val="18"/>
                <w:szCs w:val="18"/>
              </w:rPr>
              <w:t>有隐患照片</w:t>
            </w:r>
          </w:p>
        </w:tc>
        <w:tc>
          <w:tcPr>
            <w:tcW w:w="1541"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134" w:type="dxa"/>
            <w:vAlign w:val="center"/>
          </w:tcPr>
          <w:p>
            <w:pPr>
              <w:jc w:val="center"/>
              <w:rPr>
                <w:rFonts w:ascii="仿宋" w:hAnsi="仿宋" w:eastAsia="仿宋" w:cs="仿宋"/>
                <w:sz w:val="18"/>
                <w:szCs w:val="18"/>
              </w:rPr>
            </w:pPr>
            <w:r>
              <w:rPr>
                <w:rFonts w:hint="eastAsia" w:ascii="仿宋" w:hAnsi="仿宋" w:eastAsia="仿宋" w:cs="仿宋"/>
                <w:sz w:val="18"/>
                <w:szCs w:val="18"/>
              </w:rPr>
              <w:t>2</w:t>
            </w:r>
          </w:p>
        </w:tc>
        <w:tc>
          <w:tcPr>
            <w:tcW w:w="992" w:type="dxa"/>
            <w:vAlign w:val="center"/>
          </w:tcPr>
          <w:p>
            <w:pPr>
              <w:jc w:val="center"/>
              <w:rPr>
                <w:rFonts w:ascii="仿宋" w:hAnsi="仿宋" w:eastAsia="仿宋" w:cs="仿宋"/>
                <w:sz w:val="18"/>
                <w:szCs w:val="18"/>
              </w:rPr>
            </w:pPr>
          </w:p>
        </w:tc>
        <w:tc>
          <w:tcPr>
            <w:tcW w:w="1276" w:type="dxa"/>
            <w:vAlign w:val="center"/>
          </w:tcPr>
          <w:p>
            <w:pPr>
              <w:jc w:val="center"/>
              <w:rPr>
                <w:rFonts w:ascii="仿宋" w:hAnsi="仿宋" w:eastAsia="仿宋" w:cs="仿宋"/>
                <w:sz w:val="18"/>
                <w:szCs w:val="18"/>
              </w:rPr>
            </w:pPr>
            <w:r>
              <w:rPr>
                <w:rFonts w:hint="eastAsia" w:ascii="仿宋" w:hAnsi="仿宋" w:eastAsia="仿宋" w:cs="仿宋"/>
                <w:sz w:val="18"/>
                <w:szCs w:val="18"/>
              </w:rPr>
              <w:t>是/否</w:t>
            </w:r>
          </w:p>
        </w:tc>
        <w:tc>
          <w:tcPr>
            <w:tcW w:w="2268" w:type="dxa"/>
            <w:vAlign w:val="center"/>
          </w:tcPr>
          <w:p>
            <w:pPr>
              <w:jc w:val="center"/>
              <w:rPr>
                <w:rFonts w:ascii="仿宋" w:hAnsi="仿宋" w:eastAsia="仿宋" w:cs="仿宋"/>
                <w:kern w:val="0"/>
                <w:szCs w:val="21"/>
              </w:rPr>
            </w:pPr>
            <w:r>
              <w:rPr>
                <w:rFonts w:hint="eastAsia" w:ascii="仿宋" w:hAnsi="仿宋" w:eastAsia="仿宋" w:cs="仿宋"/>
                <w:kern w:val="0"/>
                <w:szCs w:val="21"/>
              </w:rPr>
              <w:t>▲</w:t>
            </w:r>
          </w:p>
        </w:tc>
        <w:tc>
          <w:tcPr>
            <w:tcW w:w="3581" w:type="dxa"/>
            <w:vAlign w:val="center"/>
          </w:tcPr>
          <w:p>
            <w:pPr>
              <w:jc w:val="center"/>
              <w:rPr>
                <w:rFonts w:ascii="仿宋" w:hAnsi="仿宋" w:eastAsia="仿宋" w:cs="仿宋"/>
                <w:sz w:val="18"/>
                <w:szCs w:val="18"/>
              </w:rPr>
            </w:pPr>
            <w:r>
              <w:rPr>
                <w:rFonts w:hint="eastAsia" w:ascii="仿宋" w:hAnsi="仿宋" w:eastAsia="仿宋" w:cs="仿宋"/>
                <w:sz w:val="18"/>
                <w:szCs w:val="18"/>
              </w:rPr>
              <w:t>现场</w:t>
            </w:r>
            <w:r>
              <w:rPr>
                <w:rFonts w:ascii="仿宋" w:hAnsi="仿宋" w:eastAsia="仿宋" w:cs="仿宋"/>
                <w:sz w:val="18"/>
                <w:szCs w:val="18"/>
              </w:rPr>
              <w:t>可</w:t>
            </w:r>
            <w:r>
              <w:rPr>
                <w:rFonts w:hint="eastAsia" w:ascii="仿宋" w:hAnsi="仿宋" w:eastAsia="仿宋" w:cs="仿宋"/>
                <w:sz w:val="18"/>
                <w:szCs w:val="18"/>
              </w:rPr>
              <w:t>拍摄</w:t>
            </w:r>
            <w:r>
              <w:rPr>
                <w:rFonts w:ascii="仿宋" w:hAnsi="仿宋" w:eastAsia="仿宋" w:cs="仿宋"/>
                <w:sz w:val="18"/>
                <w:szCs w:val="18"/>
              </w:rPr>
              <w:t>隐患部位照片的填写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tcPr>
          <w:p>
            <w:pPr>
              <w:pStyle w:val="80"/>
              <w:numPr>
                <w:ilvl w:val="0"/>
                <w:numId w:val="61"/>
              </w:numPr>
              <w:spacing w:line="360" w:lineRule="auto"/>
              <w:ind w:firstLineChars="0"/>
              <w:jc w:val="center"/>
              <w:rPr>
                <w:rFonts w:ascii="仿宋" w:hAnsi="仿宋" w:eastAsia="仿宋" w:cs="仿宋"/>
              </w:rPr>
            </w:pPr>
          </w:p>
        </w:tc>
        <w:tc>
          <w:tcPr>
            <w:tcW w:w="1436" w:type="dxa"/>
            <w:vAlign w:val="center"/>
          </w:tcPr>
          <w:p>
            <w:pPr>
              <w:jc w:val="center"/>
              <w:rPr>
                <w:rFonts w:ascii="仿宋" w:hAnsi="仿宋" w:eastAsia="仿宋" w:cs="仿宋"/>
                <w:sz w:val="18"/>
                <w:szCs w:val="18"/>
              </w:rPr>
            </w:pPr>
            <w:r>
              <w:rPr>
                <w:rFonts w:ascii="仿宋" w:hAnsi="仿宋" w:eastAsia="仿宋" w:cs="仿宋"/>
                <w:sz w:val="18"/>
                <w:szCs w:val="18"/>
              </w:rPr>
              <w:t>隐患照片</w:t>
            </w:r>
            <w:r>
              <w:rPr>
                <w:rFonts w:hint="eastAsia" w:ascii="仿宋" w:hAnsi="仿宋" w:eastAsia="仿宋" w:cs="仿宋"/>
                <w:sz w:val="18"/>
                <w:szCs w:val="18"/>
              </w:rPr>
              <w:t>编号</w:t>
            </w:r>
          </w:p>
        </w:tc>
        <w:tc>
          <w:tcPr>
            <w:tcW w:w="1541"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134" w:type="dxa"/>
            <w:vAlign w:val="center"/>
          </w:tcPr>
          <w:p>
            <w:pPr>
              <w:jc w:val="center"/>
              <w:rPr>
                <w:rFonts w:ascii="仿宋" w:hAnsi="仿宋" w:eastAsia="仿宋" w:cs="仿宋"/>
                <w:sz w:val="18"/>
                <w:szCs w:val="18"/>
              </w:rPr>
            </w:pPr>
            <w:r>
              <w:rPr>
                <w:rFonts w:hint="eastAsia" w:ascii="仿宋" w:hAnsi="仿宋" w:eastAsia="仿宋" w:cs="仿宋"/>
                <w:sz w:val="18"/>
                <w:szCs w:val="18"/>
              </w:rPr>
              <w:t>25</w:t>
            </w:r>
          </w:p>
        </w:tc>
        <w:tc>
          <w:tcPr>
            <w:tcW w:w="992" w:type="dxa"/>
            <w:vAlign w:val="center"/>
          </w:tcPr>
          <w:p>
            <w:pPr>
              <w:jc w:val="center"/>
              <w:rPr>
                <w:rFonts w:ascii="仿宋" w:hAnsi="仿宋" w:eastAsia="仿宋" w:cs="仿宋"/>
                <w:sz w:val="18"/>
                <w:szCs w:val="18"/>
              </w:rPr>
            </w:pPr>
          </w:p>
        </w:tc>
        <w:tc>
          <w:tcPr>
            <w:tcW w:w="1276" w:type="dxa"/>
            <w:vAlign w:val="center"/>
          </w:tcPr>
          <w:p>
            <w:pPr>
              <w:jc w:val="center"/>
              <w:rPr>
                <w:rFonts w:ascii="仿宋" w:hAnsi="仿宋" w:eastAsia="仿宋" w:cs="仿宋"/>
                <w:sz w:val="18"/>
                <w:szCs w:val="18"/>
              </w:rPr>
            </w:pPr>
          </w:p>
        </w:tc>
        <w:tc>
          <w:tcPr>
            <w:tcW w:w="2268" w:type="dxa"/>
            <w:vAlign w:val="center"/>
          </w:tcPr>
          <w:p>
            <w:pPr>
              <w:jc w:val="center"/>
              <w:rPr>
                <w:rFonts w:ascii="仿宋" w:hAnsi="仿宋" w:eastAsia="仿宋" w:cs="仿宋"/>
                <w:kern w:val="0"/>
                <w:szCs w:val="21"/>
              </w:rPr>
            </w:pPr>
            <w:r>
              <w:rPr>
                <w:rFonts w:hint="eastAsia" w:ascii="仿宋" w:hAnsi="仿宋" w:eastAsia="仿宋" w:cs="仿宋"/>
                <w:color w:val="000000"/>
                <w:kern w:val="0"/>
                <w:sz w:val="18"/>
                <w:szCs w:val="18"/>
              </w:rPr>
              <w:t>△</w:t>
            </w:r>
          </w:p>
        </w:tc>
        <w:tc>
          <w:tcPr>
            <w:tcW w:w="3581" w:type="dxa"/>
            <w:vAlign w:val="center"/>
          </w:tcPr>
          <w:p>
            <w:pPr>
              <w:jc w:val="center"/>
              <w:rPr>
                <w:rFonts w:ascii="仿宋" w:hAnsi="仿宋" w:eastAsia="仿宋" w:cs="仿宋"/>
                <w:sz w:val="18"/>
                <w:szCs w:val="18"/>
              </w:rPr>
            </w:pPr>
            <w:r>
              <w:rPr>
                <w:rFonts w:hint="eastAsia" w:ascii="仿宋" w:hAnsi="仿宋" w:eastAsia="仿宋" w:cs="仿宋"/>
                <w:sz w:val="18"/>
                <w:szCs w:val="18"/>
              </w:rPr>
              <w:t>同</w:t>
            </w:r>
            <w:r>
              <w:rPr>
                <w:rFonts w:ascii="仿宋" w:hAnsi="仿宋" w:eastAsia="仿宋" w:cs="仿宋"/>
                <w:sz w:val="18"/>
                <w:szCs w:val="18"/>
              </w:rPr>
              <w:t>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tcPr>
          <w:p>
            <w:pPr>
              <w:pStyle w:val="80"/>
              <w:numPr>
                <w:ilvl w:val="0"/>
                <w:numId w:val="61"/>
              </w:numPr>
              <w:spacing w:line="360" w:lineRule="auto"/>
              <w:ind w:firstLineChars="0"/>
              <w:jc w:val="center"/>
              <w:rPr>
                <w:rFonts w:ascii="仿宋" w:hAnsi="仿宋" w:eastAsia="仿宋" w:cs="仿宋"/>
              </w:rPr>
            </w:pPr>
          </w:p>
        </w:tc>
        <w:tc>
          <w:tcPr>
            <w:tcW w:w="1436" w:type="dxa"/>
            <w:vAlign w:val="center"/>
          </w:tcPr>
          <w:p>
            <w:pPr>
              <w:jc w:val="center"/>
              <w:rPr>
                <w:rFonts w:ascii="仿宋" w:hAnsi="仿宋" w:eastAsia="仿宋" w:cs="仿宋"/>
                <w:sz w:val="18"/>
                <w:szCs w:val="18"/>
              </w:rPr>
            </w:pPr>
            <w:r>
              <w:rPr>
                <w:rFonts w:hint="eastAsia" w:ascii="仿宋" w:hAnsi="仿宋" w:eastAsia="仿宋" w:cs="仿宋"/>
                <w:sz w:val="18"/>
                <w:szCs w:val="18"/>
              </w:rPr>
              <w:t>责任单位</w:t>
            </w:r>
          </w:p>
        </w:tc>
        <w:tc>
          <w:tcPr>
            <w:tcW w:w="1541"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134" w:type="dxa"/>
            <w:vAlign w:val="center"/>
          </w:tcPr>
          <w:p>
            <w:pPr>
              <w:jc w:val="center"/>
              <w:rPr>
                <w:rFonts w:ascii="仿宋" w:hAnsi="仿宋" w:eastAsia="仿宋" w:cs="仿宋"/>
                <w:sz w:val="18"/>
                <w:szCs w:val="18"/>
              </w:rPr>
            </w:pPr>
            <w:r>
              <w:rPr>
                <w:rFonts w:hint="eastAsia" w:ascii="仿宋" w:hAnsi="仿宋" w:eastAsia="仿宋" w:cs="仿宋"/>
                <w:sz w:val="18"/>
                <w:szCs w:val="18"/>
              </w:rPr>
              <w:t>200</w:t>
            </w:r>
          </w:p>
        </w:tc>
        <w:tc>
          <w:tcPr>
            <w:tcW w:w="992" w:type="dxa"/>
            <w:vAlign w:val="center"/>
          </w:tcPr>
          <w:p>
            <w:pPr>
              <w:jc w:val="center"/>
              <w:rPr>
                <w:rFonts w:ascii="仿宋" w:hAnsi="仿宋" w:eastAsia="仿宋" w:cs="仿宋"/>
                <w:sz w:val="18"/>
                <w:szCs w:val="18"/>
              </w:rPr>
            </w:pPr>
          </w:p>
        </w:tc>
        <w:tc>
          <w:tcPr>
            <w:tcW w:w="1276" w:type="dxa"/>
            <w:vAlign w:val="center"/>
          </w:tcPr>
          <w:p>
            <w:pPr>
              <w:jc w:val="center"/>
              <w:rPr>
                <w:rFonts w:ascii="仿宋" w:hAnsi="仿宋" w:eastAsia="仿宋" w:cs="仿宋"/>
                <w:sz w:val="18"/>
                <w:szCs w:val="18"/>
              </w:rPr>
            </w:pPr>
          </w:p>
        </w:tc>
        <w:tc>
          <w:tcPr>
            <w:tcW w:w="2268" w:type="dxa"/>
            <w:vAlign w:val="center"/>
          </w:tcPr>
          <w:p>
            <w:pPr>
              <w:jc w:val="center"/>
              <w:rPr>
                <w:rFonts w:ascii="仿宋" w:hAnsi="仿宋" w:eastAsia="仿宋" w:cs="仿宋"/>
                <w:color w:val="000000"/>
                <w:kern w:val="0"/>
                <w:sz w:val="18"/>
                <w:szCs w:val="18"/>
              </w:rPr>
            </w:pPr>
            <w:r>
              <w:rPr>
                <w:rFonts w:hint="eastAsia" w:ascii="仿宋" w:hAnsi="仿宋" w:eastAsia="仿宋" w:cs="仿宋"/>
                <w:kern w:val="0"/>
                <w:szCs w:val="21"/>
              </w:rPr>
              <w:t>▲</w:t>
            </w:r>
          </w:p>
        </w:tc>
        <w:tc>
          <w:tcPr>
            <w:tcW w:w="3581"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tcPr>
          <w:p>
            <w:pPr>
              <w:pStyle w:val="80"/>
              <w:numPr>
                <w:ilvl w:val="0"/>
                <w:numId w:val="61"/>
              </w:numPr>
              <w:spacing w:line="360" w:lineRule="auto"/>
              <w:ind w:firstLineChars="0"/>
              <w:jc w:val="center"/>
              <w:rPr>
                <w:rFonts w:ascii="仿宋" w:hAnsi="仿宋" w:eastAsia="仿宋" w:cs="仿宋"/>
              </w:rPr>
            </w:pPr>
          </w:p>
        </w:tc>
        <w:tc>
          <w:tcPr>
            <w:tcW w:w="1436" w:type="dxa"/>
            <w:vAlign w:val="center"/>
          </w:tcPr>
          <w:p>
            <w:pPr>
              <w:jc w:val="center"/>
              <w:rPr>
                <w:rFonts w:ascii="仿宋" w:hAnsi="仿宋" w:eastAsia="仿宋" w:cs="仿宋"/>
                <w:sz w:val="18"/>
                <w:szCs w:val="18"/>
              </w:rPr>
            </w:pPr>
            <w:r>
              <w:rPr>
                <w:rFonts w:hint="eastAsia" w:ascii="仿宋" w:hAnsi="仿宋" w:eastAsia="仿宋" w:cs="仿宋"/>
                <w:sz w:val="18"/>
                <w:szCs w:val="18"/>
              </w:rPr>
              <w:t>责任人</w:t>
            </w:r>
          </w:p>
        </w:tc>
        <w:tc>
          <w:tcPr>
            <w:tcW w:w="1541"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134" w:type="dxa"/>
            <w:vAlign w:val="center"/>
          </w:tcPr>
          <w:p>
            <w:pPr>
              <w:jc w:val="center"/>
              <w:rPr>
                <w:rFonts w:ascii="仿宋" w:hAnsi="仿宋" w:eastAsia="仿宋" w:cs="仿宋"/>
                <w:sz w:val="18"/>
                <w:szCs w:val="18"/>
              </w:rPr>
            </w:pPr>
            <w:r>
              <w:rPr>
                <w:rFonts w:hint="eastAsia" w:ascii="仿宋" w:hAnsi="仿宋" w:eastAsia="仿宋" w:cs="仿宋"/>
                <w:sz w:val="18"/>
                <w:szCs w:val="18"/>
              </w:rPr>
              <w:t>30</w:t>
            </w:r>
          </w:p>
        </w:tc>
        <w:tc>
          <w:tcPr>
            <w:tcW w:w="992" w:type="dxa"/>
            <w:vAlign w:val="center"/>
          </w:tcPr>
          <w:p>
            <w:pPr>
              <w:jc w:val="center"/>
              <w:rPr>
                <w:rFonts w:ascii="仿宋" w:hAnsi="仿宋" w:eastAsia="仿宋" w:cs="仿宋"/>
                <w:sz w:val="18"/>
                <w:szCs w:val="18"/>
              </w:rPr>
            </w:pPr>
          </w:p>
        </w:tc>
        <w:tc>
          <w:tcPr>
            <w:tcW w:w="1276" w:type="dxa"/>
            <w:vAlign w:val="center"/>
          </w:tcPr>
          <w:p>
            <w:pPr>
              <w:jc w:val="center"/>
              <w:rPr>
                <w:rFonts w:ascii="仿宋" w:hAnsi="仿宋" w:eastAsia="仿宋" w:cs="仿宋"/>
                <w:sz w:val="18"/>
                <w:szCs w:val="18"/>
              </w:rPr>
            </w:pPr>
          </w:p>
        </w:tc>
        <w:tc>
          <w:tcPr>
            <w:tcW w:w="2268" w:type="dxa"/>
            <w:vAlign w:val="center"/>
          </w:tcPr>
          <w:p>
            <w:pPr>
              <w:jc w:val="center"/>
              <w:rPr>
                <w:rFonts w:ascii="仿宋" w:hAnsi="仿宋" w:eastAsia="仿宋" w:cs="仿宋"/>
                <w:color w:val="000000"/>
                <w:kern w:val="0"/>
                <w:sz w:val="18"/>
                <w:szCs w:val="18"/>
              </w:rPr>
            </w:pPr>
            <w:r>
              <w:rPr>
                <w:rFonts w:hint="eastAsia" w:ascii="仿宋" w:hAnsi="仿宋" w:eastAsia="仿宋" w:cs="仿宋"/>
                <w:kern w:val="0"/>
                <w:szCs w:val="21"/>
              </w:rPr>
              <w:t>▲</w:t>
            </w:r>
          </w:p>
        </w:tc>
        <w:tc>
          <w:tcPr>
            <w:tcW w:w="3581"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tcPr>
          <w:p>
            <w:pPr>
              <w:pStyle w:val="80"/>
              <w:numPr>
                <w:ilvl w:val="0"/>
                <w:numId w:val="61"/>
              </w:numPr>
              <w:spacing w:line="360" w:lineRule="auto"/>
              <w:ind w:firstLineChars="0"/>
              <w:jc w:val="center"/>
              <w:rPr>
                <w:rFonts w:ascii="仿宋" w:hAnsi="仿宋" w:eastAsia="仿宋" w:cs="仿宋"/>
              </w:rPr>
            </w:pPr>
          </w:p>
        </w:tc>
        <w:tc>
          <w:tcPr>
            <w:tcW w:w="1436" w:type="dxa"/>
            <w:vAlign w:val="center"/>
          </w:tcPr>
          <w:p>
            <w:pPr>
              <w:jc w:val="center"/>
              <w:rPr>
                <w:rFonts w:ascii="仿宋" w:hAnsi="仿宋" w:eastAsia="仿宋" w:cs="仿宋"/>
                <w:sz w:val="18"/>
                <w:szCs w:val="18"/>
              </w:rPr>
            </w:pPr>
            <w:r>
              <w:rPr>
                <w:rFonts w:hint="eastAsia" w:ascii="仿宋" w:hAnsi="仿宋" w:eastAsia="仿宋" w:cs="仿宋"/>
                <w:sz w:val="18"/>
                <w:szCs w:val="18"/>
              </w:rPr>
              <w:t>安全标识</w:t>
            </w:r>
          </w:p>
        </w:tc>
        <w:tc>
          <w:tcPr>
            <w:tcW w:w="1541"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134" w:type="dxa"/>
            <w:vAlign w:val="center"/>
          </w:tcPr>
          <w:p>
            <w:pPr>
              <w:jc w:val="center"/>
              <w:rPr>
                <w:rFonts w:ascii="仿宋" w:hAnsi="仿宋" w:eastAsia="仿宋" w:cs="仿宋"/>
                <w:sz w:val="18"/>
                <w:szCs w:val="18"/>
              </w:rPr>
            </w:pPr>
            <w:r>
              <w:rPr>
                <w:rFonts w:hint="eastAsia" w:ascii="仿宋" w:hAnsi="仿宋" w:eastAsia="仿宋" w:cs="仿宋"/>
                <w:sz w:val="18"/>
                <w:szCs w:val="18"/>
              </w:rPr>
              <w:t>2</w:t>
            </w:r>
          </w:p>
        </w:tc>
        <w:tc>
          <w:tcPr>
            <w:tcW w:w="992" w:type="dxa"/>
            <w:vAlign w:val="center"/>
          </w:tcPr>
          <w:p>
            <w:pPr>
              <w:jc w:val="center"/>
              <w:rPr>
                <w:rFonts w:ascii="仿宋" w:hAnsi="仿宋" w:eastAsia="仿宋" w:cs="仿宋"/>
                <w:sz w:val="18"/>
                <w:szCs w:val="18"/>
              </w:rPr>
            </w:pPr>
          </w:p>
        </w:tc>
        <w:tc>
          <w:tcPr>
            <w:tcW w:w="1276" w:type="dxa"/>
            <w:vAlign w:val="center"/>
          </w:tcPr>
          <w:p>
            <w:pPr>
              <w:jc w:val="center"/>
              <w:rPr>
                <w:rFonts w:ascii="仿宋" w:hAnsi="仿宋" w:eastAsia="仿宋" w:cs="仿宋"/>
                <w:sz w:val="18"/>
                <w:szCs w:val="18"/>
              </w:rPr>
            </w:pPr>
            <w:r>
              <w:rPr>
                <w:rFonts w:hint="eastAsia" w:ascii="仿宋" w:hAnsi="仿宋" w:eastAsia="仿宋" w:cs="仿宋"/>
                <w:sz w:val="18"/>
                <w:szCs w:val="18"/>
              </w:rPr>
              <w:t>是/否</w:t>
            </w:r>
          </w:p>
        </w:tc>
        <w:tc>
          <w:tcPr>
            <w:tcW w:w="2268" w:type="dxa"/>
            <w:vAlign w:val="center"/>
          </w:tcPr>
          <w:p>
            <w:pPr>
              <w:jc w:val="center"/>
              <w:rPr>
                <w:rFonts w:ascii="仿宋" w:hAnsi="仿宋" w:eastAsia="仿宋" w:cs="仿宋"/>
                <w:color w:val="000000"/>
                <w:kern w:val="0"/>
                <w:sz w:val="18"/>
                <w:szCs w:val="18"/>
              </w:rPr>
            </w:pPr>
            <w:r>
              <w:rPr>
                <w:rFonts w:hint="eastAsia" w:ascii="仿宋" w:hAnsi="仿宋" w:eastAsia="仿宋" w:cs="仿宋"/>
                <w:kern w:val="0"/>
                <w:szCs w:val="21"/>
              </w:rPr>
              <w:t>▲</w:t>
            </w:r>
          </w:p>
        </w:tc>
        <w:tc>
          <w:tcPr>
            <w:tcW w:w="3581"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tcPr>
          <w:p>
            <w:pPr>
              <w:pStyle w:val="80"/>
              <w:numPr>
                <w:ilvl w:val="0"/>
                <w:numId w:val="61"/>
              </w:numPr>
              <w:spacing w:line="360" w:lineRule="auto"/>
              <w:ind w:firstLineChars="0"/>
              <w:jc w:val="center"/>
              <w:rPr>
                <w:rFonts w:ascii="仿宋" w:hAnsi="仿宋" w:eastAsia="仿宋" w:cs="仿宋"/>
              </w:rPr>
            </w:pPr>
          </w:p>
        </w:tc>
        <w:tc>
          <w:tcPr>
            <w:tcW w:w="1436" w:type="dxa"/>
            <w:vAlign w:val="center"/>
          </w:tcPr>
          <w:p>
            <w:pPr>
              <w:jc w:val="center"/>
              <w:rPr>
                <w:rFonts w:ascii="仿宋" w:hAnsi="仿宋" w:eastAsia="仿宋" w:cs="仿宋"/>
                <w:sz w:val="18"/>
                <w:szCs w:val="18"/>
              </w:rPr>
            </w:pPr>
            <w:r>
              <w:rPr>
                <w:rFonts w:hint="eastAsia" w:ascii="仿宋" w:hAnsi="仿宋" w:eastAsia="仿宋" w:cs="仿宋"/>
                <w:sz w:val="18"/>
                <w:szCs w:val="18"/>
              </w:rPr>
              <w:t>是否排查</w:t>
            </w:r>
          </w:p>
        </w:tc>
        <w:tc>
          <w:tcPr>
            <w:tcW w:w="1541"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134" w:type="dxa"/>
            <w:vAlign w:val="center"/>
          </w:tcPr>
          <w:p>
            <w:pPr>
              <w:jc w:val="center"/>
              <w:rPr>
                <w:rFonts w:ascii="仿宋" w:hAnsi="仿宋" w:eastAsia="仿宋" w:cs="仿宋"/>
                <w:sz w:val="18"/>
                <w:szCs w:val="18"/>
              </w:rPr>
            </w:pPr>
            <w:r>
              <w:rPr>
                <w:rFonts w:hint="eastAsia" w:ascii="仿宋" w:hAnsi="仿宋" w:eastAsia="仿宋" w:cs="仿宋"/>
                <w:sz w:val="18"/>
                <w:szCs w:val="18"/>
              </w:rPr>
              <w:t>2</w:t>
            </w:r>
          </w:p>
        </w:tc>
        <w:tc>
          <w:tcPr>
            <w:tcW w:w="992" w:type="dxa"/>
            <w:vAlign w:val="center"/>
          </w:tcPr>
          <w:p>
            <w:pPr>
              <w:jc w:val="center"/>
              <w:rPr>
                <w:rFonts w:ascii="仿宋" w:hAnsi="仿宋" w:eastAsia="仿宋" w:cs="仿宋"/>
                <w:sz w:val="18"/>
                <w:szCs w:val="18"/>
              </w:rPr>
            </w:pPr>
          </w:p>
        </w:tc>
        <w:tc>
          <w:tcPr>
            <w:tcW w:w="1276" w:type="dxa"/>
            <w:vAlign w:val="center"/>
          </w:tcPr>
          <w:p>
            <w:pPr>
              <w:jc w:val="center"/>
              <w:rPr>
                <w:rFonts w:ascii="仿宋" w:hAnsi="仿宋" w:eastAsia="仿宋" w:cs="仿宋"/>
                <w:sz w:val="18"/>
                <w:szCs w:val="18"/>
              </w:rPr>
            </w:pPr>
            <w:r>
              <w:rPr>
                <w:rFonts w:hint="eastAsia" w:ascii="仿宋" w:hAnsi="仿宋" w:eastAsia="仿宋" w:cs="仿宋"/>
                <w:sz w:val="18"/>
                <w:szCs w:val="18"/>
              </w:rPr>
              <w:t>是/否</w:t>
            </w:r>
          </w:p>
        </w:tc>
        <w:tc>
          <w:tcPr>
            <w:tcW w:w="2268" w:type="dxa"/>
            <w:vAlign w:val="center"/>
          </w:tcPr>
          <w:p>
            <w:pPr>
              <w:jc w:val="center"/>
              <w:rPr>
                <w:rFonts w:ascii="仿宋" w:hAnsi="仿宋" w:eastAsia="仿宋" w:cs="仿宋"/>
                <w:color w:val="000000"/>
                <w:kern w:val="0"/>
                <w:sz w:val="18"/>
                <w:szCs w:val="18"/>
              </w:rPr>
            </w:pPr>
            <w:r>
              <w:rPr>
                <w:rFonts w:hint="eastAsia" w:ascii="仿宋" w:hAnsi="仿宋" w:eastAsia="仿宋" w:cs="仿宋"/>
                <w:kern w:val="0"/>
                <w:szCs w:val="21"/>
              </w:rPr>
              <w:t>▲</w:t>
            </w:r>
          </w:p>
        </w:tc>
        <w:tc>
          <w:tcPr>
            <w:tcW w:w="3581"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tcPr>
          <w:p>
            <w:pPr>
              <w:pStyle w:val="80"/>
              <w:numPr>
                <w:ilvl w:val="0"/>
                <w:numId w:val="61"/>
              </w:numPr>
              <w:spacing w:line="360" w:lineRule="auto"/>
              <w:ind w:firstLineChars="0"/>
              <w:jc w:val="center"/>
              <w:rPr>
                <w:rFonts w:ascii="仿宋" w:hAnsi="仿宋" w:eastAsia="仿宋" w:cs="仿宋"/>
              </w:rPr>
            </w:pPr>
          </w:p>
        </w:tc>
        <w:tc>
          <w:tcPr>
            <w:tcW w:w="1436" w:type="dxa"/>
            <w:vAlign w:val="center"/>
          </w:tcPr>
          <w:p>
            <w:pPr>
              <w:jc w:val="center"/>
              <w:rPr>
                <w:rFonts w:ascii="仿宋" w:hAnsi="仿宋" w:eastAsia="仿宋" w:cs="仿宋"/>
                <w:sz w:val="18"/>
                <w:szCs w:val="18"/>
              </w:rPr>
            </w:pPr>
            <w:r>
              <w:rPr>
                <w:rFonts w:hint="eastAsia" w:ascii="仿宋" w:hAnsi="仿宋" w:eastAsia="仿宋" w:cs="仿宋"/>
                <w:sz w:val="18"/>
                <w:szCs w:val="18"/>
              </w:rPr>
              <w:t>整改措施</w:t>
            </w:r>
          </w:p>
        </w:tc>
        <w:tc>
          <w:tcPr>
            <w:tcW w:w="1541"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134" w:type="dxa"/>
            <w:vAlign w:val="center"/>
          </w:tcPr>
          <w:p>
            <w:pPr>
              <w:jc w:val="center"/>
              <w:rPr>
                <w:rFonts w:ascii="仿宋" w:hAnsi="仿宋" w:eastAsia="仿宋" w:cs="仿宋"/>
                <w:sz w:val="18"/>
                <w:szCs w:val="18"/>
              </w:rPr>
            </w:pPr>
            <w:r>
              <w:rPr>
                <w:rFonts w:hint="eastAsia" w:ascii="仿宋" w:hAnsi="仿宋" w:eastAsia="仿宋" w:cs="仿宋"/>
                <w:sz w:val="18"/>
                <w:szCs w:val="18"/>
              </w:rPr>
              <w:t>2</w:t>
            </w:r>
          </w:p>
        </w:tc>
        <w:tc>
          <w:tcPr>
            <w:tcW w:w="992" w:type="dxa"/>
            <w:vAlign w:val="center"/>
          </w:tcPr>
          <w:p>
            <w:pPr>
              <w:jc w:val="center"/>
              <w:rPr>
                <w:rFonts w:ascii="仿宋" w:hAnsi="仿宋" w:eastAsia="仿宋" w:cs="仿宋"/>
                <w:sz w:val="18"/>
                <w:szCs w:val="18"/>
              </w:rPr>
            </w:pPr>
          </w:p>
        </w:tc>
        <w:tc>
          <w:tcPr>
            <w:tcW w:w="1276" w:type="dxa"/>
            <w:vAlign w:val="center"/>
          </w:tcPr>
          <w:p>
            <w:pPr>
              <w:jc w:val="center"/>
              <w:rPr>
                <w:rFonts w:ascii="仿宋" w:hAnsi="仿宋" w:eastAsia="仿宋" w:cs="仿宋"/>
                <w:sz w:val="18"/>
                <w:szCs w:val="18"/>
              </w:rPr>
            </w:pPr>
            <w:r>
              <w:rPr>
                <w:rFonts w:hint="eastAsia" w:ascii="仿宋" w:hAnsi="仿宋" w:eastAsia="仿宋" w:cs="仿宋"/>
                <w:sz w:val="18"/>
                <w:szCs w:val="18"/>
              </w:rPr>
              <w:t>是/否</w:t>
            </w:r>
          </w:p>
        </w:tc>
        <w:tc>
          <w:tcPr>
            <w:tcW w:w="2268" w:type="dxa"/>
            <w:vAlign w:val="center"/>
          </w:tcPr>
          <w:p>
            <w:pPr>
              <w:jc w:val="center"/>
              <w:rPr>
                <w:rFonts w:ascii="仿宋" w:hAnsi="仿宋" w:eastAsia="仿宋" w:cs="仿宋"/>
                <w:color w:val="000000"/>
                <w:kern w:val="0"/>
                <w:sz w:val="18"/>
                <w:szCs w:val="18"/>
              </w:rPr>
            </w:pPr>
            <w:r>
              <w:rPr>
                <w:rFonts w:hint="eastAsia" w:ascii="仿宋" w:hAnsi="仿宋" w:eastAsia="仿宋" w:cs="仿宋"/>
                <w:kern w:val="0"/>
                <w:szCs w:val="21"/>
              </w:rPr>
              <w:t>▲</w:t>
            </w:r>
          </w:p>
        </w:tc>
        <w:tc>
          <w:tcPr>
            <w:tcW w:w="3581" w:type="dxa"/>
            <w:vAlign w:val="center"/>
          </w:tcPr>
          <w:p>
            <w:pPr>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tcPr>
          <w:p>
            <w:pPr>
              <w:pStyle w:val="80"/>
              <w:numPr>
                <w:ilvl w:val="0"/>
                <w:numId w:val="61"/>
              </w:numPr>
              <w:spacing w:line="360" w:lineRule="auto"/>
              <w:ind w:firstLineChars="0"/>
              <w:jc w:val="center"/>
              <w:rPr>
                <w:rFonts w:ascii="仿宋" w:hAnsi="仿宋" w:eastAsia="仿宋" w:cs="仿宋"/>
              </w:rPr>
            </w:pPr>
          </w:p>
        </w:tc>
        <w:tc>
          <w:tcPr>
            <w:tcW w:w="1436" w:type="dxa"/>
            <w:vAlign w:val="center"/>
          </w:tcPr>
          <w:p>
            <w:pPr>
              <w:jc w:val="center"/>
              <w:rPr>
                <w:rFonts w:ascii="仿宋" w:hAnsi="仿宋" w:eastAsia="仿宋" w:cs="仿宋"/>
                <w:sz w:val="18"/>
                <w:szCs w:val="18"/>
              </w:rPr>
            </w:pPr>
            <w:r>
              <w:rPr>
                <w:rFonts w:hint="eastAsia" w:ascii="仿宋" w:hAnsi="仿宋" w:eastAsia="仿宋" w:cs="仿宋"/>
                <w:sz w:val="18"/>
                <w:szCs w:val="18"/>
              </w:rPr>
              <w:t>采集日期</w:t>
            </w:r>
          </w:p>
        </w:tc>
        <w:tc>
          <w:tcPr>
            <w:tcW w:w="1541"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134"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992" w:type="dxa"/>
            <w:vAlign w:val="center"/>
          </w:tcPr>
          <w:p>
            <w:pPr>
              <w:jc w:val="center"/>
              <w:rPr>
                <w:rFonts w:ascii="仿宋" w:hAnsi="仿宋" w:eastAsia="仿宋" w:cs="仿宋"/>
                <w:sz w:val="18"/>
                <w:szCs w:val="18"/>
              </w:rPr>
            </w:pPr>
          </w:p>
        </w:tc>
        <w:tc>
          <w:tcPr>
            <w:tcW w:w="1276" w:type="dxa"/>
            <w:vAlign w:val="center"/>
          </w:tcPr>
          <w:p>
            <w:pPr>
              <w:jc w:val="center"/>
              <w:rPr>
                <w:rFonts w:ascii="仿宋" w:hAnsi="仿宋" w:eastAsia="仿宋" w:cs="仿宋"/>
                <w:sz w:val="18"/>
                <w:szCs w:val="18"/>
              </w:rPr>
            </w:pPr>
          </w:p>
        </w:tc>
        <w:tc>
          <w:tcPr>
            <w:tcW w:w="2268" w:type="dxa"/>
            <w:vAlign w:val="center"/>
          </w:tcPr>
          <w:p>
            <w:pPr>
              <w:jc w:val="center"/>
              <w:rPr>
                <w:rFonts w:ascii="仿宋" w:hAnsi="仿宋" w:eastAsia="仿宋" w:cs="仿宋"/>
                <w:color w:val="000000"/>
                <w:kern w:val="0"/>
                <w:sz w:val="18"/>
                <w:szCs w:val="18"/>
              </w:rPr>
            </w:pPr>
            <w:r>
              <w:rPr>
                <w:rFonts w:hint="eastAsia" w:ascii="仿宋" w:hAnsi="仿宋" w:eastAsia="仿宋" w:cs="仿宋"/>
                <w:kern w:val="0"/>
                <w:szCs w:val="21"/>
              </w:rPr>
              <w:t>▲</w:t>
            </w:r>
          </w:p>
        </w:tc>
        <w:tc>
          <w:tcPr>
            <w:tcW w:w="3581" w:type="dxa"/>
            <w:vAlign w:val="center"/>
          </w:tcPr>
          <w:p>
            <w:pPr>
              <w:jc w:val="center"/>
              <w:rPr>
                <w:rFonts w:ascii="仿宋" w:hAnsi="仿宋" w:eastAsia="仿宋" w:cs="仿宋"/>
                <w:sz w:val="18"/>
                <w:szCs w:val="18"/>
              </w:rPr>
            </w:pPr>
            <w:r>
              <w:rPr>
                <w:rFonts w:hint="eastAsia" w:ascii="仿宋" w:hAnsi="仿宋" w:eastAsia="仿宋" w:cs="仿宋"/>
                <w:sz w:val="18"/>
                <w:szCs w:val="18"/>
              </w:rPr>
              <w:t>采用“YYYY-MM-DD”格式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tcPr>
          <w:p>
            <w:pPr>
              <w:pStyle w:val="80"/>
              <w:numPr>
                <w:ilvl w:val="0"/>
                <w:numId w:val="61"/>
              </w:numPr>
              <w:spacing w:line="360" w:lineRule="auto"/>
              <w:ind w:firstLineChars="0"/>
              <w:jc w:val="center"/>
              <w:rPr>
                <w:rFonts w:ascii="仿宋" w:hAnsi="仿宋" w:eastAsia="仿宋" w:cs="仿宋"/>
              </w:rPr>
            </w:pPr>
          </w:p>
        </w:tc>
        <w:tc>
          <w:tcPr>
            <w:tcW w:w="1436" w:type="dxa"/>
            <w:vAlign w:val="center"/>
          </w:tcPr>
          <w:p>
            <w:pPr>
              <w:jc w:val="center"/>
              <w:rPr>
                <w:rFonts w:ascii="仿宋" w:hAnsi="仿宋" w:eastAsia="仿宋" w:cs="仿宋"/>
                <w:sz w:val="18"/>
                <w:szCs w:val="18"/>
              </w:rPr>
            </w:pPr>
            <w:r>
              <w:rPr>
                <w:rFonts w:hint="eastAsia" w:ascii="仿宋" w:hAnsi="仿宋" w:eastAsia="仿宋" w:cs="仿宋"/>
                <w:sz w:val="18"/>
                <w:szCs w:val="18"/>
              </w:rPr>
              <w:t>备注</w:t>
            </w:r>
          </w:p>
        </w:tc>
        <w:tc>
          <w:tcPr>
            <w:tcW w:w="1541" w:type="dxa"/>
            <w:vAlign w:val="center"/>
          </w:tcPr>
          <w:p>
            <w:pPr>
              <w:jc w:val="center"/>
              <w:rPr>
                <w:rFonts w:ascii="仿宋" w:hAnsi="仿宋" w:eastAsia="仿宋" w:cs="仿宋"/>
                <w:sz w:val="18"/>
                <w:szCs w:val="18"/>
              </w:rPr>
            </w:pPr>
            <w:r>
              <w:rPr>
                <w:rFonts w:hint="eastAsia" w:ascii="仿宋" w:hAnsi="仿宋" w:eastAsia="仿宋" w:cs="仿宋"/>
                <w:sz w:val="18"/>
                <w:szCs w:val="18"/>
              </w:rPr>
              <w:t>字符型</w:t>
            </w:r>
          </w:p>
        </w:tc>
        <w:tc>
          <w:tcPr>
            <w:tcW w:w="1134" w:type="dxa"/>
            <w:vAlign w:val="center"/>
          </w:tcPr>
          <w:p>
            <w:pPr>
              <w:jc w:val="center"/>
              <w:rPr>
                <w:rFonts w:ascii="仿宋" w:hAnsi="仿宋" w:eastAsia="仿宋" w:cs="仿宋"/>
                <w:sz w:val="18"/>
                <w:szCs w:val="18"/>
              </w:rPr>
            </w:pPr>
            <w:r>
              <w:rPr>
                <w:rFonts w:hint="eastAsia" w:ascii="仿宋" w:hAnsi="仿宋" w:eastAsia="仿宋" w:cs="仿宋"/>
                <w:sz w:val="18"/>
                <w:szCs w:val="18"/>
              </w:rPr>
              <w:t>100</w:t>
            </w:r>
          </w:p>
        </w:tc>
        <w:tc>
          <w:tcPr>
            <w:tcW w:w="992" w:type="dxa"/>
            <w:vAlign w:val="center"/>
          </w:tcPr>
          <w:p>
            <w:pPr>
              <w:jc w:val="center"/>
              <w:rPr>
                <w:rFonts w:ascii="仿宋" w:hAnsi="仿宋" w:eastAsia="仿宋" w:cs="仿宋"/>
                <w:sz w:val="18"/>
                <w:szCs w:val="18"/>
              </w:rPr>
            </w:pPr>
          </w:p>
        </w:tc>
        <w:tc>
          <w:tcPr>
            <w:tcW w:w="1276" w:type="dxa"/>
            <w:vAlign w:val="center"/>
          </w:tcPr>
          <w:p>
            <w:pPr>
              <w:jc w:val="center"/>
              <w:rPr>
                <w:rFonts w:ascii="仿宋" w:hAnsi="仿宋" w:eastAsia="仿宋" w:cs="仿宋"/>
                <w:sz w:val="18"/>
                <w:szCs w:val="18"/>
              </w:rPr>
            </w:pPr>
          </w:p>
        </w:tc>
        <w:tc>
          <w:tcPr>
            <w:tcW w:w="2268" w:type="dxa"/>
            <w:vAlign w:val="center"/>
          </w:tcPr>
          <w:p>
            <w:pPr>
              <w:jc w:val="center"/>
              <w:rPr>
                <w:rFonts w:ascii="仿宋" w:hAnsi="仿宋" w:eastAsia="仿宋" w:cs="仿宋"/>
                <w:color w:val="000000"/>
                <w:kern w:val="0"/>
                <w:sz w:val="18"/>
                <w:szCs w:val="18"/>
              </w:rPr>
            </w:pPr>
            <w:r>
              <w:rPr>
                <w:rFonts w:hint="eastAsia" w:ascii="仿宋" w:hAnsi="仿宋" w:eastAsia="仿宋" w:cs="仿宋"/>
                <w:color w:val="000000"/>
                <w:kern w:val="0"/>
                <w:sz w:val="18"/>
                <w:szCs w:val="18"/>
              </w:rPr>
              <w:t>○</w:t>
            </w:r>
          </w:p>
        </w:tc>
        <w:tc>
          <w:tcPr>
            <w:tcW w:w="3581" w:type="dxa"/>
            <w:vAlign w:val="center"/>
          </w:tcPr>
          <w:p>
            <w:pPr>
              <w:jc w:val="center"/>
              <w:rPr>
                <w:rFonts w:ascii="仿宋" w:hAnsi="仿宋" w:eastAsia="仿宋" w:cs="仿宋"/>
                <w:sz w:val="18"/>
                <w:szCs w:val="18"/>
              </w:rPr>
            </w:pPr>
          </w:p>
        </w:tc>
      </w:tr>
    </w:tbl>
    <w:p>
      <w:pPr>
        <w:pStyle w:val="5"/>
        <w:spacing w:line="360" w:lineRule="auto"/>
        <w:jc w:val="left"/>
        <w:rPr>
          <w:rFonts w:ascii="仿宋" w:hAnsi="仿宋" w:eastAsia="仿宋" w:cs="仿宋"/>
          <w:sz w:val="24"/>
          <w:szCs w:val="24"/>
        </w:rPr>
        <w:sectPr>
          <w:footerReference r:id="rId15" w:type="default"/>
          <w:pgSz w:w="16838" w:h="11906" w:orient="landscape"/>
          <w:pgMar w:top="1587" w:right="1701" w:bottom="1474" w:left="1417" w:header="851" w:footer="992" w:gutter="0"/>
          <w:cols w:space="720" w:num="1"/>
          <w:docGrid w:type="lines" w:linePitch="312" w:charSpace="0"/>
        </w:sectPr>
      </w:pPr>
    </w:p>
    <w:p>
      <w:pPr>
        <w:pStyle w:val="5"/>
        <w:spacing w:line="360" w:lineRule="auto"/>
        <w:jc w:val="center"/>
        <w:rPr>
          <w:rFonts w:ascii="仿宋" w:hAnsi="仿宋" w:eastAsia="仿宋" w:cs="仿宋"/>
          <w:sz w:val="24"/>
          <w:szCs w:val="24"/>
        </w:rPr>
      </w:pPr>
      <w:bookmarkStart w:id="1703" w:name="_Toc510987408"/>
      <w:bookmarkStart w:id="1704" w:name="_Toc10870"/>
      <w:bookmarkStart w:id="1705" w:name="_Toc15179"/>
      <w:bookmarkStart w:id="1706" w:name="_Toc27405"/>
      <w:bookmarkStart w:id="1707" w:name="_Toc267"/>
      <w:bookmarkStart w:id="1708" w:name="_Toc48835703"/>
      <w:bookmarkStart w:id="1709" w:name="_Toc1148"/>
      <w:bookmarkStart w:id="1710" w:name="_Toc14797"/>
      <w:bookmarkStart w:id="1711" w:name="_Toc10148"/>
      <w:bookmarkStart w:id="1712" w:name="_Toc1401"/>
      <w:r>
        <w:rPr>
          <w:rFonts w:hint="eastAsia" w:ascii="仿宋" w:hAnsi="仿宋" w:eastAsia="仿宋" w:cs="仿宋"/>
          <w:sz w:val="24"/>
          <w:szCs w:val="24"/>
        </w:rPr>
        <w:t>附表A.8 管线分类、代号、代码与</w:t>
      </w:r>
      <w:bookmarkEnd w:id="1703"/>
      <w:r>
        <w:rPr>
          <w:rFonts w:hint="eastAsia" w:ascii="仿宋" w:hAnsi="仿宋" w:eastAsia="仿宋" w:cs="仿宋"/>
          <w:sz w:val="24"/>
          <w:szCs w:val="24"/>
        </w:rPr>
        <w:t>颜色表</w:t>
      </w:r>
      <w:bookmarkEnd w:id="1704"/>
      <w:bookmarkEnd w:id="1705"/>
      <w:bookmarkEnd w:id="1706"/>
      <w:bookmarkEnd w:id="1707"/>
      <w:bookmarkEnd w:id="1708"/>
      <w:bookmarkEnd w:id="1709"/>
      <w:bookmarkEnd w:id="1710"/>
      <w:bookmarkEnd w:id="1711"/>
      <w:bookmarkEnd w:id="1712"/>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8"/>
        <w:gridCol w:w="988"/>
        <w:gridCol w:w="992"/>
        <w:gridCol w:w="1701"/>
        <w:gridCol w:w="992"/>
        <w:gridCol w:w="1134"/>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115" w:type="dxa"/>
            <w:gridSpan w:val="4"/>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类别（大类）</w:t>
            </w:r>
          </w:p>
        </w:tc>
        <w:tc>
          <w:tcPr>
            <w:tcW w:w="3827" w:type="dxa"/>
            <w:gridSpan w:val="3"/>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小类</w:t>
            </w:r>
          </w:p>
        </w:tc>
        <w:tc>
          <w:tcPr>
            <w:tcW w:w="1984" w:type="dxa"/>
            <w:vMerge w:val="restart"/>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颜色</w:t>
            </w:r>
          </w:p>
          <w:p>
            <w:pPr>
              <w:widowControl/>
              <w:jc w:val="center"/>
              <w:rPr>
                <w:rFonts w:ascii="仿宋" w:hAnsi="仿宋" w:eastAsia="仿宋" w:cs="仿宋"/>
                <w:bCs/>
                <w:kern w:val="0"/>
                <w:szCs w:val="21"/>
              </w:rPr>
            </w:pPr>
            <w:r>
              <w:rPr>
                <w:rFonts w:hint="eastAsia" w:ascii="仿宋" w:hAnsi="仿宋" w:eastAsia="仿宋" w:cs="仿宋"/>
                <w:bCs/>
                <w:kern w:val="0"/>
                <w:szCs w:val="21"/>
              </w:rPr>
              <w:t>（RGB值）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27"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名称</w:t>
            </w:r>
          </w:p>
        </w:tc>
        <w:tc>
          <w:tcPr>
            <w:tcW w:w="996" w:type="dxa"/>
            <w:gridSpan w:val="2"/>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代号</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代码</w:t>
            </w:r>
          </w:p>
        </w:tc>
        <w:tc>
          <w:tcPr>
            <w:tcW w:w="1701"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名称</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代号</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代码</w:t>
            </w:r>
          </w:p>
        </w:tc>
        <w:tc>
          <w:tcPr>
            <w:tcW w:w="1984" w:type="dxa"/>
            <w:vMerge w:val="continue"/>
          </w:tcPr>
          <w:p>
            <w:pPr>
              <w:widowControl/>
              <w:jc w:val="center"/>
              <w:rPr>
                <w:rFonts w:ascii="仿宋" w:hAnsi="仿宋" w:eastAsia="仿宋" w:cs="仿宋"/>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restart"/>
            <w:vAlign w:val="center"/>
          </w:tcPr>
          <w:p>
            <w:pPr>
              <w:widowControl/>
              <w:jc w:val="center"/>
              <w:rPr>
                <w:rFonts w:ascii="仿宋" w:hAnsi="仿宋" w:eastAsia="仿宋" w:cs="仿宋"/>
                <w:kern w:val="0"/>
                <w:szCs w:val="21"/>
              </w:rPr>
            </w:pPr>
            <w:r>
              <w:rPr>
                <w:rFonts w:hint="eastAsia" w:ascii="仿宋" w:hAnsi="仿宋" w:eastAsia="仿宋" w:cs="仿宋"/>
                <w:kern w:val="0"/>
                <w:szCs w:val="21"/>
              </w:rPr>
              <w:t>给水</w:t>
            </w:r>
          </w:p>
        </w:tc>
        <w:tc>
          <w:tcPr>
            <w:tcW w:w="996" w:type="dxa"/>
            <w:gridSpan w:val="2"/>
            <w:vMerge w:val="restart"/>
            <w:vAlign w:val="center"/>
          </w:tcPr>
          <w:p>
            <w:pPr>
              <w:widowControl/>
              <w:jc w:val="center"/>
              <w:rPr>
                <w:rFonts w:ascii="仿宋" w:hAnsi="仿宋" w:eastAsia="仿宋" w:cs="仿宋"/>
                <w:kern w:val="0"/>
                <w:szCs w:val="21"/>
              </w:rPr>
            </w:pPr>
            <w:r>
              <w:rPr>
                <w:rFonts w:hint="eastAsia" w:ascii="仿宋" w:hAnsi="仿宋" w:eastAsia="仿宋" w:cs="仿宋"/>
                <w:kern w:val="0"/>
                <w:szCs w:val="21"/>
              </w:rPr>
              <w:t>JS</w:t>
            </w:r>
          </w:p>
        </w:tc>
        <w:tc>
          <w:tcPr>
            <w:tcW w:w="992" w:type="dxa"/>
            <w:vMerge w:val="restart"/>
            <w:vAlign w:val="center"/>
          </w:tcPr>
          <w:p>
            <w:pPr>
              <w:widowControl/>
              <w:jc w:val="center"/>
              <w:rPr>
                <w:rFonts w:ascii="仿宋" w:hAnsi="仿宋" w:eastAsia="仿宋" w:cs="仿宋"/>
                <w:kern w:val="0"/>
                <w:szCs w:val="21"/>
              </w:rPr>
            </w:pPr>
            <w:r>
              <w:rPr>
                <w:rFonts w:hint="eastAsia" w:ascii="仿宋" w:hAnsi="仿宋" w:eastAsia="仿宋" w:cs="仿宋"/>
                <w:kern w:val="0"/>
                <w:szCs w:val="21"/>
              </w:rPr>
              <w:t>1</w:t>
            </w: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原水</w:t>
            </w:r>
          </w:p>
        </w:tc>
        <w:tc>
          <w:tcPr>
            <w:tcW w:w="992"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JY</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01</w:t>
            </w:r>
          </w:p>
        </w:tc>
        <w:tc>
          <w:tcPr>
            <w:tcW w:w="1984" w:type="dxa"/>
            <w:vMerge w:val="restart"/>
            <w:vAlign w:val="center"/>
          </w:tcPr>
          <w:p>
            <w:pPr>
              <w:widowControl/>
              <w:jc w:val="center"/>
              <w:rPr>
                <w:rFonts w:ascii="仿宋" w:hAnsi="仿宋" w:eastAsia="仿宋" w:cs="仿宋"/>
                <w:color w:val="000000"/>
                <w:szCs w:val="21"/>
              </w:rPr>
            </w:pPr>
            <w:r>
              <w:rPr>
                <w:rFonts w:hint="eastAsia" w:ascii="仿宋" w:hAnsi="仿宋" w:eastAsia="仿宋" w:cs="仿宋"/>
                <w:color w:val="000000"/>
                <w:szCs w:val="21"/>
              </w:rPr>
              <w:t>天蓝</w:t>
            </w:r>
          </w:p>
          <w:p>
            <w:pPr>
              <w:widowControl/>
              <w:jc w:val="center"/>
              <w:rPr>
                <w:rFonts w:ascii="仿宋" w:hAnsi="仿宋" w:eastAsia="仿宋" w:cs="仿宋"/>
                <w:bCs/>
                <w:kern w:val="0"/>
                <w:szCs w:val="21"/>
              </w:rPr>
            </w:pPr>
            <w:r>
              <w:rPr>
                <w:rFonts w:hint="eastAsia" w:ascii="仿宋" w:hAnsi="仿宋" w:eastAsia="仿宋" w:cs="仿宋"/>
                <w:color w:val="000000"/>
                <w:szCs w:val="21"/>
              </w:rPr>
              <w:t>（0，255，255）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vAlign w:val="center"/>
          </w:tcPr>
          <w:p>
            <w:pPr>
              <w:widowControl/>
              <w:ind w:right="210"/>
              <w:jc w:val="center"/>
              <w:rPr>
                <w:rFonts w:ascii="仿宋" w:hAnsi="仿宋" w:eastAsia="仿宋" w:cs="仿宋"/>
                <w:kern w:val="0"/>
                <w:szCs w:val="21"/>
              </w:rPr>
            </w:pPr>
          </w:p>
        </w:tc>
        <w:tc>
          <w:tcPr>
            <w:tcW w:w="996" w:type="dxa"/>
            <w:gridSpan w:val="2"/>
            <w:vMerge w:val="continue"/>
            <w:vAlign w:val="center"/>
          </w:tcPr>
          <w:p>
            <w:pPr>
              <w:widowControl/>
              <w:jc w:val="center"/>
              <w:rPr>
                <w:rFonts w:ascii="仿宋" w:hAnsi="仿宋" w:eastAsia="仿宋" w:cs="仿宋"/>
                <w:kern w:val="0"/>
                <w:szCs w:val="21"/>
              </w:rPr>
            </w:pPr>
          </w:p>
        </w:tc>
        <w:tc>
          <w:tcPr>
            <w:tcW w:w="992" w:type="dxa"/>
            <w:vMerge w:val="continue"/>
            <w:vAlign w:val="center"/>
          </w:tcPr>
          <w:p>
            <w:pPr>
              <w:widowControl/>
              <w:jc w:val="center"/>
              <w:rPr>
                <w:rFonts w:ascii="仿宋" w:hAnsi="仿宋" w:eastAsia="仿宋" w:cs="仿宋"/>
                <w:kern w:val="0"/>
                <w:szCs w:val="21"/>
              </w:rPr>
            </w:pP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输水</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SS</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02</w:t>
            </w:r>
          </w:p>
        </w:tc>
        <w:tc>
          <w:tcPr>
            <w:tcW w:w="1984" w:type="dxa"/>
            <w:vMerge w:val="continue"/>
            <w:vAlign w:val="center"/>
          </w:tcPr>
          <w:p>
            <w:pPr>
              <w:widowControl/>
              <w:jc w:val="center"/>
              <w:rPr>
                <w:rFonts w:ascii="仿宋" w:hAnsi="仿宋" w:eastAsia="仿宋" w:cs="仿宋"/>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vAlign w:val="center"/>
          </w:tcPr>
          <w:p>
            <w:pPr>
              <w:widowControl/>
              <w:ind w:right="210"/>
              <w:jc w:val="center"/>
              <w:rPr>
                <w:rFonts w:ascii="仿宋" w:hAnsi="仿宋" w:eastAsia="仿宋" w:cs="仿宋"/>
                <w:kern w:val="0"/>
                <w:szCs w:val="21"/>
              </w:rPr>
            </w:pPr>
          </w:p>
        </w:tc>
        <w:tc>
          <w:tcPr>
            <w:tcW w:w="996" w:type="dxa"/>
            <w:gridSpan w:val="2"/>
            <w:vMerge w:val="continue"/>
            <w:vAlign w:val="center"/>
          </w:tcPr>
          <w:p>
            <w:pPr>
              <w:widowControl/>
              <w:jc w:val="center"/>
              <w:rPr>
                <w:rFonts w:ascii="仿宋" w:hAnsi="仿宋" w:eastAsia="仿宋" w:cs="仿宋"/>
                <w:kern w:val="0"/>
                <w:szCs w:val="21"/>
              </w:rPr>
            </w:pPr>
          </w:p>
        </w:tc>
        <w:tc>
          <w:tcPr>
            <w:tcW w:w="992" w:type="dxa"/>
            <w:vMerge w:val="continue"/>
            <w:vAlign w:val="center"/>
          </w:tcPr>
          <w:p>
            <w:pPr>
              <w:widowControl/>
              <w:jc w:val="center"/>
              <w:rPr>
                <w:rFonts w:ascii="仿宋" w:hAnsi="仿宋" w:eastAsia="仿宋" w:cs="仿宋"/>
                <w:kern w:val="0"/>
                <w:szCs w:val="21"/>
              </w:rPr>
            </w:pP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中水</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ZS</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03</w:t>
            </w:r>
          </w:p>
        </w:tc>
        <w:tc>
          <w:tcPr>
            <w:tcW w:w="1984" w:type="dxa"/>
            <w:vMerge w:val="continue"/>
            <w:vAlign w:val="center"/>
          </w:tcPr>
          <w:p>
            <w:pPr>
              <w:widowControl/>
              <w:jc w:val="center"/>
              <w:rPr>
                <w:rFonts w:ascii="仿宋" w:hAnsi="仿宋" w:eastAsia="仿宋" w:cs="仿宋"/>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vAlign w:val="center"/>
          </w:tcPr>
          <w:p>
            <w:pPr>
              <w:widowControl/>
              <w:ind w:right="210"/>
              <w:jc w:val="center"/>
              <w:rPr>
                <w:rFonts w:ascii="仿宋" w:hAnsi="仿宋" w:eastAsia="仿宋" w:cs="仿宋"/>
                <w:kern w:val="0"/>
                <w:szCs w:val="21"/>
              </w:rPr>
            </w:pPr>
          </w:p>
        </w:tc>
        <w:tc>
          <w:tcPr>
            <w:tcW w:w="996" w:type="dxa"/>
            <w:gridSpan w:val="2"/>
            <w:vMerge w:val="continue"/>
            <w:vAlign w:val="center"/>
          </w:tcPr>
          <w:p>
            <w:pPr>
              <w:widowControl/>
              <w:jc w:val="center"/>
              <w:rPr>
                <w:rFonts w:ascii="仿宋" w:hAnsi="仿宋" w:eastAsia="仿宋" w:cs="仿宋"/>
                <w:kern w:val="0"/>
                <w:szCs w:val="21"/>
              </w:rPr>
            </w:pPr>
          </w:p>
        </w:tc>
        <w:tc>
          <w:tcPr>
            <w:tcW w:w="992" w:type="dxa"/>
            <w:vMerge w:val="continue"/>
            <w:vAlign w:val="center"/>
          </w:tcPr>
          <w:p>
            <w:pPr>
              <w:widowControl/>
              <w:jc w:val="center"/>
              <w:rPr>
                <w:rFonts w:ascii="仿宋" w:hAnsi="仿宋" w:eastAsia="仿宋" w:cs="仿宋"/>
                <w:kern w:val="0"/>
                <w:szCs w:val="21"/>
              </w:rPr>
            </w:pP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配水</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JP</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04</w:t>
            </w:r>
          </w:p>
        </w:tc>
        <w:tc>
          <w:tcPr>
            <w:tcW w:w="1984" w:type="dxa"/>
            <w:vMerge w:val="continue"/>
            <w:vAlign w:val="center"/>
          </w:tcPr>
          <w:p>
            <w:pPr>
              <w:widowControl/>
              <w:jc w:val="center"/>
              <w:rPr>
                <w:rFonts w:ascii="仿宋" w:hAnsi="仿宋" w:eastAsia="仿宋" w:cs="仿宋"/>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vAlign w:val="center"/>
          </w:tcPr>
          <w:p>
            <w:pPr>
              <w:widowControl/>
              <w:ind w:right="210"/>
              <w:jc w:val="center"/>
              <w:rPr>
                <w:rFonts w:ascii="仿宋" w:hAnsi="仿宋" w:eastAsia="仿宋" w:cs="仿宋"/>
                <w:kern w:val="0"/>
                <w:szCs w:val="21"/>
              </w:rPr>
            </w:pPr>
          </w:p>
        </w:tc>
        <w:tc>
          <w:tcPr>
            <w:tcW w:w="996" w:type="dxa"/>
            <w:gridSpan w:val="2"/>
            <w:vMerge w:val="continue"/>
            <w:vAlign w:val="center"/>
          </w:tcPr>
          <w:p>
            <w:pPr>
              <w:widowControl/>
              <w:jc w:val="center"/>
              <w:rPr>
                <w:rFonts w:ascii="仿宋" w:hAnsi="仿宋" w:eastAsia="仿宋" w:cs="仿宋"/>
                <w:kern w:val="0"/>
                <w:szCs w:val="21"/>
              </w:rPr>
            </w:pPr>
          </w:p>
        </w:tc>
        <w:tc>
          <w:tcPr>
            <w:tcW w:w="992" w:type="dxa"/>
            <w:vMerge w:val="continue"/>
            <w:vAlign w:val="center"/>
          </w:tcPr>
          <w:p>
            <w:pPr>
              <w:widowControl/>
              <w:jc w:val="center"/>
              <w:rPr>
                <w:rFonts w:ascii="仿宋" w:hAnsi="仿宋" w:eastAsia="仿宋" w:cs="仿宋"/>
                <w:kern w:val="0"/>
                <w:szCs w:val="21"/>
              </w:rPr>
            </w:pP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直饮水</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JZ</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05</w:t>
            </w:r>
          </w:p>
        </w:tc>
        <w:tc>
          <w:tcPr>
            <w:tcW w:w="1984" w:type="dxa"/>
            <w:vMerge w:val="continue"/>
            <w:vAlign w:val="center"/>
          </w:tcPr>
          <w:p>
            <w:pPr>
              <w:widowControl/>
              <w:jc w:val="center"/>
              <w:rPr>
                <w:rFonts w:ascii="仿宋" w:hAnsi="仿宋" w:eastAsia="仿宋" w:cs="仿宋"/>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vAlign w:val="center"/>
          </w:tcPr>
          <w:p>
            <w:pPr>
              <w:widowControl/>
              <w:ind w:right="210"/>
              <w:jc w:val="center"/>
              <w:rPr>
                <w:rFonts w:ascii="仿宋" w:hAnsi="仿宋" w:eastAsia="仿宋" w:cs="仿宋"/>
                <w:kern w:val="0"/>
                <w:szCs w:val="21"/>
              </w:rPr>
            </w:pPr>
          </w:p>
        </w:tc>
        <w:tc>
          <w:tcPr>
            <w:tcW w:w="996" w:type="dxa"/>
            <w:gridSpan w:val="2"/>
            <w:vMerge w:val="continue"/>
            <w:vAlign w:val="center"/>
          </w:tcPr>
          <w:p>
            <w:pPr>
              <w:widowControl/>
              <w:jc w:val="center"/>
              <w:rPr>
                <w:rFonts w:ascii="仿宋" w:hAnsi="仿宋" w:eastAsia="仿宋" w:cs="仿宋"/>
                <w:kern w:val="0"/>
                <w:szCs w:val="21"/>
              </w:rPr>
            </w:pPr>
          </w:p>
        </w:tc>
        <w:tc>
          <w:tcPr>
            <w:tcW w:w="992" w:type="dxa"/>
            <w:vMerge w:val="continue"/>
            <w:vAlign w:val="center"/>
          </w:tcPr>
          <w:p>
            <w:pPr>
              <w:widowControl/>
              <w:jc w:val="center"/>
              <w:rPr>
                <w:rFonts w:ascii="仿宋" w:hAnsi="仿宋" w:eastAsia="仿宋" w:cs="仿宋"/>
                <w:kern w:val="0"/>
                <w:szCs w:val="21"/>
              </w:rPr>
            </w:pP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消防水</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XS</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06</w:t>
            </w:r>
          </w:p>
        </w:tc>
        <w:tc>
          <w:tcPr>
            <w:tcW w:w="1984" w:type="dxa"/>
            <w:vMerge w:val="continue"/>
            <w:vAlign w:val="center"/>
          </w:tcPr>
          <w:p>
            <w:pPr>
              <w:widowControl/>
              <w:jc w:val="center"/>
              <w:rPr>
                <w:rFonts w:ascii="仿宋" w:hAnsi="仿宋" w:eastAsia="仿宋" w:cs="仿宋"/>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vAlign w:val="center"/>
          </w:tcPr>
          <w:p>
            <w:pPr>
              <w:widowControl/>
              <w:ind w:right="210"/>
              <w:jc w:val="center"/>
              <w:rPr>
                <w:rFonts w:ascii="仿宋" w:hAnsi="仿宋" w:eastAsia="仿宋" w:cs="仿宋"/>
                <w:kern w:val="0"/>
                <w:szCs w:val="21"/>
              </w:rPr>
            </w:pPr>
          </w:p>
        </w:tc>
        <w:tc>
          <w:tcPr>
            <w:tcW w:w="996" w:type="dxa"/>
            <w:gridSpan w:val="2"/>
            <w:vMerge w:val="continue"/>
            <w:vAlign w:val="center"/>
          </w:tcPr>
          <w:p>
            <w:pPr>
              <w:widowControl/>
              <w:jc w:val="center"/>
              <w:rPr>
                <w:rFonts w:ascii="仿宋" w:hAnsi="仿宋" w:eastAsia="仿宋" w:cs="仿宋"/>
                <w:kern w:val="0"/>
                <w:szCs w:val="21"/>
              </w:rPr>
            </w:pPr>
          </w:p>
        </w:tc>
        <w:tc>
          <w:tcPr>
            <w:tcW w:w="992" w:type="dxa"/>
            <w:vMerge w:val="continue"/>
            <w:vAlign w:val="center"/>
          </w:tcPr>
          <w:p>
            <w:pPr>
              <w:widowControl/>
              <w:jc w:val="center"/>
              <w:rPr>
                <w:rFonts w:ascii="仿宋" w:hAnsi="仿宋" w:eastAsia="仿宋" w:cs="仿宋"/>
                <w:kern w:val="0"/>
                <w:szCs w:val="21"/>
              </w:rPr>
            </w:pP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绿化水</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LS</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07</w:t>
            </w:r>
          </w:p>
        </w:tc>
        <w:tc>
          <w:tcPr>
            <w:tcW w:w="1984" w:type="dxa"/>
            <w:vMerge w:val="continue"/>
            <w:vAlign w:val="center"/>
          </w:tcPr>
          <w:p>
            <w:pPr>
              <w:widowControl/>
              <w:jc w:val="center"/>
              <w:rPr>
                <w:rFonts w:ascii="仿宋" w:hAnsi="仿宋" w:eastAsia="仿宋" w:cs="仿宋"/>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vAlign w:val="center"/>
          </w:tcPr>
          <w:p>
            <w:pPr>
              <w:widowControl/>
              <w:ind w:right="210"/>
              <w:jc w:val="center"/>
              <w:rPr>
                <w:rFonts w:ascii="仿宋" w:hAnsi="仿宋" w:eastAsia="仿宋" w:cs="仿宋"/>
                <w:kern w:val="0"/>
                <w:szCs w:val="21"/>
              </w:rPr>
            </w:pPr>
          </w:p>
        </w:tc>
        <w:tc>
          <w:tcPr>
            <w:tcW w:w="996" w:type="dxa"/>
            <w:gridSpan w:val="2"/>
            <w:vMerge w:val="continue"/>
            <w:vAlign w:val="center"/>
          </w:tcPr>
          <w:p>
            <w:pPr>
              <w:widowControl/>
              <w:jc w:val="center"/>
              <w:rPr>
                <w:rFonts w:ascii="仿宋" w:hAnsi="仿宋" w:eastAsia="仿宋" w:cs="仿宋"/>
                <w:kern w:val="0"/>
                <w:szCs w:val="21"/>
              </w:rPr>
            </w:pPr>
          </w:p>
        </w:tc>
        <w:tc>
          <w:tcPr>
            <w:tcW w:w="992" w:type="dxa"/>
            <w:vMerge w:val="continue"/>
            <w:vAlign w:val="center"/>
          </w:tcPr>
          <w:p>
            <w:pPr>
              <w:widowControl/>
              <w:jc w:val="center"/>
              <w:rPr>
                <w:rFonts w:ascii="仿宋" w:hAnsi="仿宋" w:eastAsia="仿宋" w:cs="仿宋"/>
                <w:kern w:val="0"/>
                <w:szCs w:val="21"/>
              </w:rPr>
            </w:pP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循环水</w:t>
            </w:r>
          </w:p>
        </w:tc>
        <w:tc>
          <w:tcPr>
            <w:tcW w:w="992"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JH</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08</w:t>
            </w:r>
          </w:p>
        </w:tc>
        <w:tc>
          <w:tcPr>
            <w:tcW w:w="1984" w:type="dxa"/>
            <w:vMerge w:val="continue"/>
            <w:vAlign w:val="center"/>
          </w:tcPr>
          <w:p>
            <w:pPr>
              <w:widowControl/>
              <w:jc w:val="center"/>
              <w:rPr>
                <w:rFonts w:ascii="仿宋" w:hAnsi="仿宋" w:eastAsia="仿宋" w:cs="仿宋"/>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vAlign w:val="center"/>
          </w:tcPr>
          <w:p>
            <w:pPr>
              <w:widowControl/>
              <w:ind w:right="210"/>
              <w:jc w:val="center"/>
              <w:rPr>
                <w:rFonts w:ascii="仿宋" w:hAnsi="仿宋" w:eastAsia="仿宋" w:cs="仿宋"/>
                <w:kern w:val="0"/>
                <w:szCs w:val="21"/>
              </w:rPr>
            </w:pPr>
          </w:p>
        </w:tc>
        <w:tc>
          <w:tcPr>
            <w:tcW w:w="996" w:type="dxa"/>
            <w:gridSpan w:val="2"/>
            <w:vMerge w:val="continue"/>
            <w:vAlign w:val="center"/>
          </w:tcPr>
          <w:p>
            <w:pPr>
              <w:widowControl/>
              <w:jc w:val="center"/>
              <w:rPr>
                <w:rFonts w:ascii="仿宋" w:hAnsi="仿宋" w:eastAsia="仿宋" w:cs="仿宋"/>
                <w:kern w:val="0"/>
                <w:szCs w:val="21"/>
              </w:rPr>
            </w:pPr>
          </w:p>
        </w:tc>
        <w:tc>
          <w:tcPr>
            <w:tcW w:w="992" w:type="dxa"/>
            <w:vMerge w:val="continue"/>
            <w:vAlign w:val="center"/>
          </w:tcPr>
          <w:p>
            <w:pPr>
              <w:widowControl/>
              <w:jc w:val="center"/>
              <w:rPr>
                <w:rFonts w:ascii="仿宋" w:hAnsi="仿宋" w:eastAsia="仿宋" w:cs="仿宋"/>
                <w:kern w:val="0"/>
                <w:szCs w:val="21"/>
              </w:rPr>
            </w:pP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长途输水</w:t>
            </w:r>
          </w:p>
        </w:tc>
        <w:tc>
          <w:tcPr>
            <w:tcW w:w="992"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CS</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09</w:t>
            </w:r>
          </w:p>
        </w:tc>
        <w:tc>
          <w:tcPr>
            <w:tcW w:w="1984" w:type="dxa"/>
            <w:vMerge w:val="continue"/>
            <w:vAlign w:val="center"/>
          </w:tcPr>
          <w:p>
            <w:pPr>
              <w:widowControl/>
              <w:jc w:val="center"/>
              <w:rPr>
                <w:rFonts w:ascii="仿宋" w:hAnsi="仿宋" w:eastAsia="仿宋" w:cs="仿宋"/>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restart"/>
            <w:vAlign w:val="center"/>
          </w:tcPr>
          <w:p>
            <w:pPr>
              <w:jc w:val="center"/>
              <w:rPr>
                <w:rFonts w:ascii="仿宋" w:hAnsi="仿宋" w:eastAsia="仿宋" w:cs="仿宋"/>
                <w:kern w:val="0"/>
                <w:szCs w:val="21"/>
              </w:rPr>
            </w:pPr>
            <w:r>
              <w:rPr>
                <w:rFonts w:hint="eastAsia" w:ascii="仿宋" w:hAnsi="仿宋" w:eastAsia="仿宋" w:cs="仿宋"/>
                <w:kern w:val="0"/>
                <w:szCs w:val="21"/>
              </w:rPr>
              <w:t>排水</w:t>
            </w:r>
          </w:p>
        </w:tc>
        <w:tc>
          <w:tcPr>
            <w:tcW w:w="996" w:type="dxa"/>
            <w:gridSpan w:val="2"/>
            <w:vMerge w:val="restart"/>
            <w:vAlign w:val="center"/>
          </w:tcPr>
          <w:p>
            <w:pPr>
              <w:jc w:val="center"/>
              <w:rPr>
                <w:rFonts w:ascii="仿宋" w:hAnsi="仿宋" w:eastAsia="仿宋" w:cs="仿宋"/>
                <w:kern w:val="0"/>
                <w:szCs w:val="21"/>
              </w:rPr>
            </w:pPr>
            <w:r>
              <w:rPr>
                <w:rFonts w:hint="eastAsia" w:ascii="仿宋" w:hAnsi="仿宋" w:eastAsia="仿宋" w:cs="仿宋"/>
                <w:kern w:val="0"/>
                <w:szCs w:val="21"/>
              </w:rPr>
              <w:t>PS</w:t>
            </w:r>
          </w:p>
        </w:tc>
        <w:tc>
          <w:tcPr>
            <w:tcW w:w="992" w:type="dxa"/>
            <w:vMerge w:val="restart"/>
            <w:vAlign w:val="center"/>
          </w:tcPr>
          <w:p>
            <w:pPr>
              <w:jc w:val="center"/>
              <w:rPr>
                <w:rFonts w:ascii="仿宋" w:hAnsi="仿宋" w:eastAsia="仿宋" w:cs="仿宋"/>
                <w:kern w:val="0"/>
                <w:szCs w:val="21"/>
              </w:rPr>
            </w:pPr>
            <w:r>
              <w:rPr>
                <w:rFonts w:hint="eastAsia" w:ascii="仿宋" w:hAnsi="仿宋" w:eastAsia="仿宋" w:cs="仿宋"/>
                <w:kern w:val="0"/>
                <w:szCs w:val="21"/>
              </w:rPr>
              <w:t>2</w:t>
            </w: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雨水</w:t>
            </w:r>
          </w:p>
        </w:tc>
        <w:tc>
          <w:tcPr>
            <w:tcW w:w="992"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YS</w:t>
            </w:r>
          </w:p>
        </w:tc>
        <w:tc>
          <w:tcPr>
            <w:tcW w:w="1134"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01</w:t>
            </w:r>
          </w:p>
        </w:tc>
        <w:tc>
          <w:tcPr>
            <w:tcW w:w="1984"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浅蓝</w:t>
            </w:r>
          </w:p>
          <w:p>
            <w:pPr>
              <w:widowControl/>
              <w:jc w:val="center"/>
              <w:rPr>
                <w:rFonts w:ascii="仿宋" w:hAnsi="仿宋" w:eastAsia="仿宋" w:cs="仿宋"/>
                <w:kern w:val="0"/>
                <w:szCs w:val="21"/>
              </w:rPr>
            </w:pPr>
            <w:r>
              <w:rPr>
                <w:rFonts w:hint="eastAsia" w:ascii="仿宋" w:hAnsi="仿宋" w:eastAsia="仿宋" w:cs="仿宋"/>
                <w:kern w:val="0"/>
                <w:szCs w:val="21"/>
              </w:rPr>
              <w:t>（31，202，255）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vAlign w:val="center"/>
          </w:tcPr>
          <w:p>
            <w:pPr>
              <w:jc w:val="center"/>
              <w:rPr>
                <w:rFonts w:ascii="仿宋" w:hAnsi="仿宋" w:eastAsia="仿宋" w:cs="仿宋"/>
                <w:kern w:val="0"/>
                <w:szCs w:val="21"/>
              </w:rPr>
            </w:pPr>
          </w:p>
        </w:tc>
        <w:tc>
          <w:tcPr>
            <w:tcW w:w="996" w:type="dxa"/>
            <w:gridSpan w:val="2"/>
            <w:vMerge w:val="continue"/>
            <w:vAlign w:val="center"/>
          </w:tcPr>
          <w:p>
            <w:pPr>
              <w:jc w:val="center"/>
              <w:rPr>
                <w:rFonts w:ascii="仿宋" w:hAnsi="仿宋" w:eastAsia="仿宋" w:cs="仿宋"/>
                <w:kern w:val="0"/>
                <w:szCs w:val="21"/>
              </w:rPr>
            </w:pPr>
          </w:p>
        </w:tc>
        <w:tc>
          <w:tcPr>
            <w:tcW w:w="992" w:type="dxa"/>
            <w:vMerge w:val="continue"/>
            <w:vAlign w:val="center"/>
          </w:tcPr>
          <w:p>
            <w:pPr>
              <w:jc w:val="center"/>
              <w:rPr>
                <w:rFonts w:ascii="仿宋" w:hAnsi="仿宋" w:eastAsia="仿宋" w:cs="仿宋"/>
                <w:kern w:val="0"/>
                <w:szCs w:val="21"/>
              </w:rPr>
            </w:pPr>
          </w:p>
        </w:tc>
        <w:tc>
          <w:tcPr>
            <w:tcW w:w="1701" w:type="dxa"/>
            <w:vAlign w:val="center"/>
          </w:tcPr>
          <w:p>
            <w:pPr>
              <w:jc w:val="center"/>
              <w:rPr>
                <w:rFonts w:ascii="仿宋" w:hAnsi="仿宋" w:eastAsia="仿宋" w:cs="仿宋"/>
                <w:kern w:val="0"/>
                <w:szCs w:val="21"/>
              </w:rPr>
            </w:pPr>
            <w:r>
              <w:rPr>
                <w:rFonts w:hint="eastAsia" w:ascii="仿宋" w:hAnsi="仿宋" w:eastAsia="仿宋" w:cs="仿宋"/>
                <w:kern w:val="0"/>
                <w:szCs w:val="21"/>
              </w:rPr>
              <w:t>污水</w:t>
            </w:r>
          </w:p>
        </w:tc>
        <w:tc>
          <w:tcPr>
            <w:tcW w:w="992" w:type="dxa"/>
            <w:vAlign w:val="center"/>
          </w:tcPr>
          <w:p>
            <w:pPr>
              <w:jc w:val="center"/>
              <w:rPr>
                <w:rFonts w:ascii="仿宋" w:hAnsi="仿宋" w:eastAsia="仿宋" w:cs="仿宋"/>
                <w:kern w:val="0"/>
                <w:szCs w:val="21"/>
              </w:rPr>
            </w:pPr>
            <w:r>
              <w:rPr>
                <w:rFonts w:hint="eastAsia" w:ascii="仿宋" w:hAnsi="仿宋" w:eastAsia="仿宋" w:cs="仿宋"/>
                <w:kern w:val="0"/>
                <w:szCs w:val="21"/>
              </w:rPr>
              <w:t>WS</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02</w:t>
            </w:r>
          </w:p>
        </w:tc>
        <w:tc>
          <w:tcPr>
            <w:tcW w:w="1984" w:type="dxa"/>
            <w:vMerge w:val="restart"/>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褐色</w:t>
            </w:r>
          </w:p>
          <w:p>
            <w:pPr>
              <w:jc w:val="center"/>
              <w:rPr>
                <w:rFonts w:ascii="仿宋" w:hAnsi="仿宋" w:eastAsia="仿宋" w:cs="仿宋"/>
                <w:bCs/>
                <w:kern w:val="0"/>
                <w:szCs w:val="21"/>
              </w:rPr>
            </w:pPr>
            <w:r>
              <w:rPr>
                <w:rFonts w:hint="eastAsia" w:ascii="仿宋" w:hAnsi="仿宋" w:eastAsia="仿宋" w:cs="仿宋"/>
                <w:bCs/>
                <w:kern w:val="0"/>
                <w:szCs w:val="21"/>
              </w:rPr>
              <w:t>（76，57，38）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vAlign w:val="center"/>
          </w:tcPr>
          <w:p>
            <w:pPr>
              <w:widowControl/>
              <w:jc w:val="center"/>
              <w:rPr>
                <w:rFonts w:ascii="仿宋" w:hAnsi="仿宋" w:eastAsia="仿宋" w:cs="仿宋"/>
                <w:kern w:val="0"/>
                <w:szCs w:val="21"/>
              </w:rPr>
            </w:pPr>
          </w:p>
        </w:tc>
        <w:tc>
          <w:tcPr>
            <w:tcW w:w="996" w:type="dxa"/>
            <w:gridSpan w:val="2"/>
            <w:vMerge w:val="continue"/>
            <w:vAlign w:val="center"/>
          </w:tcPr>
          <w:p>
            <w:pPr>
              <w:jc w:val="center"/>
              <w:rPr>
                <w:rFonts w:ascii="仿宋" w:hAnsi="仿宋" w:eastAsia="仿宋" w:cs="仿宋"/>
                <w:kern w:val="0"/>
                <w:szCs w:val="21"/>
              </w:rPr>
            </w:pPr>
          </w:p>
        </w:tc>
        <w:tc>
          <w:tcPr>
            <w:tcW w:w="992" w:type="dxa"/>
            <w:vMerge w:val="continue"/>
            <w:vAlign w:val="center"/>
          </w:tcPr>
          <w:p>
            <w:pPr>
              <w:widowControl/>
              <w:jc w:val="center"/>
              <w:rPr>
                <w:rFonts w:ascii="仿宋" w:hAnsi="仿宋" w:eastAsia="仿宋" w:cs="仿宋"/>
                <w:kern w:val="0"/>
                <w:szCs w:val="21"/>
              </w:rPr>
            </w:pPr>
          </w:p>
        </w:tc>
        <w:tc>
          <w:tcPr>
            <w:tcW w:w="1701" w:type="dxa"/>
            <w:vAlign w:val="center"/>
          </w:tcPr>
          <w:p>
            <w:pPr>
              <w:jc w:val="center"/>
              <w:rPr>
                <w:rFonts w:ascii="仿宋" w:hAnsi="仿宋" w:eastAsia="仿宋" w:cs="仿宋"/>
                <w:kern w:val="0"/>
                <w:szCs w:val="21"/>
              </w:rPr>
            </w:pPr>
            <w:r>
              <w:rPr>
                <w:rFonts w:hint="eastAsia" w:ascii="仿宋" w:hAnsi="仿宋" w:eastAsia="仿宋" w:cs="仿宋"/>
                <w:kern w:val="0"/>
                <w:szCs w:val="21"/>
              </w:rPr>
              <w:t>雨污合流</w:t>
            </w:r>
          </w:p>
        </w:tc>
        <w:tc>
          <w:tcPr>
            <w:tcW w:w="992" w:type="dxa"/>
            <w:vAlign w:val="center"/>
          </w:tcPr>
          <w:p>
            <w:pPr>
              <w:jc w:val="center"/>
              <w:rPr>
                <w:rFonts w:ascii="仿宋" w:hAnsi="仿宋" w:eastAsia="仿宋" w:cs="仿宋"/>
                <w:kern w:val="0"/>
                <w:szCs w:val="21"/>
              </w:rPr>
            </w:pPr>
            <w:r>
              <w:rPr>
                <w:rFonts w:hint="eastAsia" w:ascii="仿宋" w:hAnsi="仿宋" w:eastAsia="仿宋" w:cs="仿宋"/>
                <w:kern w:val="0"/>
                <w:szCs w:val="21"/>
              </w:rPr>
              <w:t>HS</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03</w:t>
            </w:r>
          </w:p>
        </w:tc>
        <w:tc>
          <w:tcPr>
            <w:tcW w:w="1984" w:type="dxa"/>
            <w:vMerge w:val="continue"/>
            <w:vAlign w:val="center"/>
          </w:tcPr>
          <w:p>
            <w:pPr>
              <w:widowControl/>
              <w:jc w:val="center"/>
              <w:rPr>
                <w:rFonts w:ascii="仿宋" w:hAnsi="仿宋" w:eastAsia="仿宋" w:cs="仿宋"/>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restart"/>
            <w:vAlign w:val="center"/>
          </w:tcPr>
          <w:p>
            <w:pPr>
              <w:widowControl/>
              <w:jc w:val="center"/>
              <w:rPr>
                <w:rFonts w:ascii="仿宋" w:hAnsi="仿宋" w:eastAsia="仿宋" w:cs="仿宋"/>
                <w:kern w:val="0"/>
                <w:szCs w:val="21"/>
              </w:rPr>
            </w:pPr>
            <w:r>
              <w:rPr>
                <w:rFonts w:hint="eastAsia" w:ascii="仿宋" w:hAnsi="仿宋" w:eastAsia="仿宋" w:cs="仿宋"/>
                <w:kern w:val="0"/>
                <w:szCs w:val="21"/>
              </w:rPr>
              <w:t>燃气</w:t>
            </w:r>
          </w:p>
        </w:tc>
        <w:tc>
          <w:tcPr>
            <w:tcW w:w="996" w:type="dxa"/>
            <w:gridSpan w:val="2"/>
            <w:vMerge w:val="restart"/>
            <w:vAlign w:val="center"/>
          </w:tcPr>
          <w:p>
            <w:pPr>
              <w:widowControl/>
              <w:jc w:val="center"/>
              <w:rPr>
                <w:rFonts w:ascii="仿宋" w:hAnsi="仿宋" w:eastAsia="仿宋" w:cs="仿宋"/>
                <w:kern w:val="0"/>
                <w:szCs w:val="21"/>
              </w:rPr>
            </w:pPr>
            <w:r>
              <w:rPr>
                <w:rFonts w:hint="eastAsia" w:ascii="仿宋" w:hAnsi="仿宋" w:eastAsia="仿宋" w:cs="仿宋"/>
                <w:kern w:val="0"/>
                <w:szCs w:val="21"/>
              </w:rPr>
              <w:t>RQ</w:t>
            </w:r>
          </w:p>
        </w:tc>
        <w:tc>
          <w:tcPr>
            <w:tcW w:w="992" w:type="dxa"/>
            <w:vMerge w:val="restart"/>
            <w:vAlign w:val="center"/>
          </w:tcPr>
          <w:p>
            <w:pPr>
              <w:widowControl/>
              <w:jc w:val="center"/>
              <w:rPr>
                <w:rFonts w:ascii="仿宋" w:hAnsi="仿宋" w:eastAsia="仿宋" w:cs="仿宋"/>
                <w:kern w:val="0"/>
                <w:szCs w:val="21"/>
              </w:rPr>
            </w:pPr>
            <w:r>
              <w:rPr>
                <w:rFonts w:hint="eastAsia" w:ascii="仿宋" w:hAnsi="仿宋" w:eastAsia="仿宋" w:cs="仿宋"/>
                <w:kern w:val="0"/>
                <w:szCs w:val="21"/>
              </w:rPr>
              <w:t>3</w:t>
            </w: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煤气</w:t>
            </w:r>
          </w:p>
        </w:tc>
        <w:tc>
          <w:tcPr>
            <w:tcW w:w="992"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MQ</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01</w:t>
            </w:r>
          </w:p>
        </w:tc>
        <w:tc>
          <w:tcPr>
            <w:tcW w:w="1984" w:type="dxa"/>
            <w:vMerge w:val="restart"/>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粉红</w:t>
            </w:r>
          </w:p>
          <w:p>
            <w:pPr>
              <w:widowControl/>
              <w:jc w:val="center"/>
              <w:rPr>
                <w:rFonts w:ascii="仿宋" w:hAnsi="仿宋" w:eastAsia="仿宋" w:cs="仿宋"/>
                <w:bCs/>
                <w:kern w:val="0"/>
                <w:szCs w:val="21"/>
              </w:rPr>
            </w:pPr>
            <w:r>
              <w:rPr>
                <w:rFonts w:hint="eastAsia" w:ascii="仿宋" w:hAnsi="仿宋" w:eastAsia="仿宋" w:cs="仿宋"/>
                <w:color w:val="000000"/>
                <w:szCs w:val="21"/>
              </w:rPr>
              <w:t>（255，0，255）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vAlign w:val="center"/>
          </w:tcPr>
          <w:p>
            <w:pPr>
              <w:widowControl/>
              <w:ind w:right="210"/>
              <w:jc w:val="center"/>
              <w:rPr>
                <w:rFonts w:ascii="仿宋" w:hAnsi="仿宋" w:eastAsia="仿宋" w:cs="仿宋"/>
                <w:kern w:val="0"/>
                <w:szCs w:val="21"/>
              </w:rPr>
            </w:pPr>
          </w:p>
        </w:tc>
        <w:tc>
          <w:tcPr>
            <w:tcW w:w="996" w:type="dxa"/>
            <w:gridSpan w:val="2"/>
            <w:vMerge w:val="continue"/>
            <w:vAlign w:val="center"/>
          </w:tcPr>
          <w:p>
            <w:pPr>
              <w:widowControl/>
              <w:jc w:val="center"/>
              <w:rPr>
                <w:rFonts w:ascii="仿宋" w:hAnsi="仿宋" w:eastAsia="仿宋" w:cs="仿宋"/>
                <w:kern w:val="0"/>
                <w:szCs w:val="21"/>
              </w:rPr>
            </w:pPr>
          </w:p>
        </w:tc>
        <w:tc>
          <w:tcPr>
            <w:tcW w:w="992" w:type="dxa"/>
            <w:vMerge w:val="continue"/>
            <w:vAlign w:val="center"/>
          </w:tcPr>
          <w:p>
            <w:pPr>
              <w:widowControl/>
              <w:jc w:val="center"/>
              <w:rPr>
                <w:rFonts w:ascii="仿宋" w:hAnsi="仿宋" w:eastAsia="仿宋" w:cs="仿宋"/>
                <w:kern w:val="0"/>
                <w:szCs w:val="21"/>
              </w:rPr>
            </w:pP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液化气</w:t>
            </w:r>
          </w:p>
        </w:tc>
        <w:tc>
          <w:tcPr>
            <w:tcW w:w="992"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YH</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02</w:t>
            </w:r>
          </w:p>
        </w:tc>
        <w:tc>
          <w:tcPr>
            <w:tcW w:w="1984" w:type="dxa"/>
            <w:vMerge w:val="continue"/>
            <w:vAlign w:val="center"/>
          </w:tcPr>
          <w:p>
            <w:pPr>
              <w:widowControl/>
              <w:jc w:val="center"/>
              <w:rPr>
                <w:rFonts w:ascii="仿宋" w:hAnsi="仿宋" w:eastAsia="仿宋" w:cs="仿宋"/>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vAlign w:val="center"/>
          </w:tcPr>
          <w:p>
            <w:pPr>
              <w:widowControl/>
              <w:ind w:firstLine="480" w:firstLineChars="200"/>
              <w:jc w:val="center"/>
              <w:rPr>
                <w:rFonts w:ascii="仿宋" w:hAnsi="仿宋" w:eastAsia="仿宋" w:cs="仿宋"/>
                <w:kern w:val="0"/>
                <w:szCs w:val="21"/>
              </w:rPr>
            </w:pPr>
          </w:p>
        </w:tc>
        <w:tc>
          <w:tcPr>
            <w:tcW w:w="996" w:type="dxa"/>
            <w:gridSpan w:val="2"/>
            <w:vMerge w:val="continue"/>
            <w:vAlign w:val="center"/>
          </w:tcPr>
          <w:p>
            <w:pPr>
              <w:widowControl/>
              <w:jc w:val="center"/>
              <w:rPr>
                <w:rFonts w:ascii="仿宋" w:hAnsi="仿宋" w:eastAsia="仿宋" w:cs="仿宋"/>
                <w:kern w:val="0"/>
                <w:szCs w:val="21"/>
              </w:rPr>
            </w:pPr>
          </w:p>
        </w:tc>
        <w:tc>
          <w:tcPr>
            <w:tcW w:w="992" w:type="dxa"/>
            <w:vMerge w:val="continue"/>
            <w:vAlign w:val="center"/>
          </w:tcPr>
          <w:p>
            <w:pPr>
              <w:widowControl/>
              <w:jc w:val="center"/>
              <w:rPr>
                <w:rFonts w:ascii="仿宋" w:hAnsi="仿宋" w:eastAsia="仿宋" w:cs="仿宋"/>
                <w:kern w:val="0"/>
                <w:szCs w:val="21"/>
              </w:rPr>
            </w:pP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天然气</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TR</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03</w:t>
            </w:r>
          </w:p>
        </w:tc>
        <w:tc>
          <w:tcPr>
            <w:tcW w:w="1984" w:type="dxa"/>
            <w:vMerge w:val="continue"/>
            <w:vAlign w:val="center"/>
          </w:tcPr>
          <w:p>
            <w:pPr>
              <w:widowControl/>
              <w:jc w:val="center"/>
              <w:rPr>
                <w:rFonts w:ascii="仿宋" w:hAnsi="仿宋" w:eastAsia="仿宋" w:cs="仿宋"/>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vAlign w:val="center"/>
          </w:tcPr>
          <w:p>
            <w:pPr>
              <w:widowControl/>
              <w:ind w:firstLine="480" w:firstLineChars="200"/>
              <w:jc w:val="center"/>
              <w:rPr>
                <w:rFonts w:ascii="仿宋" w:hAnsi="仿宋" w:eastAsia="仿宋" w:cs="仿宋"/>
                <w:kern w:val="0"/>
                <w:szCs w:val="21"/>
              </w:rPr>
            </w:pPr>
          </w:p>
        </w:tc>
        <w:tc>
          <w:tcPr>
            <w:tcW w:w="996" w:type="dxa"/>
            <w:gridSpan w:val="2"/>
            <w:vMerge w:val="continue"/>
            <w:vAlign w:val="center"/>
          </w:tcPr>
          <w:p>
            <w:pPr>
              <w:widowControl/>
              <w:jc w:val="center"/>
              <w:rPr>
                <w:rFonts w:ascii="仿宋" w:hAnsi="仿宋" w:eastAsia="仿宋" w:cs="仿宋"/>
                <w:kern w:val="0"/>
                <w:szCs w:val="21"/>
              </w:rPr>
            </w:pPr>
          </w:p>
        </w:tc>
        <w:tc>
          <w:tcPr>
            <w:tcW w:w="992" w:type="dxa"/>
            <w:vMerge w:val="continue"/>
            <w:vAlign w:val="center"/>
          </w:tcPr>
          <w:p>
            <w:pPr>
              <w:widowControl/>
              <w:jc w:val="center"/>
              <w:rPr>
                <w:rFonts w:ascii="仿宋" w:hAnsi="仿宋" w:eastAsia="仿宋" w:cs="仿宋"/>
                <w:kern w:val="0"/>
                <w:szCs w:val="21"/>
              </w:rPr>
            </w:pP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长途输气</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SQ</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04</w:t>
            </w:r>
          </w:p>
        </w:tc>
        <w:tc>
          <w:tcPr>
            <w:tcW w:w="1984" w:type="dxa"/>
            <w:vMerge w:val="continue"/>
            <w:vAlign w:val="center"/>
          </w:tcPr>
          <w:p>
            <w:pPr>
              <w:widowControl/>
              <w:jc w:val="center"/>
              <w:rPr>
                <w:rFonts w:ascii="仿宋" w:hAnsi="仿宋" w:eastAsia="仿宋" w:cs="仿宋"/>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restart"/>
            <w:vAlign w:val="center"/>
          </w:tcPr>
          <w:p>
            <w:pPr>
              <w:widowControl/>
              <w:jc w:val="center"/>
              <w:rPr>
                <w:rFonts w:ascii="仿宋" w:hAnsi="仿宋" w:eastAsia="仿宋" w:cs="仿宋"/>
                <w:kern w:val="0"/>
                <w:szCs w:val="21"/>
              </w:rPr>
            </w:pPr>
            <w:r>
              <w:rPr>
                <w:rFonts w:hint="eastAsia" w:ascii="仿宋" w:hAnsi="仿宋" w:eastAsia="仿宋" w:cs="仿宋"/>
                <w:kern w:val="0"/>
                <w:szCs w:val="21"/>
              </w:rPr>
              <w:t>热力</w:t>
            </w:r>
          </w:p>
        </w:tc>
        <w:tc>
          <w:tcPr>
            <w:tcW w:w="996" w:type="dxa"/>
            <w:gridSpan w:val="2"/>
            <w:vMerge w:val="restart"/>
            <w:vAlign w:val="center"/>
          </w:tcPr>
          <w:p>
            <w:pPr>
              <w:widowControl/>
              <w:jc w:val="center"/>
              <w:rPr>
                <w:rFonts w:ascii="仿宋" w:hAnsi="仿宋" w:eastAsia="仿宋" w:cs="仿宋"/>
                <w:kern w:val="0"/>
                <w:szCs w:val="21"/>
              </w:rPr>
            </w:pPr>
            <w:r>
              <w:rPr>
                <w:rFonts w:hint="eastAsia" w:ascii="仿宋" w:hAnsi="仿宋" w:eastAsia="仿宋" w:cs="仿宋"/>
                <w:kern w:val="0"/>
                <w:szCs w:val="21"/>
              </w:rPr>
              <w:t>RL</w:t>
            </w:r>
          </w:p>
        </w:tc>
        <w:tc>
          <w:tcPr>
            <w:tcW w:w="992" w:type="dxa"/>
            <w:vMerge w:val="restart"/>
            <w:vAlign w:val="center"/>
          </w:tcPr>
          <w:p>
            <w:pPr>
              <w:widowControl/>
              <w:jc w:val="center"/>
              <w:rPr>
                <w:rFonts w:ascii="仿宋" w:hAnsi="仿宋" w:eastAsia="仿宋" w:cs="仿宋"/>
                <w:kern w:val="0"/>
                <w:szCs w:val="21"/>
              </w:rPr>
            </w:pPr>
            <w:r>
              <w:rPr>
                <w:rFonts w:hint="eastAsia" w:ascii="仿宋" w:hAnsi="仿宋" w:eastAsia="仿宋" w:cs="仿宋"/>
                <w:kern w:val="0"/>
                <w:szCs w:val="21"/>
              </w:rPr>
              <w:t>4</w:t>
            </w: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热水</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RS</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01</w:t>
            </w:r>
          </w:p>
        </w:tc>
        <w:tc>
          <w:tcPr>
            <w:tcW w:w="1984" w:type="dxa"/>
            <w:vMerge w:val="restart"/>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橘黄</w:t>
            </w:r>
          </w:p>
          <w:p>
            <w:pPr>
              <w:widowControl/>
              <w:jc w:val="center"/>
              <w:rPr>
                <w:rFonts w:ascii="仿宋" w:hAnsi="仿宋" w:eastAsia="仿宋" w:cs="仿宋"/>
                <w:bCs/>
                <w:kern w:val="0"/>
                <w:szCs w:val="21"/>
              </w:rPr>
            </w:pPr>
            <w:r>
              <w:rPr>
                <w:rFonts w:hint="eastAsia" w:ascii="仿宋" w:hAnsi="仿宋" w:eastAsia="仿宋" w:cs="仿宋"/>
                <w:color w:val="000000"/>
                <w:szCs w:val="21"/>
              </w:rPr>
              <w:t>（255，128，0）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vAlign w:val="center"/>
          </w:tcPr>
          <w:p>
            <w:pPr>
              <w:widowControl/>
              <w:ind w:firstLine="480" w:firstLineChars="200"/>
              <w:jc w:val="center"/>
              <w:rPr>
                <w:rFonts w:ascii="仿宋" w:hAnsi="仿宋" w:eastAsia="仿宋" w:cs="仿宋"/>
                <w:kern w:val="0"/>
                <w:szCs w:val="21"/>
              </w:rPr>
            </w:pPr>
          </w:p>
        </w:tc>
        <w:tc>
          <w:tcPr>
            <w:tcW w:w="996" w:type="dxa"/>
            <w:gridSpan w:val="2"/>
            <w:vMerge w:val="continue"/>
            <w:vAlign w:val="center"/>
          </w:tcPr>
          <w:p>
            <w:pPr>
              <w:widowControl/>
              <w:jc w:val="center"/>
              <w:rPr>
                <w:rFonts w:ascii="仿宋" w:hAnsi="仿宋" w:eastAsia="仿宋" w:cs="仿宋"/>
                <w:kern w:val="0"/>
                <w:szCs w:val="21"/>
              </w:rPr>
            </w:pPr>
          </w:p>
        </w:tc>
        <w:tc>
          <w:tcPr>
            <w:tcW w:w="992" w:type="dxa"/>
            <w:vMerge w:val="continue"/>
            <w:vAlign w:val="center"/>
          </w:tcPr>
          <w:p>
            <w:pPr>
              <w:widowControl/>
              <w:jc w:val="center"/>
              <w:rPr>
                <w:rFonts w:ascii="仿宋" w:hAnsi="仿宋" w:eastAsia="仿宋" w:cs="仿宋"/>
                <w:kern w:val="0"/>
                <w:szCs w:val="21"/>
              </w:rPr>
            </w:pP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蒸汽</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ZQ</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02</w:t>
            </w:r>
          </w:p>
        </w:tc>
        <w:tc>
          <w:tcPr>
            <w:tcW w:w="1984" w:type="dxa"/>
            <w:vMerge w:val="continue"/>
            <w:vAlign w:val="center"/>
          </w:tcPr>
          <w:p>
            <w:pPr>
              <w:widowControl/>
              <w:jc w:val="center"/>
              <w:rPr>
                <w:rFonts w:ascii="仿宋" w:hAnsi="仿宋" w:eastAsia="仿宋" w:cs="仿宋"/>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restart"/>
            <w:vAlign w:val="center"/>
          </w:tcPr>
          <w:p>
            <w:pPr>
              <w:widowControl/>
              <w:jc w:val="center"/>
              <w:rPr>
                <w:rFonts w:ascii="仿宋" w:hAnsi="仿宋" w:eastAsia="仿宋" w:cs="仿宋"/>
                <w:kern w:val="0"/>
                <w:szCs w:val="21"/>
              </w:rPr>
            </w:pPr>
            <w:r>
              <w:rPr>
                <w:rFonts w:hint="eastAsia" w:ascii="仿宋" w:hAnsi="仿宋" w:eastAsia="仿宋" w:cs="仿宋"/>
                <w:kern w:val="0"/>
                <w:szCs w:val="21"/>
              </w:rPr>
              <w:t>电力</w:t>
            </w:r>
          </w:p>
        </w:tc>
        <w:tc>
          <w:tcPr>
            <w:tcW w:w="996" w:type="dxa"/>
            <w:gridSpan w:val="2"/>
            <w:vMerge w:val="restart"/>
            <w:vAlign w:val="center"/>
          </w:tcPr>
          <w:p>
            <w:pPr>
              <w:widowControl/>
              <w:jc w:val="center"/>
              <w:rPr>
                <w:rFonts w:ascii="仿宋" w:hAnsi="仿宋" w:eastAsia="仿宋" w:cs="仿宋"/>
                <w:kern w:val="0"/>
                <w:szCs w:val="21"/>
              </w:rPr>
            </w:pPr>
            <w:r>
              <w:rPr>
                <w:rFonts w:hint="eastAsia" w:ascii="仿宋" w:hAnsi="仿宋" w:eastAsia="仿宋" w:cs="仿宋"/>
                <w:kern w:val="0"/>
                <w:szCs w:val="21"/>
              </w:rPr>
              <w:t>DL</w:t>
            </w:r>
          </w:p>
        </w:tc>
        <w:tc>
          <w:tcPr>
            <w:tcW w:w="992" w:type="dxa"/>
            <w:vMerge w:val="restart"/>
            <w:vAlign w:val="center"/>
          </w:tcPr>
          <w:p>
            <w:pPr>
              <w:widowControl/>
              <w:jc w:val="center"/>
              <w:rPr>
                <w:rFonts w:ascii="仿宋" w:hAnsi="仿宋" w:eastAsia="仿宋" w:cs="仿宋"/>
                <w:kern w:val="0"/>
                <w:szCs w:val="21"/>
              </w:rPr>
            </w:pPr>
            <w:r>
              <w:rPr>
                <w:rFonts w:hint="eastAsia" w:ascii="仿宋" w:hAnsi="仿宋" w:eastAsia="仿宋" w:cs="仿宋"/>
                <w:kern w:val="0"/>
                <w:szCs w:val="21"/>
              </w:rPr>
              <w:t>5</w:t>
            </w: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供电</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GD</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01</w:t>
            </w:r>
          </w:p>
        </w:tc>
        <w:tc>
          <w:tcPr>
            <w:tcW w:w="1984" w:type="dxa"/>
            <w:vMerge w:val="restart"/>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大红</w:t>
            </w:r>
          </w:p>
          <w:p>
            <w:pPr>
              <w:widowControl/>
              <w:jc w:val="center"/>
              <w:rPr>
                <w:rFonts w:ascii="仿宋" w:hAnsi="仿宋" w:eastAsia="仿宋" w:cs="仿宋"/>
                <w:bCs/>
                <w:kern w:val="0"/>
                <w:szCs w:val="21"/>
              </w:rPr>
            </w:pPr>
            <w:r>
              <w:rPr>
                <w:rFonts w:hint="eastAsia" w:ascii="仿宋" w:hAnsi="仿宋" w:eastAsia="仿宋" w:cs="仿宋"/>
                <w:color w:val="000000"/>
                <w:szCs w:val="21"/>
              </w:rPr>
              <w:t>（255，0，0）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vAlign w:val="center"/>
          </w:tcPr>
          <w:p>
            <w:pPr>
              <w:widowControl/>
              <w:ind w:firstLine="480" w:firstLineChars="200"/>
              <w:jc w:val="center"/>
              <w:rPr>
                <w:rFonts w:ascii="仿宋" w:hAnsi="仿宋" w:eastAsia="仿宋" w:cs="仿宋"/>
                <w:kern w:val="0"/>
                <w:szCs w:val="21"/>
              </w:rPr>
            </w:pPr>
          </w:p>
        </w:tc>
        <w:tc>
          <w:tcPr>
            <w:tcW w:w="996" w:type="dxa"/>
            <w:gridSpan w:val="2"/>
            <w:vMerge w:val="continue"/>
            <w:vAlign w:val="center"/>
          </w:tcPr>
          <w:p>
            <w:pPr>
              <w:widowControl/>
              <w:jc w:val="center"/>
              <w:rPr>
                <w:rFonts w:ascii="仿宋" w:hAnsi="仿宋" w:eastAsia="仿宋" w:cs="仿宋"/>
                <w:kern w:val="0"/>
                <w:szCs w:val="21"/>
              </w:rPr>
            </w:pPr>
          </w:p>
        </w:tc>
        <w:tc>
          <w:tcPr>
            <w:tcW w:w="992" w:type="dxa"/>
            <w:vMerge w:val="continue"/>
            <w:vAlign w:val="center"/>
          </w:tcPr>
          <w:p>
            <w:pPr>
              <w:widowControl/>
              <w:jc w:val="center"/>
              <w:rPr>
                <w:rFonts w:ascii="仿宋" w:hAnsi="仿宋" w:eastAsia="仿宋" w:cs="仿宋"/>
                <w:kern w:val="0"/>
                <w:szCs w:val="21"/>
              </w:rPr>
            </w:pP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路灯</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LD</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02</w:t>
            </w:r>
          </w:p>
        </w:tc>
        <w:tc>
          <w:tcPr>
            <w:tcW w:w="1984" w:type="dxa"/>
            <w:vMerge w:val="continue"/>
            <w:vAlign w:val="center"/>
          </w:tcPr>
          <w:p>
            <w:pPr>
              <w:widowControl/>
              <w:jc w:val="center"/>
              <w:rPr>
                <w:rFonts w:ascii="仿宋" w:hAnsi="仿宋" w:eastAsia="仿宋" w:cs="仿宋"/>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vAlign w:val="center"/>
          </w:tcPr>
          <w:p>
            <w:pPr>
              <w:widowControl/>
              <w:ind w:firstLine="480" w:firstLineChars="200"/>
              <w:jc w:val="center"/>
              <w:rPr>
                <w:rFonts w:ascii="仿宋" w:hAnsi="仿宋" w:eastAsia="仿宋" w:cs="仿宋"/>
                <w:kern w:val="0"/>
                <w:szCs w:val="21"/>
              </w:rPr>
            </w:pPr>
          </w:p>
        </w:tc>
        <w:tc>
          <w:tcPr>
            <w:tcW w:w="996" w:type="dxa"/>
            <w:gridSpan w:val="2"/>
            <w:vMerge w:val="continue"/>
            <w:vAlign w:val="center"/>
          </w:tcPr>
          <w:p>
            <w:pPr>
              <w:widowControl/>
              <w:jc w:val="center"/>
              <w:rPr>
                <w:rFonts w:ascii="仿宋" w:hAnsi="仿宋" w:eastAsia="仿宋" w:cs="仿宋"/>
                <w:kern w:val="0"/>
                <w:szCs w:val="21"/>
              </w:rPr>
            </w:pPr>
          </w:p>
        </w:tc>
        <w:tc>
          <w:tcPr>
            <w:tcW w:w="992" w:type="dxa"/>
            <w:vMerge w:val="continue"/>
            <w:vAlign w:val="center"/>
          </w:tcPr>
          <w:p>
            <w:pPr>
              <w:widowControl/>
              <w:jc w:val="center"/>
              <w:rPr>
                <w:rFonts w:ascii="仿宋" w:hAnsi="仿宋" w:eastAsia="仿宋" w:cs="仿宋"/>
                <w:kern w:val="0"/>
                <w:szCs w:val="21"/>
              </w:rPr>
            </w:pP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交通信号</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XH</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03</w:t>
            </w:r>
          </w:p>
        </w:tc>
        <w:tc>
          <w:tcPr>
            <w:tcW w:w="1984" w:type="dxa"/>
            <w:vMerge w:val="continue"/>
            <w:vAlign w:val="center"/>
          </w:tcPr>
          <w:p>
            <w:pPr>
              <w:widowControl/>
              <w:jc w:val="center"/>
              <w:rPr>
                <w:rFonts w:ascii="仿宋" w:hAnsi="仿宋" w:eastAsia="仿宋" w:cs="仿宋"/>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vAlign w:val="center"/>
          </w:tcPr>
          <w:p>
            <w:pPr>
              <w:widowControl/>
              <w:ind w:firstLine="480" w:firstLineChars="200"/>
              <w:jc w:val="center"/>
              <w:rPr>
                <w:rFonts w:ascii="仿宋" w:hAnsi="仿宋" w:eastAsia="仿宋" w:cs="仿宋"/>
                <w:kern w:val="0"/>
                <w:szCs w:val="21"/>
              </w:rPr>
            </w:pPr>
          </w:p>
        </w:tc>
        <w:tc>
          <w:tcPr>
            <w:tcW w:w="996" w:type="dxa"/>
            <w:gridSpan w:val="2"/>
            <w:vMerge w:val="continue"/>
            <w:vAlign w:val="center"/>
          </w:tcPr>
          <w:p>
            <w:pPr>
              <w:widowControl/>
              <w:jc w:val="center"/>
              <w:rPr>
                <w:rFonts w:ascii="仿宋" w:hAnsi="仿宋" w:eastAsia="仿宋" w:cs="仿宋"/>
                <w:kern w:val="0"/>
                <w:szCs w:val="21"/>
              </w:rPr>
            </w:pPr>
          </w:p>
        </w:tc>
        <w:tc>
          <w:tcPr>
            <w:tcW w:w="992" w:type="dxa"/>
            <w:vMerge w:val="continue"/>
            <w:vAlign w:val="center"/>
          </w:tcPr>
          <w:p>
            <w:pPr>
              <w:widowControl/>
              <w:jc w:val="center"/>
              <w:rPr>
                <w:rFonts w:ascii="仿宋" w:hAnsi="仿宋" w:eastAsia="仿宋" w:cs="仿宋"/>
                <w:kern w:val="0"/>
                <w:szCs w:val="21"/>
              </w:rPr>
            </w:pP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电车</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DC</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04</w:t>
            </w:r>
          </w:p>
        </w:tc>
        <w:tc>
          <w:tcPr>
            <w:tcW w:w="1984" w:type="dxa"/>
            <w:vMerge w:val="continue"/>
            <w:vAlign w:val="center"/>
          </w:tcPr>
          <w:p>
            <w:pPr>
              <w:widowControl/>
              <w:jc w:val="center"/>
              <w:rPr>
                <w:rFonts w:ascii="仿宋" w:hAnsi="仿宋" w:eastAsia="仿宋" w:cs="仿宋"/>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vAlign w:val="center"/>
          </w:tcPr>
          <w:p>
            <w:pPr>
              <w:widowControl/>
              <w:ind w:firstLine="480" w:firstLineChars="200"/>
              <w:jc w:val="center"/>
              <w:rPr>
                <w:rFonts w:ascii="仿宋" w:hAnsi="仿宋" w:eastAsia="仿宋" w:cs="仿宋"/>
                <w:kern w:val="0"/>
                <w:szCs w:val="21"/>
              </w:rPr>
            </w:pPr>
          </w:p>
        </w:tc>
        <w:tc>
          <w:tcPr>
            <w:tcW w:w="996" w:type="dxa"/>
            <w:gridSpan w:val="2"/>
            <w:vMerge w:val="continue"/>
            <w:vAlign w:val="center"/>
          </w:tcPr>
          <w:p>
            <w:pPr>
              <w:widowControl/>
              <w:jc w:val="center"/>
              <w:rPr>
                <w:rFonts w:ascii="仿宋" w:hAnsi="仿宋" w:eastAsia="仿宋" w:cs="仿宋"/>
                <w:kern w:val="0"/>
                <w:szCs w:val="21"/>
              </w:rPr>
            </w:pPr>
          </w:p>
        </w:tc>
        <w:tc>
          <w:tcPr>
            <w:tcW w:w="992" w:type="dxa"/>
            <w:vMerge w:val="continue"/>
            <w:vAlign w:val="center"/>
          </w:tcPr>
          <w:p>
            <w:pPr>
              <w:widowControl/>
              <w:jc w:val="center"/>
              <w:rPr>
                <w:rFonts w:ascii="仿宋" w:hAnsi="仿宋" w:eastAsia="仿宋" w:cs="仿宋"/>
                <w:kern w:val="0"/>
                <w:szCs w:val="21"/>
              </w:rPr>
            </w:pP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广告</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GG</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05</w:t>
            </w:r>
          </w:p>
        </w:tc>
        <w:tc>
          <w:tcPr>
            <w:tcW w:w="1984" w:type="dxa"/>
            <w:vMerge w:val="continue"/>
            <w:vAlign w:val="center"/>
          </w:tcPr>
          <w:p>
            <w:pPr>
              <w:widowControl/>
              <w:jc w:val="center"/>
              <w:rPr>
                <w:rFonts w:ascii="仿宋" w:hAnsi="仿宋" w:eastAsia="仿宋" w:cs="仿宋"/>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vAlign w:val="center"/>
          </w:tcPr>
          <w:p>
            <w:pPr>
              <w:widowControl/>
              <w:ind w:firstLine="480" w:firstLineChars="200"/>
              <w:jc w:val="center"/>
              <w:rPr>
                <w:rFonts w:ascii="仿宋" w:hAnsi="仿宋" w:eastAsia="仿宋" w:cs="仿宋"/>
                <w:kern w:val="0"/>
                <w:szCs w:val="21"/>
              </w:rPr>
            </w:pPr>
          </w:p>
        </w:tc>
        <w:tc>
          <w:tcPr>
            <w:tcW w:w="996" w:type="dxa"/>
            <w:gridSpan w:val="2"/>
            <w:vMerge w:val="continue"/>
            <w:vAlign w:val="center"/>
          </w:tcPr>
          <w:p>
            <w:pPr>
              <w:widowControl/>
              <w:jc w:val="center"/>
              <w:rPr>
                <w:rFonts w:ascii="仿宋" w:hAnsi="仿宋" w:eastAsia="仿宋" w:cs="仿宋"/>
                <w:kern w:val="0"/>
                <w:szCs w:val="21"/>
              </w:rPr>
            </w:pPr>
          </w:p>
        </w:tc>
        <w:tc>
          <w:tcPr>
            <w:tcW w:w="992" w:type="dxa"/>
            <w:vMerge w:val="continue"/>
            <w:vAlign w:val="center"/>
          </w:tcPr>
          <w:p>
            <w:pPr>
              <w:widowControl/>
              <w:jc w:val="center"/>
              <w:rPr>
                <w:rFonts w:ascii="仿宋" w:hAnsi="仿宋" w:eastAsia="仿宋" w:cs="仿宋"/>
                <w:kern w:val="0"/>
                <w:szCs w:val="21"/>
              </w:rPr>
            </w:pP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高压输电</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CD</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06</w:t>
            </w:r>
          </w:p>
        </w:tc>
        <w:tc>
          <w:tcPr>
            <w:tcW w:w="1984" w:type="dxa"/>
            <w:vMerge w:val="continue"/>
            <w:vAlign w:val="center"/>
          </w:tcPr>
          <w:p>
            <w:pPr>
              <w:widowControl/>
              <w:jc w:val="center"/>
              <w:rPr>
                <w:rFonts w:ascii="仿宋" w:hAnsi="仿宋" w:eastAsia="仿宋" w:cs="仿宋"/>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restart"/>
            <w:vAlign w:val="center"/>
          </w:tcPr>
          <w:p>
            <w:pPr>
              <w:widowControl/>
              <w:jc w:val="center"/>
              <w:rPr>
                <w:rFonts w:ascii="仿宋" w:hAnsi="仿宋" w:eastAsia="仿宋" w:cs="仿宋"/>
                <w:kern w:val="0"/>
                <w:szCs w:val="21"/>
              </w:rPr>
            </w:pPr>
            <w:r>
              <w:rPr>
                <w:rFonts w:hint="eastAsia" w:ascii="仿宋" w:hAnsi="仿宋" w:eastAsia="仿宋" w:cs="仿宋"/>
                <w:kern w:val="0"/>
                <w:szCs w:val="21"/>
              </w:rPr>
              <w:t>通信</w:t>
            </w:r>
          </w:p>
        </w:tc>
        <w:tc>
          <w:tcPr>
            <w:tcW w:w="996" w:type="dxa"/>
            <w:gridSpan w:val="2"/>
            <w:vMerge w:val="restart"/>
            <w:vAlign w:val="center"/>
          </w:tcPr>
          <w:p>
            <w:pPr>
              <w:widowControl/>
              <w:jc w:val="center"/>
              <w:rPr>
                <w:rFonts w:ascii="仿宋" w:hAnsi="仿宋" w:eastAsia="仿宋" w:cs="仿宋"/>
                <w:kern w:val="0"/>
                <w:szCs w:val="21"/>
              </w:rPr>
            </w:pPr>
            <w:r>
              <w:rPr>
                <w:rFonts w:hint="eastAsia" w:ascii="仿宋" w:hAnsi="仿宋" w:eastAsia="仿宋" w:cs="仿宋"/>
                <w:kern w:val="0"/>
                <w:szCs w:val="21"/>
              </w:rPr>
              <w:t>TX</w:t>
            </w:r>
          </w:p>
        </w:tc>
        <w:tc>
          <w:tcPr>
            <w:tcW w:w="992" w:type="dxa"/>
            <w:vMerge w:val="restart"/>
            <w:vAlign w:val="center"/>
          </w:tcPr>
          <w:p>
            <w:pPr>
              <w:widowControl/>
              <w:jc w:val="center"/>
              <w:rPr>
                <w:rFonts w:ascii="仿宋" w:hAnsi="仿宋" w:eastAsia="仿宋" w:cs="仿宋"/>
                <w:kern w:val="0"/>
                <w:szCs w:val="21"/>
              </w:rPr>
            </w:pPr>
            <w:r>
              <w:rPr>
                <w:rFonts w:hint="eastAsia" w:ascii="仿宋" w:hAnsi="仿宋" w:eastAsia="仿宋" w:cs="仿宋"/>
                <w:kern w:val="0"/>
                <w:szCs w:val="21"/>
              </w:rPr>
              <w:t>6</w:t>
            </w: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电话</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DH</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01</w:t>
            </w:r>
          </w:p>
        </w:tc>
        <w:tc>
          <w:tcPr>
            <w:tcW w:w="1984" w:type="dxa"/>
            <w:vMerge w:val="restart"/>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绿</w:t>
            </w:r>
          </w:p>
          <w:p>
            <w:pPr>
              <w:widowControl/>
              <w:jc w:val="center"/>
              <w:rPr>
                <w:rFonts w:ascii="仿宋" w:hAnsi="仿宋" w:eastAsia="仿宋" w:cs="仿宋"/>
                <w:bCs/>
                <w:kern w:val="0"/>
                <w:szCs w:val="21"/>
              </w:rPr>
            </w:pPr>
            <w:r>
              <w:rPr>
                <w:rFonts w:hint="eastAsia" w:ascii="仿宋" w:hAnsi="仿宋" w:eastAsia="仿宋" w:cs="仿宋"/>
                <w:color w:val="000000"/>
                <w:szCs w:val="21"/>
              </w:rPr>
              <w:t>（0，255，0）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vAlign w:val="center"/>
          </w:tcPr>
          <w:p>
            <w:pPr>
              <w:widowControl/>
              <w:ind w:firstLine="480" w:firstLineChars="200"/>
              <w:jc w:val="center"/>
              <w:rPr>
                <w:rFonts w:ascii="仿宋" w:hAnsi="仿宋" w:eastAsia="仿宋" w:cs="仿宋"/>
                <w:kern w:val="0"/>
                <w:szCs w:val="21"/>
              </w:rPr>
            </w:pPr>
          </w:p>
        </w:tc>
        <w:tc>
          <w:tcPr>
            <w:tcW w:w="996" w:type="dxa"/>
            <w:gridSpan w:val="2"/>
            <w:vMerge w:val="continue"/>
            <w:vAlign w:val="center"/>
          </w:tcPr>
          <w:p>
            <w:pPr>
              <w:widowControl/>
              <w:jc w:val="center"/>
              <w:rPr>
                <w:rFonts w:ascii="仿宋" w:hAnsi="仿宋" w:eastAsia="仿宋" w:cs="仿宋"/>
                <w:kern w:val="0"/>
                <w:szCs w:val="21"/>
              </w:rPr>
            </w:pPr>
          </w:p>
        </w:tc>
        <w:tc>
          <w:tcPr>
            <w:tcW w:w="992" w:type="dxa"/>
            <w:vMerge w:val="continue"/>
            <w:vAlign w:val="center"/>
          </w:tcPr>
          <w:p>
            <w:pPr>
              <w:widowControl/>
              <w:jc w:val="center"/>
              <w:rPr>
                <w:rFonts w:ascii="仿宋" w:hAnsi="仿宋" w:eastAsia="仿宋" w:cs="仿宋"/>
                <w:kern w:val="0"/>
                <w:szCs w:val="21"/>
              </w:rPr>
            </w:pP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有线电视</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DS</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02</w:t>
            </w:r>
          </w:p>
        </w:tc>
        <w:tc>
          <w:tcPr>
            <w:tcW w:w="1984" w:type="dxa"/>
            <w:vMerge w:val="continue"/>
            <w:vAlign w:val="center"/>
          </w:tcPr>
          <w:p>
            <w:pPr>
              <w:widowControl/>
              <w:jc w:val="center"/>
              <w:rPr>
                <w:rFonts w:ascii="仿宋" w:hAnsi="仿宋" w:eastAsia="仿宋" w:cs="仿宋"/>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vAlign w:val="center"/>
          </w:tcPr>
          <w:p>
            <w:pPr>
              <w:widowControl/>
              <w:ind w:firstLine="480" w:firstLineChars="200"/>
              <w:jc w:val="center"/>
              <w:rPr>
                <w:rFonts w:ascii="仿宋" w:hAnsi="仿宋" w:eastAsia="仿宋" w:cs="仿宋"/>
                <w:kern w:val="0"/>
                <w:szCs w:val="21"/>
              </w:rPr>
            </w:pPr>
          </w:p>
        </w:tc>
        <w:tc>
          <w:tcPr>
            <w:tcW w:w="996" w:type="dxa"/>
            <w:gridSpan w:val="2"/>
            <w:vMerge w:val="continue"/>
            <w:vAlign w:val="center"/>
          </w:tcPr>
          <w:p>
            <w:pPr>
              <w:widowControl/>
              <w:jc w:val="center"/>
              <w:rPr>
                <w:rFonts w:ascii="仿宋" w:hAnsi="仿宋" w:eastAsia="仿宋" w:cs="仿宋"/>
                <w:kern w:val="0"/>
                <w:szCs w:val="21"/>
              </w:rPr>
            </w:pPr>
          </w:p>
        </w:tc>
        <w:tc>
          <w:tcPr>
            <w:tcW w:w="992" w:type="dxa"/>
            <w:vMerge w:val="continue"/>
            <w:vAlign w:val="center"/>
          </w:tcPr>
          <w:p>
            <w:pPr>
              <w:widowControl/>
              <w:jc w:val="center"/>
              <w:rPr>
                <w:rFonts w:ascii="仿宋" w:hAnsi="仿宋" w:eastAsia="仿宋" w:cs="仿宋"/>
                <w:kern w:val="0"/>
                <w:szCs w:val="21"/>
              </w:rPr>
            </w:pP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信息网络</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XX</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03</w:t>
            </w:r>
          </w:p>
        </w:tc>
        <w:tc>
          <w:tcPr>
            <w:tcW w:w="1984" w:type="dxa"/>
            <w:vMerge w:val="continue"/>
            <w:vAlign w:val="center"/>
          </w:tcPr>
          <w:p>
            <w:pPr>
              <w:widowControl/>
              <w:jc w:val="center"/>
              <w:rPr>
                <w:rFonts w:ascii="仿宋" w:hAnsi="仿宋" w:eastAsia="仿宋" w:cs="仿宋"/>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vAlign w:val="center"/>
          </w:tcPr>
          <w:p>
            <w:pPr>
              <w:widowControl/>
              <w:ind w:firstLine="480" w:firstLineChars="200"/>
              <w:jc w:val="center"/>
              <w:rPr>
                <w:rFonts w:ascii="仿宋" w:hAnsi="仿宋" w:eastAsia="仿宋" w:cs="仿宋"/>
                <w:kern w:val="0"/>
                <w:szCs w:val="21"/>
              </w:rPr>
            </w:pPr>
          </w:p>
        </w:tc>
        <w:tc>
          <w:tcPr>
            <w:tcW w:w="996" w:type="dxa"/>
            <w:gridSpan w:val="2"/>
            <w:vMerge w:val="continue"/>
            <w:vAlign w:val="center"/>
          </w:tcPr>
          <w:p>
            <w:pPr>
              <w:widowControl/>
              <w:jc w:val="center"/>
              <w:rPr>
                <w:rFonts w:ascii="仿宋" w:hAnsi="仿宋" w:eastAsia="仿宋" w:cs="仿宋"/>
                <w:kern w:val="0"/>
                <w:szCs w:val="21"/>
              </w:rPr>
            </w:pPr>
          </w:p>
        </w:tc>
        <w:tc>
          <w:tcPr>
            <w:tcW w:w="992" w:type="dxa"/>
            <w:vMerge w:val="continue"/>
            <w:vAlign w:val="center"/>
          </w:tcPr>
          <w:p>
            <w:pPr>
              <w:widowControl/>
              <w:jc w:val="center"/>
              <w:rPr>
                <w:rFonts w:ascii="仿宋" w:hAnsi="仿宋" w:eastAsia="仿宋" w:cs="仿宋"/>
                <w:kern w:val="0"/>
                <w:szCs w:val="21"/>
              </w:rPr>
            </w:pP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广播</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GB</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04</w:t>
            </w:r>
          </w:p>
        </w:tc>
        <w:tc>
          <w:tcPr>
            <w:tcW w:w="1984" w:type="dxa"/>
            <w:vMerge w:val="continue"/>
            <w:vAlign w:val="center"/>
          </w:tcPr>
          <w:p>
            <w:pPr>
              <w:widowControl/>
              <w:jc w:val="center"/>
              <w:rPr>
                <w:rFonts w:ascii="仿宋" w:hAnsi="仿宋" w:eastAsia="仿宋" w:cs="仿宋"/>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vAlign w:val="center"/>
          </w:tcPr>
          <w:p>
            <w:pPr>
              <w:widowControl/>
              <w:ind w:firstLine="480" w:firstLineChars="200"/>
              <w:jc w:val="center"/>
              <w:rPr>
                <w:rFonts w:ascii="仿宋" w:hAnsi="仿宋" w:eastAsia="仿宋" w:cs="仿宋"/>
                <w:kern w:val="0"/>
                <w:szCs w:val="21"/>
              </w:rPr>
            </w:pPr>
          </w:p>
        </w:tc>
        <w:tc>
          <w:tcPr>
            <w:tcW w:w="996" w:type="dxa"/>
            <w:gridSpan w:val="2"/>
            <w:vMerge w:val="continue"/>
            <w:vAlign w:val="center"/>
          </w:tcPr>
          <w:p>
            <w:pPr>
              <w:widowControl/>
              <w:jc w:val="center"/>
              <w:rPr>
                <w:rFonts w:ascii="仿宋" w:hAnsi="仿宋" w:eastAsia="仿宋" w:cs="仿宋"/>
                <w:kern w:val="0"/>
                <w:szCs w:val="21"/>
              </w:rPr>
            </w:pPr>
          </w:p>
        </w:tc>
        <w:tc>
          <w:tcPr>
            <w:tcW w:w="992" w:type="dxa"/>
            <w:vMerge w:val="continue"/>
            <w:vAlign w:val="center"/>
          </w:tcPr>
          <w:p>
            <w:pPr>
              <w:widowControl/>
              <w:jc w:val="center"/>
              <w:rPr>
                <w:rFonts w:ascii="仿宋" w:hAnsi="仿宋" w:eastAsia="仿宋" w:cs="仿宋"/>
                <w:kern w:val="0"/>
                <w:szCs w:val="21"/>
              </w:rPr>
            </w:pP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陆地通信</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CT</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05</w:t>
            </w:r>
          </w:p>
        </w:tc>
        <w:tc>
          <w:tcPr>
            <w:tcW w:w="1984" w:type="dxa"/>
            <w:vMerge w:val="continue"/>
            <w:vAlign w:val="center"/>
          </w:tcPr>
          <w:p>
            <w:pPr>
              <w:widowControl/>
              <w:jc w:val="center"/>
              <w:rPr>
                <w:rFonts w:ascii="仿宋" w:hAnsi="仿宋" w:eastAsia="仿宋" w:cs="仿宋"/>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vAlign w:val="center"/>
          </w:tcPr>
          <w:p>
            <w:pPr>
              <w:widowControl/>
              <w:ind w:firstLine="480" w:firstLineChars="200"/>
              <w:jc w:val="center"/>
              <w:rPr>
                <w:rFonts w:ascii="仿宋" w:hAnsi="仿宋" w:eastAsia="仿宋" w:cs="仿宋"/>
                <w:kern w:val="0"/>
                <w:szCs w:val="21"/>
              </w:rPr>
            </w:pPr>
          </w:p>
        </w:tc>
        <w:tc>
          <w:tcPr>
            <w:tcW w:w="996" w:type="dxa"/>
            <w:gridSpan w:val="2"/>
            <w:vMerge w:val="continue"/>
            <w:vAlign w:val="center"/>
          </w:tcPr>
          <w:p>
            <w:pPr>
              <w:widowControl/>
              <w:jc w:val="center"/>
              <w:rPr>
                <w:rFonts w:ascii="仿宋" w:hAnsi="仿宋" w:eastAsia="仿宋" w:cs="仿宋"/>
                <w:kern w:val="0"/>
                <w:szCs w:val="21"/>
              </w:rPr>
            </w:pPr>
          </w:p>
        </w:tc>
        <w:tc>
          <w:tcPr>
            <w:tcW w:w="992" w:type="dxa"/>
            <w:vMerge w:val="continue"/>
            <w:vAlign w:val="center"/>
          </w:tcPr>
          <w:p>
            <w:pPr>
              <w:widowControl/>
              <w:jc w:val="center"/>
              <w:rPr>
                <w:rFonts w:ascii="仿宋" w:hAnsi="仿宋" w:eastAsia="仿宋" w:cs="仿宋"/>
                <w:kern w:val="0"/>
                <w:szCs w:val="21"/>
              </w:rPr>
            </w:pP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水下光缆</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SG</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06</w:t>
            </w:r>
          </w:p>
        </w:tc>
        <w:tc>
          <w:tcPr>
            <w:tcW w:w="1984" w:type="dxa"/>
            <w:vMerge w:val="continue"/>
            <w:vAlign w:val="center"/>
          </w:tcPr>
          <w:p>
            <w:pPr>
              <w:widowControl/>
              <w:jc w:val="center"/>
              <w:rPr>
                <w:rFonts w:ascii="仿宋" w:hAnsi="仿宋" w:eastAsia="仿宋" w:cs="仿宋"/>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restart"/>
            <w:vAlign w:val="center"/>
          </w:tcPr>
          <w:p>
            <w:pPr>
              <w:widowControl/>
              <w:jc w:val="center"/>
              <w:rPr>
                <w:rFonts w:ascii="仿宋" w:hAnsi="仿宋" w:eastAsia="仿宋" w:cs="仿宋"/>
                <w:kern w:val="0"/>
                <w:szCs w:val="21"/>
              </w:rPr>
            </w:pPr>
            <w:r>
              <w:rPr>
                <w:rFonts w:hint="eastAsia" w:ascii="仿宋" w:hAnsi="仿宋" w:eastAsia="仿宋" w:cs="仿宋"/>
                <w:kern w:val="0"/>
                <w:szCs w:val="21"/>
              </w:rPr>
              <w:t>工业</w:t>
            </w:r>
          </w:p>
        </w:tc>
        <w:tc>
          <w:tcPr>
            <w:tcW w:w="996" w:type="dxa"/>
            <w:gridSpan w:val="2"/>
            <w:vMerge w:val="restart"/>
            <w:vAlign w:val="center"/>
          </w:tcPr>
          <w:p>
            <w:pPr>
              <w:widowControl/>
              <w:jc w:val="center"/>
              <w:rPr>
                <w:rFonts w:ascii="仿宋" w:hAnsi="仿宋" w:eastAsia="仿宋" w:cs="仿宋"/>
                <w:kern w:val="0"/>
                <w:szCs w:val="21"/>
              </w:rPr>
            </w:pPr>
            <w:r>
              <w:rPr>
                <w:rFonts w:hint="eastAsia" w:ascii="仿宋" w:hAnsi="仿宋" w:eastAsia="仿宋" w:cs="仿宋"/>
                <w:kern w:val="0"/>
                <w:szCs w:val="21"/>
              </w:rPr>
              <w:t>GY</w:t>
            </w:r>
          </w:p>
        </w:tc>
        <w:tc>
          <w:tcPr>
            <w:tcW w:w="992" w:type="dxa"/>
            <w:vMerge w:val="restart"/>
            <w:vAlign w:val="center"/>
          </w:tcPr>
          <w:p>
            <w:pPr>
              <w:widowControl/>
              <w:jc w:val="center"/>
              <w:rPr>
                <w:rFonts w:ascii="仿宋" w:hAnsi="仿宋" w:eastAsia="仿宋" w:cs="仿宋"/>
                <w:kern w:val="0"/>
                <w:szCs w:val="21"/>
              </w:rPr>
            </w:pPr>
            <w:r>
              <w:rPr>
                <w:rFonts w:hint="eastAsia" w:ascii="仿宋" w:hAnsi="仿宋" w:eastAsia="仿宋" w:cs="仿宋"/>
                <w:kern w:val="0"/>
                <w:szCs w:val="21"/>
              </w:rPr>
              <w:t>7</w:t>
            </w: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氢气</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QQ</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01</w:t>
            </w:r>
          </w:p>
        </w:tc>
        <w:tc>
          <w:tcPr>
            <w:tcW w:w="1984" w:type="dxa"/>
            <w:vMerge w:val="restart"/>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黑</w:t>
            </w:r>
          </w:p>
          <w:p>
            <w:pPr>
              <w:widowControl/>
              <w:jc w:val="center"/>
              <w:rPr>
                <w:rFonts w:ascii="仿宋" w:hAnsi="仿宋" w:eastAsia="仿宋" w:cs="仿宋"/>
                <w:bCs/>
                <w:kern w:val="0"/>
                <w:szCs w:val="21"/>
              </w:rPr>
            </w:pPr>
            <w:r>
              <w:rPr>
                <w:rFonts w:hint="eastAsia" w:ascii="仿宋" w:hAnsi="仿宋" w:eastAsia="仿宋" w:cs="仿宋"/>
                <w:color w:val="00000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vAlign w:val="center"/>
          </w:tcPr>
          <w:p>
            <w:pPr>
              <w:widowControl/>
              <w:ind w:firstLine="480" w:firstLineChars="200"/>
              <w:jc w:val="center"/>
              <w:rPr>
                <w:rFonts w:ascii="仿宋" w:hAnsi="仿宋" w:eastAsia="仿宋" w:cs="仿宋"/>
                <w:kern w:val="0"/>
                <w:szCs w:val="21"/>
              </w:rPr>
            </w:pPr>
          </w:p>
        </w:tc>
        <w:tc>
          <w:tcPr>
            <w:tcW w:w="996" w:type="dxa"/>
            <w:gridSpan w:val="2"/>
            <w:vMerge w:val="continue"/>
            <w:vAlign w:val="center"/>
          </w:tcPr>
          <w:p>
            <w:pPr>
              <w:widowControl/>
              <w:jc w:val="center"/>
              <w:rPr>
                <w:rFonts w:ascii="仿宋" w:hAnsi="仿宋" w:eastAsia="仿宋" w:cs="仿宋"/>
                <w:kern w:val="0"/>
                <w:szCs w:val="21"/>
              </w:rPr>
            </w:pPr>
          </w:p>
        </w:tc>
        <w:tc>
          <w:tcPr>
            <w:tcW w:w="992" w:type="dxa"/>
            <w:vMerge w:val="continue"/>
            <w:vAlign w:val="center"/>
          </w:tcPr>
          <w:p>
            <w:pPr>
              <w:widowControl/>
              <w:jc w:val="center"/>
              <w:rPr>
                <w:rFonts w:ascii="仿宋" w:hAnsi="仿宋" w:eastAsia="仿宋" w:cs="仿宋"/>
                <w:kern w:val="0"/>
                <w:szCs w:val="21"/>
              </w:rPr>
            </w:pP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氧气</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YQ</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02</w:t>
            </w:r>
          </w:p>
        </w:tc>
        <w:tc>
          <w:tcPr>
            <w:tcW w:w="1984" w:type="dxa"/>
            <w:vMerge w:val="continue"/>
            <w:vAlign w:val="center"/>
          </w:tcPr>
          <w:p>
            <w:pPr>
              <w:widowControl/>
              <w:jc w:val="center"/>
              <w:rPr>
                <w:rFonts w:ascii="仿宋" w:hAnsi="仿宋" w:eastAsia="仿宋" w:cs="仿宋"/>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vAlign w:val="center"/>
          </w:tcPr>
          <w:p>
            <w:pPr>
              <w:widowControl/>
              <w:ind w:firstLine="480" w:firstLineChars="200"/>
              <w:jc w:val="center"/>
              <w:rPr>
                <w:rFonts w:ascii="仿宋" w:hAnsi="仿宋" w:eastAsia="仿宋" w:cs="仿宋"/>
                <w:kern w:val="0"/>
                <w:szCs w:val="21"/>
              </w:rPr>
            </w:pPr>
          </w:p>
        </w:tc>
        <w:tc>
          <w:tcPr>
            <w:tcW w:w="996" w:type="dxa"/>
            <w:gridSpan w:val="2"/>
            <w:vMerge w:val="continue"/>
            <w:vAlign w:val="center"/>
          </w:tcPr>
          <w:p>
            <w:pPr>
              <w:widowControl/>
              <w:jc w:val="center"/>
              <w:rPr>
                <w:rFonts w:ascii="仿宋" w:hAnsi="仿宋" w:eastAsia="仿宋" w:cs="仿宋"/>
                <w:kern w:val="0"/>
                <w:szCs w:val="21"/>
              </w:rPr>
            </w:pPr>
          </w:p>
        </w:tc>
        <w:tc>
          <w:tcPr>
            <w:tcW w:w="992" w:type="dxa"/>
            <w:vMerge w:val="continue"/>
            <w:vAlign w:val="center"/>
          </w:tcPr>
          <w:p>
            <w:pPr>
              <w:widowControl/>
              <w:jc w:val="center"/>
              <w:rPr>
                <w:rFonts w:ascii="仿宋" w:hAnsi="仿宋" w:eastAsia="仿宋" w:cs="仿宋"/>
                <w:kern w:val="0"/>
                <w:szCs w:val="21"/>
              </w:rPr>
            </w:pP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乙炔</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GQ</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03</w:t>
            </w:r>
          </w:p>
        </w:tc>
        <w:tc>
          <w:tcPr>
            <w:tcW w:w="1984" w:type="dxa"/>
            <w:vMerge w:val="continue"/>
            <w:vAlign w:val="center"/>
          </w:tcPr>
          <w:p>
            <w:pPr>
              <w:widowControl/>
              <w:jc w:val="center"/>
              <w:rPr>
                <w:rFonts w:ascii="仿宋" w:hAnsi="仿宋" w:eastAsia="仿宋" w:cs="仿宋"/>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vAlign w:val="center"/>
          </w:tcPr>
          <w:p>
            <w:pPr>
              <w:widowControl/>
              <w:ind w:firstLine="480" w:firstLineChars="200"/>
              <w:jc w:val="center"/>
              <w:rPr>
                <w:rFonts w:ascii="仿宋" w:hAnsi="仿宋" w:eastAsia="仿宋" w:cs="仿宋"/>
                <w:kern w:val="0"/>
                <w:szCs w:val="21"/>
              </w:rPr>
            </w:pPr>
          </w:p>
        </w:tc>
        <w:tc>
          <w:tcPr>
            <w:tcW w:w="996" w:type="dxa"/>
            <w:gridSpan w:val="2"/>
            <w:vMerge w:val="continue"/>
            <w:vAlign w:val="center"/>
          </w:tcPr>
          <w:p>
            <w:pPr>
              <w:widowControl/>
              <w:jc w:val="center"/>
              <w:rPr>
                <w:rFonts w:ascii="仿宋" w:hAnsi="仿宋" w:eastAsia="仿宋" w:cs="仿宋"/>
                <w:kern w:val="0"/>
                <w:szCs w:val="21"/>
              </w:rPr>
            </w:pPr>
          </w:p>
        </w:tc>
        <w:tc>
          <w:tcPr>
            <w:tcW w:w="992" w:type="dxa"/>
            <w:vMerge w:val="continue"/>
            <w:vAlign w:val="center"/>
          </w:tcPr>
          <w:p>
            <w:pPr>
              <w:widowControl/>
              <w:jc w:val="center"/>
              <w:rPr>
                <w:rFonts w:ascii="仿宋" w:hAnsi="仿宋" w:eastAsia="仿宋" w:cs="仿宋"/>
                <w:kern w:val="0"/>
                <w:szCs w:val="21"/>
              </w:rPr>
            </w:pP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乙烯</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YX</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04</w:t>
            </w:r>
          </w:p>
        </w:tc>
        <w:tc>
          <w:tcPr>
            <w:tcW w:w="1984" w:type="dxa"/>
            <w:vMerge w:val="continue"/>
            <w:vAlign w:val="center"/>
          </w:tcPr>
          <w:p>
            <w:pPr>
              <w:widowControl/>
              <w:jc w:val="center"/>
              <w:rPr>
                <w:rFonts w:ascii="仿宋" w:hAnsi="仿宋" w:eastAsia="仿宋" w:cs="仿宋"/>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vAlign w:val="center"/>
          </w:tcPr>
          <w:p>
            <w:pPr>
              <w:widowControl/>
              <w:ind w:firstLine="480" w:firstLineChars="200"/>
              <w:jc w:val="center"/>
              <w:rPr>
                <w:rFonts w:ascii="仿宋" w:hAnsi="仿宋" w:eastAsia="仿宋" w:cs="仿宋"/>
                <w:kern w:val="0"/>
                <w:szCs w:val="21"/>
              </w:rPr>
            </w:pPr>
          </w:p>
        </w:tc>
        <w:tc>
          <w:tcPr>
            <w:tcW w:w="996" w:type="dxa"/>
            <w:gridSpan w:val="2"/>
            <w:vMerge w:val="continue"/>
            <w:vAlign w:val="center"/>
          </w:tcPr>
          <w:p>
            <w:pPr>
              <w:widowControl/>
              <w:jc w:val="center"/>
              <w:rPr>
                <w:rFonts w:ascii="仿宋" w:hAnsi="仿宋" w:eastAsia="仿宋" w:cs="仿宋"/>
                <w:kern w:val="0"/>
                <w:szCs w:val="21"/>
              </w:rPr>
            </w:pPr>
          </w:p>
        </w:tc>
        <w:tc>
          <w:tcPr>
            <w:tcW w:w="992" w:type="dxa"/>
            <w:vMerge w:val="continue"/>
            <w:vAlign w:val="center"/>
          </w:tcPr>
          <w:p>
            <w:pPr>
              <w:widowControl/>
              <w:jc w:val="center"/>
              <w:rPr>
                <w:rFonts w:ascii="仿宋" w:hAnsi="仿宋" w:eastAsia="仿宋" w:cs="仿宋"/>
                <w:kern w:val="0"/>
                <w:szCs w:val="21"/>
              </w:rPr>
            </w:pP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苯</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BQ</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05</w:t>
            </w:r>
          </w:p>
        </w:tc>
        <w:tc>
          <w:tcPr>
            <w:tcW w:w="1984" w:type="dxa"/>
            <w:vMerge w:val="continue"/>
            <w:vAlign w:val="center"/>
          </w:tcPr>
          <w:p>
            <w:pPr>
              <w:widowControl/>
              <w:jc w:val="center"/>
              <w:rPr>
                <w:rFonts w:ascii="仿宋" w:hAnsi="仿宋" w:eastAsia="仿宋" w:cs="仿宋"/>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vAlign w:val="center"/>
          </w:tcPr>
          <w:p>
            <w:pPr>
              <w:widowControl/>
              <w:ind w:firstLine="480" w:firstLineChars="200"/>
              <w:jc w:val="center"/>
              <w:rPr>
                <w:rFonts w:ascii="仿宋" w:hAnsi="仿宋" w:eastAsia="仿宋" w:cs="仿宋"/>
                <w:kern w:val="0"/>
                <w:szCs w:val="21"/>
              </w:rPr>
            </w:pPr>
          </w:p>
        </w:tc>
        <w:tc>
          <w:tcPr>
            <w:tcW w:w="996" w:type="dxa"/>
            <w:gridSpan w:val="2"/>
            <w:vMerge w:val="continue"/>
            <w:vAlign w:val="center"/>
          </w:tcPr>
          <w:p>
            <w:pPr>
              <w:widowControl/>
              <w:jc w:val="center"/>
              <w:rPr>
                <w:rFonts w:ascii="仿宋" w:hAnsi="仿宋" w:eastAsia="仿宋" w:cs="仿宋"/>
                <w:kern w:val="0"/>
                <w:szCs w:val="21"/>
              </w:rPr>
            </w:pPr>
          </w:p>
        </w:tc>
        <w:tc>
          <w:tcPr>
            <w:tcW w:w="992" w:type="dxa"/>
            <w:vMerge w:val="continue"/>
            <w:vAlign w:val="center"/>
          </w:tcPr>
          <w:p>
            <w:pPr>
              <w:widowControl/>
              <w:jc w:val="center"/>
              <w:rPr>
                <w:rFonts w:ascii="仿宋" w:hAnsi="仿宋" w:eastAsia="仿宋" w:cs="仿宋"/>
                <w:kern w:val="0"/>
                <w:szCs w:val="21"/>
              </w:rPr>
            </w:pP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氯气</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LQ</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06</w:t>
            </w:r>
          </w:p>
        </w:tc>
        <w:tc>
          <w:tcPr>
            <w:tcW w:w="1984" w:type="dxa"/>
            <w:vMerge w:val="continue"/>
            <w:vAlign w:val="center"/>
          </w:tcPr>
          <w:p>
            <w:pPr>
              <w:widowControl/>
              <w:jc w:val="center"/>
              <w:rPr>
                <w:rFonts w:ascii="仿宋" w:hAnsi="仿宋" w:eastAsia="仿宋" w:cs="仿宋"/>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vAlign w:val="center"/>
          </w:tcPr>
          <w:p>
            <w:pPr>
              <w:widowControl/>
              <w:ind w:firstLine="480" w:firstLineChars="200"/>
              <w:jc w:val="center"/>
              <w:rPr>
                <w:rFonts w:ascii="仿宋" w:hAnsi="仿宋" w:eastAsia="仿宋" w:cs="仿宋"/>
                <w:kern w:val="0"/>
                <w:szCs w:val="21"/>
              </w:rPr>
            </w:pPr>
          </w:p>
        </w:tc>
        <w:tc>
          <w:tcPr>
            <w:tcW w:w="996" w:type="dxa"/>
            <w:gridSpan w:val="2"/>
            <w:vMerge w:val="continue"/>
            <w:vAlign w:val="center"/>
          </w:tcPr>
          <w:p>
            <w:pPr>
              <w:widowControl/>
              <w:jc w:val="center"/>
              <w:rPr>
                <w:rFonts w:ascii="仿宋" w:hAnsi="仿宋" w:eastAsia="仿宋" w:cs="仿宋"/>
                <w:kern w:val="0"/>
                <w:szCs w:val="21"/>
              </w:rPr>
            </w:pPr>
          </w:p>
        </w:tc>
        <w:tc>
          <w:tcPr>
            <w:tcW w:w="992" w:type="dxa"/>
            <w:vMerge w:val="continue"/>
            <w:vAlign w:val="center"/>
          </w:tcPr>
          <w:p>
            <w:pPr>
              <w:widowControl/>
              <w:jc w:val="center"/>
              <w:rPr>
                <w:rFonts w:ascii="仿宋" w:hAnsi="仿宋" w:eastAsia="仿宋" w:cs="仿宋"/>
                <w:kern w:val="0"/>
                <w:szCs w:val="21"/>
              </w:rPr>
            </w:pP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氮气</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DQ</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07</w:t>
            </w:r>
          </w:p>
        </w:tc>
        <w:tc>
          <w:tcPr>
            <w:tcW w:w="1984" w:type="dxa"/>
            <w:vMerge w:val="continue"/>
            <w:vAlign w:val="center"/>
          </w:tcPr>
          <w:p>
            <w:pPr>
              <w:widowControl/>
              <w:jc w:val="center"/>
              <w:rPr>
                <w:rFonts w:ascii="仿宋" w:hAnsi="仿宋" w:eastAsia="仿宋" w:cs="仿宋"/>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vAlign w:val="center"/>
          </w:tcPr>
          <w:p>
            <w:pPr>
              <w:widowControl/>
              <w:ind w:firstLine="480" w:firstLineChars="200"/>
              <w:jc w:val="center"/>
              <w:rPr>
                <w:rFonts w:ascii="仿宋" w:hAnsi="仿宋" w:eastAsia="仿宋" w:cs="仿宋"/>
                <w:kern w:val="0"/>
                <w:szCs w:val="21"/>
              </w:rPr>
            </w:pPr>
          </w:p>
        </w:tc>
        <w:tc>
          <w:tcPr>
            <w:tcW w:w="996" w:type="dxa"/>
            <w:gridSpan w:val="2"/>
            <w:vMerge w:val="continue"/>
            <w:vAlign w:val="center"/>
          </w:tcPr>
          <w:p>
            <w:pPr>
              <w:widowControl/>
              <w:jc w:val="center"/>
              <w:rPr>
                <w:rFonts w:ascii="仿宋" w:hAnsi="仿宋" w:eastAsia="仿宋" w:cs="仿宋"/>
                <w:kern w:val="0"/>
                <w:szCs w:val="21"/>
              </w:rPr>
            </w:pPr>
          </w:p>
        </w:tc>
        <w:tc>
          <w:tcPr>
            <w:tcW w:w="992" w:type="dxa"/>
            <w:vMerge w:val="continue"/>
            <w:vAlign w:val="center"/>
          </w:tcPr>
          <w:p>
            <w:pPr>
              <w:widowControl/>
              <w:jc w:val="center"/>
              <w:rPr>
                <w:rFonts w:ascii="仿宋" w:hAnsi="仿宋" w:eastAsia="仿宋" w:cs="仿宋"/>
                <w:kern w:val="0"/>
                <w:szCs w:val="21"/>
              </w:rPr>
            </w:pP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二氧化碳</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EY</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08</w:t>
            </w:r>
          </w:p>
        </w:tc>
        <w:tc>
          <w:tcPr>
            <w:tcW w:w="1984" w:type="dxa"/>
            <w:vMerge w:val="continue"/>
            <w:vAlign w:val="center"/>
          </w:tcPr>
          <w:p>
            <w:pPr>
              <w:widowControl/>
              <w:jc w:val="center"/>
              <w:rPr>
                <w:rFonts w:ascii="仿宋" w:hAnsi="仿宋" w:eastAsia="仿宋" w:cs="仿宋"/>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vAlign w:val="center"/>
          </w:tcPr>
          <w:p>
            <w:pPr>
              <w:widowControl/>
              <w:ind w:firstLine="480" w:firstLineChars="200"/>
              <w:jc w:val="center"/>
              <w:rPr>
                <w:rFonts w:ascii="仿宋" w:hAnsi="仿宋" w:eastAsia="仿宋" w:cs="仿宋"/>
                <w:kern w:val="0"/>
                <w:szCs w:val="21"/>
              </w:rPr>
            </w:pPr>
          </w:p>
        </w:tc>
        <w:tc>
          <w:tcPr>
            <w:tcW w:w="996" w:type="dxa"/>
            <w:gridSpan w:val="2"/>
            <w:vMerge w:val="continue"/>
            <w:vAlign w:val="center"/>
          </w:tcPr>
          <w:p>
            <w:pPr>
              <w:widowControl/>
              <w:jc w:val="center"/>
              <w:rPr>
                <w:rFonts w:ascii="仿宋" w:hAnsi="仿宋" w:eastAsia="仿宋" w:cs="仿宋"/>
                <w:kern w:val="0"/>
                <w:szCs w:val="21"/>
              </w:rPr>
            </w:pPr>
          </w:p>
        </w:tc>
        <w:tc>
          <w:tcPr>
            <w:tcW w:w="992" w:type="dxa"/>
            <w:vMerge w:val="continue"/>
            <w:vAlign w:val="center"/>
          </w:tcPr>
          <w:p>
            <w:pPr>
              <w:widowControl/>
              <w:jc w:val="center"/>
              <w:rPr>
                <w:rFonts w:ascii="仿宋" w:hAnsi="仿宋" w:eastAsia="仿宋" w:cs="仿宋"/>
                <w:kern w:val="0"/>
                <w:szCs w:val="21"/>
              </w:rPr>
            </w:pP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氨气</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AQ</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09</w:t>
            </w:r>
          </w:p>
        </w:tc>
        <w:tc>
          <w:tcPr>
            <w:tcW w:w="1984" w:type="dxa"/>
            <w:vMerge w:val="continue"/>
            <w:vAlign w:val="center"/>
          </w:tcPr>
          <w:p>
            <w:pPr>
              <w:widowControl/>
              <w:jc w:val="center"/>
              <w:rPr>
                <w:rFonts w:ascii="仿宋" w:hAnsi="仿宋" w:eastAsia="仿宋" w:cs="仿宋"/>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vAlign w:val="center"/>
          </w:tcPr>
          <w:p>
            <w:pPr>
              <w:widowControl/>
              <w:ind w:firstLine="480" w:firstLineChars="200"/>
              <w:jc w:val="center"/>
              <w:rPr>
                <w:rFonts w:ascii="仿宋" w:hAnsi="仿宋" w:eastAsia="仿宋" w:cs="仿宋"/>
                <w:kern w:val="0"/>
                <w:szCs w:val="21"/>
              </w:rPr>
            </w:pPr>
          </w:p>
        </w:tc>
        <w:tc>
          <w:tcPr>
            <w:tcW w:w="996" w:type="dxa"/>
            <w:gridSpan w:val="2"/>
            <w:vMerge w:val="continue"/>
            <w:vAlign w:val="center"/>
          </w:tcPr>
          <w:p>
            <w:pPr>
              <w:widowControl/>
              <w:jc w:val="center"/>
              <w:rPr>
                <w:rFonts w:ascii="仿宋" w:hAnsi="仿宋" w:eastAsia="仿宋" w:cs="仿宋"/>
                <w:kern w:val="0"/>
                <w:szCs w:val="21"/>
              </w:rPr>
            </w:pPr>
          </w:p>
        </w:tc>
        <w:tc>
          <w:tcPr>
            <w:tcW w:w="992" w:type="dxa"/>
            <w:vMerge w:val="continue"/>
            <w:vAlign w:val="center"/>
          </w:tcPr>
          <w:p>
            <w:pPr>
              <w:widowControl/>
              <w:jc w:val="center"/>
              <w:rPr>
                <w:rFonts w:ascii="仿宋" w:hAnsi="仿宋" w:eastAsia="仿宋" w:cs="仿宋"/>
                <w:kern w:val="0"/>
                <w:szCs w:val="21"/>
              </w:rPr>
            </w:pP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甲苯</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JB</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10</w:t>
            </w:r>
          </w:p>
        </w:tc>
        <w:tc>
          <w:tcPr>
            <w:tcW w:w="1984" w:type="dxa"/>
            <w:vMerge w:val="continue"/>
            <w:vAlign w:val="center"/>
          </w:tcPr>
          <w:p>
            <w:pPr>
              <w:widowControl/>
              <w:jc w:val="center"/>
              <w:rPr>
                <w:rFonts w:ascii="仿宋" w:hAnsi="仿宋" w:eastAsia="仿宋" w:cs="仿宋"/>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vAlign w:val="center"/>
          </w:tcPr>
          <w:p>
            <w:pPr>
              <w:widowControl/>
              <w:ind w:firstLine="480" w:firstLineChars="200"/>
              <w:jc w:val="center"/>
              <w:rPr>
                <w:rFonts w:ascii="仿宋" w:hAnsi="仿宋" w:eastAsia="仿宋" w:cs="仿宋"/>
                <w:kern w:val="0"/>
                <w:szCs w:val="21"/>
              </w:rPr>
            </w:pPr>
          </w:p>
        </w:tc>
        <w:tc>
          <w:tcPr>
            <w:tcW w:w="996" w:type="dxa"/>
            <w:gridSpan w:val="2"/>
            <w:vMerge w:val="continue"/>
            <w:vAlign w:val="center"/>
          </w:tcPr>
          <w:p>
            <w:pPr>
              <w:widowControl/>
              <w:jc w:val="center"/>
              <w:rPr>
                <w:rFonts w:ascii="仿宋" w:hAnsi="仿宋" w:eastAsia="仿宋" w:cs="仿宋"/>
                <w:kern w:val="0"/>
                <w:szCs w:val="21"/>
              </w:rPr>
            </w:pPr>
          </w:p>
        </w:tc>
        <w:tc>
          <w:tcPr>
            <w:tcW w:w="992" w:type="dxa"/>
            <w:vMerge w:val="continue"/>
            <w:vAlign w:val="center"/>
          </w:tcPr>
          <w:p>
            <w:pPr>
              <w:widowControl/>
              <w:jc w:val="center"/>
              <w:rPr>
                <w:rFonts w:ascii="仿宋" w:hAnsi="仿宋" w:eastAsia="仿宋" w:cs="仿宋"/>
                <w:kern w:val="0"/>
                <w:szCs w:val="21"/>
              </w:rPr>
            </w:pP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长途输油</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SY</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11</w:t>
            </w:r>
          </w:p>
        </w:tc>
        <w:tc>
          <w:tcPr>
            <w:tcW w:w="1984" w:type="dxa"/>
            <w:vMerge w:val="continue"/>
            <w:vAlign w:val="center"/>
          </w:tcPr>
          <w:p>
            <w:pPr>
              <w:widowControl/>
              <w:jc w:val="center"/>
              <w:rPr>
                <w:rFonts w:ascii="仿宋" w:hAnsi="仿宋" w:eastAsia="仿宋" w:cs="仿宋"/>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35" w:type="dxa"/>
            <w:gridSpan w:val="2"/>
            <w:vAlign w:val="center"/>
          </w:tcPr>
          <w:p>
            <w:pPr>
              <w:widowControl/>
              <w:jc w:val="center"/>
              <w:rPr>
                <w:rFonts w:ascii="仿宋" w:hAnsi="仿宋" w:eastAsia="仿宋" w:cs="仿宋"/>
                <w:kern w:val="0"/>
                <w:szCs w:val="21"/>
              </w:rPr>
            </w:pPr>
            <w:r>
              <w:rPr>
                <w:rFonts w:hint="eastAsia" w:ascii="仿宋" w:hAnsi="仿宋" w:eastAsia="仿宋" w:cs="仿宋"/>
                <w:kern w:val="0"/>
                <w:szCs w:val="21"/>
              </w:rPr>
              <w:t>综合管廊</w:t>
            </w:r>
          </w:p>
          <w:p>
            <w:pPr>
              <w:widowControl/>
              <w:jc w:val="center"/>
              <w:rPr>
                <w:rFonts w:ascii="仿宋" w:hAnsi="仿宋" w:eastAsia="仿宋" w:cs="仿宋"/>
                <w:kern w:val="0"/>
                <w:szCs w:val="21"/>
              </w:rPr>
            </w:pPr>
            <w:r>
              <w:rPr>
                <w:rFonts w:hint="eastAsia" w:ascii="仿宋" w:hAnsi="仿宋" w:eastAsia="仿宋" w:cs="仿宋"/>
                <w:kern w:val="0"/>
                <w:szCs w:val="21"/>
              </w:rPr>
              <w:t>（沟）</w:t>
            </w:r>
          </w:p>
        </w:tc>
        <w:tc>
          <w:tcPr>
            <w:tcW w:w="988"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ZH</w:t>
            </w:r>
          </w:p>
        </w:tc>
        <w:tc>
          <w:tcPr>
            <w:tcW w:w="992"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8</w:t>
            </w: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综合管廊</w:t>
            </w:r>
          </w:p>
          <w:p>
            <w:pPr>
              <w:widowControl/>
              <w:jc w:val="center"/>
              <w:rPr>
                <w:rFonts w:ascii="仿宋" w:hAnsi="仿宋" w:eastAsia="仿宋" w:cs="仿宋"/>
                <w:kern w:val="0"/>
                <w:szCs w:val="21"/>
              </w:rPr>
            </w:pPr>
            <w:r>
              <w:rPr>
                <w:rFonts w:hint="eastAsia" w:ascii="仿宋" w:hAnsi="仿宋" w:eastAsia="仿宋" w:cs="仿宋"/>
                <w:kern w:val="0"/>
                <w:szCs w:val="21"/>
              </w:rPr>
              <w:t>（沟）</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ZH</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01</w:t>
            </w:r>
          </w:p>
        </w:tc>
        <w:tc>
          <w:tcPr>
            <w:tcW w:w="198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黑</w:t>
            </w:r>
          </w:p>
          <w:p>
            <w:pPr>
              <w:widowControl/>
              <w:jc w:val="center"/>
              <w:rPr>
                <w:rFonts w:ascii="仿宋" w:hAnsi="仿宋" w:eastAsia="仿宋" w:cs="仿宋"/>
                <w:bCs/>
                <w:kern w:val="0"/>
                <w:szCs w:val="21"/>
              </w:rPr>
            </w:pPr>
            <w:r>
              <w:rPr>
                <w:rFonts w:hint="eastAsia" w:ascii="仿宋" w:hAnsi="仿宋" w:eastAsia="仿宋" w:cs="仿宋"/>
                <w:color w:val="00000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35" w:type="dxa"/>
            <w:gridSpan w:val="2"/>
            <w:vAlign w:val="center"/>
          </w:tcPr>
          <w:p>
            <w:pPr>
              <w:widowControl/>
              <w:jc w:val="center"/>
              <w:rPr>
                <w:rFonts w:ascii="仿宋" w:hAnsi="仿宋" w:eastAsia="仿宋" w:cs="仿宋"/>
                <w:kern w:val="0"/>
                <w:szCs w:val="21"/>
              </w:rPr>
            </w:pPr>
            <w:r>
              <w:rPr>
                <w:rFonts w:hint="eastAsia" w:ascii="仿宋" w:hAnsi="仿宋" w:eastAsia="仿宋" w:cs="仿宋"/>
                <w:kern w:val="0"/>
                <w:szCs w:val="21"/>
              </w:rPr>
              <w:t>其他</w:t>
            </w:r>
          </w:p>
        </w:tc>
        <w:tc>
          <w:tcPr>
            <w:tcW w:w="988"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QT</w:t>
            </w:r>
          </w:p>
        </w:tc>
        <w:tc>
          <w:tcPr>
            <w:tcW w:w="992"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9</w:t>
            </w:r>
          </w:p>
        </w:tc>
        <w:tc>
          <w:tcPr>
            <w:tcW w:w="170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不明管线</w:t>
            </w:r>
          </w:p>
        </w:tc>
        <w:tc>
          <w:tcPr>
            <w:tcW w:w="992"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BM</w:t>
            </w:r>
          </w:p>
        </w:tc>
        <w:tc>
          <w:tcPr>
            <w:tcW w:w="113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02</w:t>
            </w:r>
          </w:p>
        </w:tc>
        <w:tc>
          <w:tcPr>
            <w:tcW w:w="1984" w:type="dxa"/>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紫</w:t>
            </w:r>
          </w:p>
          <w:p>
            <w:pPr>
              <w:widowControl/>
              <w:jc w:val="center"/>
              <w:rPr>
                <w:rFonts w:ascii="仿宋" w:hAnsi="仿宋" w:eastAsia="仿宋" w:cs="仿宋"/>
                <w:bCs/>
                <w:kern w:val="0"/>
                <w:szCs w:val="21"/>
              </w:rPr>
            </w:pPr>
            <w:r>
              <w:rPr>
                <w:rFonts w:hint="eastAsia" w:ascii="仿宋" w:hAnsi="仿宋" w:eastAsia="仿宋" w:cs="仿宋"/>
                <w:color w:val="000000"/>
                <w:szCs w:val="21"/>
              </w:rPr>
              <w:t>（102，0，204）</w:t>
            </w:r>
          </w:p>
        </w:tc>
      </w:tr>
    </w:tbl>
    <w:p>
      <w:pPr>
        <w:pStyle w:val="2"/>
        <w:spacing w:line="480" w:lineRule="exact"/>
        <w:jc w:val="left"/>
        <w:rPr>
          <w:rFonts w:ascii="仿宋" w:hAnsi="仿宋" w:eastAsia="仿宋" w:cs="仿宋"/>
          <w:sz w:val="24"/>
        </w:rPr>
      </w:pPr>
      <w:r>
        <w:rPr>
          <w:rFonts w:hint="eastAsia" w:ascii="仿宋" w:hAnsi="仿宋" w:eastAsia="仿宋" w:cs="仿宋"/>
        </w:rPr>
        <w:t>注：地下管线图上各种管线符号，包括点号和管段注记均应采用与上表相应的颜色。</w:t>
      </w:r>
    </w:p>
    <w:p>
      <w:pPr>
        <w:pStyle w:val="2"/>
        <w:spacing w:line="480" w:lineRule="exact"/>
        <w:jc w:val="left"/>
        <w:rPr>
          <w:rFonts w:ascii="仿宋" w:hAnsi="仿宋" w:eastAsia="仿宋" w:cs="仿宋"/>
          <w:sz w:val="24"/>
        </w:rPr>
      </w:pPr>
    </w:p>
    <w:p>
      <w:pPr>
        <w:pStyle w:val="2"/>
        <w:spacing w:line="480" w:lineRule="exact"/>
        <w:jc w:val="left"/>
        <w:rPr>
          <w:rFonts w:ascii="仿宋" w:hAnsi="仿宋" w:eastAsia="仿宋" w:cs="仿宋"/>
          <w:sz w:val="24"/>
        </w:rPr>
      </w:pPr>
    </w:p>
    <w:p>
      <w:pPr>
        <w:pStyle w:val="2"/>
        <w:spacing w:line="480" w:lineRule="exact"/>
        <w:jc w:val="left"/>
        <w:rPr>
          <w:rFonts w:ascii="仿宋" w:hAnsi="仿宋" w:eastAsia="仿宋" w:cs="仿宋"/>
          <w:sz w:val="24"/>
        </w:rPr>
      </w:pPr>
    </w:p>
    <w:p>
      <w:pPr>
        <w:pStyle w:val="2"/>
        <w:spacing w:line="480" w:lineRule="exact"/>
        <w:jc w:val="left"/>
        <w:rPr>
          <w:rFonts w:ascii="仿宋" w:hAnsi="仿宋" w:eastAsia="仿宋" w:cs="仿宋"/>
          <w:sz w:val="24"/>
        </w:rPr>
      </w:pPr>
    </w:p>
    <w:p>
      <w:pPr>
        <w:pStyle w:val="2"/>
        <w:spacing w:line="480" w:lineRule="exact"/>
        <w:jc w:val="left"/>
        <w:rPr>
          <w:rFonts w:ascii="仿宋" w:hAnsi="仿宋" w:eastAsia="仿宋" w:cs="仿宋"/>
          <w:sz w:val="24"/>
        </w:rPr>
      </w:pPr>
    </w:p>
    <w:p>
      <w:pPr>
        <w:pStyle w:val="2"/>
        <w:spacing w:line="480" w:lineRule="exact"/>
        <w:jc w:val="left"/>
        <w:rPr>
          <w:rFonts w:ascii="仿宋" w:hAnsi="仿宋" w:eastAsia="仿宋" w:cs="仿宋"/>
          <w:sz w:val="24"/>
        </w:rPr>
      </w:pPr>
    </w:p>
    <w:p>
      <w:pPr>
        <w:pStyle w:val="2"/>
        <w:spacing w:line="480" w:lineRule="exact"/>
        <w:jc w:val="left"/>
        <w:rPr>
          <w:rFonts w:ascii="仿宋" w:hAnsi="仿宋" w:eastAsia="仿宋" w:cs="仿宋"/>
          <w:sz w:val="24"/>
        </w:rPr>
      </w:pPr>
    </w:p>
    <w:p>
      <w:pPr>
        <w:pStyle w:val="2"/>
        <w:spacing w:line="480" w:lineRule="exact"/>
        <w:jc w:val="left"/>
        <w:rPr>
          <w:rFonts w:ascii="仿宋" w:hAnsi="仿宋" w:eastAsia="仿宋" w:cs="仿宋"/>
          <w:sz w:val="24"/>
        </w:rPr>
      </w:pPr>
    </w:p>
    <w:p>
      <w:pPr>
        <w:pStyle w:val="2"/>
        <w:spacing w:line="480" w:lineRule="exact"/>
        <w:jc w:val="left"/>
        <w:rPr>
          <w:rFonts w:ascii="仿宋" w:hAnsi="仿宋" w:eastAsia="仿宋" w:cs="仿宋"/>
          <w:sz w:val="24"/>
        </w:rPr>
      </w:pPr>
    </w:p>
    <w:p>
      <w:pPr>
        <w:pStyle w:val="2"/>
        <w:spacing w:line="480" w:lineRule="exact"/>
        <w:jc w:val="left"/>
        <w:rPr>
          <w:rFonts w:ascii="仿宋" w:hAnsi="仿宋" w:eastAsia="仿宋" w:cs="仿宋"/>
          <w:sz w:val="24"/>
        </w:rPr>
      </w:pPr>
    </w:p>
    <w:p>
      <w:pPr>
        <w:pStyle w:val="2"/>
        <w:spacing w:line="480" w:lineRule="exact"/>
        <w:jc w:val="left"/>
        <w:rPr>
          <w:rFonts w:ascii="仿宋" w:hAnsi="仿宋" w:eastAsia="仿宋" w:cs="仿宋"/>
          <w:sz w:val="24"/>
        </w:rPr>
      </w:pPr>
    </w:p>
    <w:p>
      <w:pPr>
        <w:pStyle w:val="5"/>
        <w:spacing w:line="360" w:lineRule="auto"/>
        <w:jc w:val="center"/>
        <w:rPr>
          <w:rFonts w:ascii="仿宋" w:hAnsi="仿宋" w:eastAsia="仿宋" w:cs="仿宋"/>
          <w:sz w:val="24"/>
          <w:szCs w:val="24"/>
        </w:rPr>
      </w:pPr>
      <w:bookmarkStart w:id="1713" w:name="_Toc24184"/>
      <w:bookmarkStart w:id="1714" w:name="_Toc29108"/>
      <w:bookmarkStart w:id="1715" w:name="_Toc13221"/>
      <w:bookmarkStart w:id="1716" w:name="_Toc15793"/>
      <w:bookmarkStart w:id="1717" w:name="_Toc31893"/>
      <w:bookmarkStart w:id="1718" w:name="_Toc4863"/>
      <w:bookmarkStart w:id="1719" w:name="_Toc14177"/>
      <w:bookmarkStart w:id="1720" w:name="_Toc3530"/>
      <w:r>
        <w:rPr>
          <w:rFonts w:hint="eastAsia" w:ascii="仿宋" w:hAnsi="仿宋" w:eastAsia="仿宋" w:cs="仿宋"/>
          <w:sz w:val="24"/>
          <w:szCs w:val="24"/>
        </w:rPr>
        <w:t>附表A.9 管线要素编码规则</w:t>
      </w:r>
      <w:bookmarkEnd w:id="1713"/>
      <w:bookmarkEnd w:id="1714"/>
      <w:bookmarkEnd w:id="1715"/>
      <w:bookmarkEnd w:id="1716"/>
      <w:bookmarkEnd w:id="1717"/>
      <w:bookmarkEnd w:id="1718"/>
      <w:bookmarkEnd w:id="1719"/>
      <w:bookmarkEnd w:id="1720"/>
    </w:p>
    <w:tbl>
      <w:tblPr>
        <w:tblStyle w:val="26"/>
        <w:tblW w:w="92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55"/>
        <w:gridCol w:w="21"/>
        <w:gridCol w:w="1180"/>
        <w:gridCol w:w="17"/>
        <w:gridCol w:w="976"/>
        <w:gridCol w:w="1275"/>
        <w:gridCol w:w="567"/>
        <w:gridCol w:w="1134"/>
        <w:gridCol w:w="1718"/>
        <w:gridCol w:w="10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tblHeader/>
          <w:jc w:val="center"/>
        </w:trPr>
        <w:tc>
          <w:tcPr>
            <w:tcW w:w="1255" w:type="dxa"/>
            <w:tcBorders>
              <w:bottom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要素位</w:t>
            </w:r>
          </w:p>
        </w:tc>
        <w:tc>
          <w:tcPr>
            <w:tcW w:w="1218" w:type="dxa"/>
            <w:gridSpan w:val="3"/>
            <w:tcBorders>
              <w:left w:val="single" w:color="auto" w:sz="4" w:space="0"/>
              <w:bottom w:val="single" w:color="000000" w:sz="4" w:space="0"/>
              <w:right w:val="single" w:color="auto" w:sz="4" w:space="0"/>
            </w:tcBorders>
            <w:vAlign w:val="center"/>
          </w:tcPr>
          <w:p>
            <w:pPr>
              <w:jc w:val="center"/>
              <w:rPr>
                <w:rFonts w:ascii="仿宋" w:hAnsi="仿宋" w:eastAsia="仿宋" w:cs="仿宋"/>
                <w:kern w:val="0"/>
                <w:szCs w:val="21"/>
              </w:rPr>
            </w:pPr>
            <w:r>
              <w:rPr>
                <w:rFonts w:hint="eastAsia" w:ascii="仿宋" w:hAnsi="仿宋" w:eastAsia="仿宋" w:cs="仿宋"/>
                <w:kern w:val="0"/>
                <w:szCs w:val="21"/>
              </w:rPr>
              <w:t>1</w:t>
            </w:r>
          </w:p>
        </w:tc>
        <w:tc>
          <w:tcPr>
            <w:tcW w:w="976" w:type="dxa"/>
            <w:tcBorders>
              <w:left w:val="single" w:color="auto" w:sz="4" w:space="0"/>
              <w:bottom w:val="single" w:color="000000" w:sz="4" w:space="0"/>
              <w:right w:val="single" w:color="auto" w:sz="4" w:space="0"/>
            </w:tcBorders>
            <w:vAlign w:val="center"/>
          </w:tcPr>
          <w:p>
            <w:pPr>
              <w:jc w:val="center"/>
              <w:rPr>
                <w:rFonts w:ascii="仿宋" w:hAnsi="仿宋" w:eastAsia="仿宋" w:cs="仿宋"/>
                <w:kern w:val="0"/>
                <w:szCs w:val="21"/>
              </w:rPr>
            </w:pPr>
            <w:r>
              <w:rPr>
                <w:rFonts w:hint="eastAsia" w:ascii="仿宋" w:hAnsi="仿宋" w:eastAsia="仿宋" w:cs="仿宋"/>
                <w:kern w:val="0"/>
                <w:szCs w:val="21"/>
              </w:rPr>
              <w:t>2</w:t>
            </w:r>
          </w:p>
        </w:tc>
        <w:tc>
          <w:tcPr>
            <w:tcW w:w="1842" w:type="dxa"/>
            <w:gridSpan w:val="2"/>
            <w:tcBorders>
              <w:left w:val="single" w:color="auto" w:sz="4" w:space="0"/>
              <w:bottom w:val="single" w:color="000000" w:sz="4" w:space="0"/>
            </w:tcBorders>
            <w:vAlign w:val="center"/>
          </w:tcPr>
          <w:p>
            <w:pPr>
              <w:jc w:val="center"/>
              <w:rPr>
                <w:rFonts w:ascii="仿宋" w:hAnsi="仿宋" w:eastAsia="仿宋" w:cs="仿宋"/>
                <w:kern w:val="0"/>
                <w:szCs w:val="21"/>
              </w:rPr>
            </w:pPr>
            <w:r>
              <w:rPr>
                <w:rFonts w:hint="eastAsia" w:ascii="仿宋" w:hAnsi="仿宋" w:eastAsia="仿宋" w:cs="仿宋"/>
                <w:kern w:val="0"/>
                <w:szCs w:val="21"/>
              </w:rPr>
              <w:t>3-4</w:t>
            </w:r>
          </w:p>
        </w:tc>
        <w:tc>
          <w:tcPr>
            <w:tcW w:w="1134" w:type="dxa"/>
            <w:tcBorders>
              <w:bottom w:val="single" w:color="000000"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5</w:t>
            </w:r>
          </w:p>
        </w:tc>
        <w:tc>
          <w:tcPr>
            <w:tcW w:w="1718" w:type="dxa"/>
            <w:tcBorders>
              <w:bottom w:val="single" w:color="000000"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6</w:t>
            </w:r>
          </w:p>
        </w:tc>
        <w:tc>
          <w:tcPr>
            <w:tcW w:w="1077" w:type="dxa"/>
            <w:tcBorders>
              <w:bottom w:val="single" w:color="000000"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3" w:hRule="atLeast"/>
          <w:tblHeader/>
          <w:jc w:val="center"/>
        </w:trPr>
        <w:tc>
          <w:tcPr>
            <w:tcW w:w="1255" w:type="dxa"/>
            <w:tcBorders>
              <w:bottom w:val="single" w:color="auto" w:sz="4" w:space="0"/>
              <w:right w:val="single" w:color="auto" w:sz="4" w:space="0"/>
              <w:tl2br w:val="single" w:color="auto" w:sz="4" w:space="0"/>
            </w:tcBorders>
            <w:vAlign w:val="center"/>
          </w:tcPr>
          <w:p>
            <w:pPr>
              <w:widowControl/>
              <w:ind w:firstLine="600" w:firstLineChars="250"/>
              <w:jc w:val="center"/>
              <w:rPr>
                <w:rFonts w:ascii="仿宋" w:hAnsi="仿宋" w:eastAsia="仿宋" w:cs="仿宋"/>
                <w:kern w:val="0"/>
                <w:szCs w:val="21"/>
              </w:rPr>
            </w:pPr>
            <w:r>
              <w:rPr>
                <w:rFonts w:hint="eastAsia" w:ascii="仿宋" w:hAnsi="仿宋" w:eastAsia="仿宋" w:cs="仿宋"/>
                <w:kern w:val="0"/>
                <w:szCs w:val="21"/>
              </w:rPr>
              <w:t>含义</w:t>
            </w:r>
          </w:p>
          <w:p>
            <w:pPr>
              <w:widowControl/>
              <w:jc w:val="center"/>
              <w:rPr>
                <w:rFonts w:ascii="仿宋" w:hAnsi="仿宋" w:eastAsia="仿宋" w:cs="仿宋"/>
                <w:kern w:val="0"/>
                <w:szCs w:val="21"/>
              </w:rPr>
            </w:pPr>
          </w:p>
          <w:p>
            <w:pPr>
              <w:widowControl/>
              <w:rPr>
                <w:rFonts w:ascii="仿宋" w:hAnsi="仿宋" w:eastAsia="仿宋" w:cs="仿宋"/>
                <w:kern w:val="0"/>
                <w:szCs w:val="21"/>
              </w:rPr>
            </w:pPr>
            <w:r>
              <w:rPr>
                <w:rFonts w:hint="eastAsia" w:ascii="仿宋" w:hAnsi="仿宋" w:eastAsia="仿宋" w:cs="仿宋"/>
                <w:kern w:val="0"/>
                <w:szCs w:val="21"/>
              </w:rPr>
              <w:t>类别</w:t>
            </w:r>
          </w:p>
        </w:tc>
        <w:tc>
          <w:tcPr>
            <w:tcW w:w="1218" w:type="dxa"/>
            <w:gridSpan w:val="3"/>
            <w:tcBorders>
              <w:left w:val="single" w:color="auto" w:sz="4" w:space="0"/>
              <w:bottom w:val="single" w:color="000000" w:sz="4" w:space="0"/>
              <w:right w:val="single" w:color="auto" w:sz="4" w:space="0"/>
            </w:tcBorders>
            <w:vAlign w:val="center"/>
          </w:tcPr>
          <w:p>
            <w:pPr>
              <w:jc w:val="center"/>
              <w:rPr>
                <w:rFonts w:ascii="仿宋" w:hAnsi="仿宋" w:eastAsia="仿宋" w:cs="仿宋"/>
                <w:kern w:val="0"/>
                <w:szCs w:val="21"/>
              </w:rPr>
            </w:pPr>
            <w:r>
              <w:rPr>
                <w:rFonts w:hint="eastAsia" w:ascii="仿宋" w:hAnsi="仿宋" w:eastAsia="仿宋" w:cs="仿宋"/>
                <w:kern w:val="0"/>
                <w:szCs w:val="21"/>
              </w:rPr>
              <w:t>国家基础地理信息要素分类中的代码</w:t>
            </w:r>
          </w:p>
        </w:tc>
        <w:tc>
          <w:tcPr>
            <w:tcW w:w="976" w:type="dxa"/>
            <w:tcBorders>
              <w:left w:val="single" w:color="auto" w:sz="4" w:space="0"/>
              <w:bottom w:val="single" w:color="000000"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类别码</w:t>
            </w:r>
          </w:p>
          <w:p>
            <w:pPr>
              <w:jc w:val="center"/>
              <w:rPr>
                <w:rFonts w:ascii="仿宋" w:hAnsi="仿宋" w:eastAsia="仿宋" w:cs="仿宋"/>
                <w:kern w:val="0"/>
                <w:szCs w:val="21"/>
              </w:rPr>
            </w:pPr>
            <w:r>
              <w:rPr>
                <w:rFonts w:hint="eastAsia" w:ascii="仿宋" w:hAnsi="仿宋" w:eastAsia="仿宋" w:cs="仿宋"/>
                <w:kern w:val="0"/>
                <w:szCs w:val="21"/>
              </w:rPr>
              <w:t>（大类码）</w:t>
            </w:r>
          </w:p>
        </w:tc>
        <w:tc>
          <w:tcPr>
            <w:tcW w:w="1842" w:type="dxa"/>
            <w:gridSpan w:val="2"/>
            <w:tcBorders>
              <w:left w:val="single" w:color="auto" w:sz="4" w:space="0"/>
              <w:bottom w:val="single" w:color="000000" w:sz="4" w:space="0"/>
            </w:tcBorders>
            <w:vAlign w:val="center"/>
          </w:tcPr>
          <w:p>
            <w:pPr>
              <w:jc w:val="center"/>
              <w:rPr>
                <w:rFonts w:ascii="仿宋" w:hAnsi="仿宋" w:eastAsia="仿宋" w:cs="仿宋"/>
                <w:kern w:val="0"/>
                <w:szCs w:val="21"/>
              </w:rPr>
            </w:pPr>
            <w:r>
              <w:rPr>
                <w:rFonts w:hint="eastAsia" w:ascii="仿宋" w:hAnsi="仿宋" w:eastAsia="仿宋" w:cs="仿宋"/>
                <w:kern w:val="0"/>
                <w:szCs w:val="21"/>
              </w:rPr>
              <w:t>小类代码</w:t>
            </w:r>
          </w:p>
        </w:tc>
        <w:tc>
          <w:tcPr>
            <w:tcW w:w="1134" w:type="dxa"/>
            <w:tcBorders>
              <w:bottom w:val="single" w:color="000000"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要素</w:t>
            </w:r>
          </w:p>
          <w:p>
            <w:pPr>
              <w:widowControl/>
              <w:jc w:val="center"/>
              <w:rPr>
                <w:rFonts w:ascii="仿宋" w:hAnsi="仿宋" w:eastAsia="仿宋" w:cs="仿宋"/>
                <w:kern w:val="0"/>
                <w:szCs w:val="21"/>
              </w:rPr>
            </w:pPr>
            <w:r>
              <w:rPr>
                <w:rFonts w:hint="eastAsia" w:ascii="仿宋" w:hAnsi="仿宋" w:eastAsia="仿宋" w:cs="仿宋"/>
                <w:kern w:val="0"/>
                <w:szCs w:val="21"/>
              </w:rPr>
              <w:t>类型码</w:t>
            </w:r>
          </w:p>
        </w:tc>
        <w:tc>
          <w:tcPr>
            <w:tcW w:w="1718" w:type="dxa"/>
            <w:tcBorders>
              <w:bottom w:val="single" w:color="000000"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管线点</w:t>
            </w:r>
          </w:p>
          <w:p>
            <w:pPr>
              <w:widowControl/>
              <w:jc w:val="center"/>
              <w:rPr>
                <w:rFonts w:ascii="仿宋" w:hAnsi="仿宋" w:eastAsia="仿宋" w:cs="仿宋"/>
                <w:kern w:val="0"/>
                <w:szCs w:val="21"/>
              </w:rPr>
            </w:pPr>
            <w:r>
              <w:rPr>
                <w:rFonts w:hint="eastAsia" w:ascii="仿宋" w:hAnsi="仿宋" w:eastAsia="仿宋" w:cs="仿宋"/>
                <w:kern w:val="0"/>
                <w:szCs w:val="21"/>
              </w:rPr>
              <w:t>类型码</w:t>
            </w:r>
          </w:p>
        </w:tc>
        <w:tc>
          <w:tcPr>
            <w:tcW w:w="1077" w:type="dxa"/>
            <w:tcBorders>
              <w:bottom w:val="single" w:color="000000"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要素序号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restart"/>
            <w:tcBorders>
              <w:right w:val="single" w:color="auto" w:sz="4" w:space="0"/>
            </w:tcBorders>
            <w:shd w:val="clear" w:color="auto" w:fill="FFFFFF"/>
            <w:vAlign w:val="center"/>
          </w:tcPr>
          <w:p>
            <w:pPr>
              <w:widowControl/>
              <w:jc w:val="center"/>
              <w:rPr>
                <w:rFonts w:ascii="仿宋" w:hAnsi="仿宋" w:eastAsia="仿宋" w:cs="仿宋"/>
                <w:kern w:val="0"/>
                <w:szCs w:val="21"/>
              </w:rPr>
            </w:pPr>
            <w:r>
              <w:rPr>
                <w:rFonts w:hint="eastAsia" w:ascii="仿宋" w:hAnsi="仿宋" w:eastAsia="仿宋" w:cs="仿宋"/>
                <w:kern w:val="0"/>
                <w:szCs w:val="21"/>
              </w:rPr>
              <w:t>给水</w:t>
            </w:r>
          </w:p>
        </w:tc>
        <w:tc>
          <w:tcPr>
            <w:tcW w:w="1218" w:type="dxa"/>
            <w:gridSpan w:val="3"/>
            <w:vMerge w:val="restart"/>
            <w:tcBorders>
              <w:left w:val="single" w:color="auto" w:sz="4" w:space="0"/>
              <w:right w:val="single" w:color="auto" w:sz="4" w:space="0"/>
            </w:tcBorders>
            <w:shd w:val="clear" w:color="auto" w:fill="FFFFFF"/>
            <w:vAlign w:val="center"/>
          </w:tcPr>
          <w:p>
            <w:pPr>
              <w:widowControl/>
              <w:jc w:val="center"/>
              <w:rPr>
                <w:rFonts w:ascii="仿宋" w:hAnsi="仿宋" w:eastAsia="仿宋" w:cs="仿宋"/>
                <w:kern w:val="0"/>
                <w:szCs w:val="21"/>
              </w:rPr>
            </w:pPr>
            <w:r>
              <w:rPr>
                <w:rFonts w:hint="eastAsia" w:ascii="仿宋" w:hAnsi="仿宋" w:eastAsia="仿宋" w:cs="仿宋"/>
                <w:kern w:val="0"/>
                <w:szCs w:val="21"/>
              </w:rPr>
              <w:t>5</w:t>
            </w:r>
          </w:p>
        </w:tc>
        <w:tc>
          <w:tcPr>
            <w:tcW w:w="976" w:type="dxa"/>
            <w:vMerge w:val="restart"/>
            <w:tcBorders>
              <w:left w:val="single" w:color="auto" w:sz="4" w:space="0"/>
              <w:right w:val="single" w:color="auto" w:sz="4" w:space="0"/>
            </w:tcBorders>
            <w:shd w:val="clear" w:color="auto" w:fill="FFFFFF"/>
            <w:vAlign w:val="center"/>
          </w:tcPr>
          <w:p>
            <w:pPr>
              <w:widowControl/>
              <w:jc w:val="center"/>
              <w:rPr>
                <w:rFonts w:ascii="仿宋" w:hAnsi="仿宋" w:eastAsia="仿宋" w:cs="仿宋"/>
                <w:kern w:val="0"/>
                <w:szCs w:val="21"/>
              </w:rPr>
            </w:pPr>
            <w:r>
              <w:rPr>
                <w:rFonts w:hint="eastAsia" w:ascii="仿宋" w:hAnsi="仿宋" w:eastAsia="仿宋" w:cs="仿宋"/>
                <w:kern w:val="0"/>
                <w:szCs w:val="21"/>
              </w:rPr>
              <w:t>1</w:t>
            </w:r>
          </w:p>
        </w:tc>
        <w:tc>
          <w:tcPr>
            <w:tcW w:w="1275" w:type="dxa"/>
            <w:tcBorders>
              <w:left w:val="single" w:color="auto" w:sz="4" w:space="0"/>
              <w:right w:val="single" w:color="auto" w:sz="4" w:space="0"/>
            </w:tcBorders>
            <w:shd w:val="clear" w:color="auto" w:fill="FFFFFF"/>
            <w:vAlign w:val="center"/>
          </w:tcPr>
          <w:p>
            <w:pPr>
              <w:widowControl/>
              <w:jc w:val="center"/>
              <w:rPr>
                <w:rFonts w:ascii="仿宋" w:hAnsi="仿宋" w:eastAsia="仿宋" w:cs="仿宋"/>
                <w:kern w:val="0"/>
                <w:szCs w:val="21"/>
              </w:rPr>
            </w:pPr>
            <w:r>
              <w:rPr>
                <w:rFonts w:hint="eastAsia" w:ascii="仿宋" w:hAnsi="仿宋" w:eastAsia="仿宋" w:cs="仿宋"/>
                <w:kern w:val="0"/>
                <w:szCs w:val="21"/>
              </w:rPr>
              <w:t>原水</w:t>
            </w:r>
          </w:p>
        </w:tc>
        <w:tc>
          <w:tcPr>
            <w:tcW w:w="567" w:type="dxa"/>
            <w:tcBorders>
              <w:left w:val="single" w:color="auto" w:sz="4" w:space="0"/>
            </w:tcBorders>
            <w:shd w:val="clear" w:color="auto" w:fill="FFFFFF"/>
            <w:vAlign w:val="center"/>
          </w:tcPr>
          <w:p>
            <w:pPr>
              <w:widowControl/>
              <w:jc w:val="center"/>
              <w:rPr>
                <w:rFonts w:ascii="仿宋" w:hAnsi="仿宋" w:eastAsia="仿宋" w:cs="仿宋"/>
                <w:kern w:val="0"/>
                <w:szCs w:val="21"/>
              </w:rPr>
            </w:pPr>
            <w:r>
              <w:rPr>
                <w:rFonts w:hint="eastAsia" w:ascii="仿宋" w:hAnsi="仿宋" w:eastAsia="仿宋" w:cs="仿宋"/>
                <w:kern w:val="0"/>
                <w:szCs w:val="21"/>
              </w:rPr>
              <w:t>01</w:t>
            </w:r>
          </w:p>
        </w:tc>
        <w:tc>
          <w:tcPr>
            <w:tcW w:w="1134" w:type="dxa"/>
            <w:vMerge w:val="restart"/>
            <w:shd w:val="clear" w:color="auto" w:fill="FFFFFF"/>
            <w:vAlign w:val="center"/>
          </w:tcPr>
          <w:p>
            <w:pPr>
              <w:widowControl/>
              <w:jc w:val="center"/>
              <w:rPr>
                <w:rFonts w:ascii="仿宋" w:hAnsi="仿宋" w:eastAsia="仿宋" w:cs="仿宋"/>
                <w:kern w:val="0"/>
                <w:szCs w:val="21"/>
              </w:rPr>
            </w:pPr>
            <w:r>
              <w:rPr>
                <w:rFonts w:hint="eastAsia" w:ascii="仿宋" w:hAnsi="仿宋" w:eastAsia="仿宋" w:cs="仿宋"/>
                <w:kern w:val="0"/>
                <w:szCs w:val="21"/>
              </w:rPr>
              <w:t>1—线</w:t>
            </w:r>
          </w:p>
          <w:p>
            <w:pPr>
              <w:widowControl/>
              <w:jc w:val="center"/>
              <w:rPr>
                <w:rFonts w:ascii="仿宋" w:hAnsi="仿宋" w:eastAsia="仿宋" w:cs="仿宋"/>
                <w:kern w:val="0"/>
                <w:szCs w:val="21"/>
              </w:rPr>
            </w:pPr>
            <w:r>
              <w:rPr>
                <w:rFonts w:hint="eastAsia" w:ascii="仿宋" w:hAnsi="仿宋" w:eastAsia="仿宋" w:cs="仿宋"/>
                <w:kern w:val="0"/>
                <w:szCs w:val="21"/>
              </w:rPr>
              <w:t>2—点</w:t>
            </w:r>
          </w:p>
          <w:p>
            <w:pPr>
              <w:widowControl/>
              <w:jc w:val="center"/>
              <w:rPr>
                <w:rFonts w:ascii="仿宋" w:hAnsi="仿宋" w:eastAsia="仿宋" w:cs="仿宋"/>
                <w:kern w:val="0"/>
                <w:szCs w:val="21"/>
              </w:rPr>
            </w:pPr>
            <w:r>
              <w:rPr>
                <w:rFonts w:hint="eastAsia" w:ascii="仿宋" w:hAnsi="仿宋" w:eastAsia="仿宋" w:cs="仿宋"/>
                <w:kern w:val="0"/>
                <w:szCs w:val="21"/>
              </w:rPr>
              <w:t>3—面</w:t>
            </w:r>
          </w:p>
          <w:p>
            <w:pPr>
              <w:widowControl/>
              <w:jc w:val="center"/>
              <w:rPr>
                <w:rFonts w:ascii="仿宋" w:hAnsi="仿宋" w:eastAsia="仿宋" w:cs="仿宋"/>
                <w:kern w:val="0"/>
                <w:szCs w:val="21"/>
              </w:rPr>
            </w:pPr>
          </w:p>
        </w:tc>
        <w:tc>
          <w:tcPr>
            <w:tcW w:w="1718" w:type="dxa"/>
            <w:vMerge w:val="restart"/>
            <w:shd w:val="clear" w:color="auto" w:fill="FFFFFF"/>
            <w:vAlign w:val="center"/>
          </w:tcPr>
          <w:p>
            <w:pPr>
              <w:widowControl/>
              <w:numPr>
                <w:ilvl w:val="0"/>
                <w:numId w:val="62"/>
              </w:numPr>
              <w:ind w:left="360" w:hanging="360"/>
              <w:jc w:val="center"/>
              <w:rPr>
                <w:rFonts w:ascii="仿宋" w:hAnsi="仿宋" w:eastAsia="仿宋" w:cs="仿宋"/>
                <w:kern w:val="0"/>
                <w:szCs w:val="21"/>
              </w:rPr>
            </w:pPr>
            <w:r>
              <w:rPr>
                <w:rFonts w:hint="eastAsia" w:ascii="仿宋" w:hAnsi="仿宋" w:eastAsia="仿宋" w:cs="仿宋"/>
                <w:kern w:val="0"/>
                <w:szCs w:val="21"/>
              </w:rPr>
              <w:t>特征</w:t>
            </w:r>
          </w:p>
          <w:p>
            <w:pPr>
              <w:widowControl/>
              <w:numPr>
                <w:ilvl w:val="0"/>
                <w:numId w:val="62"/>
              </w:numPr>
              <w:ind w:left="360" w:hanging="360"/>
              <w:jc w:val="center"/>
              <w:rPr>
                <w:rFonts w:ascii="仿宋" w:hAnsi="仿宋" w:eastAsia="仿宋" w:cs="仿宋"/>
                <w:kern w:val="0"/>
                <w:szCs w:val="21"/>
              </w:rPr>
            </w:pPr>
            <w:r>
              <w:rPr>
                <w:rFonts w:hint="eastAsia" w:ascii="仿宋" w:hAnsi="仿宋" w:eastAsia="仿宋" w:cs="仿宋"/>
                <w:kern w:val="0"/>
                <w:szCs w:val="21"/>
              </w:rPr>
              <w:t>附属设施</w:t>
            </w:r>
          </w:p>
          <w:p>
            <w:pPr>
              <w:widowControl/>
              <w:numPr>
                <w:ilvl w:val="0"/>
                <w:numId w:val="62"/>
              </w:numPr>
              <w:ind w:left="360" w:hanging="360"/>
              <w:jc w:val="center"/>
              <w:rPr>
                <w:rFonts w:ascii="仿宋" w:hAnsi="仿宋" w:eastAsia="仿宋" w:cs="仿宋"/>
                <w:kern w:val="0"/>
                <w:szCs w:val="21"/>
              </w:rPr>
            </w:pPr>
            <w:r>
              <w:rPr>
                <w:rFonts w:hint="eastAsia" w:ascii="仿宋" w:hAnsi="仿宋" w:eastAsia="仿宋" w:cs="仿宋"/>
                <w:kern w:val="0"/>
                <w:szCs w:val="21"/>
              </w:rPr>
              <w:t>其他特征</w:t>
            </w:r>
          </w:p>
          <w:p>
            <w:pPr>
              <w:widowControl/>
              <w:jc w:val="center"/>
              <w:rPr>
                <w:rFonts w:ascii="仿宋" w:hAnsi="仿宋" w:eastAsia="仿宋" w:cs="仿宋"/>
                <w:kern w:val="0"/>
                <w:szCs w:val="21"/>
              </w:rPr>
            </w:pPr>
          </w:p>
          <w:p>
            <w:pPr>
              <w:widowControl/>
              <w:jc w:val="center"/>
              <w:rPr>
                <w:rFonts w:ascii="仿宋" w:hAnsi="仿宋" w:eastAsia="仿宋" w:cs="仿宋"/>
                <w:kern w:val="0"/>
                <w:szCs w:val="21"/>
              </w:rPr>
            </w:pPr>
            <w:r>
              <w:rPr>
                <w:rFonts w:hint="eastAsia" w:ascii="仿宋" w:hAnsi="仿宋" w:eastAsia="仿宋" w:cs="仿宋"/>
                <w:kern w:val="0"/>
                <w:szCs w:val="21"/>
              </w:rPr>
              <w:t>（要素类型码为“1”时，管点类型码为“0”）</w:t>
            </w:r>
          </w:p>
        </w:tc>
        <w:tc>
          <w:tcPr>
            <w:tcW w:w="1077" w:type="dxa"/>
            <w:vMerge w:val="restart"/>
            <w:shd w:val="clear" w:color="auto" w:fill="FFFFFF"/>
            <w:vAlign w:val="center"/>
          </w:tcPr>
          <w:p>
            <w:pPr>
              <w:widowControl/>
              <w:jc w:val="center"/>
              <w:rPr>
                <w:rFonts w:ascii="仿宋" w:hAnsi="仿宋" w:eastAsia="仿宋" w:cs="仿宋"/>
                <w:kern w:val="0"/>
                <w:szCs w:val="21"/>
              </w:rPr>
            </w:pPr>
            <w:r>
              <w:rPr>
                <w:rFonts w:hint="eastAsia" w:ascii="仿宋" w:hAnsi="仿宋" w:eastAsia="仿宋" w:cs="仿宋"/>
                <w:kern w:val="0"/>
                <w:szCs w:val="21"/>
              </w:rPr>
              <w:t>01—99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shd w:val="clear" w:color="auto" w:fill="FFFFFF"/>
            <w:vAlign w:val="center"/>
          </w:tcPr>
          <w:p>
            <w:pPr>
              <w:widowControl/>
              <w:jc w:val="center"/>
              <w:rPr>
                <w:rFonts w:ascii="仿宋" w:hAnsi="仿宋" w:eastAsia="仿宋" w:cs="仿宋"/>
                <w:kern w:val="0"/>
                <w:szCs w:val="21"/>
              </w:rPr>
            </w:pPr>
          </w:p>
        </w:tc>
        <w:tc>
          <w:tcPr>
            <w:tcW w:w="1218" w:type="dxa"/>
            <w:gridSpan w:val="3"/>
            <w:vMerge w:val="continue"/>
            <w:tcBorders>
              <w:left w:val="single" w:color="auto" w:sz="4" w:space="0"/>
              <w:right w:val="single" w:color="auto" w:sz="4" w:space="0"/>
            </w:tcBorders>
            <w:shd w:val="clear" w:color="auto" w:fill="FFFFFF"/>
            <w:vAlign w:val="center"/>
          </w:tcPr>
          <w:p>
            <w:pPr>
              <w:widowControl/>
              <w:jc w:val="center"/>
              <w:rPr>
                <w:rFonts w:ascii="仿宋" w:hAnsi="仿宋" w:eastAsia="仿宋" w:cs="仿宋"/>
                <w:kern w:val="0"/>
                <w:szCs w:val="21"/>
              </w:rPr>
            </w:pPr>
          </w:p>
        </w:tc>
        <w:tc>
          <w:tcPr>
            <w:tcW w:w="976" w:type="dxa"/>
            <w:vMerge w:val="continue"/>
            <w:tcBorders>
              <w:left w:val="single" w:color="auto" w:sz="4" w:space="0"/>
              <w:right w:val="single" w:color="auto" w:sz="4" w:space="0"/>
            </w:tcBorders>
            <w:shd w:val="clear" w:color="auto" w:fill="FFFFFF"/>
            <w:vAlign w:val="center"/>
          </w:tcPr>
          <w:p>
            <w:pPr>
              <w:widowControl/>
              <w:jc w:val="center"/>
              <w:rPr>
                <w:rFonts w:ascii="仿宋" w:hAnsi="仿宋" w:eastAsia="仿宋" w:cs="仿宋"/>
                <w:kern w:val="0"/>
                <w:szCs w:val="21"/>
              </w:rPr>
            </w:pPr>
          </w:p>
        </w:tc>
        <w:tc>
          <w:tcPr>
            <w:tcW w:w="1275" w:type="dxa"/>
            <w:tcBorders>
              <w:left w:val="single" w:color="auto" w:sz="4" w:space="0"/>
              <w:right w:val="single" w:color="auto" w:sz="4" w:space="0"/>
            </w:tcBorders>
            <w:shd w:val="clear" w:color="auto" w:fill="FFFFFF"/>
            <w:vAlign w:val="center"/>
          </w:tcPr>
          <w:p>
            <w:pPr>
              <w:widowControl/>
              <w:jc w:val="center"/>
              <w:rPr>
                <w:rFonts w:ascii="仿宋" w:hAnsi="仿宋" w:eastAsia="仿宋" w:cs="仿宋"/>
                <w:kern w:val="0"/>
                <w:szCs w:val="21"/>
              </w:rPr>
            </w:pPr>
            <w:r>
              <w:rPr>
                <w:rFonts w:hint="eastAsia" w:ascii="仿宋" w:hAnsi="仿宋" w:eastAsia="仿宋" w:cs="仿宋"/>
                <w:kern w:val="0"/>
                <w:szCs w:val="21"/>
              </w:rPr>
              <w:t>输水</w:t>
            </w:r>
          </w:p>
        </w:tc>
        <w:tc>
          <w:tcPr>
            <w:tcW w:w="567" w:type="dxa"/>
            <w:tcBorders>
              <w:left w:val="single" w:color="auto" w:sz="4" w:space="0"/>
            </w:tcBorders>
            <w:shd w:val="clear" w:color="auto" w:fill="FFFFFF"/>
            <w:vAlign w:val="center"/>
          </w:tcPr>
          <w:p>
            <w:pPr>
              <w:widowControl/>
              <w:jc w:val="center"/>
              <w:rPr>
                <w:rFonts w:ascii="仿宋" w:hAnsi="仿宋" w:eastAsia="仿宋" w:cs="仿宋"/>
                <w:kern w:val="0"/>
                <w:szCs w:val="21"/>
              </w:rPr>
            </w:pPr>
            <w:r>
              <w:rPr>
                <w:rFonts w:hint="eastAsia" w:ascii="仿宋" w:hAnsi="仿宋" w:eastAsia="仿宋" w:cs="仿宋"/>
                <w:kern w:val="0"/>
                <w:szCs w:val="21"/>
              </w:rPr>
              <w:t>02</w:t>
            </w:r>
          </w:p>
        </w:tc>
        <w:tc>
          <w:tcPr>
            <w:tcW w:w="1134" w:type="dxa"/>
            <w:vMerge w:val="continue"/>
            <w:shd w:val="clear" w:color="auto" w:fill="FFFFFF"/>
            <w:vAlign w:val="center"/>
          </w:tcPr>
          <w:p>
            <w:pPr>
              <w:widowControl/>
              <w:jc w:val="center"/>
              <w:rPr>
                <w:rFonts w:ascii="仿宋" w:hAnsi="仿宋" w:eastAsia="仿宋" w:cs="仿宋"/>
                <w:kern w:val="0"/>
                <w:szCs w:val="21"/>
              </w:rPr>
            </w:pPr>
          </w:p>
        </w:tc>
        <w:tc>
          <w:tcPr>
            <w:tcW w:w="1718" w:type="dxa"/>
            <w:vMerge w:val="continue"/>
            <w:shd w:val="clear" w:color="auto" w:fill="FFFFFF"/>
            <w:vAlign w:val="center"/>
          </w:tcPr>
          <w:p>
            <w:pPr>
              <w:widowControl/>
              <w:jc w:val="center"/>
              <w:rPr>
                <w:rFonts w:ascii="仿宋" w:hAnsi="仿宋" w:eastAsia="仿宋" w:cs="仿宋"/>
                <w:kern w:val="0"/>
                <w:szCs w:val="21"/>
              </w:rPr>
            </w:pPr>
          </w:p>
        </w:tc>
        <w:tc>
          <w:tcPr>
            <w:tcW w:w="1077" w:type="dxa"/>
            <w:vMerge w:val="continue"/>
            <w:shd w:val="clear" w:color="auto" w:fill="FFFFFF"/>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shd w:val="clear" w:color="auto" w:fill="FFFFFF"/>
            <w:vAlign w:val="center"/>
          </w:tcPr>
          <w:p>
            <w:pPr>
              <w:widowControl/>
              <w:jc w:val="center"/>
              <w:rPr>
                <w:rFonts w:ascii="仿宋" w:hAnsi="仿宋" w:eastAsia="仿宋" w:cs="仿宋"/>
                <w:kern w:val="0"/>
                <w:szCs w:val="21"/>
              </w:rPr>
            </w:pPr>
          </w:p>
        </w:tc>
        <w:tc>
          <w:tcPr>
            <w:tcW w:w="1218" w:type="dxa"/>
            <w:gridSpan w:val="3"/>
            <w:vMerge w:val="continue"/>
            <w:tcBorders>
              <w:left w:val="single" w:color="auto" w:sz="4" w:space="0"/>
              <w:right w:val="single" w:color="auto" w:sz="4" w:space="0"/>
            </w:tcBorders>
            <w:shd w:val="clear" w:color="auto" w:fill="FFFFFF"/>
            <w:vAlign w:val="center"/>
          </w:tcPr>
          <w:p>
            <w:pPr>
              <w:widowControl/>
              <w:jc w:val="center"/>
              <w:rPr>
                <w:rFonts w:ascii="仿宋" w:hAnsi="仿宋" w:eastAsia="仿宋" w:cs="仿宋"/>
                <w:kern w:val="0"/>
                <w:szCs w:val="21"/>
              </w:rPr>
            </w:pPr>
          </w:p>
        </w:tc>
        <w:tc>
          <w:tcPr>
            <w:tcW w:w="976" w:type="dxa"/>
            <w:vMerge w:val="continue"/>
            <w:tcBorders>
              <w:left w:val="single" w:color="auto" w:sz="4" w:space="0"/>
              <w:right w:val="single" w:color="auto" w:sz="4" w:space="0"/>
            </w:tcBorders>
            <w:shd w:val="clear" w:color="auto" w:fill="FFFFFF"/>
            <w:vAlign w:val="center"/>
          </w:tcPr>
          <w:p>
            <w:pPr>
              <w:widowControl/>
              <w:jc w:val="center"/>
              <w:rPr>
                <w:rFonts w:ascii="仿宋" w:hAnsi="仿宋" w:eastAsia="仿宋" w:cs="仿宋"/>
                <w:kern w:val="0"/>
                <w:szCs w:val="21"/>
              </w:rPr>
            </w:pPr>
          </w:p>
        </w:tc>
        <w:tc>
          <w:tcPr>
            <w:tcW w:w="1275" w:type="dxa"/>
            <w:tcBorders>
              <w:left w:val="single" w:color="auto" w:sz="4" w:space="0"/>
              <w:right w:val="single" w:color="auto" w:sz="4" w:space="0"/>
            </w:tcBorders>
            <w:shd w:val="clear" w:color="auto" w:fill="FFFFFF"/>
            <w:vAlign w:val="center"/>
          </w:tcPr>
          <w:p>
            <w:pPr>
              <w:widowControl/>
              <w:jc w:val="center"/>
              <w:rPr>
                <w:rFonts w:ascii="仿宋" w:hAnsi="仿宋" w:eastAsia="仿宋" w:cs="仿宋"/>
                <w:kern w:val="0"/>
                <w:szCs w:val="21"/>
              </w:rPr>
            </w:pPr>
            <w:r>
              <w:rPr>
                <w:rFonts w:hint="eastAsia" w:ascii="仿宋" w:hAnsi="仿宋" w:eastAsia="仿宋" w:cs="仿宋"/>
                <w:kern w:val="0"/>
                <w:szCs w:val="21"/>
              </w:rPr>
              <w:t>中水</w:t>
            </w:r>
          </w:p>
        </w:tc>
        <w:tc>
          <w:tcPr>
            <w:tcW w:w="567" w:type="dxa"/>
            <w:tcBorders>
              <w:left w:val="single" w:color="auto" w:sz="4" w:space="0"/>
            </w:tcBorders>
            <w:shd w:val="clear" w:color="auto" w:fill="FFFFFF"/>
            <w:vAlign w:val="center"/>
          </w:tcPr>
          <w:p>
            <w:pPr>
              <w:widowControl/>
              <w:jc w:val="center"/>
              <w:rPr>
                <w:rFonts w:ascii="仿宋" w:hAnsi="仿宋" w:eastAsia="仿宋" w:cs="仿宋"/>
                <w:kern w:val="0"/>
                <w:szCs w:val="21"/>
              </w:rPr>
            </w:pPr>
            <w:r>
              <w:rPr>
                <w:rFonts w:hint="eastAsia" w:ascii="仿宋" w:hAnsi="仿宋" w:eastAsia="仿宋" w:cs="仿宋"/>
                <w:kern w:val="0"/>
                <w:szCs w:val="21"/>
              </w:rPr>
              <w:t>03</w:t>
            </w:r>
          </w:p>
        </w:tc>
        <w:tc>
          <w:tcPr>
            <w:tcW w:w="1134" w:type="dxa"/>
            <w:vMerge w:val="continue"/>
            <w:shd w:val="clear" w:color="auto" w:fill="FFFFFF"/>
            <w:vAlign w:val="center"/>
          </w:tcPr>
          <w:p>
            <w:pPr>
              <w:widowControl/>
              <w:jc w:val="center"/>
              <w:rPr>
                <w:rFonts w:ascii="仿宋" w:hAnsi="仿宋" w:eastAsia="仿宋" w:cs="仿宋"/>
                <w:kern w:val="0"/>
                <w:szCs w:val="21"/>
              </w:rPr>
            </w:pPr>
          </w:p>
        </w:tc>
        <w:tc>
          <w:tcPr>
            <w:tcW w:w="1718" w:type="dxa"/>
            <w:vMerge w:val="continue"/>
            <w:shd w:val="clear" w:color="auto" w:fill="FFFFFF"/>
            <w:vAlign w:val="center"/>
          </w:tcPr>
          <w:p>
            <w:pPr>
              <w:widowControl/>
              <w:jc w:val="center"/>
              <w:rPr>
                <w:rFonts w:ascii="仿宋" w:hAnsi="仿宋" w:eastAsia="仿宋" w:cs="仿宋"/>
                <w:kern w:val="0"/>
                <w:szCs w:val="21"/>
              </w:rPr>
            </w:pPr>
          </w:p>
        </w:tc>
        <w:tc>
          <w:tcPr>
            <w:tcW w:w="1077" w:type="dxa"/>
            <w:vMerge w:val="continue"/>
            <w:shd w:val="clear" w:color="auto" w:fill="FFFFFF"/>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vAlign w:val="center"/>
          </w:tcPr>
          <w:p>
            <w:pPr>
              <w:widowControl/>
              <w:jc w:val="center"/>
              <w:rPr>
                <w:rFonts w:ascii="仿宋" w:hAnsi="仿宋" w:eastAsia="仿宋" w:cs="仿宋"/>
                <w:kern w:val="0"/>
                <w:szCs w:val="21"/>
              </w:rPr>
            </w:pPr>
          </w:p>
        </w:tc>
        <w:tc>
          <w:tcPr>
            <w:tcW w:w="1218" w:type="dxa"/>
            <w:gridSpan w:val="3"/>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976" w:type="dxa"/>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配水</w:t>
            </w:r>
          </w:p>
        </w:tc>
        <w:tc>
          <w:tcPr>
            <w:tcW w:w="567" w:type="dxa"/>
            <w:tcBorders>
              <w:lef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04</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vAlign w:val="center"/>
          </w:tcPr>
          <w:p>
            <w:pPr>
              <w:widowControl/>
              <w:jc w:val="center"/>
              <w:rPr>
                <w:rFonts w:ascii="仿宋" w:hAnsi="仿宋" w:eastAsia="仿宋" w:cs="仿宋"/>
                <w:kern w:val="0"/>
                <w:szCs w:val="21"/>
              </w:rPr>
            </w:pPr>
          </w:p>
        </w:tc>
        <w:tc>
          <w:tcPr>
            <w:tcW w:w="1218" w:type="dxa"/>
            <w:gridSpan w:val="3"/>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976" w:type="dxa"/>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直饮水</w:t>
            </w:r>
          </w:p>
        </w:tc>
        <w:tc>
          <w:tcPr>
            <w:tcW w:w="567" w:type="dxa"/>
            <w:tcBorders>
              <w:lef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bCs/>
                <w:kern w:val="0"/>
                <w:szCs w:val="21"/>
              </w:rPr>
              <w:t>05</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vAlign w:val="center"/>
          </w:tcPr>
          <w:p>
            <w:pPr>
              <w:widowControl/>
              <w:jc w:val="center"/>
              <w:rPr>
                <w:rFonts w:ascii="仿宋" w:hAnsi="仿宋" w:eastAsia="仿宋" w:cs="仿宋"/>
                <w:kern w:val="0"/>
                <w:szCs w:val="21"/>
              </w:rPr>
            </w:pPr>
          </w:p>
        </w:tc>
        <w:tc>
          <w:tcPr>
            <w:tcW w:w="1218" w:type="dxa"/>
            <w:gridSpan w:val="3"/>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976" w:type="dxa"/>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消防水</w:t>
            </w:r>
          </w:p>
        </w:tc>
        <w:tc>
          <w:tcPr>
            <w:tcW w:w="567" w:type="dxa"/>
            <w:tcBorders>
              <w:lef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bCs/>
                <w:kern w:val="0"/>
                <w:szCs w:val="21"/>
              </w:rPr>
              <w:t>06</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vAlign w:val="center"/>
          </w:tcPr>
          <w:p>
            <w:pPr>
              <w:widowControl/>
              <w:jc w:val="center"/>
              <w:rPr>
                <w:rFonts w:ascii="仿宋" w:hAnsi="仿宋" w:eastAsia="仿宋" w:cs="仿宋"/>
                <w:kern w:val="0"/>
                <w:szCs w:val="21"/>
              </w:rPr>
            </w:pPr>
          </w:p>
        </w:tc>
        <w:tc>
          <w:tcPr>
            <w:tcW w:w="1218" w:type="dxa"/>
            <w:gridSpan w:val="3"/>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976" w:type="dxa"/>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绿化水</w:t>
            </w:r>
          </w:p>
        </w:tc>
        <w:tc>
          <w:tcPr>
            <w:tcW w:w="567" w:type="dxa"/>
            <w:tcBorders>
              <w:lef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bCs/>
                <w:kern w:val="0"/>
                <w:szCs w:val="21"/>
              </w:rPr>
              <w:t>07</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vAlign w:val="center"/>
          </w:tcPr>
          <w:p>
            <w:pPr>
              <w:widowControl/>
              <w:jc w:val="center"/>
              <w:rPr>
                <w:rFonts w:ascii="仿宋" w:hAnsi="仿宋" w:eastAsia="仿宋" w:cs="仿宋"/>
                <w:kern w:val="0"/>
                <w:szCs w:val="21"/>
              </w:rPr>
            </w:pPr>
          </w:p>
        </w:tc>
        <w:tc>
          <w:tcPr>
            <w:tcW w:w="1218" w:type="dxa"/>
            <w:gridSpan w:val="3"/>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976" w:type="dxa"/>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循环水</w:t>
            </w:r>
          </w:p>
        </w:tc>
        <w:tc>
          <w:tcPr>
            <w:tcW w:w="567" w:type="dxa"/>
            <w:tcBorders>
              <w:left w:val="single" w:color="auto" w:sz="4" w:space="0"/>
            </w:tcBorders>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08</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vAlign w:val="center"/>
          </w:tcPr>
          <w:p>
            <w:pPr>
              <w:widowControl/>
              <w:jc w:val="center"/>
              <w:rPr>
                <w:rFonts w:ascii="仿宋" w:hAnsi="仿宋" w:eastAsia="仿宋" w:cs="仿宋"/>
                <w:kern w:val="0"/>
                <w:szCs w:val="21"/>
              </w:rPr>
            </w:pPr>
          </w:p>
        </w:tc>
        <w:tc>
          <w:tcPr>
            <w:tcW w:w="1218" w:type="dxa"/>
            <w:gridSpan w:val="3"/>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976" w:type="dxa"/>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长途输水</w:t>
            </w:r>
          </w:p>
        </w:tc>
        <w:tc>
          <w:tcPr>
            <w:tcW w:w="567" w:type="dxa"/>
            <w:tcBorders>
              <w:left w:val="single" w:color="auto" w:sz="4" w:space="0"/>
            </w:tcBorders>
            <w:vAlign w:val="center"/>
          </w:tcPr>
          <w:p>
            <w:pPr>
              <w:widowControl/>
              <w:jc w:val="center"/>
              <w:rPr>
                <w:rFonts w:ascii="仿宋" w:hAnsi="仿宋" w:eastAsia="仿宋" w:cs="仿宋"/>
                <w:bCs/>
                <w:kern w:val="0"/>
                <w:szCs w:val="21"/>
              </w:rPr>
            </w:pPr>
            <w:r>
              <w:rPr>
                <w:rFonts w:hint="eastAsia" w:ascii="仿宋" w:hAnsi="仿宋" w:eastAsia="仿宋" w:cs="仿宋"/>
                <w:bCs/>
                <w:kern w:val="0"/>
                <w:szCs w:val="21"/>
              </w:rPr>
              <w:t>09</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restart"/>
            <w:tcBorders>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排水</w:t>
            </w:r>
          </w:p>
        </w:tc>
        <w:tc>
          <w:tcPr>
            <w:tcW w:w="1218" w:type="dxa"/>
            <w:gridSpan w:val="3"/>
            <w:vMerge w:val="restart"/>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5</w:t>
            </w:r>
          </w:p>
        </w:tc>
        <w:tc>
          <w:tcPr>
            <w:tcW w:w="976" w:type="dxa"/>
            <w:vMerge w:val="restart"/>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2</w:t>
            </w: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雨水</w:t>
            </w:r>
          </w:p>
        </w:tc>
        <w:tc>
          <w:tcPr>
            <w:tcW w:w="567" w:type="dxa"/>
            <w:tcBorders>
              <w:left w:val="single" w:color="auto" w:sz="4" w:space="0"/>
            </w:tcBorders>
            <w:vAlign w:val="center"/>
          </w:tcPr>
          <w:p>
            <w:pPr>
              <w:widowControl/>
              <w:jc w:val="center"/>
              <w:rPr>
                <w:rFonts w:ascii="仿宋" w:hAnsi="仿宋" w:eastAsia="仿宋" w:cs="仿宋"/>
                <w:bCs/>
                <w:kern w:val="0"/>
                <w:szCs w:val="21"/>
              </w:rPr>
            </w:pPr>
            <w:r>
              <w:rPr>
                <w:rFonts w:hint="eastAsia" w:ascii="仿宋" w:hAnsi="仿宋" w:eastAsia="仿宋" w:cs="仿宋"/>
                <w:kern w:val="0"/>
                <w:szCs w:val="21"/>
              </w:rPr>
              <w:t>01</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vAlign w:val="center"/>
          </w:tcPr>
          <w:p>
            <w:pPr>
              <w:widowControl/>
              <w:jc w:val="center"/>
              <w:rPr>
                <w:rFonts w:ascii="仿宋" w:hAnsi="仿宋" w:eastAsia="仿宋" w:cs="仿宋"/>
                <w:kern w:val="0"/>
                <w:szCs w:val="21"/>
              </w:rPr>
            </w:pPr>
          </w:p>
        </w:tc>
        <w:tc>
          <w:tcPr>
            <w:tcW w:w="1218" w:type="dxa"/>
            <w:gridSpan w:val="3"/>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976" w:type="dxa"/>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污水</w:t>
            </w:r>
          </w:p>
        </w:tc>
        <w:tc>
          <w:tcPr>
            <w:tcW w:w="567" w:type="dxa"/>
            <w:tcBorders>
              <w:left w:val="single" w:color="auto" w:sz="4" w:space="0"/>
            </w:tcBorders>
            <w:vAlign w:val="center"/>
          </w:tcPr>
          <w:p>
            <w:pPr>
              <w:widowControl/>
              <w:jc w:val="center"/>
              <w:rPr>
                <w:rFonts w:ascii="仿宋" w:hAnsi="仿宋" w:eastAsia="仿宋" w:cs="仿宋"/>
                <w:bCs/>
                <w:kern w:val="0"/>
                <w:szCs w:val="21"/>
              </w:rPr>
            </w:pPr>
            <w:r>
              <w:rPr>
                <w:rFonts w:hint="eastAsia" w:ascii="仿宋" w:hAnsi="仿宋" w:eastAsia="仿宋" w:cs="仿宋"/>
                <w:kern w:val="0"/>
                <w:szCs w:val="21"/>
              </w:rPr>
              <w:t>02</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vAlign w:val="center"/>
          </w:tcPr>
          <w:p>
            <w:pPr>
              <w:widowControl/>
              <w:jc w:val="center"/>
              <w:rPr>
                <w:rFonts w:ascii="仿宋" w:hAnsi="仿宋" w:eastAsia="仿宋" w:cs="仿宋"/>
                <w:kern w:val="0"/>
                <w:szCs w:val="21"/>
              </w:rPr>
            </w:pPr>
          </w:p>
        </w:tc>
        <w:tc>
          <w:tcPr>
            <w:tcW w:w="1218" w:type="dxa"/>
            <w:gridSpan w:val="3"/>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976" w:type="dxa"/>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雨污合流</w:t>
            </w:r>
          </w:p>
        </w:tc>
        <w:tc>
          <w:tcPr>
            <w:tcW w:w="567" w:type="dxa"/>
            <w:tcBorders>
              <w:left w:val="single" w:color="auto" w:sz="4" w:space="0"/>
            </w:tcBorders>
            <w:vAlign w:val="center"/>
          </w:tcPr>
          <w:p>
            <w:pPr>
              <w:widowControl/>
              <w:jc w:val="center"/>
              <w:rPr>
                <w:rFonts w:ascii="仿宋" w:hAnsi="仿宋" w:eastAsia="仿宋" w:cs="仿宋"/>
                <w:bCs/>
                <w:kern w:val="0"/>
                <w:szCs w:val="21"/>
              </w:rPr>
            </w:pPr>
            <w:r>
              <w:rPr>
                <w:rFonts w:hint="eastAsia" w:ascii="仿宋" w:hAnsi="仿宋" w:eastAsia="仿宋" w:cs="仿宋"/>
                <w:kern w:val="0"/>
                <w:szCs w:val="21"/>
              </w:rPr>
              <w:t>03</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restart"/>
            <w:tcBorders>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燃气</w:t>
            </w:r>
          </w:p>
        </w:tc>
        <w:tc>
          <w:tcPr>
            <w:tcW w:w="1218" w:type="dxa"/>
            <w:gridSpan w:val="3"/>
            <w:vMerge w:val="restart"/>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5</w:t>
            </w:r>
          </w:p>
        </w:tc>
        <w:tc>
          <w:tcPr>
            <w:tcW w:w="976" w:type="dxa"/>
            <w:vMerge w:val="restart"/>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3</w:t>
            </w: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煤气</w:t>
            </w:r>
          </w:p>
        </w:tc>
        <w:tc>
          <w:tcPr>
            <w:tcW w:w="567" w:type="dxa"/>
            <w:tcBorders>
              <w:lef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01</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vAlign w:val="center"/>
          </w:tcPr>
          <w:p>
            <w:pPr>
              <w:widowControl/>
              <w:jc w:val="center"/>
              <w:rPr>
                <w:rFonts w:ascii="仿宋" w:hAnsi="仿宋" w:eastAsia="仿宋" w:cs="仿宋"/>
                <w:kern w:val="0"/>
                <w:szCs w:val="21"/>
              </w:rPr>
            </w:pPr>
          </w:p>
        </w:tc>
        <w:tc>
          <w:tcPr>
            <w:tcW w:w="1218" w:type="dxa"/>
            <w:gridSpan w:val="3"/>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976" w:type="dxa"/>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液化气</w:t>
            </w:r>
          </w:p>
        </w:tc>
        <w:tc>
          <w:tcPr>
            <w:tcW w:w="567" w:type="dxa"/>
            <w:tcBorders>
              <w:lef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02</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vAlign w:val="center"/>
          </w:tcPr>
          <w:p>
            <w:pPr>
              <w:widowControl/>
              <w:jc w:val="center"/>
              <w:rPr>
                <w:rFonts w:ascii="仿宋" w:hAnsi="仿宋" w:eastAsia="仿宋" w:cs="仿宋"/>
                <w:kern w:val="0"/>
                <w:szCs w:val="21"/>
              </w:rPr>
            </w:pPr>
          </w:p>
        </w:tc>
        <w:tc>
          <w:tcPr>
            <w:tcW w:w="1218" w:type="dxa"/>
            <w:gridSpan w:val="3"/>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976" w:type="dxa"/>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天然气</w:t>
            </w:r>
          </w:p>
        </w:tc>
        <w:tc>
          <w:tcPr>
            <w:tcW w:w="567" w:type="dxa"/>
            <w:tcBorders>
              <w:lef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03</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vAlign w:val="center"/>
          </w:tcPr>
          <w:p>
            <w:pPr>
              <w:widowControl/>
              <w:jc w:val="center"/>
              <w:rPr>
                <w:rFonts w:ascii="仿宋" w:hAnsi="仿宋" w:eastAsia="仿宋" w:cs="仿宋"/>
                <w:kern w:val="0"/>
                <w:szCs w:val="21"/>
              </w:rPr>
            </w:pPr>
          </w:p>
        </w:tc>
        <w:tc>
          <w:tcPr>
            <w:tcW w:w="1218" w:type="dxa"/>
            <w:gridSpan w:val="3"/>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976" w:type="dxa"/>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长途输气</w:t>
            </w:r>
          </w:p>
        </w:tc>
        <w:tc>
          <w:tcPr>
            <w:tcW w:w="567" w:type="dxa"/>
            <w:tcBorders>
              <w:lef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04</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restart"/>
            <w:tcBorders>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热力</w:t>
            </w:r>
          </w:p>
        </w:tc>
        <w:tc>
          <w:tcPr>
            <w:tcW w:w="1218" w:type="dxa"/>
            <w:gridSpan w:val="3"/>
            <w:vMerge w:val="restart"/>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5</w:t>
            </w:r>
          </w:p>
        </w:tc>
        <w:tc>
          <w:tcPr>
            <w:tcW w:w="976" w:type="dxa"/>
            <w:vMerge w:val="restart"/>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4</w:t>
            </w: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热水</w:t>
            </w:r>
          </w:p>
        </w:tc>
        <w:tc>
          <w:tcPr>
            <w:tcW w:w="567" w:type="dxa"/>
            <w:tcBorders>
              <w:lef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01</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vAlign w:val="center"/>
          </w:tcPr>
          <w:p>
            <w:pPr>
              <w:widowControl/>
              <w:jc w:val="center"/>
              <w:rPr>
                <w:rFonts w:ascii="仿宋" w:hAnsi="仿宋" w:eastAsia="仿宋" w:cs="仿宋"/>
                <w:kern w:val="0"/>
                <w:szCs w:val="21"/>
              </w:rPr>
            </w:pPr>
          </w:p>
        </w:tc>
        <w:tc>
          <w:tcPr>
            <w:tcW w:w="1218" w:type="dxa"/>
            <w:gridSpan w:val="3"/>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976" w:type="dxa"/>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蒸汽</w:t>
            </w:r>
          </w:p>
        </w:tc>
        <w:tc>
          <w:tcPr>
            <w:tcW w:w="567" w:type="dxa"/>
            <w:tcBorders>
              <w:lef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02</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restart"/>
            <w:tcBorders>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电力</w:t>
            </w:r>
          </w:p>
        </w:tc>
        <w:tc>
          <w:tcPr>
            <w:tcW w:w="1218" w:type="dxa"/>
            <w:gridSpan w:val="3"/>
            <w:vMerge w:val="restart"/>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5</w:t>
            </w:r>
          </w:p>
        </w:tc>
        <w:tc>
          <w:tcPr>
            <w:tcW w:w="976" w:type="dxa"/>
            <w:vMerge w:val="restart"/>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5</w:t>
            </w: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供电</w:t>
            </w:r>
          </w:p>
        </w:tc>
        <w:tc>
          <w:tcPr>
            <w:tcW w:w="567" w:type="dxa"/>
            <w:tcBorders>
              <w:lef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01</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vAlign w:val="center"/>
          </w:tcPr>
          <w:p>
            <w:pPr>
              <w:widowControl/>
              <w:jc w:val="center"/>
              <w:rPr>
                <w:rFonts w:ascii="仿宋" w:hAnsi="仿宋" w:eastAsia="仿宋" w:cs="仿宋"/>
                <w:kern w:val="0"/>
                <w:szCs w:val="21"/>
              </w:rPr>
            </w:pPr>
          </w:p>
        </w:tc>
        <w:tc>
          <w:tcPr>
            <w:tcW w:w="1218" w:type="dxa"/>
            <w:gridSpan w:val="3"/>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976" w:type="dxa"/>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路灯</w:t>
            </w:r>
          </w:p>
        </w:tc>
        <w:tc>
          <w:tcPr>
            <w:tcW w:w="567" w:type="dxa"/>
            <w:tcBorders>
              <w:lef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02</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vAlign w:val="center"/>
          </w:tcPr>
          <w:p>
            <w:pPr>
              <w:widowControl/>
              <w:jc w:val="center"/>
              <w:rPr>
                <w:rFonts w:ascii="仿宋" w:hAnsi="仿宋" w:eastAsia="仿宋" w:cs="仿宋"/>
                <w:kern w:val="0"/>
                <w:szCs w:val="21"/>
              </w:rPr>
            </w:pPr>
          </w:p>
        </w:tc>
        <w:tc>
          <w:tcPr>
            <w:tcW w:w="1218" w:type="dxa"/>
            <w:gridSpan w:val="3"/>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976" w:type="dxa"/>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交通信号</w:t>
            </w:r>
          </w:p>
        </w:tc>
        <w:tc>
          <w:tcPr>
            <w:tcW w:w="567" w:type="dxa"/>
            <w:tcBorders>
              <w:lef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03</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vAlign w:val="center"/>
          </w:tcPr>
          <w:p>
            <w:pPr>
              <w:widowControl/>
              <w:jc w:val="center"/>
              <w:rPr>
                <w:rFonts w:ascii="仿宋" w:hAnsi="仿宋" w:eastAsia="仿宋" w:cs="仿宋"/>
                <w:kern w:val="0"/>
                <w:szCs w:val="21"/>
              </w:rPr>
            </w:pPr>
          </w:p>
        </w:tc>
        <w:tc>
          <w:tcPr>
            <w:tcW w:w="1218" w:type="dxa"/>
            <w:gridSpan w:val="3"/>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976" w:type="dxa"/>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电车</w:t>
            </w:r>
          </w:p>
        </w:tc>
        <w:tc>
          <w:tcPr>
            <w:tcW w:w="567" w:type="dxa"/>
            <w:tcBorders>
              <w:lef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04</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vAlign w:val="center"/>
          </w:tcPr>
          <w:p>
            <w:pPr>
              <w:widowControl/>
              <w:jc w:val="center"/>
              <w:rPr>
                <w:rFonts w:ascii="仿宋" w:hAnsi="仿宋" w:eastAsia="仿宋" w:cs="仿宋"/>
                <w:kern w:val="0"/>
                <w:szCs w:val="21"/>
              </w:rPr>
            </w:pPr>
          </w:p>
        </w:tc>
        <w:tc>
          <w:tcPr>
            <w:tcW w:w="1218" w:type="dxa"/>
            <w:gridSpan w:val="3"/>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976" w:type="dxa"/>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广告</w:t>
            </w:r>
          </w:p>
        </w:tc>
        <w:tc>
          <w:tcPr>
            <w:tcW w:w="567" w:type="dxa"/>
            <w:tcBorders>
              <w:lef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05</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5" w:type="dxa"/>
            <w:vMerge w:val="continue"/>
            <w:tcBorders>
              <w:right w:val="single" w:color="auto" w:sz="4" w:space="0"/>
            </w:tcBorders>
            <w:vAlign w:val="center"/>
          </w:tcPr>
          <w:p>
            <w:pPr>
              <w:widowControl/>
              <w:jc w:val="center"/>
              <w:rPr>
                <w:rFonts w:ascii="仿宋" w:hAnsi="仿宋" w:eastAsia="仿宋" w:cs="仿宋"/>
                <w:kern w:val="0"/>
                <w:szCs w:val="21"/>
              </w:rPr>
            </w:pPr>
          </w:p>
        </w:tc>
        <w:tc>
          <w:tcPr>
            <w:tcW w:w="1218" w:type="dxa"/>
            <w:gridSpan w:val="3"/>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976" w:type="dxa"/>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高压输电</w:t>
            </w:r>
          </w:p>
        </w:tc>
        <w:tc>
          <w:tcPr>
            <w:tcW w:w="567" w:type="dxa"/>
            <w:tcBorders>
              <w:lef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06</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5" w:type="dxa"/>
            <w:vMerge w:val="restart"/>
            <w:tcBorders>
              <w:top w:val="single" w:color="auto" w:sz="4" w:space="0"/>
              <w:right w:val="single" w:color="auto" w:sz="4" w:space="0"/>
            </w:tcBorders>
            <w:vAlign w:val="center"/>
          </w:tcPr>
          <w:p>
            <w:pPr>
              <w:jc w:val="center"/>
              <w:rPr>
                <w:rFonts w:ascii="仿宋" w:hAnsi="仿宋" w:eastAsia="仿宋" w:cs="仿宋"/>
                <w:kern w:val="0"/>
                <w:szCs w:val="21"/>
              </w:rPr>
            </w:pPr>
            <w:r>
              <w:rPr>
                <w:rFonts w:hint="eastAsia" w:ascii="仿宋" w:hAnsi="仿宋" w:eastAsia="仿宋" w:cs="仿宋"/>
                <w:kern w:val="0"/>
                <w:szCs w:val="21"/>
              </w:rPr>
              <w:t>通信</w:t>
            </w:r>
          </w:p>
        </w:tc>
        <w:tc>
          <w:tcPr>
            <w:tcW w:w="1218" w:type="dxa"/>
            <w:gridSpan w:val="3"/>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Cs w:val="21"/>
              </w:rPr>
            </w:pPr>
            <w:r>
              <w:rPr>
                <w:rFonts w:hint="eastAsia" w:ascii="仿宋" w:hAnsi="仿宋" w:eastAsia="仿宋" w:cs="仿宋"/>
                <w:kern w:val="0"/>
                <w:szCs w:val="21"/>
              </w:rPr>
              <w:t>5</w:t>
            </w:r>
          </w:p>
        </w:tc>
        <w:tc>
          <w:tcPr>
            <w:tcW w:w="976"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Cs w:val="21"/>
              </w:rPr>
            </w:pPr>
            <w:r>
              <w:rPr>
                <w:rFonts w:hint="eastAsia" w:ascii="仿宋" w:hAnsi="仿宋" w:eastAsia="仿宋" w:cs="仿宋"/>
                <w:kern w:val="0"/>
                <w:szCs w:val="21"/>
              </w:rPr>
              <w:t>6</w:t>
            </w: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电话</w:t>
            </w:r>
          </w:p>
        </w:tc>
        <w:tc>
          <w:tcPr>
            <w:tcW w:w="567" w:type="dxa"/>
            <w:tcBorders>
              <w:lef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01</w:t>
            </w:r>
          </w:p>
        </w:tc>
        <w:tc>
          <w:tcPr>
            <w:tcW w:w="1134" w:type="dxa"/>
            <w:vMerge w:val="restart"/>
            <w:tcBorders>
              <w:top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1—线</w:t>
            </w:r>
          </w:p>
          <w:p>
            <w:pPr>
              <w:widowControl/>
              <w:jc w:val="center"/>
              <w:rPr>
                <w:rFonts w:ascii="仿宋" w:hAnsi="仿宋" w:eastAsia="仿宋" w:cs="仿宋"/>
                <w:kern w:val="0"/>
                <w:szCs w:val="21"/>
              </w:rPr>
            </w:pPr>
            <w:r>
              <w:rPr>
                <w:rFonts w:hint="eastAsia" w:ascii="仿宋" w:hAnsi="仿宋" w:eastAsia="仿宋" w:cs="仿宋"/>
                <w:kern w:val="0"/>
                <w:szCs w:val="21"/>
              </w:rPr>
              <w:t>2—点</w:t>
            </w:r>
          </w:p>
          <w:p>
            <w:pPr>
              <w:widowControl/>
              <w:jc w:val="center"/>
              <w:rPr>
                <w:rFonts w:ascii="仿宋" w:hAnsi="仿宋" w:eastAsia="仿宋" w:cs="仿宋"/>
                <w:kern w:val="0"/>
                <w:szCs w:val="21"/>
              </w:rPr>
            </w:pPr>
            <w:r>
              <w:rPr>
                <w:rFonts w:hint="eastAsia" w:ascii="仿宋" w:hAnsi="仿宋" w:eastAsia="仿宋" w:cs="仿宋"/>
                <w:kern w:val="0"/>
                <w:szCs w:val="21"/>
              </w:rPr>
              <w:t>3—面</w:t>
            </w:r>
          </w:p>
          <w:p>
            <w:pPr>
              <w:widowControl/>
              <w:jc w:val="center"/>
              <w:rPr>
                <w:rFonts w:ascii="仿宋" w:hAnsi="仿宋" w:eastAsia="仿宋" w:cs="仿宋"/>
                <w:kern w:val="0"/>
                <w:szCs w:val="21"/>
              </w:rPr>
            </w:pPr>
          </w:p>
        </w:tc>
        <w:tc>
          <w:tcPr>
            <w:tcW w:w="1718" w:type="dxa"/>
            <w:vMerge w:val="restart"/>
            <w:tcBorders>
              <w:top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1—特征</w:t>
            </w:r>
          </w:p>
          <w:p>
            <w:pPr>
              <w:widowControl/>
              <w:jc w:val="center"/>
              <w:rPr>
                <w:rFonts w:ascii="仿宋" w:hAnsi="仿宋" w:eastAsia="仿宋" w:cs="仿宋"/>
                <w:kern w:val="0"/>
                <w:szCs w:val="21"/>
              </w:rPr>
            </w:pPr>
            <w:r>
              <w:rPr>
                <w:rFonts w:hint="eastAsia" w:ascii="仿宋" w:hAnsi="仿宋" w:eastAsia="仿宋" w:cs="仿宋"/>
                <w:kern w:val="0"/>
                <w:szCs w:val="21"/>
              </w:rPr>
              <w:t>2—附属设施</w:t>
            </w:r>
          </w:p>
          <w:p>
            <w:pPr>
              <w:widowControl/>
              <w:jc w:val="center"/>
              <w:rPr>
                <w:rFonts w:ascii="仿宋" w:hAnsi="仿宋" w:eastAsia="仿宋" w:cs="仿宋"/>
                <w:kern w:val="0"/>
                <w:szCs w:val="21"/>
              </w:rPr>
            </w:pPr>
            <w:r>
              <w:rPr>
                <w:rFonts w:hint="eastAsia" w:ascii="仿宋" w:hAnsi="仿宋" w:eastAsia="仿宋" w:cs="仿宋"/>
                <w:kern w:val="0"/>
                <w:szCs w:val="21"/>
              </w:rPr>
              <w:t>3—其他特征</w:t>
            </w:r>
          </w:p>
          <w:p>
            <w:pPr>
              <w:widowControl/>
              <w:jc w:val="center"/>
              <w:rPr>
                <w:rFonts w:ascii="仿宋" w:hAnsi="仿宋" w:eastAsia="仿宋" w:cs="仿宋"/>
                <w:kern w:val="0"/>
                <w:szCs w:val="21"/>
              </w:rPr>
            </w:pPr>
          </w:p>
          <w:p>
            <w:pPr>
              <w:widowControl/>
              <w:jc w:val="center"/>
              <w:rPr>
                <w:rFonts w:ascii="仿宋" w:hAnsi="仿宋" w:eastAsia="仿宋" w:cs="仿宋"/>
                <w:kern w:val="0"/>
                <w:szCs w:val="21"/>
              </w:rPr>
            </w:pPr>
            <w:r>
              <w:rPr>
                <w:rFonts w:hint="eastAsia" w:ascii="仿宋" w:hAnsi="仿宋" w:eastAsia="仿宋" w:cs="仿宋"/>
                <w:kern w:val="0"/>
                <w:szCs w:val="21"/>
              </w:rPr>
              <w:t>（要素类型码为“1”时，管点类型码为“0”）</w:t>
            </w:r>
          </w:p>
        </w:tc>
        <w:tc>
          <w:tcPr>
            <w:tcW w:w="1077" w:type="dxa"/>
            <w:vMerge w:val="restart"/>
            <w:tcBorders>
              <w:top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01—99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5" w:type="dxa"/>
            <w:vMerge w:val="continue"/>
            <w:tcBorders>
              <w:right w:val="single" w:color="auto" w:sz="4" w:space="0"/>
            </w:tcBorders>
            <w:vAlign w:val="center"/>
          </w:tcPr>
          <w:p>
            <w:pPr>
              <w:widowControl/>
              <w:jc w:val="center"/>
              <w:rPr>
                <w:rFonts w:ascii="仿宋" w:hAnsi="仿宋" w:eastAsia="仿宋" w:cs="仿宋"/>
                <w:kern w:val="0"/>
                <w:szCs w:val="21"/>
              </w:rPr>
            </w:pPr>
          </w:p>
        </w:tc>
        <w:tc>
          <w:tcPr>
            <w:tcW w:w="1218" w:type="dxa"/>
            <w:gridSpan w:val="3"/>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976" w:type="dxa"/>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有线电视</w:t>
            </w:r>
          </w:p>
        </w:tc>
        <w:tc>
          <w:tcPr>
            <w:tcW w:w="567" w:type="dxa"/>
            <w:tcBorders>
              <w:lef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02</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5" w:type="dxa"/>
            <w:vMerge w:val="continue"/>
            <w:tcBorders>
              <w:right w:val="single" w:color="auto" w:sz="4" w:space="0"/>
            </w:tcBorders>
            <w:vAlign w:val="center"/>
          </w:tcPr>
          <w:p>
            <w:pPr>
              <w:widowControl/>
              <w:jc w:val="center"/>
              <w:rPr>
                <w:rFonts w:ascii="仿宋" w:hAnsi="仿宋" w:eastAsia="仿宋" w:cs="仿宋"/>
                <w:kern w:val="0"/>
                <w:szCs w:val="21"/>
              </w:rPr>
            </w:pPr>
          </w:p>
        </w:tc>
        <w:tc>
          <w:tcPr>
            <w:tcW w:w="1218" w:type="dxa"/>
            <w:gridSpan w:val="3"/>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976" w:type="dxa"/>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信息网络</w:t>
            </w:r>
          </w:p>
        </w:tc>
        <w:tc>
          <w:tcPr>
            <w:tcW w:w="567" w:type="dxa"/>
            <w:tcBorders>
              <w:lef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03</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5" w:type="dxa"/>
            <w:vMerge w:val="continue"/>
            <w:tcBorders>
              <w:right w:val="single" w:color="auto" w:sz="4" w:space="0"/>
            </w:tcBorders>
            <w:vAlign w:val="center"/>
          </w:tcPr>
          <w:p>
            <w:pPr>
              <w:widowControl/>
              <w:jc w:val="center"/>
              <w:rPr>
                <w:rFonts w:ascii="仿宋" w:hAnsi="仿宋" w:eastAsia="仿宋" w:cs="仿宋"/>
                <w:kern w:val="0"/>
                <w:szCs w:val="21"/>
              </w:rPr>
            </w:pPr>
          </w:p>
        </w:tc>
        <w:tc>
          <w:tcPr>
            <w:tcW w:w="1218" w:type="dxa"/>
            <w:gridSpan w:val="3"/>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976" w:type="dxa"/>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广播</w:t>
            </w:r>
          </w:p>
        </w:tc>
        <w:tc>
          <w:tcPr>
            <w:tcW w:w="567" w:type="dxa"/>
            <w:tcBorders>
              <w:lef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04</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5" w:type="dxa"/>
            <w:vMerge w:val="continue"/>
            <w:tcBorders>
              <w:right w:val="single" w:color="auto" w:sz="4" w:space="0"/>
            </w:tcBorders>
            <w:vAlign w:val="center"/>
          </w:tcPr>
          <w:p>
            <w:pPr>
              <w:widowControl/>
              <w:jc w:val="center"/>
              <w:rPr>
                <w:rFonts w:ascii="仿宋" w:hAnsi="仿宋" w:eastAsia="仿宋" w:cs="仿宋"/>
                <w:kern w:val="0"/>
                <w:szCs w:val="21"/>
              </w:rPr>
            </w:pPr>
          </w:p>
        </w:tc>
        <w:tc>
          <w:tcPr>
            <w:tcW w:w="1218" w:type="dxa"/>
            <w:gridSpan w:val="3"/>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976" w:type="dxa"/>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陆地通信</w:t>
            </w:r>
          </w:p>
        </w:tc>
        <w:tc>
          <w:tcPr>
            <w:tcW w:w="567" w:type="dxa"/>
            <w:tcBorders>
              <w:lef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05</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5" w:type="dxa"/>
            <w:vMerge w:val="continue"/>
            <w:tcBorders>
              <w:right w:val="single" w:color="auto" w:sz="4" w:space="0"/>
            </w:tcBorders>
            <w:vAlign w:val="center"/>
          </w:tcPr>
          <w:p>
            <w:pPr>
              <w:widowControl/>
              <w:jc w:val="center"/>
              <w:rPr>
                <w:rFonts w:ascii="仿宋" w:hAnsi="仿宋" w:eastAsia="仿宋" w:cs="仿宋"/>
                <w:kern w:val="0"/>
                <w:szCs w:val="21"/>
              </w:rPr>
            </w:pPr>
          </w:p>
        </w:tc>
        <w:tc>
          <w:tcPr>
            <w:tcW w:w="1218" w:type="dxa"/>
            <w:gridSpan w:val="3"/>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976" w:type="dxa"/>
            <w:vMerge w:val="continue"/>
            <w:tcBorders>
              <w:left w:val="single" w:color="auto" w:sz="4" w:space="0"/>
              <w:right w:val="single" w:color="auto" w:sz="4" w:space="0"/>
            </w:tcBorders>
            <w:vAlign w:val="center"/>
          </w:tcPr>
          <w:p>
            <w:pPr>
              <w:widowControl/>
              <w:jc w:val="center"/>
              <w:rPr>
                <w:rFonts w:ascii="仿宋" w:hAnsi="仿宋" w:eastAsia="仿宋" w:cs="仿宋"/>
                <w:kern w:val="0"/>
                <w:szCs w:val="21"/>
              </w:rPr>
            </w:pP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水下光缆</w:t>
            </w:r>
          </w:p>
        </w:tc>
        <w:tc>
          <w:tcPr>
            <w:tcW w:w="567" w:type="dxa"/>
            <w:tcBorders>
              <w:lef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06</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5" w:type="dxa"/>
            <w:vMerge w:val="restart"/>
            <w:tcBorders>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工业</w:t>
            </w:r>
          </w:p>
        </w:tc>
        <w:tc>
          <w:tcPr>
            <w:tcW w:w="1218" w:type="dxa"/>
            <w:gridSpan w:val="3"/>
            <w:vMerge w:val="restart"/>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5</w:t>
            </w:r>
          </w:p>
        </w:tc>
        <w:tc>
          <w:tcPr>
            <w:tcW w:w="976" w:type="dxa"/>
            <w:vMerge w:val="restart"/>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7</w:t>
            </w: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氢气</w:t>
            </w:r>
          </w:p>
        </w:tc>
        <w:tc>
          <w:tcPr>
            <w:tcW w:w="567" w:type="dxa"/>
            <w:tcBorders>
              <w:lef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01</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5" w:type="dxa"/>
            <w:vMerge w:val="continue"/>
            <w:tcBorders>
              <w:right w:val="single" w:color="auto" w:sz="4" w:space="0"/>
            </w:tcBorders>
            <w:vAlign w:val="center"/>
          </w:tcPr>
          <w:p>
            <w:pPr>
              <w:widowControl/>
              <w:ind w:firstLine="480" w:firstLineChars="200"/>
              <w:jc w:val="center"/>
              <w:rPr>
                <w:rFonts w:ascii="仿宋" w:hAnsi="仿宋" w:eastAsia="仿宋" w:cs="仿宋"/>
                <w:kern w:val="0"/>
                <w:szCs w:val="21"/>
              </w:rPr>
            </w:pPr>
          </w:p>
        </w:tc>
        <w:tc>
          <w:tcPr>
            <w:tcW w:w="1218" w:type="dxa"/>
            <w:gridSpan w:val="3"/>
            <w:vMerge w:val="continue"/>
            <w:tcBorders>
              <w:left w:val="single" w:color="auto" w:sz="4" w:space="0"/>
              <w:right w:val="single" w:color="auto" w:sz="4" w:space="0"/>
            </w:tcBorders>
            <w:vAlign w:val="center"/>
          </w:tcPr>
          <w:p>
            <w:pPr>
              <w:widowControl/>
              <w:ind w:firstLine="480" w:firstLineChars="200"/>
              <w:jc w:val="center"/>
              <w:rPr>
                <w:rFonts w:ascii="仿宋" w:hAnsi="仿宋" w:eastAsia="仿宋" w:cs="仿宋"/>
                <w:kern w:val="0"/>
                <w:szCs w:val="21"/>
              </w:rPr>
            </w:pPr>
          </w:p>
        </w:tc>
        <w:tc>
          <w:tcPr>
            <w:tcW w:w="976" w:type="dxa"/>
            <w:vMerge w:val="continue"/>
            <w:tcBorders>
              <w:left w:val="single" w:color="auto" w:sz="4" w:space="0"/>
              <w:right w:val="single" w:color="auto" w:sz="4" w:space="0"/>
            </w:tcBorders>
            <w:vAlign w:val="center"/>
          </w:tcPr>
          <w:p>
            <w:pPr>
              <w:widowControl/>
              <w:ind w:firstLine="480" w:firstLineChars="200"/>
              <w:jc w:val="center"/>
              <w:rPr>
                <w:rFonts w:ascii="仿宋" w:hAnsi="仿宋" w:eastAsia="仿宋" w:cs="仿宋"/>
                <w:kern w:val="0"/>
                <w:szCs w:val="21"/>
              </w:rPr>
            </w:pP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氧气</w:t>
            </w:r>
          </w:p>
        </w:tc>
        <w:tc>
          <w:tcPr>
            <w:tcW w:w="567" w:type="dxa"/>
            <w:tcBorders>
              <w:lef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02</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5" w:type="dxa"/>
            <w:vMerge w:val="continue"/>
            <w:tcBorders>
              <w:right w:val="single" w:color="auto" w:sz="4" w:space="0"/>
            </w:tcBorders>
            <w:vAlign w:val="center"/>
          </w:tcPr>
          <w:p>
            <w:pPr>
              <w:widowControl/>
              <w:ind w:firstLine="480" w:firstLineChars="200"/>
              <w:jc w:val="center"/>
              <w:rPr>
                <w:rFonts w:ascii="仿宋" w:hAnsi="仿宋" w:eastAsia="仿宋" w:cs="仿宋"/>
                <w:kern w:val="0"/>
                <w:szCs w:val="21"/>
              </w:rPr>
            </w:pPr>
          </w:p>
        </w:tc>
        <w:tc>
          <w:tcPr>
            <w:tcW w:w="1218" w:type="dxa"/>
            <w:gridSpan w:val="3"/>
            <w:vMerge w:val="continue"/>
            <w:tcBorders>
              <w:left w:val="single" w:color="auto" w:sz="4" w:space="0"/>
              <w:right w:val="single" w:color="auto" w:sz="4" w:space="0"/>
            </w:tcBorders>
            <w:vAlign w:val="center"/>
          </w:tcPr>
          <w:p>
            <w:pPr>
              <w:widowControl/>
              <w:ind w:firstLine="480" w:firstLineChars="200"/>
              <w:jc w:val="center"/>
              <w:rPr>
                <w:rFonts w:ascii="仿宋" w:hAnsi="仿宋" w:eastAsia="仿宋" w:cs="仿宋"/>
                <w:kern w:val="0"/>
                <w:szCs w:val="21"/>
              </w:rPr>
            </w:pPr>
          </w:p>
        </w:tc>
        <w:tc>
          <w:tcPr>
            <w:tcW w:w="976" w:type="dxa"/>
            <w:vMerge w:val="continue"/>
            <w:tcBorders>
              <w:left w:val="single" w:color="auto" w:sz="4" w:space="0"/>
              <w:right w:val="single" w:color="auto" w:sz="4" w:space="0"/>
            </w:tcBorders>
            <w:vAlign w:val="center"/>
          </w:tcPr>
          <w:p>
            <w:pPr>
              <w:widowControl/>
              <w:ind w:firstLine="480" w:firstLineChars="200"/>
              <w:jc w:val="center"/>
              <w:rPr>
                <w:rFonts w:ascii="仿宋" w:hAnsi="仿宋" w:eastAsia="仿宋" w:cs="仿宋"/>
                <w:kern w:val="0"/>
                <w:szCs w:val="21"/>
              </w:rPr>
            </w:pP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乙炔</w:t>
            </w:r>
          </w:p>
        </w:tc>
        <w:tc>
          <w:tcPr>
            <w:tcW w:w="567" w:type="dxa"/>
            <w:tcBorders>
              <w:lef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03</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5" w:type="dxa"/>
            <w:vMerge w:val="continue"/>
            <w:tcBorders>
              <w:right w:val="single" w:color="auto" w:sz="4" w:space="0"/>
            </w:tcBorders>
            <w:vAlign w:val="center"/>
          </w:tcPr>
          <w:p>
            <w:pPr>
              <w:widowControl/>
              <w:ind w:firstLine="480" w:firstLineChars="200"/>
              <w:jc w:val="center"/>
              <w:rPr>
                <w:rFonts w:ascii="仿宋" w:hAnsi="仿宋" w:eastAsia="仿宋" w:cs="仿宋"/>
                <w:kern w:val="0"/>
                <w:szCs w:val="21"/>
              </w:rPr>
            </w:pPr>
          </w:p>
        </w:tc>
        <w:tc>
          <w:tcPr>
            <w:tcW w:w="1218" w:type="dxa"/>
            <w:gridSpan w:val="3"/>
            <w:vMerge w:val="continue"/>
            <w:tcBorders>
              <w:left w:val="single" w:color="auto" w:sz="4" w:space="0"/>
              <w:right w:val="single" w:color="auto" w:sz="4" w:space="0"/>
            </w:tcBorders>
            <w:vAlign w:val="center"/>
          </w:tcPr>
          <w:p>
            <w:pPr>
              <w:widowControl/>
              <w:ind w:firstLine="480" w:firstLineChars="200"/>
              <w:jc w:val="center"/>
              <w:rPr>
                <w:rFonts w:ascii="仿宋" w:hAnsi="仿宋" w:eastAsia="仿宋" w:cs="仿宋"/>
                <w:kern w:val="0"/>
                <w:szCs w:val="21"/>
              </w:rPr>
            </w:pPr>
          </w:p>
        </w:tc>
        <w:tc>
          <w:tcPr>
            <w:tcW w:w="976" w:type="dxa"/>
            <w:vMerge w:val="continue"/>
            <w:tcBorders>
              <w:left w:val="single" w:color="auto" w:sz="4" w:space="0"/>
              <w:right w:val="single" w:color="auto" w:sz="4" w:space="0"/>
            </w:tcBorders>
            <w:vAlign w:val="center"/>
          </w:tcPr>
          <w:p>
            <w:pPr>
              <w:widowControl/>
              <w:ind w:firstLine="480" w:firstLineChars="200"/>
              <w:jc w:val="center"/>
              <w:rPr>
                <w:rFonts w:ascii="仿宋" w:hAnsi="仿宋" w:eastAsia="仿宋" w:cs="仿宋"/>
                <w:kern w:val="0"/>
                <w:szCs w:val="21"/>
              </w:rPr>
            </w:pP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乙烯</w:t>
            </w:r>
          </w:p>
        </w:tc>
        <w:tc>
          <w:tcPr>
            <w:tcW w:w="567" w:type="dxa"/>
            <w:tcBorders>
              <w:lef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04</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5" w:type="dxa"/>
            <w:vMerge w:val="continue"/>
            <w:tcBorders>
              <w:right w:val="single" w:color="auto" w:sz="4" w:space="0"/>
            </w:tcBorders>
            <w:vAlign w:val="center"/>
          </w:tcPr>
          <w:p>
            <w:pPr>
              <w:widowControl/>
              <w:ind w:firstLine="480" w:firstLineChars="200"/>
              <w:jc w:val="center"/>
              <w:rPr>
                <w:rFonts w:ascii="仿宋" w:hAnsi="仿宋" w:eastAsia="仿宋" w:cs="仿宋"/>
                <w:kern w:val="0"/>
                <w:szCs w:val="21"/>
              </w:rPr>
            </w:pPr>
          </w:p>
        </w:tc>
        <w:tc>
          <w:tcPr>
            <w:tcW w:w="1218" w:type="dxa"/>
            <w:gridSpan w:val="3"/>
            <w:vMerge w:val="continue"/>
            <w:tcBorders>
              <w:left w:val="single" w:color="auto" w:sz="4" w:space="0"/>
              <w:right w:val="single" w:color="auto" w:sz="4" w:space="0"/>
            </w:tcBorders>
            <w:vAlign w:val="center"/>
          </w:tcPr>
          <w:p>
            <w:pPr>
              <w:widowControl/>
              <w:ind w:firstLine="480" w:firstLineChars="200"/>
              <w:jc w:val="center"/>
              <w:rPr>
                <w:rFonts w:ascii="仿宋" w:hAnsi="仿宋" w:eastAsia="仿宋" w:cs="仿宋"/>
                <w:kern w:val="0"/>
                <w:szCs w:val="21"/>
              </w:rPr>
            </w:pPr>
          </w:p>
        </w:tc>
        <w:tc>
          <w:tcPr>
            <w:tcW w:w="976" w:type="dxa"/>
            <w:vMerge w:val="continue"/>
            <w:tcBorders>
              <w:left w:val="single" w:color="auto" w:sz="4" w:space="0"/>
              <w:right w:val="single" w:color="auto" w:sz="4" w:space="0"/>
            </w:tcBorders>
            <w:vAlign w:val="center"/>
          </w:tcPr>
          <w:p>
            <w:pPr>
              <w:widowControl/>
              <w:ind w:firstLine="480" w:firstLineChars="200"/>
              <w:jc w:val="center"/>
              <w:rPr>
                <w:rFonts w:ascii="仿宋" w:hAnsi="仿宋" w:eastAsia="仿宋" w:cs="仿宋"/>
                <w:kern w:val="0"/>
                <w:szCs w:val="21"/>
              </w:rPr>
            </w:pP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苯</w:t>
            </w:r>
          </w:p>
        </w:tc>
        <w:tc>
          <w:tcPr>
            <w:tcW w:w="567" w:type="dxa"/>
            <w:tcBorders>
              <w:lef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05</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5" w:type="dxa"/>
            <w:vMerge w:val="continue"/>
            <w:tcBorders>
              <w:right w:val="single" w:color="auto" w:sz="4" w:space="0"/>
            </w:tcBorders>
            <w:vAlign w:val="center"/>
          </w:tcPr>
          <w:p>
            <w:pPr>
              <w:widowControl/>
              <w:ind w:firstLine="480" w:firstLineChars="200"/>
              <w:jc w:val="center"/>
              <w:rPr>
                <w:rFonts w:ascii="仿宋" w:hAnsi="仿宋" w:eastAsia="仿宋" w:cs="仿宋"/>
                <w:kern w:val="0"/>
                <w:szCs w:val="21"/>
              </w:rPr>
            </w:pPr>
          </w:p>
        </w:tc>
        <w:tc>
          <w:tcPr>
            <w:tcW w:w="1218" w:type="dxa"/>
            <w:gridSpan w:val="3"/>
            <w:vMerge w:val="continue"/>
            <w:tcBorders>
              <w:left w:val="single" w:color="auto" w:sz="4" w:space="0"/>
              <w:right w:val="single" w:color="auto" w:sz="4" w:space="0"/>
            </w:tcBorders>
            <w:vAlign w:val="center"/>
          </w:tcPr>
          <w:p>
            <w:pPr>
              <w:widowControl/>
              <w:ind w:firstLine="480" w:firstLineChars="200"/>
              <w:jc w:val="center"/>
              <w:rPr>
                <w:rFonts w:ascii="仿宋" w:hAnsi="仿宋" w:eastAsia="仿宋" w:cs="仿宋"/>
                <w:kern w:val="0"/>
                <w:szCs w:val="21"/>
              </w:rPr>
            </w:pPr>
          </w:p>
        </w:tc>
        <w:tc>
          <w:tcPr>
            <w:tcW w:w="976" w:type="dxa"/>
            <w:vMerge w:val="continue"/>
            <w:tcBorders>
              <w:left w:val="single" w:color="auto" w:sz="4" w:space="0"/>
              <w:right w:val="single" w:color="auto" w:sz="4" w:space="0"/>
            </w:tcBorders>
            <w:vAlign w:val="center"/>
          </w:tcPr>
          <w:p>
            <w:pPr>
              <w:widowControl/>
              <w:ind w:firstLine="480" w:firstLineChars="200"/>
              <w:jc w:val="center"/>
              <w:rPr>
                <w:rFonts w:ascii="仿宋" w:hAnsi="仿宋" w:eastAsia="仿宋" w:cs="仿宋"/>
                <w:kern w:val="0"/>
                <w:szCs w:val="21"/>
              </w:rPr>
            </w:pP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氯气</w:t>
            </w:r>
          </w:p>
        </w:tc>
        <w:tc>
          <w:tcPr>
            <w:tcW w:w="567" w:type="dxa"/>
            <w:tcBorders>
              <w:lef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06</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5" w:type="dxa"/>
            <w:vMerge w:val="continue"/>
            <w:tcBorders>
              <w:right w:val="single" w:color="auto" w:sz="4" w:space="0"/>
            </w:tcBorders>
            <w:vAlign w:val="center"/>
          </w:tcPr>
          <w:p>
            <w:pPr>
              <w:widowControl/>
              <w:ind w:firstLine="480" w:firstLineChars="200"/>
              <w:jc w:val="center"/>
              <w:rPr>
                <w:rFonts w:ascii="仿宋" w:hAnsi="仿宋" w:eastAsia="仿宋" w:cs="仿宋"/>
                <w:kern w:val="0"/>
                <w:szCs w:val="21"/>
              </w:rPr>
            </w:pPr>
          </w:p>
        </w:tc>
        <w:tc>
          <w:tcPr>
            <w:tcW w:w="1218" w:type="dxa"/>
            <w:gridSpan w:val="3"/>
            <w:vMerge w:val="continue"/>
            <w:tcBorders>
              <w:left w:val="single" w:color="auto" w:sz="4" w:space="0"/>
              <w:right w:val="single" w:color="auto" w:sz="4" w:space="0"/>
            </w:tcBorders>
            <w:vAlign w:val="center"/>
          </w:tcPr>
          <w:p>
            <w:pPr>
              <w:widowControl/>
              <w:ind w:firstLine="480" w:firstLineChars="200"/>
              <w:jc w:val="center"/>
              <w:rPr>
                <w:rFonts w:ascii="仿宋" w:hAnsi="仿宋" w:eastAsia="仿宋" w:cs="仿宋"/>
                <w:kern w:val="0"/>
                <w:szCs w:val="21"/>
              </w:rPr>
            </w:pPr>
          </w:p>
        </w:tc>
        <w:tc>
          <w:tcPr>
            <w:tcW w:w="976" w:type="dxa"/>
            <w:vMerge w:val="continue"/>
            <w:tcBorders>
              <w:left w:val="single" w:color="auto" w:sz="4" w:space="0"/>
              <w:right w:val="single" w:color="auto" w:sz="4" w:space="0"/>
            </w:tcBorders>
            <w:vAlign w:val="center"/>
          </w:tcPr>
          <w:p>
            <w:pPr>
              <w:widowControl/>
              <w:ind w:firstLine="480" w:firstLineChars="200"/>
              <w:jc w:val="center"/>
              <w:rPr>
                <w:rFonts w:ascii="仿宋" w:hAnsi="仿宋" w:eastAsia="仿宋" w:cs="仿宋"/>
                <w:kern w:val="0"/>
                <w:szCs w:val="21"/>
              </w:rPr>
            </w:pP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氮气</w:t>
            </w:r>
          </w:p>
        </w:tc>
        <w:tc>
          <w:tcPr>
            <w:tcW w:w="567" w:type="dxa"/>
            <w:tcBorders>
              <w:lef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07</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5" w:type="dxa"/>
            <w:vMerge w:val="continue"/>
            <w:tcBorders>
              <w:right w:val="single" w:color="auto" w:sz="4" w:space="0"/>
            </w:tcBorders>
            <w:vAlign w:val="center"/>
          </w:tcPr>
          <w:p>
            <w:pPr>
              <w:widowControl/>
              <w:ind w:firstLine="480" w:firstLineChars="200"/>
              <w:jc w:val="center"/>
              <w:rPr>
                <w:rFonts w:ascii="仿宋" w:hAnsi="仿宋" w:eastAsia="仿宋" w:cs="仿宋"/>
                <w:kern w:val="0"/>
                <w:szCs w:val="21"/>
              </w:rPr>
            </w:pPr>
          </w:p>
        </w:tc>
        <w:tc>
          <w:tcPr>
            <w:tcW w:w="1218" w:type="dxa"/>
            <w:gridSpan w:val="3"/>
            <w:vMerge w:val="continue"/>
            <w:tcBorders>
              <w:left w:val="single" w:color="auto" w:sz="4" w:space="0"/>
              <w:right w:val="single" w:color="auto" w:sz="4" w:space="0"/>
            </w:tcBorders>
            <w:vAlign w:val="center"/>
          </w:tcPr>
          <w:p>
            <w:pPr>
              <w:widowControl/>
              <w:ind w:firstLine="480" w:firstLineChars="200"/>
              <w:jc w:val="center"/>
              <w:rPr>
                <w:rFonts w:ascii="仿宋" w:hAnsi="仿宋" w:eastAsia="仿宋" w:cs="仿宋"/>
                <w:kern w:val="0"/>
                <w:szCs w:val="21"/>
              </w:rPr>
            </w:pPr>
          </w:p>
        </w:tc>
        <w:tc>
          <w:tcPr>
            <w:tcW w:w="976" w:type="dxa"/>
            <w:vMerge w:val="continue"/>
            <w:tcBorders>
              <w:left w:val="single" w:color="auto" w:sz="4" w:space="0"/>
              <w:right w:val="single" w:color="auto" w:sz="4" w:space="0"/>
            </w:tcBorders>
            <w:vAlign w:val="center"/>
          </w:tcPr>
          <w:p>
            <w:pPr>
              <w:widowControl/>
              <w:ind w:firstLine="480" w:firstLineChars="200"/>
              <w:jc w:val="center"/>
              <w:rPr>
                <w:rFonts w:ascii="仿宋" w:hAnsi="仿宋" w:eastAsia="仿宋" w:cs="仿宋"/>
                <w:kern w:val="0"/>
                <w:szCs w:val="21"/>
              </w:rPr>
            </w:pP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二氧化碳</w:t>
            </w:r>
          </w:p>
        </w:tc>
        <w:tc>
          <w:tcPr>
            <w:tcW w:w="567" w:type="dxa"/>
            <w:tcBorders>
              <w:lef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08</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5" w:type="dxa"/>
            <w:vMerge w:val="continue"/>
            <w:tcBorders>
              <w:right w:val="single" w:color="auto" w:sz="4" w:space="0"/>
            </w:tcBorders>
            <w:vAlign w:val="center"/>
          </w:tcPr>
          <w:p>
            <w:pPr>
              <w:widowControl/>
              <w:ind w:firstLine="480" w:firstLineChars="200"/>
              <w:jc w:val="center"/>
              <w:rPr>
                <w:rFonts w:ascii="仿宋" w:hAnsi="仿宋" w:eastAsia="仿宋" w:cs="仿宋"/>
                <w:kern w:val="0"/>
                <w:szCs w:val="21"/>
              </w:rPr>
            </w:pPr>
          </w:p>
        </w:tc>
        <w:tc>
          <w:tcPr>
            <w:tcW w:w="1218" w:type="dxa"/>
            <w:gridSpan w:val="3"/>
            <w:vMerge w:val="continue"/>
            <w:tcBorders>
              <w:left w:val="single" w:color="auto" w:sz="4" w:space="0"/>
              <w:right w:val="single" w:color="auto" w:sz="4" w:space="0"/>
            </w:tcBorders>
            <w:vAlign w:val="center"/>
          </w:tcPr>
          <w:p>
            <w:pPr>
              <w:widowControl/>
              <w:ind w:firstLine="480" w:firstLineChars="200"/>
              <w:jc w:val="center"/>
              <w:rPr>
                <w:rFonts w:ascii="仿宋" w:hAnsi="仿宋" w:eastAsia="仿宋" w:cs="仿宋"/>
                <w:kern w:val="0"/>
                <w:szCs w:val="21"/>
              </w:rPr>
            </w:pPr>
          </w:p>
        </w:tc>
        <w:tc>
          <w:tcPr>
            <w:tcW w:w="976" w:type="dxa"/>
            <w:vMerge w:val="continue"/>
            <w:tcBorders>
              <w:left w:val="single" w:color="auto" w:sz="4" w:space="0"/>
              <w:right w:val="single" w:color="auto" w:sz="4" w:space="0"/>
            </w:tcBorders>
            <w:vAlign w:val="center"/>
          </w:tcPr>
          <w:p>
            <w:pPr>
              <w:widowControl/>
              <w:ind w:firstLine="480" w:firstLineChars="200"/>
              <w:jc w:val="center"/>
              <w:rPr>
                <w:rFonts w:ascii="仿宋" w:hAnsi="仿宋" w:eastAsia="仿宋" w:cs="仿宋"/>
                <w:kern w:val="0"/>
                <w:szCs w:val="21"/>
              </w:rPr>
            </w:pP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氨气</w:t>
            </w:r>
          </w:p>
        </w:tc>
        <w:tc>
          <w:tcPr>
            <w:tcW w:w="567" w:type="dxa"/>
            <w:tcBorders>
              <w:lef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09</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5" w:type="dxa"/>
            <w:vMerge w:val="continue"/>
            <w:tcBorders>
              <w:right w:val="single" w:color="auto" w:sz="4" w:space="0"/>
            </w:tcBorders>
            <w:vAlign w:val="center"/>
          </w:tcPr>
          <w:p>
            <w:pPr>
              <w:widowControl/>
              <w:ind w:firstLine="480" w:firstLineChars="200"/>
              <w:jc w:val="center"/>
              <w:rPr>
                <w:rFonts w:ascii="仿宋" w:hAnsi="仿宋" w:eastAsia="仿宋" w:cs="仿宋"/>
                <w:kern w:val="0"/>
                <w:szCs w:val="21"/>
              </w:rPr>
            </w:pPr>
          </w:p>
        </w:tc>
        <w:tc>
          <w:tcPr>
            <w:tcW w:w="1218" w:type="dxa"/>
            <w:gridSpan w:val="3"/>
            <w:vMerge w:val="continue"/>
            <w:tcBorders>
              <w:left w:val="single" w:color="auto" w:sz="4" w:space="0"/>
              <w:right w:val="single" w:color="auto" w:sz="4" w:space="0"/>
            </w:tcBorders>
            <w:vAlign w:val="center"/>
          </w:tcPr>
          <w:p>
            <w:pPr>
              <w:widowControl/>
              <w:ind w:firstLine="480" w:firstLineChars="200"/>
              <w:jc w:val="center"/>
              <w:rPr>
                <w:rFonts w:ascii="仿宋" w:hAnsi="仿宋" w:eastAsia="仿宋" w:cs="仿宋"/>
                <w:kern w:val="0"/>
                <w:szCs w:val="21"/>
              </w:rPr>
            </w:pPr>
          </w:p>
        </w:tc>
        <w:tc>
          <w:tcPr>
            <w:tcW w:w="976" w:type="dxa"/>
            <w:vMerge w:val="continue"/>
            <w:tcBorders>
              <w:left w:val="single" w:color="auto" w:sz="4" w:space="0"/>
              <w:right w:val="single" w:color="auto" w:sz="4" w:space="0"/>
            </w:tcBorders>
            <w:vAlign w:val="center"/>
          </w:tcPr>
          <w:p>
            <w:pPr>
              <w:widowControl/>
              <w:ind w:firstLine="480" w:firstLineChars="200"/>
              <w:jc w:val="center"/>
              <w:rPr>
                <w:rFonts w:ascii="仿宋" w:hAnsi="仿宋" w:eastAsia="仿宋" w:cs="仿宋"/>
                <w:kern w:val="0"/>
                <w:szCs w:val="21"/>
              </w:rPr>
            </w:pP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甲苯</w:t>
            </w:r>
          </w:p>
        </w:tc>
        <w:tc>
          <w:tcPr>
            <w:tcW w:w="567" w:type="dxa"/>
            <w:tcBorders>
              <w:lef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10</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1255" w:type="dxa"/>
            <w:vMerge w:val="continue"/>
            <w:tcBorders>
              <w:bottom w:val="single" w:color="auto" w:sz="4" w:space="0"/>
              <w:right w:val="single" w:color="auto" w:sz="4" w:space="0"/>
            </w:tcBorders>
            <w:vAlign w:val="center"/>
          </w:tcPr>
          <w:p>
            <w:pPr>
              <w:widowControl/>
              <w:ind w:firstLine="480" w:firstLineChars="200"/>
              <w:jc w:val="center"/>
              <w:rPr>
                <w:rFonts w:ascii="仿宋" w:hAnsi="仿宋" w:eastAsia="仿宋" w:cs="仿宋"/>
                <w:kern w:val="0"/>
                <w:szCs w:val="21"/>
              </w:rPr>
            </w:pPr>
          </w:p>
        </w:tc>
        <w:tc>
          <w:tcPr>
            <w:tcW w:w="1218" w:type="dxa"/>
            <w:gridSpan w:val="3"/>
            <w:vMerge w:val="continue"/>
            <w:tcBorders>
              <w:left w:val="single" w:color="auto" w:sz="4" w:space="0"/>
              <w:bottom w:val="single" w:color="auto" w:sz="4" w:space="0"/>
              <w:right w:val="single" w:color="auto" w:sz="4" w:space="0"/>
            </w:tcBorders>
            <w:vAlign w:val="center"/>
          </w:tcPr>
          <w:p>
            <w:pPr>
              <w:widowControl/>
              <w:ind w:firstLine="480" w:firstLineChars="200"/>
              <w:jc w:val="center"/>
              <w:rPr>
                <w:rFonts w:ascii="仿宋" w:hAnsi="仿宋" w:eastAsia="仿宋" w:cs="仿宋"/>
                <w:kern w:val="0"/>
                <w:szCs w:val="21"/>
              </w:rPr>
            </w:pPr>
          </w:p>
        </w:tc>
        <w:tc>
          <w:tcPr>
            <w:tcW w:w="976" w:type="dxa"/>
            <w:vMerge w:val="continue"/>
            <w:tcBorders>
              <w:left w:val="single" w:color="auto" w:sz="4" w:space="0"/>
              <w:bottom w:val="single" w:color="auto" w:sz="4" w:space="0"/>
              <w:right w:val="single" w:color="auto" w:sz="4" w:space="0"/>
            </w:tcBorders>
            <w:vAlign w:val="center"/>
          </w:tcPr>
          <w:p>
            <w:pPr>
              <w:widowControl/>
              <w:ind w:firstLine="480" w:firstLineChars="200"/>
              <w:jc w:val="center"/>
              <w:rPr>
                <w:rFonts w:ascii="仿宋" w:hAnsi="仿宋" w:eastAsia="仿宋" w:cs="仿宋"/>
                <w:kern w:val="0"/>
                <w:szCs w:val="21"/>
              </w:rPr>
            </w:pP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长途输油</w:t>
            </w:r>
          </w:p>
        </w:tc>
        <w:tc>
          <w:tcPr>
            <w:tcW w:w="567" w:type="dxa"/>
            <w:tcBorders>
              <w:lef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11</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76" w:type="dxa"/>
            <w:gridSpan w:val="2"/>
            <w:tcBorders>
              <w:top w:val="single" w:color="auto" w:sz="4" w:space="0"/>
              <w:right w:val="single" w:color="auto" w:sz="4" w:space="0"/>
            </w:tcBorders>
            <w:vAlign w:val="center"/>
          </w:tcPr>
          <w:p>
            <w:pPr>
              <w:jc w:val="center"/>
              <w:rPr>
                <w:rFonts w:ascii="仿宋" w:hAnsi="仿宋" w:eastAsia="仿宋" w:cs="仿宋"/>
                <w:kern w:val="0"/>
                <w:szCs w:val="21"/>
              </w:rPr>
            </w:pPr>
            <w:r>
              <w:rPr>
                <w:rFonts w:hint="eastAsia" w:ascii="仿宋" w:hAnsi="仿宋" w:eastAsia="仿宋" w:cs="仿宋"/>
                <w:kern w:val="0"/>
                <w:szCs w:val="21"/>
              </w:rPr>
              <w:t>综合管廊（沟）</w:t>
            </w:r>
          </w:p>
        </w:tc>
        <w:tc>
          <w:tcPr>
            <w:tcW w:w="1180" w:type="dxa"/>
            <w:tcBorders>
              <w:top w:val="single" w:color="auto" w:sz="4" w:space="0"/>
              <w:right w:val="single" w:color="auto" w:sz="4" w:space="0"/>
            </w:tcBorders>
            <w:vAlign w:val="center"/>
          </w:tcPr>
          <w:p>
            <w:pPr>
              <w:jc w:val="center"/>
              <w:rPr>
                <w:rFonts w:ascii="仿宋" w:hAnsi="仿宋" w:eastAsia="仿宋" w:cs="仿宋"/>
                <w:kern w:val="0"/>
                <w:szCs w:val="21"/>
              </w:rPr>
            </w:pPr>
            <w:r>
              <w:rPr>
                <w:rFonts w:hint="eastAsia" w:ascii="仿宋" w:hAnsi="仿宋" w:eastAsia="仿宋" w:cs="仿宋"/>
                <w:kern w:val="0"/>
                <w:szCs w:val="21"/>
              </w:rPr>
              <w:t>5</w:t>
            </w:r>
          </w:p>
        </w:tc>
        <w:tc>
          <w:tcPr>
            <w:tcW w:w="993" w:type="dxa"/>
            <w:gridSpan w:val="2"/>
            <w:tcBorders>
              <w:top w:val="single" w:color="auto" w:sz="4" w:space="0"/>
              <w:right w:val="single" w:color="auto" w:sz="4" w:space="0"/>
            </w:tcBorders>
            <w:vAlign w:val="center"/>
          </w:tcPr>
          <w:p>
            <w:pPr>
              <w:jc w:val="center"/>
              <w:rPr>
                <w:rFonts w:ascii="仿宋" w:hAnsi="仿宋" w:eastAsia="仿宋" w:cs="仿宋"/>
                <w:kern w:val="0"/>
                <w:szCs w:val="21"/>
              </w:rPr>
            </w:pPr>
            <w:r>
              <w:rPr>
                <w:rFonts w:hint="eastAsia" w:ascii="仿宋" w:hAnsi="仿宋" w:eastAsia="仿宋" w:cs="仿宋"/>
                <w:kern w:val="0"/>
                <w:szCs w:val="21"/>
              </w:rPr>
              <w:t>8</w:t>
            </w: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综合管廊（沟）</w:t>
            </w:r>
          </w:p>
        </w:tc>
        <w:tc>
          <w:tcPr>
            <w:tcW w:w="567" w:type="dxa"/>
            <w:tcBorders>
              <w:lef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01</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76" w:type="dxa"/>
            <w:gridSpan w:val="2"/>
            <w:tcBorders>
              <w:bottom w:val="single" w:color="auto" w:sz="4" w:space="0"/>
              <w:right w:val="single" w:color="auto" w:sz="4" w:space="0"/>
            </w:tcBorders>
            <w:vAlign w:val="center"/>
          </w:tcPr>
          <w:p>
            <w:pPr>
              <w:widowControl/>
              <w:ind w:firstLine="240" w:firstLineChars="100"/>
              <w:jc w:val="center"/>
              <w:rPr>
                <w:rFonts w:ascii="仿宋" w:hAnsi="仿宋" w:eastAsia="仿宋" w:cs="仿宋"/>
                <w:kern w:val="0"/>
                <w:szCs w:val="21"/>
              </w:rPr>
            </w:pPr>
            <w:r>
              <w:rPr>
                <w:rFonts w:hint="eastAsia" w:ascii="仿宋" w:hAnsi="仿宋" w:eastAsia="仿宋" w:cs="仿宋"/>
                <w:kern w:val="0"/>
                <w:szCs w:val="21"/>
              </w:rPr>
              <w:t>其他</w:t>
            </w:r>
          </w:p>
        </w:tc>
        <w:tc>
          <w:tcPr>
            <w:tcW w:w="1180" w:type="dxa"/>
            <w:tcBorders>
              <w:bottom w:val="single" w:color="auto" w:sz="4" w:space="0"/>
              <w:right w:val="single" w:color="auto" w:sz="4" w:space="0"/>
            </w:tcBorders>
            <w:vAlign w:val="center"/>
          </w:tcPr>
          <w:p>
            <w:pPr>
              <w:widowControl/>
              <w:ind w:firstLine="480" w:firstLineChars="200"/>
              <w:jc w:val="center"/>
              <w:rPr>
                <w:rFonts w:ascii="仿宋" w:hAnsi="仿宋" w:eastAsia="仿宋" w:cs="仿宋"/>
                <w:kern w:val="0"/>
                <w:szCs w:val="21"/>
              </w:rPr>
            </w:pPr>
            <w:r>
              <w:rPr>
                <w:rFonts w:hint="eastAsia" w:ascii="仿宋" w:hAnsi="仿宋" w:eastAsia="仿宋" w:cs="仿宋"/>
                <w:kern w:val="0"/>
                <w:szCs w:val="21"/>
              </w:rPr>
              <w:t>5</w:t>
            </w:r>
          </w:p>
        </w:tc>
        <w:tc>
          <w:tcPr>
            <w:tcW w:w="993" w:type="dxa"/>
            <w:gridSpan w:val="2"/>
            <w:tcBorders>
              <w:bottom w:val="single" w:color="auto" w:sz="4" w:space="0"/>
              <w:right w:val="single" w:color="auto" w:sz="4" w:space="0"/>
            </w:tcBorders>
            <w:vAlign w:val="center"/>
          </w:tcPr>
          <w:p>
            <w:pPr>
              <w:widowControl/>
              <w:ind w:firstLine="480" w:firstLineChars="200"/>
              <w:jc w:val="center"/>
              <w:rPr>
                <w:rFonts w:ascii="仿宋" w:hAnsi="仿宋" w:eastAsia="仿宋" w:cs="仿宋"/>
                <w:kern w:val="0"/>
                <w:szCs w:val="21"/>
              </w:rPr>
            </w:pPr>
            <w:r>
              <w:rPr>
                <w:rFonts w:hint="eastAsia" w:ascii="仿宋" w:hAnsi="仿宋" w:eastAsia="仿宋" w:cs="仿宋"/>
                <w:kern w:val="0"/>
                <w:szCs w:val="21"/>
              </w:rPr>
              <w:t>9</w:t>
            </w:r>
          </w:p>
        </w:tc>
        <w:tc>
          <w:tcPr>
            <w:tcW w:w="1275" w:type="dxa"/>
            <w:tcBorders>
              <w:left w:val="single" w:color="auto" w:sz="4" w:space="0"/>
              <w:righ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不明管线</w:t>
            </w:r>
          </w:p>
        </w:tc>
        <w:tc>
          <w:tcPr>
            <w:tcW w:w="567" w:type="dxa"/>
            <w:tcBorders>
              <w:left w:val="single" w:color="auto" w:sz="4" w:space="0"/>
            </w:tcBorders>
            <w:vAlign w:val="center"/>
          </w:tcPr>
          <w:p>
            <w:pPr>
              <w:widowControl/>
              <w:jc w:val="center"/>
              <w:rPr>
                <w:rFonts w:ascii="仿宋" w:hAnsi="仿宋" w:eastAsia="仿宋" w:cs="仿宋"/>
                <w:kern w:val="0"/>
                <w:szCs w:val="21"/>
              </w:rPr>
            </w:pPr>
            <w:r>
              <w:rPr>
                <w:rFonts w:hint="eastAsia" w:ascii="仿宋" w:hAnsi="仿宋" w:eastAsia="仿宋" w:cs="仿宋"/>
                <w:kern w:val="0"/>
                <w:szCs w:val="21"/>
              </w:rPr>
              <w:t>01</w:t>
            </w:r>
          </w:p>
        </w:tc>
        <w:tc>
          <w:tcPr>
            <w:tcW w:w="1134" w:type="dxa"/>
            <w:vMerge w:val="continue"/>
            <w:vAlign w:val="center"/>
          </w:tcPr>
          <w:p>
            <w:pPr>
              <w:widowControl/>
              <w:jc w:val="center"/>
              <w:rPr>
                <w:rFonts w:ascii="仿宋" w:hAnsi="仿宋" w:eastAsia="仿宋" w:cs="仿宋"/>
                <w:kern w:val="0"/>
                <w:szCs w:val="21"/>
              </w:rPr>
            </w:pPr>
          </w:p>
        </w:tc>
        <w:tc>
          <w:tcPr>
            <w:tcW w:w="1718" w:type="dxa"/>
            <w:vMerge w:val="continue"/>
            <w:tcBorders>
              <w:bottom w:val="single" w:color="auto" w:sz="4" w:space="0"/>
            </w:tcBorders>
            <w:vAlign w:val="center"/>
          </w:tcPr>
          <w:p>
            <w:pPr>
              <w:widowControl/>
              <w:jc w:val="center"/>
              <w:rPr>
                <w:rFonts w:ascii="仿宋" w:hAnsi="仿宋" w:eastAsia="仿宋" w:cs="仿宋"/>
                <w:kern w:val="0"/>
                <w:szCs w:val="21"/>
              </w:rPr>
            </w:pPr>
          </w:p>
        </w:tc>
        <w:tc>
          <w:tcPr>
            <w:tcW w:w="1077" w:type="dxa"/>
            <w:vMerge w:val="continue"/>
            <w:vAlign w:val="center"/>
          </w:tcPr>
          <w:p>
            <w:pPr>
              <w:widowControl/>
              <w:jc w:val="center"/>
              <w:rPr>
                <w:rFonts w:ascii="仿宋" w:hAnsi="仿宋" w:eastAsia="仿宋" w:cs="仿宋"/>
                <w:kern w:val="0"/>
                <w:szCs w:val="21"/>
              </w:rPr>
            </w:pPr>
          </w:p>
        </w:tc>
      </w:tr>
    </w:tbl>
    <w:p>
      <w:pPr>
        <w:pStyle w:val="2"/>
        <w:spacing w:line="480" w:lineRule="exact"/>
        <w:jc w:val="center"/>
        <w:rPr>
          <w:rFonts w:ascii="仿宋" w:hAnsi="仿宋" w:eastAsia="仿宋" w:cs="仿宋"/>
          <w:sz w:val="24"/>
        </w:rPr>
      </w:pPr>
    </w:p>
    <w:p>
      <w:pPr>
        <w:pStyle w:val="2"/>
        <w:spacing w:line="480" w:lineRule="exact"/>
        <w:jc w:val="left"/>
        <w:rPr>
          <w:rFonts w:ascii="仿宋" w:hAnsi="仿宋" w:eastAsia="仿宋" w:cs="仿宋"/>
          <w:sz w:val="24"/>
        </w:rPr>
      </w:pPr>
    </w:p>
    <w:p>
      <w:pPr>
        <w:pStyle w:val="2"/>
        <w:spacing w:line="480" w:lineRule="exact"/>
        <w:jc w:val="left"/>
        <w:rPr>
          <w:rFonts w:ascii="仿宋" w:hAnsi="仿宋" w:eastAsia="仿宋" w:cs="仿宋"/>
          <w:sz w:val="24"/>
        </w:rPr>
      </w:pPr>
    </w:p>
    <w:p>
      <w:pPr>
        <w:pStyle w:val="2"/>
        <w:spacing w:line="480" w:lineRule="exact"/>
        <w:jc w:val="left"/>
        <w:rPr>
          <w:rFonts w:ascii="仿宋" w:hAnsi="仿宋" w:eastAsia="仿宋" w:cs="仿宋"/>
          <w:sz w:val="24"/>
        </w:rPr>
      </w:pPr>
    </w:p>
    <w:p>
      <w:pPr>
        <w:pStyle w:val="5"/>
        <w:spacing w:line="360" w:lineRule="auto"/>
        <w:jc w:val="center"/>
        <w:rPr>
          <w:rFonts w:ascii="仿宋" w:hAnsi="仿宋" w:eastAsia="仿宋" w:cs="仿宋"/>
          <w:sz w:val="24"/>
          <w:szCs w:val="24"/>
        </w:rPr>
      </w:pPr>
      <w:bookmarkStart w:id="1721" w:name="_Toc5544"/>
      <w:bookmarkStart w:id="1722" w:name="_Toc7315"/>
      <w:bookmarkStart w:id="1723" w:name="_Toc25240"/>
      <w:bookmarkStart w:id="1724" w:name="_Toc9810"/>
      <w:bookmarkStart w:id="1725" w:name="_Toc26946"/>
      <w:bookmarkStart w:id="1726" w:name="_Toc32202"/>
      <w:bookmarkStart w:id="1727" w:name="_Toc3493"/>
      <w:bookmarkStart w:id="1728" w:name="_Toc11580"/>
      <w:r>
        <w:rPr>
          <w:rFonts w:hint="eastAsia" w:ascii="仿宋" w:hAnsi="仿宋" w:eastAsia="仿宋" w:cs="仿宋"/>
          <w:sz w:val="24"/>
          <w:szCs w:val="24"/>
        </w:rPr>
        <w:t>附表A.10 管线点图例</w:t>
      </w:r>
      <w:bookmarkEnd w:id="1721"/>
      <w:bookmarkEnd w:id="1722"/>
      <w:bookmarkEnd w:id="1723"/>
      <w:bookmarkEnd w:id="1724"/>
      <w:bookmarkEnd w:id="1725"/>
      <w:bookmarkEnd w:id="1726"/>
      <w:bookmarkEnd w:id="1727"/>
      <w:bookmarkEnd w:id="1728"/>
    </w:p>
    <w:tbl>
      <w:tblPr>
        <w:tblStyle w:val="26"/>
        <w:tblW w:w="874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57"/>
        <w:gridCol w:w="2127"/>
        <w:gridCol w:w="1559"/>
        <w:gridCol w:w="1995"/>
        <w:gridCol w:w="17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1357" w:type="dxa"/>
            <w:vAlign w:val="center"/>
          </w:tcPr>
          <w:p>
            <w:pPr>
              <w:pStyle w:val="98"/>
              <w:ind w:firstLine="0" w:firstLineChars="0"/>
              <w:jc w:val="center"/>
              <w:rPr>
                <w:rFonts w:ascii="仿宋" w:hAnsi="仿宋" w:eastAsia="仿宋" w:cs="仿宋"/>
                <w:b/>
                <w:szCs w:val="21"/>
              </w:rPr>
            </w:pPr>
            <w:r>
              <w:rPr>
                <w:rFonts w:hint="eastAsia" w:ascii="仿宋" w:hAnsi="仿宋" w:eastAsia="仿宋" w:cs="仿宋"/>
                <w:b/>
                <w:szCs w:val="21"/>
              </w:rPr>
              <w:t>管线类别</w:t>
            </w:r>
          </w:p>
        </w:tc>
        <w:tc>
          <w:tcPr>
            <w:tcW w:w="2127" w:type="dxa"/>
            <w:vAlign w:val="center"/>
          </w:tcPr>
          <w:p>
            <w:pPr>
              <w:pStyle w:val="98"/>
              <w:ind w:firstLine="0" w:firstLineChars="0"/>
              <w:jc w:val="center"/>
              <w:rPr>
                <w:rFonts w:ascii="仿宋" w:hAnsi="仿宋" w:eastAsia="仿宋" w:cs="仿宋"/>
                <w:b/>
                <w:szCs w:val="21"/>
              </w:rPr>
            </w:pPr>
            <w:r>
              <w:rPr>
                <w:rFonts w:hint="eastAsia" w:ascii="仿宋" w:hAnsi="仿宋" w:eastAsia="仿宋" w:cs="仿宋"/>
                <w:b/>
                <w:szCs w:val="21"/>
              </w:rPr>
              <w:t>点符号名称</w:t>
            </w:r>
          </w:p>
        </w:tc>
        <w:tc>
          <w:tcPr>
            <w:tcW w:w="1559" w:type="dxa"/>
            <w:vAlign w:val="center"/>
          </w:tcPr>
          <w:p>
            <w:pPr>
              <w:tabs>
                <w:tab w:val="left" w:pos="794"/>
                <w:tab w:val="clear" w:pos="0"/>
              </w:tabs>
              <w:jc w:val="center"/>
              <w:rPr>
                <w:rFonts w:ascii="仿宋" w:hAnsi="仿宋" w:eastAsia="仿宋" w:cs="仿宋"/>
                <w:b/>
                <w:szCs w:val="21"/>
              </w:rPr>
            </w:pPr>
            <w:r>
              <w:rPr>
                <w:rFonts w:hint="eastAsia" w:ascii="仿宋" w:hAnsi="仿宋" w:eastAsia="仿宋" w:cs="仿宋"/>
                <w:b/>
                <w:szCs w:val="21"/>
              </w:rPr>
              <w:t>图例</w:t>
            </w:r>
          </w:p>
        </w:tc>
        <w:tc>
          <w:tcPr>
            <w:tcW w:w="1995" w:type="dxa"/>
            <w:vAlign w:val="center"/>
          </w:tcPr>
          <w:p>
            <w:pPr>
              <w:tabs>
                <w:tab w:val="left" w:pos="794"/>
                <w:tab w:val="clear" w:pos="0"/>
              </w:tabs>
              <w:jc w:val="center"/>
              <w:rPr>
                <w:rFonts w:ascii="仿宋" w:hAnsi="仿宋" w:eastAsia="仿宋" w:cs="仿宋"/>
                <w:b/>
                <w:szCs w:val="21"/>
              </w:rPr>
            </w:pPr>
            <w:r>
              <w:rPr>
                <w:rFonts w:hint="eastAsia" w:ascii="仿宋" w:hAnsi="仿宋" w:eastAsia="仿宋" w:cs="仿宋"/>
                <w:b/>
                <w:szCs w:val="21"/>
              </w:rPr>
              <w:t>图上大小(</w:t>
            </w:r>
            <w:r>
              <w:rPr>
                <w:rFonts w:ascii="仿宋" w:hAnsi="仿宋" w:eastAsia="仿宋" w:cs="仿宋"/>
                <w:b/>
                <w:szCs w:val="21"/>
              </w:rPr>
              <w:t>mm</w:t>
            </w:r>
            <w:r>
              <w:rPr>
                <w:rFonts w:hint="eastAsia" w:ascii="仿宋" w:hAnsi="仿宋" w:eastAsia="仿宋" w:cs="仿宋"/>
                <w:b/>
                <w:szCs w:val="21"/>
              </w:rPr>
              <w:t>)</w:t>
            </w:r>
          </w:p>
        </w:tc>
        <w:tc>
          <w:tcPr>
            <w:tcW w:w="1707" w:type="dxa"/>
            <w:vAlign w:val="center"/>
          </w:tcPr>
          <w:p>
            <w:pPr>
              <w:tabs>
                <w:tab w:val="left" w:pos="794"/>
                <w:tab w:val="clear" w:pos="0"/>
              </w:tabs>
              <w:jc w:val="center"/>
              <w:rPr>
                <w:rFonts w:ascii="仿宋" w:hAnsi="仿宋" w:eastAsia="仿宋" w:cs="仿宋"/>
                <w:b/>
                <w:szCs w:val="21"/>
              </w:rPr>
            </w:pPr>
            <w:r>
              <w:rPr>
                <w:rFonts w:hint="eastAsia" w:ascii="仿宋" w:hAnsi="仿宋" w:eastAsia="仿宋" w:cs="仿宋"/>
                <w:b/>
                <w:szCs w:val="21"/>
              </w:rPr>
              <w:t>定位基准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restart"/>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给水</w:t>
            </w:r>
          </w:p>
          <w:p>
            <w:pPr>
              <w:widowControl/>
              <w:jc w:val="center"/>
              <w:rPr>
                <w:rFonts w:ascii="仿宋" w:hAnsi="仿宋" w:eastAsia="仿宋" w:cs="仿宋"/>
                <w:kern w:val="0"/>
                <w:sz w:val="18"/>
                <w:szCs w:val="18"/>
              </w:rPr>
            </w:pPr>
            <w:r>
              <w:rPr>
                <w:rFonts w:hint="eastAsia" w:ascii="仿宋" w:hAnsi="仿宋" w:eastAsia="仿宋" w:cs="仿宋"/>
                <w:kern w:val="0"/>
                <w:sz w:val="18"/>
                <w:szCs w:val="18"/>
              </w:rPr>
              <w:t>(JS)</w:t>
            </w:r>
          </w:p>
        </w:tc>
        <w:tc>
          <w:tcPr>
            <w:tcW w:w="2127" w:type="dxa"/>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检修井</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kern w:val="0"/>
                <w:sz w:val="18"/>
                <w:szCs w:val="18"/>
              </w:rPr>
              <w:drawing>
                <wp:inline distT="0" distB="0" distL="0" distR="0">
                  <wp:extent cx="142875" cy="142875"/>
                  <wp:effectExtent l="0" t="0" r="9525" b="9525"/>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a:ln>
                            <a:noFill/>
                          </a:ln>
                        </pic:spPr>
                      </pic:pic>
                    </a:graphicData>
                  </a:graphic>
                </wp:inline>
              </w:drawing>
            </w:r>
          </w:p>
        </w:tc>
        <w:tc>
          <w:tcPr>
            <w:tcW w:w="1995"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vAlign w:val="center"/>
          </w:tcPr>
          <w:p>
            <w:pPr>
              <w:widowControl/>
              <w:jc w:val="center"/>
              <w:rPr>
                <w:rFonts w:ascii="仿宋" w:hAnsi="仿宋" w:eastAsia="仿宋" w:cs="仿宋"/>
                <w:kern w:val="0"/>
                <w:sz w:val="18"/>
                <w:szCs w:val="18"/>
              </w:rPr>
            </w:pPr>
          </w:p>
        </w:tc>
        <w:tc>
          <w:tcPr>
            <w:tcW w:w="2127" w:type="dxa"/>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阀门井</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kern w:val="0"/>
                <w:sz w:val="18"/>
                <w:szCs w:val="18"/>
              </w:rPr>
              <w:drawing>
                <wp:inline distT="0" distB="0" distL="0" distR="0">
                  <wp:extent cx="142875" cy="142875"/>
                  <wp:effectExtent l="0" t="0" r="9525" b="9525"/>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a:ln>
                            <a:noFill/>
                          </a:ln>
                        </pic:spPr>
                      </pic:pic>
                    </a:graphicData>
                  </a:graphic>
                </wp:inline>
              </w:drawing>
            </w:r>
          </w:p>
        </w:tc>
        <w:tc>
          <w:tcPr>
            <w:tcW w:w="1995"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vAlign w:val="center"/>
          </w:tcPr>
          <w:p>
            <w:pPr>
              <w:widowControl/>
              <w:jc w:val="center"/>
              <w:rPr>
                <w:rFonts w:ascii="仿宋" w:hAnsi="仿宋" w:eastAsia="仿宋" w:cs="仿宋"/>
                <w:kern w:val="0"/>
                <w:sz w:val="18"/>
                <w:szCs w:val="18"/>
              </w:rPr>
            </w:pPr>
          </w:p>
        </w:tc>
        <w:tc>
          <w:tcPr>
            <w:tcW w:w="2127" w:type="dxa"/>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消防井</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kern w:val="0"/>
                <w:sz w:val="18"/>
                <w:szCs w:val="18"/>
              </w:rPr>
              <w:drawing>
                <wp:inline distT="0" distB="0" distL="0" distR="0">
                  <wp:extent cx="142875" cy="142875"/>
                  <wp:effectExtent l="0" t="0" r="9525" b="9525"/>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a:ln>
                            <a:noFill/>
                          </a:ln>
                        </pic:spPr>
                      </pic:pic>
                    </a:graphicData>
                  </a:graphic>
                </wp:inline>
              </w:drawing>
            </w:r>
          </w:p>
        </w:tc>
        <w:tc>
          <w:tcPr>
            <w:tcW w:w="1995"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vAlign w:val="center"/>
          </w:tcPr>
          <w:p>
            <w:pPr>
              <w:widowControl/>
              <w:jc w:val="center"/>
              <w:rPr>
                <w:rFonts w:ascii="仿宋" w:hAnsi="仿宋" w:eastAsia="仿宋" w:cs="仿宋"/>
                <w:kern w:val="0"/>
                <w:sz w:val="18"/>
                <w:szCs w:val="18"/>
              </w:rPr>
            </w:pPr>
          </w:p>
        </w:tc>
        <w:tc>
          <w:tcPr>
            <w:tcW w:w="2127" w:type="dxa"/>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水表井</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kern w:val="0"/>
                <w:sz w:val="18"/>
                <w:szCs w:val="18"/>
              </w:rPr>
              <w:drawing>
                <wp:inline distT="0" distB="0" distL="0" distR="0">
                  <wp:extent cx="142875" cy="142875"/>
                  <wp:effectExtent l="0" t="0" r="9525" b="9525"/>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a:ln>
                            <a:noFill/>
                          </a:ln>
                        </pic:spPr>
                      </pic:pic>
                    </a:graphicData>
                  </a:graphic>
                </wp:inline>
              </w:drawing>
            </w:r>
          </w:p>
        </w:tc>
        <w:tc>
          <w:tcPr>
            <w:tcW w:w="1995"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vAlign w:val="center"/>
          </w:tcPr>
          <w:p>
            <w:pPr>
              <w:widowControl/>
              <w:jc w:val="center"/>
              <w:rPr>
                <w:rFonts w:ascii="仿宋" w:hAnsi="仿宋" w:eastAsia="仿宋" w:cs="仿宋"/>
                <w:kern w:val="0"/>
                <w:sz w:val="18"/>
                <w:szCs w:val="18"/>
              </w:rPr>
            </w:pPr>
          </w:p>
        </w:tc>
        <w:tc>
          <w:tcPr>
            <w:tcW w:w="2127" w:type="dxa"/>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水源井</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kern w:val="0"/>
                <w:sz w:val="18"/>
                <w:szCs w:val="18"/>
              </w:rPr>
              <w:drawing>
                <wp:inline distT="0" distB="0" distL="0" distR="0">
                  <wp:extent cx="171450" cy="171450"/>
                  <wp:effectExtent l="0" t="0" r="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71450" cy="171450"/>
                          </a:xfrm>
                          <a:prstGeom prst="rect">
                            <a:avLst/>
                          </a:prstGeom>
                          <a:noFill/>
                          <a:ln>
                            <a:noFill/>
                          </a:ln>
                        </pic:spPr>
                      </pic:pic>
                    </a:graphicData>
                  </a:graphic>
                </wp:inline>
              </w:drawing>
            </w:r>
          </w:p>
        </w:tc>
        <w:tc>
          <w:tcPr>
            <w:tcW w:w="1995"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vAlign w:val="center"/>
          </w:tcPr>
          <w:p>
            <w:pPr>
              <w:widowControl/>
              <w:jc w:val="center"/>
              <w:rPr>
                <w:rFonts w:ascii="仿宋" w:hAnsi="仿宋" w:eastAsia="仿宋" w:cs="仿宋"/>
                <w:kern w:val="0"/>
                <w:sz w:val="18"/>
                <w:szCs w:val="18"/>
              </w:rPr>
            </w:pPr>
          </w:p>
        </w:tc>
        <w:tc>
          <w:tcPr>
            <w:tcW w:w="2127" w:type="dxa"/>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排气阀（井）</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kern w:val="0"/>
                <w:sz w:val="18"/>
                <w:szCs w:val="18"/>
              </w:rPr>
              <w:drawing>
                <wp:inline distT="0" distB="0" distL="0" distR="0">
                  <wp:extent cx="142875" cy="142875"/>
                  <wp:effectExtent l="0" t="0" r="9525" b="9525"/>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a:ln>
                            <a:noFill/>
                          </a:ln>
                        </pic:spPr>
                      </pic:pic>
                    </a:graphicData>
                  </a:graphic>
                </wp:inline>
              </w:drawing>
            </w:r>
          </w:p>
        </w:tc>
        <w:tc>
          <w:tcPr>
            <w:tcW w:w="1995"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vAlign w:val="center"/>
          </w:tcPr>
          <w:p>
            <w:pPr>
              <w:widowControl/>
              <w:jc w:val="center"/>
              <w:rPr>
                <w:rFonts w:ascii="仿宋" w:hAnsi="仿宋" w:eastAsia="仿宋" w:cs="仿宋"/>
                <w:kern w:val="0"/>
                <w:sz w:val="18"/>
                <w:szCs w:val="18"/>
              </w:rPr>
            </w:pPr>
          </w:p>
        </w:tc>
        <w:tc>
          <w:tcPr>
            <w:tcW w:w="2127" w:type="dxa"/>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排污阀（井）</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kern w:val="0"/>
                <w:sz w:val="18"/>
                <w:szCs w:val="18"/>
              </w:rPr>
              <w:drawing>
                <wp:inline distT="0" distB="0" distL="0" distR="0">
                  <wp:extent cx="142875" cy="152400"/>
                  <wp:effectExtent l="0" t="0" r="9525"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42875" cy="152400"/>
                          </a:xfrm>
                          <a:prstGeom prst="rect">
                            <a:avLst/>
                          </a:prstGeom>
                          <a:noFill/>
                          <a:ln>
                            <a:noFill/>
                          </a:ln>
                        </pic:spPr>
                      </pic:pic>
                    </a:graphicData>
                  </a:graphic>
                </wp:inline>
              </w:drawing>
            </w:r>
          </w:p>
        </w:tc>
        <w:tc>
          <w:tcPr>
            <w:tcW w:w="1995"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vAlign w:val="center"/>
          </w:tcPr>
          <w:p>
            <w:pPr>
              <w:widowControl/>
              <w:jc w:val="center"/>
              <w:rPr>
                <w:rFonts w:ascii="仿宋" w:hAnsi="仿宋" w:eastAsia="仿宋" w:cs="仿宋"/>
                <w:kern w:val="0"/>
                <w:sz w:val="18"/>
                <w:szCs w:val="18"/>
              </w:rPr>
            </w:pPr>
          </w:p>
        </w:tc>
        <w:tc>
          <w:tcPr>
            <w:tcW w:w="2127" w:type="dxa"/>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水塔</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kern w:val="0"/>
                <w:sz w:val="18"/>
                <w:szCs w:val="18"/>
              </w:rPr>
              <w:drawing>
                <wp:inline distT="0" distB="0" distL="0" distR="0">
                  <wp:extent cx="152400" cy="152400"/>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tc>
        <w:tc>
          <w:tcPr>
            <w:tcW w:w="1995"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vAlign w:val="center"/>
          </w:tcPr>
          <w:p>
            <w:pPr>
              <w:widowControl/>
              <w:jc w:val="center"/>
              <w:rPr>
                <w:rFonts w:ascii="仿宋" w:hAnsi="仿宋" w:eastAsia="仿宋" w:cs="仿宋"/>
                <w:kern w:val="0"/>
                <w:sz w:val="18"/>
                <w:szCs w:val="18"/>
              </w:rPr>
            </w:pPr>
          </w:p>
        </w:tc>
        <w:tc>
          <w:tcPr>
            <w:tcW w:w="2127" w:type="dxa"/>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水表</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kern w:val="0"/>
                <w:sz w:val="18"/>
                <w:szCs w:val="18"/>
              </w:rPr>
              <w:drawing>
                <wp:inline distT="0" distB="0" distL="0" distR="0">
                  <wp:extent cx="171450" cy="171450"/>
                  <wp:effectExtent l="0" t="0" r="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71450" cy="171450"/>
                          </a:xfrm>
                          <a:prstGeom prst="rect">
                            <a:avLst/>
                          </a:prstGeom>
                          <a:noFill/>
                          <a:ln>
                            <a:noFill/>
                          </a:ln>
                        </pic:spPr>
                      </pic:pic>
                    </a:graphicData>
                  </a:graphic>
                </wp:inline>
              </w:drawing>
            </w:r>
          </w:p>
        </w:tc>
        <w:tc>
          <w:tcPr>
            <w:tcW w:w="1995"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vAlign w:val="center"/>
          </w:tcPr>
          <w:p>
            <w:pPr>
              <w:widowControl/>
              <w:jc w:val="center"/>
              <w:rPr>
                <w:rFonts w:ascii="仿宋" w:hAnsi="仿宋" w:eastAsia="仿宋" w:cs="仿宋"/>
                <w:kern w:val="0"/>
                <w:sz w:val="18"/>
                <w:szCs w:val="18"/>
              </w:rPr>
            </w:pPr>
          </w:p>
        </w:tc>
        <w:tc>
          <w:tcPr>
            <w:tcW w:w="2127" w:type="dxa"/>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水池</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kern w:val="0"/>
                <w:sz w:val="18"/>
                <w:szCs w:val="18"/>
              </w:rPr>
              <w:drawing>
                <wp:inline distT="0" distB="0" distL="0" distR="0">
                  <wp:extent cx="200025" cy="200025"/>
                  <wp:effectExtent l="0" t="0" r="9525" b="952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a:ln>
                            <a:noFill/>
                          </a:ln>
                        </pic:spPr>
                      </pic:pic>
                    </a:graphicData>
                  </a:graphic>
                </wp:inline>
              </w:drawing>
            </w:r>
          </w:p>
        </w:tc>
        <w:tc>
          <w:tcPr>
            <w:tcW w:w="1995"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vAlign w:val="center"/>
          </w:tcPr>
          <w:p>
            <w:pPr>
              <w:widowControl/>
              <w:jc w:val="center"/>
              <w:rPr>
                <w:rFonts w:ascii="仿宋" w:hAnsi="仿宋" w:eastAsia="仿宋" w:cs="仿宋"/>
                <w:kern w:val="0"/>
                <w:sz w:val="18"/>
                <w:szCs w:val="18"/>
              </w:rPr>
            </w:pPr>
          </w:p>
        </w:tc>
        <w:tc>
          <w:tcPr>
            <w:tcW w:w="2127" w:type="dxa"/>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阀门孔</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kern w:val="0"/>
                <w:sz w:val="18"/>
                <w:szCs w:val="18"/>
              </w:rPr>
              <w:drawing>
                <wp:inline distT="0" distB="0" distL="0" distR="0">
                  <wp:extent cx="257175" cy="200025"/>
                  <wp:effectExtent l="0" t="0" r="9525" b="952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57175" cy="200025"/>
                          </a:xfrm>
                          <a:prstGeom prst="rect">
                            <a:avLst/>
                          </a:prstGeom>
                          <a:noFill/>
                          <a:ln>
                            <a:noFill/>
                          </a:ln>
                        </pic:spPr>
                      </pic:pic>
                    </a:graphicData>
                  </a:graphic>
                </wp:inline>
              </w:drawing>
            </w:r>
          </w:p>
        </w:tc>
        <w:tc>
          <w:tcPr>
            <w:tcW w:w="1995"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3.0×2.0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vAlign w:val="center"/>
          </w:tcPr>
          <w:p>
            <w:pPr>
              <w:widowControl/>
              <w:jc w:val="center"/>
              <w:rPr>
                <w:rFonts w:ascii="仿宋" w:hAnsi="仿宋" w:eastAsia="仿宋" w:cs="仿宋"/>
                <w:kern w:val="0"/>
                <w:sz w:val="18"/>
                <w:szCs w:val="18"/>
              </w:rPr>
            </w:pPr>
          </w:p>
        </w:tc>
        <w:tc>
          <w:tcPr>
            <w:tcW w:w="2127" w:type="dxa"/>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泵站</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kern w:val="0"/>
                <w:sz w:val="18"/>
                <w:szCs w:val="18"/>
              </w:rPr>
              <w:drawing>
                <wp:inline distT="0" distB="0" distL="0" distR="0">
                  <wp:extent cx="228600" cy="200025"/>
                  <wp:effectExtent l="0" t="0" r="0" b="9525"/>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28600" cy="200025"/>
                          </a:xfrm>
                          <a:prstGeom prst="rect">
                            <a:avLst/>
                          </a:prstGeom>
                          <a:noFill/>
                          <a:ln>
                            <a:noFill/>
                          </a:ln>
                        </pic:spPr>
                      </pic:pic>
                    </a:graphicData>
                  </a:graphic>
                </wp:inline>
              </w:drawing>
            </w:r>
          </w:p>
        </w:tc>
        <w:tc>
          <w:tcPr>
            <w:tcW w:w="1995"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vAlign w:val="center"/>
          </w:tcPr>
          <w:p>
            <w:pPr>
              <w:widowControl/>
              <w:jc w:val="center"/>
              <w:rPr>
                <w:rFonts w:ascii="仿宋" w:hAnsi="仿宋" w:eastAsia="仿宋" w:cs="仿宋"/>
                <w:kern w:val="0"/>
                <w:sz w:val="18"/>
                <w:szCs w:val="18"/>
              </w:rPr>
            </w:pPr>
          </w:p>
        </w:tc>
        <w:tc>
          <w:tcPr>
            <w:tcW w:w="2127" w:type="dxa"/>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消防栓</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kern w:val="0"/>
                <w:sz w:val="18"/>
                <w:szCs w:val="18"/>
              </w:rPr>
              <w:drawing>
                <wp:inline distT="0" distB="0" distL="0" distR="0">
                  <wp:extent cx="142875" cy="247650"/>
                  <wp:effectExtent l="0" t="0" r="9525"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42875" cy="247650"/>
                          </a:xfrm>
                          <a:prstGeom prst="rect">
                            <a:avLst/>
                          </a:prstGeom>
                          <a:noFill/>
                          <a:ln>
                            <a:noFill/>
                          </a:ln>
                        </pic:spPr>
                      </pic:pic>
                    </a:graphicData>
                  </a:graphic>
                </wp:inline>
              </w:drawing>
            </w:r>
          </w:p>
        </w:tc>
        <w:tc>
          <w:tcPr>
            <w:tcW w:w="1995"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2.0+1.6</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vAlign w:val="center"/>
          </w:tcPr>
          <w:p>
            <w:pPr>
              <w:widowControl/>
              <w:jc w:val="center"/>
              <w:rPr>
                <w:rFonts w:ascii="仿宋" w:hAnsi="仿宋" w:eastAsia="仿宋" w:cs="仿宋"/>
                <w:kern w:val="0"/>
                <w:sz w:val="18"/>
                <w:szCs w:val="18"/>
              </w:rPr>
            </w:pPr>
          </w:p>
        </w:tc>
        <w:tc>
          <w:tcPr>
            <w:tcW w:w="2127" w:type="dxa"/>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阀门</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kern w:val="0"/>
                <w:sz w:val="18"/>
                <w:szCs w:val="18"/>
              </w:rPr>
              <w:drawing>
                <wp:inline distT="0" distB="0" distL="0" distR="0">
                  <wp:extent cx="142875" cy="209550"/>
                  <wp:effectExtent l="0" t="0" r="9525"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42875" cy="209550"/>
                          </a:xfrm>
                          <a:prstGeom prst="rect">
                            <a:avLst/>
                          </a:prstGeom>
                          <a:noFill/>
                          <a:ln>
                            <a:noFill/>
                          </a:ln>
                        </pic:spPr>
                      </pic:pic>
                    </a:graphicData>
                  </a:graphic>
                </wp:inline>
              </w:drawing>
            </w:r>
          </w:p>
        </w:tc>
        <w:tc>
          <w:tcPr>
            <w:tcW w:w="1995"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1.6+1.0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vAlign w:val="center"/>
          </w:tcPr>
          <w:p>
            <w:pPr>
              <w:widowControl/>
              <w:jc w:val="center"/>
              <w:rPr>
                <w:rFonts w:ascii="仿宋" w:hAnsi="仿宋" w:eastAsia="仿宋" w:cs="仿宋"/>
                <w:kern w:val="0"/>
                <w:sz w:val="18"/>
                <w:szCs w:val="18"/>
              </w:rPr>
            </w:pPr>
          </w:p>
        </w:tc>
        <w:tc>
          <w:tcPr>
            <w:tcW w:w="2127" w:type="dxa"/>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进水口</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kern w:val="0"/>
                <w:sz w:val="18"/>
                <w:szCs w:val="18"/>
              </w:rPr>
              <w:drawing>
                <wp:inline distT="0" distB="0" distL="0" distR="0">
                  <wp:extent cx="171450" cy="200025"/>
                  <wp:effectExtent l="0" t="0" r="0" b="9525"/>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71450" cy="200025"/>
                          </a:xfrm>
                          <a:prstGeom prst="rect">
                            <a:avLst/>
                          </a:prstGeom>
                          <a:noFill/>
                          <a:ln>
                            <a:noFill/>
                          </a:ln>
                        </pic:spPr>
                      </pic:pic>
                    </a:graphicData>
                  </a:graphic>
                </wp:inline>
              </w:drawing>
            </w:r>
          </w:p>
        </w:tc>
        <w:tc>
          <w:tcPr>
            <w:tcW w:w="1995"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2.0∠60°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角顶中心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vAlign w:val="center"/>
          </w:tcPr>
          <w:p>
            <w:pPr>
              <w:widowControl/>
              <w:jc w:val="center"/>
              <w:rPr>
                <w:rFonts w:ascii="仿宋" w:hAnsi="仿宋" w:eastAsia="仿宋" w:cs="仿宋"/>
                <w:kern w:val="0"/>
                <w:sz w:val="18"/>
                <w:szCs w:val="18"/>
              </w:rPr>
            </w:pPr>
          </w:p>
        </w:tc>
        <w:tc>
          <w:tcPr>
            <w:tcW w:w="2127" w:type="dxa"/>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出水口</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kern w:val="0"/>
                <w:sz w:val="18"/>
                <w:szCs w:val="18"/>
              </w:rPr>
              <w:drawing>
                <wp:inline distT="0" distB="0" distL="0" distR="0">
                  <wp:extent cx="171450" cy="200025"/>
                  <wp:effectExtent l="0" t="0" r="0" b="9525"/>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71450" cy="200025"/>
                          </a:xfrm>
                          <a:prstGeom prst="rect">
                            <a:avLst/>
                          </a:prstGeom>
                          <a:noFill/>
                          <a:ln>
                            <a:noFill/>
                          </a:ln>
                        </pic:spPr>
                      </pic:pic>
                    </a:graphicData>
                  </a:graphic>
                </wp:inline>
              </w:drawing>
            </w:r>
          </w:p>
        </w:tc>
        <w:tc>
          <w:tcPr>
            <w:tcW w:w="1995"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2.0∠60°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角顶中心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vAlign w:val="center"/>
          </w:tcPr>
          <w:p>
            <w:pPr>
              <w:widowControl/>
              <w:jc w:val="center"/>
              <w:rPr>
                <w:rFonts w:ascii="仿宋" w:hAnsi="仿宋" w:eastAsia="仿宋" w:cs="仿宋"/>
                <w:kern w:val="0"/>
                <w:sz w:val="18"/>
                <w:szCs w:val="18"/>
              </w:rPr>
            </w:pPr>
          </w:p>
        </w:tc>
        <w:tc>
          <w:tcPr>
            <w:tcW w:w="2127" w:type="dxa"/>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沉淀池</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kern w:val="0"/>
                <w:sz w:val="18"/>
                <w:szCs w:val="18"/>
              </w:rPr>
              <w:drawing>
                <wp:inline distT="0" distB="0" distL="0" distR="0">
                  <wp:extent cx="161925" cy="171450"/>
                  <wp:effectExtent l="0" t="0" r="9525"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61925" cy="171450"/>
                          </a:xfrm>
                          <a:prstGeom prst="rect">
                            <a:avLst/>
                          </a:prstGeom>
                          <a:noFill/>
                          <a:ln>
                            <a:noFill/>
                          </a:ln>
                        </pic:spPr>
                      </pic:pic>
                    </a:graphicData>
                  </a:graphic>
                </wp:inline>
              </w:drawing>
            </w:r>
          </w:p>
        </w:tc>
        <w:tc>
          <w:tcPr>
            <w:tcW w:w="1995" w:type="dxa"/>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2.0×2.0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vAlign w:val="center"/>
          </w:tcPr>
          <w:p>
            <w:pPr>
              <w:widowControl/>
              <w:jc w:val="center"/>
              <w:rPr>
                <w:rFonts w:ascii="仿宋" w:hAnsi="仿宋" w:eastAsia="仿宋" w:cs="仿宋"/>
                <w:kern w:val="0"/>
                <w:sz w:val="18"/>
                <w:szCs w:val="18"/>
              </w:rPr>
            </w:pPr>
          </w:p>
        </w:tc>
        <w:tc>
          <w:tcPr>
            <w:tcW w:w="2127" w:type="dxa"/>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弯头</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kern w:val="0"/>
                <w:sz w:val="18"/>
                <w:szCs w:val="18"/>
              </w:rPr>
              <w:drawing>
                <wp:inline distT="0" distB="0" distL="0" distR="0">
                  <wp:extent cx="85725" cy="85725"/>
                  <wp:effectExtent l="0" t="0" r="9525" b="952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1.0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vAlign w:val="center"/>
          </w:tcPr>
          <w:p>
            <w:pPr>
              <w:widowControl/>
              <w:jc w:val="center"/>
              <w:rPr>
                <w:rFonts w:ascii="仿宋" w:hAnsi="仿宋" w:eastAsia="仿宋" w:cs="仿宋"/>
                <w:kern w:val="0"/>
                <w:sz w:val="18"/>
                <w:szCs w:val="18"/>
              </w:rPr>
            </w:pPr>
          </w:p>
        </w:tc>
        <w:tc>
          <w:tcPr>
            <w:tcW w:w="2127" w:type="dxa"/>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入户</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kern w:val="0"/>
                <w:sz w:val="18"/>
                <w:szCs w:val="18"/>
              </w:rPr>
              <w:drawing>
                <wp:inline distT="0" distB="0" distL="0" distR="0">
                  <wp:extent cx="85725" cy="85725"/>
                  <wp:effectExtent l="0" t="0" r="9525" b="952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1.0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vAlign w:val="center"/>
          </w:tcPr>
          <w:p>
            <w:pPr>
              <w:widowControl/>
              <w:jc w:val="center"/>
              <w:rPr>
                <w:rFonts w:ascii="仿宋" w:hAnsi="仿宋" w:eastAsia="仿宋" w:cs="仿宋"/>
                <w:kern w:val="0"/>
                <w:sz w:val="18"/>
                <w:szCs w:val="18"/>
              </w:rPr>
            </w:pPr>
          </w:p>
        </w:tc>
        <w:tc>
          <w:tcPr>
            <w:tcW w:w="2127" w:type="dxa"/>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预留口</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kern w:val="0"/>
                <w:sz w:val="18"/>
                <w:szCs w:val="18"/>
              </w:rPr>
              <w:drawing>
                <wp:inline distT="0" distB="0" distL="0" distR="0">
                  <wp:extent cx="666750" cy="142875"/>
                  <wp:effectExtent l="0" t="0" r="0" b="952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666750" cy="142875"/>
                          </a:xfrm>
                          <a:prstGeom prst="rect">
                            <a:avLst/>
                          </a:prstGeom>
                          <a:noFill/>
                          <a:ln>
                            <a:noFill/>
                          </a:ln>
                        </pic:spPr>
                      </pic:pic>
                    </a:graphicData>
                  </a:graphic>
                </wp:inline>
              </w:drawing>
            </w:r>
          </w:p>
        </w:tc>
        <w:tc>
          <w:tcPr>
            <w:tcW w:w="1995"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2.0+6.0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vAlign w:val="center"/>
          </w:tcPr>
          <w:p>
            <w:pPr>
              <w:widowControl/>
              <w:jc w:val="center"/>
              <w:rPr>
                <w:rFonts w:ascii="仿宋" w:hAnsi="仿宋" w:eastAsia="仿宋" w:cs="仿宋"/>
                <w:kern w:val="0"/>
                <w:sz w:val="18"/>
                <w:szCs w:val="18"/>
              </w:rPr>
            </w:pPr>
          </w:p>
        </w:tc>
        <w:tc>
          <w:tcPr>
            <w:tcW w:w="2127" w:type="dxa"/>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非普查</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kern w:val="0"/>
                <w:sz w:val="18"/>
                <w:szCs w:val="18"/>
              </w:rPr>
              <w:drawing>
                <wp:inline distT="0" distB="0" distL="0" distR="0">
                  <wp:extent cx="695325" cy="85725"/>
                  <wp:effectExtent l="0" t="0" r="9525" b="9525"/>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695325" cy="85725"/>
                          </a:xfrm>
                          <a:prstGeom prst="rect">
                            <a:avLst/>
                          </a:prstGeom>
                          <a:noFill/>
                          <a:ln>
                            <a:noFill/>
                          </a:ln>
                        </pic:spPr>
                      </pic:pic>
                    </a:graphicData>
                  </a:graphic>
                </wp:inline>
              </w:drawing>
            </w:r>
          </w:p>
        </w:tc>
        <w:tc>
          <w:tcPr>
            <w:tcW w:w="1995"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1.0+6.0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vAlign w:val="center"/>
          </w:tcPr>
          <w:p>
            <w:pPr>
              <w:widowControl/>
              <w:jc w:val="center"/>
              <w:rPr>
                <w:rFonts w:ascii="仿宋" w:hAnsi="仿宋" w:eastAsia="仿宋" w:cs="仿宋"/>
                <w:kern w:val="0"/>
                <w:sz w:val="18"/>
                <w:szCs w:val="18"/>
              </w:rPr>
            </w:pPr>
          </w:p>
        </w:tc>
        <w:tc>
          <w:tcPr>
            <w:tcW w:w="2127" w:type="dxa"/>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井边点</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kern w:val="0"/>
                <w:sz w:val="18"/>
                <w:szCs w:val="18"/>
              </w:rPr>
              <w:drawing>
                <wp:inline distT="0" distB="0" distL="0" distR="0">
                  <wp:extent cx="85725" cy="85725"/>
                  <wp:effectExtent l="0" t="0" r="9525" b="952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1.0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vAlign w:val="center"/>
          </w:tcPr>
          <w:p>
            <w:pPr>
              <w:widowControl/>
              <w:jc w:val="center"/>
              <w:rPr>
                <w:rFonts w:ascii="仿宋" w:hAnsi="仿宋" w:eastAsia="仿宋" w:cs="仿宋"/>
                <w:kern w:val="0"/>
                <w:sz w:val="18"/>
                <w:szCs w:val="18"/>
              </w:rPr>
            </w:pPr>
          </w:p>
        </w:tc>
        <w:tc>
          <w:tcPr>
            <w:tcW w:w="2127" w:type="dxa"/>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偏心点</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kern w:val="0"/>
                <w:sz w:val="18"/>
                <w:szCs w:val="18"/>
              </w:rPr>
              <w:drawing>
                <wp:inline distT="0" distB="0" distL="0" distR="0">
                  <wp:extent cx="85725" cy="85725"/>
                  <wp:effectExtent l="0" t="0" r="9525" b="952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1.0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vAlign w:val="center"/>
          </w:tcPr>
          <w:p>
            <w:pPr>
              <w:widowControl/>
              <w:jc w:val="center"/>
              <w:rPr>
                <w:rFonts w:ascii="仿宋" w:hAnsi="仿宋" w:eastAsia="仿宋" w:cs="仿宋"/>
                <w:kern w:val="0"/>
                <w:sz w:val="18"/>
                <w:szCs w:val="18"/>
              </w:rPr>
            </w:pPr>
          </w:p>
        </w:tc>
        <w:tc>
          <w:tcPr>
            <w:tcW w:w="2127" w:type="dxa"/>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地下井室</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kern w:val="0"/>
                <w:sz w:val="18"/>
                <w:szCs w:val="18"/>
              </w:rPr>
              <w:drawing>
                <wp:inline distT="0" distB="0" distL="0" distR="0">
                  <wp:extent cx="85725" cy="85725"/>
                  <wp:effectExtent l="0" t="0" r="9525" b="9525"/>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1.0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vAlign w:val="center"/>
          </w:tcPr>
          <w:p>
            <w:pPr>
              <w:widowControl/>
              <w:jc w:val="center"/>
              <w:rPr>
                <w:rFonts w:ascii="仿宋" w:hAnsi="仿宋" w:eastAsia="仿宋" w:cs="仿宋"/>
                <w:kern w:val="0"/>
                <w:sz w:val="18"/>
                <w:szCs w:val="18"/>
              </w:rPr>
            </w:pPr>
          </w:p>
        </w:tc>
        <w:tc>
          <w:tcPr>
            <w:tcW w:w="2127" w:type="dxa"/>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出地</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kern w:val="0"/>
                <w:sz w:val="18"/>
                <w:szCs w:val="18"/>
              </w:rPr>
              <w:drawing>
                <wp:inline distT="0" distB="0" distL="0" distR="0">
                  <wp:extent cx="85725" cy="257175"/>
                  <wp:effectExtent l="0" t="0" r="9525" b="9525"/>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85725" cy="257175"/>
                          </a:xfrm>
                          <a:prstGeom prst="rect">
                            <a:avLst/>
                          </a:prstGeom>
                          <a:noFill/>
                          <a:ln>
                            <a:noFill/>
                          </a:ln>
                        </pic:spPr>
                      </pic:pic>
                    </a:graphicData>
                  </a:graphic>
                </wp:inline>
              </w:drawing>
            </w:r>
          </w:p>
        </w:tc>
        <w:tc>
          <w:tcPr>
            <w:tcW w:w="1995"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1.0+2.0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vAlign w:val="center"/>
          </w:tcPr>
          <w:p>
            <w:pPr>
              <w:widowControl/>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测压点</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200025" cy="200025"/>
                  <wp:effectExtent l="0" t="0" r="9525" b="9525"/>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a:ln>
                            <a:noFill/>
                          </a:ln>
                        </pic:spPr>
                      </pic:pic>
                    </a:graphicData>
                  </a:graphic>
                </wp:inline>
              </w:drawing>
            </w:r>
          </w:p>
        </w:tc>
        <w:tc>
          <w:tcPr>
            <w:tcW w:w="1995" w:type="dxa"/>
            <w:vAlign w:val="center"/>
          </w:tcPr>
          <w:p>
            <w:pPr>
              <w:tabs>
                <w:tab w:val="left" w:pos="794"/>
                <w:tab w:val="clear" w:pos="0"/>
              </w:tabs>
              <w:jc w:val="center"/>
              <w:rPr>
                <w:rFonts w:ascii="仿宋" w:hAnsi="仿宋" w:eastAsia="仿宋" w:cs="仿宋"/>
                <w:sz w:val="18"/>
                <w:szCs w:val="18"/>
              </w:rPr>
            </w:pPr>
            <w:r>
              <w:rPr>
                <w:rFonts w:hint="eastAsia" w:ascii="仿宋" w:hAnsi="仿宋" w:eastAsia="仿宋" w:cs="仿宋"/>
                <w:sz w:val="18"/>
                <w:szCs w:val="18"/>
              </w:rPr>
              <w:t>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vAlign w:val="center"/>
          </w:tcPr>
          <w:p>
            <w:pPr>
              <w:widowControl/>
              <w:ind w:firstLine="1080" w:firstLineChars="600"/>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测流点</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200025" cy="200025"/>
                  <wp:effectExtent l="0" t="0" r="9525" b="9525"/>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a:ln>
                            <a:noFill/>
                          </a:ln>
                        </pic:spPr>
                      </pic:pic>
                    </a:graphicData>
                  </a:graphic>
                </wp:inline>
              </w:drawing>
            </w:r>
          </w:p>
        </w:tc>
        <w:tc>
          <w:tcPr>
            <w:tcW w:w="1995" w:type="dxa"/>
            <w:vAlign w:val="center"/>
          </w:tcPr>
          <w:p>
            <w:pPr>
              <w:tabs>
                <w:tab w:val="left" w:pos="794"/>
                <w:tab w:val="clear" w:pos="0"/>
              </w:tabs>
              <w:jc w:val="center"/>
              <w:rPr>
                <w:rFonts w:ascii="仿宋" w:hAnsi="仿宋" w:eastAsia="仿宋" w:cs="仿宋"/>
                <w:sz w:val="18"/>
                <w:szCs w:val="18"/>
              </w:rPr>
            </w:pPr>
            <w:r>
              <w:rPr>
                <w:rFonts w:hint="eastAsia" w:ascii="仿宋" w:hAnsi="仿宋" w:eastAsia="仿宋" w:cs="仿宋"/>
                <w:sz w:val="18"/>
                <w:szCs w:val="18"/>
              </w:rPr>
              <w:t>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vAlign w:val="center"/>
          </w:tcPr>
          <w:p>
            <w:pPr>
              <w:widowControl/>
              <w:ind w:firstLine="1080" w:firstLineChars="600"/>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水质监测点</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71450" cy="142875"/>
                  <wp:effectExtent l="0" t="0" r="0" b="9525"/>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171450" cy="142875"/>
                          </a:xfrm>
                          <a:prstGeom prst="rect">
                            <a:avLst/>
                          </a:prstGeom>
                          <a:noFill/>
                          <a:ln>
                            <a:noFill/>
                          </a:ln>
                        </pic:spPr>
                      </pic:pic>
                    </a:graphicData>
                  </a:graphic>
                </wp:inline>
              </w:drawing>
            </w:r>
          </w:p>
        </w:tc>
        <w:tc>
          <w:tcPr>
            <w:tcW w:w="1995" w:type="dxa"/>
            <w:vAlign w:val="center"/>
          </w:tcPr>
          <w:p>
            <w:pPr>
              <w:tabs>
                <w:tab w:val="left" w:pos="794"/>
                <w:tab w:val="clear" w:pos="0"/>
              </w:tabs>
              <w:jc w:val="center"/>
              <w:rPr>
                <w:rFonts w:ascii="仿宋" w:hAnsi="仿宋" w:eastAsia="仿宋" w:cs="仿宋"/>
                <w:sz w:val="18"/>
                <w:szCs w:val="18"/>
              </w:rPr>
            </w:pPr>
            <w:r>
              <w:rPr>
                <w:rFonts w:hint="eastAsia" w:ascii="仿宋" w:hAnsi="仿宋" w:eastAsia="仿宋" w:cs="仿宋"/>
                <w:sz w:val="18"/>
                <w:szCs w:val="18"/>
              </w:rPr>
              <w:t>3.0×2.0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vAlign w:val="center"/>
          </w:tcPr>
          <w:p>
            <w:pPr>
              <w:widowControl/>
              <w:ind w:firstLine="1080" w:firstLineChars="600"/>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变径</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209550" cy="17145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09550" cy="171450"/>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1.0+2.0</w:t>
            </w:r>
          </w:p>
        </w:tc>
        <w:tc>
          <w:tcPr>
            <w:tcW w:w="1707" w:type="dxa"/>
            <w:vAlign w:val="center"/>
          </w:tcPr>
          <w:p>
            <w:pPr>
              <w:widowControl/>
              <w:jc w:val="center"/>
              <w:rPr>
                <w:rFonts w:ascii="仿宋" w:hAnsi="仿宋" w:eastAsia="仿宋" w:cs="仿宋"/>
                <w:kern w:val="0"/>
                <w:sz w:val="18"/>
                <w:szCs w:val="18"/>
              </w:rPr>
            </w:pPr>
            <w:r>
              <w:rPr>
                <w:rFonts w:hint="eastAsia" w:ascii="仿宋" w:hAnsi="仿宋" w:eastAsia="仿宋" w:cs="仿宋"/>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vAlign w:val="center"/>
          </w:tcPr>
          <w:p>
            <w:pPr>
              <w:widowControl/>
              <w:ind w:firstLine="1080" w:firstLineChars="600"/>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盖堵</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200025"/>
                  <wp:effectExtent l="0" t="0" r="9525" b="9525"/>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85725" cy="2000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2.0+1.0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vAlign w:val="center"/>
          </w:tcPr>
          <w:p>
            <w:pPr>
              <w:widowControl/>
              <w:ind w:firstLine="1080" w:firstLineChars="600"/>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三通</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vAlign w:val="center"/>
          </w:tcPr>
          <w:p>
            <w:pPr>
              <w:widowControl/>
              <w:ind w:firstLine="1080" w:firstLineChars="600"/>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四通</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vAlign w:val="center"/>
          </w:tcPr>
          <w:p>
            <w:pPr>
              <w:widowControl/>
              <w:ind w:firstLine="1080" w:firstLineChars="600"/>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多通</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restart"/>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排水</w:t>
            </w:r>
          </w:p>
          <w:p>
            <w:pPr>
              <w:jc w:val="center"/>
              <w:rPr>
                <w:rFonts w:ascii="仿宋" w:hAnsi="仿宋" w:eastAsia="仿宋" w:cs="仿宋"/>
                <w:kern w:val="0"/>
                <w:sz w:val="18"/>
                <w:szCs w:val="18"/>
              </w:rPr>
            </w:pPr>
            <w:r>
              <w:rPr>
                <w:rFonts w:hint="eastAsia" w:ascii="仿宋" w:hAnsi="仿宋" w:eastAsia="仿宋" w:cs="仿宋"/>
                <w:kern w:val="0"/>
                <w:sz w:val="18"/>
                <w:szCs w:val="18"/>
              </w:rPr>
              <w:t>(PS)</w:t>
            </w: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雨水井</w:t>
            </w:r>
          </w:p>
        </w:tc>
        <w:tc>
          <w:tcPr>
            <w:tcW w:w="1559" w:type="dxa"/>
            <w:vAlign w:val="center"/>
          </w:tcPr>
          <w:p>
            <w:pPr>
              <w:widowControl/>
              <w:jc w:val="center"/>
              <w:rPr>
                <w:rFonts w:ascii="仿宋" w:hAnsi="仿宋" w:eastAsia="仿宋" w:cs="仿宋"/>
                <w:kern w:val="0"/>
                <w:sz w:val="18"/>
                <w:szCs w:val="18"/>
              </w:rPr>
            </w:pPr>
            <w:r>
              <w:rPr>
                <w:rFonts w:hint="eastAsia" w:ascii="仿宋" w:hAnsi="仿宋" w:eastAsia="仿宋" w:cs="仿宋"/>
                <w:color w:val="000000"/>
                <w:szCs w:val="21"/>
              </w:rPr>
              <w:object>
                <v:shape id="_x0000_i1036" o:spt="75" type="#_x0000_t75" style="height:7.5pt;width:20.55pt;" o:ole="t" filled="f" o:preferrelative="t" stroked="f" coordsize="21600,21600">
                  <v:path/>
                  <v:fill on="f" focussize="0,0"/>
                  <v:stroke on="f" joinstyle="miter"/>
                  <v:imagedata r:id="rId70" o:title=""/>
                  <o:lock v:ext="edit" aspectratio="t"/>
                  <w10:wrap type="none"/>
                  <w10:anchorlock/>
                </v:shape>
                <o:OLEObject Type="Embed" ProgID="AutoCAD.Drawing.16" ShapeID="_x0000_i1036" DrawAspect="Content" ObjectID="_1468075736" r:id="rId69">
                  <o:LockedField>false</o:LockedField>
                </o:OLEObject>
              </w:object>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污水井</w:t>
            </w:r>
          </w:p>
        </w:tc>
        <w:tc>
          <w:tcPr>
            <w:tcW w:w="1559" w:type="dxa"/>
            <w:vAlign w:val="center"/>
          </w:tcPr>
          <w:p>
            <w:pPr>
              <w:widowControl/>
              <w:jc w:val="center"/>
              <w:rPr>
                <w:rFonts w:ascii="仿宋" w:hAnsi="仿宋" w:eastAsia="仿宋" w:cs="仿宋"/>
                <w:sz w:val="18"/>
                <w:szCs w:val="18"/>
              </w:rPr>
            </w:pPr>
            <w:r>
              <w:rPr>
                <w:rFonts w:ascii="仿宋" w:hAnsi="仿宋" w:eastAsia="仿宋" w:cs="仿宋"/>
                <w:sz w:val="18"/>
                <w:szCs w:val="18"/>
              </w:rPr>
              <w:drawing>
                <wp:inline distT="0" distB="0" distL="0" distR="0">
                  <wp:extent cx="152400" cy="15240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雨篦</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171450"/>
                  <wp:effectExtent l="0" t="0" r="9525"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85725" cy="171450"/>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2.0×1.0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污篦</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171450"/>
                  <wp:effectExtent l="0" t="0" r="9525"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85725" cy="171450"/>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2.0×1.0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溢流井</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200025" cy="142875"/>
                  <wp:effectExtent l="0" t="0" r="9525" b="9525"/>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00025" cy="14287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2.0+1.0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闸门井</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71450" cy="123825"/>
                  <wp:effectExtent l="0" t="0" r="0" b="9525"/>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171450" cy="1238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矩形的几何中心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跌水井</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200025" cy="200025"/>
                  <wp:effectExtent l="0" t="0" r="9525" b="952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通风井</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71450" cy="200025"/>
                  <wp:effectExtent l="0" t="0" r="0" b="952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71450" cy="2000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冲洗井</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200025" cy="200025"/>
                  <wp:effectExtent l="0" t="0" r="9525" b="9525"/>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沉泥井</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90500" cy="17145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noChangeArrowheads="1"/>
                          </pic:cNvPicPr>
                        </pic:nvPicPr>
                        <pic:blipFill>
                          <a:blip r:embed="rId78" cstate="print">
                            <a:extLst>
                              <a:ext uri="{28A0092B-C50C-407E-A947-70E740481C1C}">
                                <a14:useLocalDpi xmlns:a14="http://schemas.microsoft.com/office/drawing/2010/main" val="0"/>
                              </a:ext>
                            </a:extLst>
                          </a:blip>
                          <a:srcRect r="71962" b="-1636"/>
                          <a:stretch>
                            <a:fillRect/>
                          </a:stretch>
                        </pic:blipFill>
                        <pic:spPr>
                          <a:xfrm>
                            <a:off x="0" y="0"/>
                            <a:ext cx="190500" cy="171450"/>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渗水井</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200025" cy="200025"/>
                  <wp:effectExtent l="0" t="0" r="9525" b="952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出气井</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61925" cy="200025"/>
                  <wp:effectExtent l="0" t="0" r="9525" b="9525"/>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noChangeArrowheads="1"/>
                          </pic:cNvPicPr>
                        </pic:nvPicPr>
                        <pic:blipFill>
                          <a:blip r:embed="rId80" cstate="print">
                            <a:extLst>
                              <a:ext uri="{28A0092B-C50C-407E-A947-70E740481C1C}">
                                <a14:useLocalDpi xmlns:a14="http://schemas.microsoft.com/office/drawing/2010/main" val="0"/>
                              </a:ext>
                            </a:extLst>
                          </a:blip>
                          <a:srcRect r="68889"/>
                          <a:stretch>
                            <a:fillRect/>
                          </a:stretch>
                        </pic:blipFill>
                        <pic:spPr>
                          <a:xfrm>
                            <a:off x="0" y="0"/>
                            <a:ext cx="161925" cy="2000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水封井</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200025" cy="200025"/>
                  <wp:effectExtent l="0" t="0" r="9525" b="9525"/>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排水泵站</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342900" cy="15240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342900" cy="152400"/>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3.0×2.0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化粪池</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71450" cy="17145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71450" cy="171450"/>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净化池</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200025" cy="152400"/>
                  <wp:effectExtent l="0" t="0" r="9525"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noChangeArrowheads="1"/>
                          </pic:cNvPicPr>
                        </pic:nvPicPr>
                        <pic:blipFill>
                          <a:blip r:embed="rId84" cstate="print">
                            <a:extLst>
                              <a:ext uri="{28A0092B-C50C-407E-A947-70E740481C1C}">
                                <a14:useLocalDpi xmlns:a14="http://schemas.microsoft.com/office/drawing/2010/main" val="0"/>
                              </a:ext>
                            </a:extLst>
                          </a:blip>
                          <a:srcRect t="-2" r="68333" b="4559"/>
                          <a:stretch>
                            <a:fillRect/>
                          </a:stretch>
                        </pic:blipFill>
                        <pic:spPr>
                          <a:xfrm>
                            <a:off x="0" y="0"/>
                            <a:ext cx="200025" cy="152400"/>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进水口</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42875" cy="152400"/>
                  <wp:effectExtent l="0" t="0" r="9525"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rot="10800000">
                            <a:off x="0" y="0"/>
                            <a:ext cx="142875" cy="152400"/>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2.0∠60°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角顶中心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出水口</w:t>
            </w:r>
          </w:p>
        </w:tc>
        <w:tc>
          <w:tcPr>
            <w:tcW w:w="1559" w:type="dxa"/>
            <w:vAlign w:val="center"/>
          </w:tcPr>
          <w:p>
            <w:pPr>
              <w:jc w:val="center"/>
              <w:rPr>
                <w:rFonts w:ascii="仿宋" w:hAnsi="仿宋" w:eastAsia="仿宋" w:cs="仿宋"/>
                <w:sz w:val="18"/>
                <w:szCs w:val="18"/>
              </w:rPr>
            </w:pPr>
            <w:r>
              <w:rPr>
                <w:rFonts w:ascii="仿宋" w:hAnsi="仿宋" w:eastAsia="仿宋" w:cs="仿宋"/>
              </w:rPr>
              <mc:AlternateContent>
                <mc:Choice Requires="wps">
                  <w:drawing>
                    <wp:anchor distT="0" distB="0" distL="114300" distR="114300" simplePos="0" relativeHeight="251666432" behindDoc="0" locked="0" layoutInCell="1" allowOverlap="1">
                      <wp:simplePos x="0" y="0"/>
                      <wp:positionH relativeFrom="column">
                        <wp:posOffset>457200</wp:posOffset>
                      </wp:positionH>
                      <wp:positionV relativeFrom="paragraph">
                        <wp:posOffset>140335</wp:posOffset>
                      </wp:positionV>
                      <wp:extent cx="635" cy="635"/>
                      <wp:effectExtent l="0" t="0" r="0" b="0"/>
                      <wp:wrapNone/>
                      <wp:docPr id="225" name="直接连接符 225"/>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36pt;margin-top:11.05pt;height:0.05pt;width:0.05pt;z-index:251666432;mso-width-relative:page;mso-height-relative:page;" filled="f" stroked="t" coordsize="21600,21600" o:gfxdata="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a3vgq1AAAAAcB&#10;AAAPAAAAAAAAAAEAIAAAACIAAABkcnMvZG93bnJldi54bWxQSwECFAAUAAAACACHTuJAgyB02+YB&#10;AAC6AwAADgAAAAAAAAABACAAAAAjAQAAZHJzL2Uyb0RvYy54bWxQSwUGAAAAAAYABgBZAQAAewUA&#10;AAAA&#10;">
                      <v:fill on="f" focussize="0,0"/>
                      <v:stroke color="#000000" joinstyle="round"/>
                      <v:imagedata o:title=""/>
                      <o:lock v:ext="edit" aspectratio="f"/>
                    </v:line>
                  </w:pict>
                </mc:Fallback>
              </mc:AlternateContent>
            </w:r>
            <w:r>
              <w:rPr>
                <w:rFonts w:ascii="仿宋" w:hAnsi="仿宋" w:eastAsia="仿宋" w:cs="仿宋"/>
                <w:sz w:val="18"/>
                <w:szCs w:val="18"/>
              </w:rPr>
              <w:drawing>
                <wp:inline distT="0" distB="0" distL="0" distR="0">
                  <wp:extent cx="142875" cy="142875"/>
                  <wp:effectExtent l="0" t="0" r="9525" b="9525"/>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a:ln>
                            <a:noFill/>
                          </a:ln>
                        </pic:spPr>
                      </pic:pic>
                    </a:graphicData>
                  </a:graphic>
                </wp:inline>
              </w:drawing>
            </w:r>
          </w:p>
        </w:tc>
        <w:tc>
          <w:tcPr>
            <w:tcW w:w="1995" w:type="dxa"/>
            <w:vAlign w:val="center"/>
          </w:tcPr>
          <w:p>
            <w:pPr>
              <w:tabs>
                <w:tab w:val="left" w:pos="794"/>
                <w:tab w:val="clear" w:pos="0"/>
              </w:tabs>
              <w:jc w:val="center"/>
              <w:rPr>
                <w:rFonts w:ascii="仿宋" w:hAnsi="仿宋" w:eastAsia="仿宋" w:cs="仿宋"/>
                <w:sz w:val="18"/>
                <w:szCs w:val="18"/>
              </w:rPr>
            </w:pPr>
            <w:r>
              <w:rPr>
                <w:rFonts w:hint="eastAsia" w:ascii="仿宋" w:hAnsi="仿宋" w:eastAsia="仿宋" w:cs="仿宋"/>
                <w:sz w:val="18"/>
                <w:szCs w:val="18"/>
              </w:rPr>
              <w:t>2.0∠60°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角顶中心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阀门</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42875" cy="209550"/>
                  <wp:effectExtent l="0" t="0" r="9525"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42875" cy="209550"/>
                          </a:xfrm>
                          <a:prstGeom prst="rect">
                            <a:avLst/>
                          </a:prstGeom>
                          <a:noFill/>
                          <a:ln>
                            <a:noFill/>
                          </a:ln>
                        </pic:spPr>
                      </pic:pic>
                    </a:graphicData>
                  </a:graphic>
                </wp:inline>
              </w:drawing>
            </w:r>
          </w:p>
        </w:tc>
        <w:tc>
          <w:tcPr>
            <w:tcW w:w="1995" w:type="dxa"/>
            <w:vAlign w:val="center"/>
          </w:tcPr>
          <w:p>
            <w:pPr>
              <w:tabs>
                <w:tab w:val="left" w:pos="794"/>
                <w:tab w:val="clear" w:pos="0"/>
              </w:tabs>
              <w:jc w:val="center"/>
              <w:rPr>
                <w:rFonts w:ascii="仿宋" w:hAnsi="仿宋" w:eastAsia="仿宋" w:cs="仿宋"/>
                <w:sz w:val="18"/>
                <w:szCs w:val="18"/>
              </w:rPr>
            </w:pPr>
            <w:r>
              <w:rPr>
                <w:rFonts w:hint="eastAsia" w:ascii="仿宋" w:hAnsi="仿宋" w:eastAsia="仿宋" w:cs="仿宋"/>
                <w:sz w:val="18"/>
                <w:szCs w:val="18"/>
              </w:rPr>
              <w:t>1.6+1.0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阀门井</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152400" cy="15240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拐点</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85725" cy="85725"/>
                  <wp:effectExtent l="0" t="0" r="9525" b="952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直线点</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85725" cy="85725"/>
                  <wp:effectExtent l="0" t="0" r="9525" b="952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预留口</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666750" cy="142875"/>
                  <wp:effectExtent l="0" t="0" r="0" b="952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666750" cy="142875"/>
                          </a:xfrm>
                          <a:prstGeom prst="rect">
                            <a:avLst/>
                          </a:prstGeom>
                          <a:noFill/>
                          <a:ln>
                            <a:noFill/>
                          </a:ln>
                        </pic:spPr>
                      </pic:pic>
                    </a:graphicData>
                  </a:graphic>
                </wp:inline>
              </w:drawing>
            </w:r>
          </w:p>
        </w:tc>
        <w:tc>
          <w:tcPr>
            <w:tcW w:w="1995" w:type="dxa"/>
            <w:vAlign w:val="center"/>
          </w:tcPr>
          <w:p>
            <w:pPr>
              <w:tabs>
                <w:tab w:val="left" w:pos="794"/>
                <w:tab w:val="clear" w:pos="0"/>
              </w:tabs>
              <w:jc w:val="center"/>
              <w:rPr>
                <w:rFonts w:ascii="仿宋" w:hAnsi="仿宋" w:eastAsia="仿宋" w:cs="仿宋"/>
                <w:sz w:val="18"/>
                <w:szCs w:val="18"/>
              </w:rPr>
            </w:pPr>
            <w:r>
              <w:rPr>
                <w:rFonts w:hint="eastAsia" w:ascii="仿宋" w:hAnsi="仿宋" w:eastAsia="仿宋" w:cs="仿宋"/>
                <w:sz w:val="18"/>
                <w:szCs w:val="18"/>
              </w:rPr>
              <w:t>2.0+6.0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非普查</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695325" cy="85725"/>
                  <wp:effectExtent l="0" t="0" r="9525" b="952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695325" cy="85725"/>
                          </a:xfrm>
                          <a:prstGeom prst="rect">
                            <a:avLst/>
                          </a:prstGeom>
                          <a:noFill/>
                          <a:ln>
                            <a:noFill/>
                          </a:ln>
                        </pic:spPr>
                      </pic:pic>
                    </a:graphicData>
                  </a:graphic>
                </wp:inline>
              </w:drawing>
            </w:r>
          </w:p>
        </w:tc>
        <w:tc>
          <w:tcPr>
            <w:tcW w:w="1995" w:type="dxa"/>
            <w:vAlign w:val="center"/>
          </w:tcPr>
          <w:p>
            <w:pPr>
              <w:tabs>
                <w:tab w:val="left" w:pos="794"/>
                <w:tab w:val="clear" w:pos="0"/>
              </w:tabs>
              <w:jc w:val="center"/>
              <w:rPr>
                <w:rFonts w:ascii="仿宋" w:hAnsi="仿宋" w:eastAsia="仿宋" w:cs="仿宋"/>
                <w:sz w:val="18"/>
                <w:szCs w:val="18"/>
              </w:rPr>
            </w:pPr>
            <w:r>
              <w:rPr>
                <w:rFonts w:hint="eastAsia" w:ascii="仿宋" w:hAnsi="仿宋" w:eastAsia="仿宋" w:cs="仿宋"/>
                <w:sz w:val="18"/>
                <w:szCs w:val="18"/>
              </w:rPr>
              <w:t>1.0+6.0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井边点</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85725" cy="85725"/>
                  <wp:effectExtent l="0" t="0" r="9525" b="952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偏心点</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85725" cy="85725"/>
                  <wp:effectExtent l="0" t="0" r="9525" b="952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出地点</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85725" cy="257175"/>
                  <wp:effectExtent l="0" t="0" r="9525" b="952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85725" cy="257175"/>
                          </a:xfrm>
                          <a:prstGeom prst="rect">
                            <a:avLst/>
                          </a:prstGeom>
                          <a:noFill/>
                          <a:ln>
                            <a:noFill/>
                          </a:ln>
                        </pic:spPr>
                      </pic:pic>
                    </a:graphicData>
                  </a:graphic>
                </wp:inline>
              </w:drawing>
            </w:r>
          </w:p>
        </w:tc>
        <w:tc>
          <w:tcPr>
            <w:tcW w:w="1995" w:type="dxa"/>
            <w:vAlign w:val="center"/>
          </w:tcPr>
          <w:p>
            <w:pPr>
              <w:tabs>
                <w:tab w:val="left" w:pos="794"/>
                <w:tab w:val="clear" w:pos="0"/>
              </w:tabs>
              <w:jc w:val="center"/>
              <w:rPr>
                <w:rFonts w:ascii="仿宋" w:hAnsi="仿宋" w:eastAsia="仿宋" w:cs="仿宋"/>
                <w:sz w:val="18"/>
                <w:szCs w:val="18"/>
              </w:rPr>
            </w:pPr>
            <w:r>
              <w:rPr>
                <w:rFonts w:hint="eastAsia" w:ascii="仿宋" w:hAnsi="仿宋" w:eastAsia="仿宋" w:cs="仿宋"/>
                <w:sz w:val="18"/>
                <w:szCs w:val="18"/>
              </w:rPr>
              <w:t>1.0+2.0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变径</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209550" cy="17145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09550" cy="171450"/>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三通</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四通</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多通</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restart"/>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燃气</w:t>
            </w:r>
          </w:p>
          <w:p>
            <w:pPr>
              <w:jc w:val="center"/>
              <w:rPr>
                <w:rFonts w:ascii="仿宋" w:hAnsi="仿宋" w:eastAsia="仿宋" w:cs="仿宋"/>
                <w:kern w:val="0"/>
                <w:sz w:val="18"/>
                <w:szCs w:val="18"/>
              </w:rPr>
            </w:pPr>
            <w:r>
              <w:rPr>
                <w:rFonts w:hint="eastAsia" w:ascii="仿宋" w:hAnsi="仿宋" w:eastAsia="仿宋" w:cs="仿宋"/>
                <w:kern w:val="0"/>
                <w:sz w:val="18"/>
                <w:szCs w:val="18"/>
              </w:rPr>
              <w:t>(RQ)</w:t>
            </w: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检修井</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42875" cy="142875"/>
                  <wp:effectExtent l="0" t="0" r="9525" b="952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阀门井</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42875" cy="142875"/>
                  <wp:effectExtent l="0" t="0" r="9525" b="952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阀门</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42875" cy="209550"/>
                  <wp:effectExtent l="0" t="0" r="9525"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42875" cy="209550"/>
                          </a:xfrm>
                          <a:prstGeom prst="rect">
                            <a:avLst/>
                          </a:prstGeom>
                          <a:noFill/>
                          <a:ln>
                            <a:noFill/>
                          </a:ln>
                        </pic:spPr>
                      </pic:pic>
                    </a:graphicData>
                  </a:graphic>
                </wp:inline>
              </w:drawing>
            </w:r>
          </w:p>
        </w:tc>
        <w:tc>
          <w:tcPr>
            <w:tcW w:w="1995" w:type="dxa"/>
            <w:vAlign w:val="center"/>
          </w:tcPr>
          <w:p>
            <w:pPr>
              <w:tabs>
                <w:tab w:val="left" w:pos="794"/>
                <w:tab w:val="clear" w:pos="0"/>
              </w:tabs>
              <w:jc w:val="center"/>
              <w:rPr>
                <w:rFonts w:ascii="仿宋" w:hAnsi="仿宋" w:eastAsia="仿宋" w:cs="仿宋"/>
                <w:sz w:val="18"/>
                <w:szCs w:val="18"/>
              </w:rPr>
            </w:pPr>
            <w:r>
              <w:rPr>
                <w:rFonts w:hint="eastAsia" w:ascii="仿宋" w:hAnsi="仿宋" w:eastAsia="仿宋" w:cs="仿宋"/>
                <w:sz w:val="18"/>
                <w:szCs w:val="18"/>
              </w:rPr>
              <w:t>1.6+1.0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压力表</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71450" cy="1714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171450" cy="171450"/>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阴极测试桩</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23825" cy="171450"/>
                  <wp:effectExtent l="0" t="0" r="9525"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123825" cy="171450"/>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2.0×1.6</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波形管</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42875" cy="142875"/>
                  <wp:effectExtent l="0" t="0" r="9525" b="952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凝水缸</w:t>
            </w:r>
          </w:p>
        </w:tc>
        <w:tc>
          <w:tcPr>
            <w:tcW w:w="1559" w:type="dxa"/>
            <w:vAlign w:val="center"/>
          </w:tcPr>
          <w:p>
            <w:pPr>
              <w:tabs>
                <w:tab w:val="left" w:pos="794"/>
                <w:tab w:val="clear" w:pos="0"/>
              </w:tabs>
              <w:jc w:val="center"/>
              <w:rPr>
                <w:rFonts w:ascii="仿宋" w:hAnsi="仿宋" w:eastAsia="仿宋" w:cs="仿宋"/>
                <w:sz w:val="18"/>
                <w:szCs w:val="18"/>
              </w:rPr>
            </w:pPr>
            <w:r>
              <w:rPr>
                <w:rFonts w:ascii="仿宋" w:hAnsi="仿宋" w:eastAsia="仿宋" w:cs="仿宋"/>
                <w:sz w:val="18"/>
                <w:szCs w:val="18"/>
              </w:rPr>
              <w:drawing>
                <wp:inline distT="0" distB="0" distL="0" distR="0">
                  <wp:extent cx="209550" cy="1714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209550" cy="171450"/>
                          </a:xfrm>
                          <a:prstGeom prst="rect">
                            <a:avLst/>
                          </a:prstGeom>
                          <a:noFill/>
                          <a:ln>
                            <a:noFill/>
                          </a:ln>
                        </pic:spPr>
                      </pic:pic>
                    </a:graphicData>
                  </a:graphic>
                </wp:inline>
              </w:drawing>
            </w:r>
          </w:p>
        </w:tc>
        <w:tc>
          <w:tcPr>
            <w:tcW w:w="1995" w:type="dxa"/>
            <w:vAlign w:val="center"/>
          </w:tcPr>
          <w:p>
            <w:pPr>
              <w:tabs>
                <w:tab w:val="left" w:pos="794"/>
                <w:tab w:val="clear" w:pos="0"/>
              </w:tabs>
              <w:jc w:val="center"/>
              <w:rPr>
                <w:rFonts w:ascii="仿宋" w:hAnsi="仿宋" w:eastAsia="仿宋" w:cs="仿宋"/>
                <w:sz w:val="18"/>
                <w:szCs w:val="18"/>
              </w:rPr>
            </w:pPr>
            <w:r>
              <w:rPr>
                <w:rFonts w:hint="eastAsia" w:ascii="仿宋" w:hAnsi="仿宋" w:eastAsia="仿宋" w:cs="仿宋"/>
                <w:sz w:val="18"/>
                <w:szCs w:val="18"/>
              </w:rPr>
              <w:t>2.0+1.0+2.0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调压箱</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71450" cy="142875"/>
                  <wp:effectExtent l="0" t="0" r="0" b="952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71450" cy="14287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调压站</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95250" cy="952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95250" cy="95250"/>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燃气柜</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42875" cy="123825"/>
                  <wp:effectExtent l="0" t="0" r="9525" b="952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94" cstate="print">
                            <a:extLst>
                              <a:ext uri="{28A0092B-C50C-407E-A947-70E740481C1C}">
                                <a14:useLocalDpi xmlns:a14="http://schemas.microsoft.com/office/drawing/2010/main" val="0"/>
                              </a:ext>
                            </a:extLst>
                          </a:blip>
                          <a:srcRect r="68539" b="-2248"/>
                          <a:stretch>
                            <a:fillRect/>
                          </a:stretch>
                        </pic:blipFill>
                        <pic:spPr>
                          <a:xfrm>
                            <a:off x="0" y="0"/>
                            <a:ext cx="142875" cy="1238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w:t>
            </w:r>
          </w:p>
        </w:tc>
        <w:tc>
          <w:tcPr>
            <w:tcW w:w="1707" w:type="dxa"/>
            <w:vAlign w:val="center"/>
          </w:tcPr>
          <w:p>
            <w:pPr>
              <w:widowControl/>
              <w:tabs>
                <w:tab w:val="left" w:pos="794"/>
                <w:tab w:val="clear" w:pos="0"/>
              </w:tabs>
              <w:jc w:val="center"/>
              <w:rPr>
                <w:rFonts w:ascii="仿宋" w:hAnsi="仿宋" w:eastAsia="仿宋" w:cs="仿宋"/>
                <w:kern w:val="0"/>
                <w:sz w:val="18"/>
                <w:szCs w:val="18"/>
              </w:rPr>
            </w:pPr>
            <w:r>
              <w:rPr>
                <w:rFonts w:hint="eastAsia" w:ascii="仿宋" w:hAnsi="仿宋" w:eastAsia="仿宋" w:cs="仿宋"/>
                <w:kern w:val="0"/>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燃气桩</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42875" cy="142875"/>
                  <wp:effectExtent l="0" t="0" r="9525" b="952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底部中心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涨缩站</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90500" cy="15240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96" cstate="print">
                            <a:extLst>
                              <a:ext uri="{28A0092B-C50C-407E-A947-70E740481C1C}">
                                <a14:useLocalDpi xmlns:a14="http://schemas.microsoft.com/office/drawing/2010/main" val="0"/>
                              </a:ext>
                            </a:extLst>
                          </a:blip>
                          <a:srcRect r="63914"/>
                          <a:stretch>
                            <a:fillRect/>
                          </a:stretch>
                        </pic:blipFill>
                        <pic:spPr>
                          <a:xfrm>
                            <a:off x="0" y="0"/>
                            <a:ext cx="190500" cy="152400"/>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弯头</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85725" cy="85725"/>
                  <wp:effectExtent l="0" t="0" r="9525" b="952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直线点</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85725" cy="85725"/>
                  <wp:effectExtent l="0" t="0" r="9525" b="952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预留口</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666750" cy="142875"/>
                  <wp:effectExtent l="0" t="0" r="0" b="952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666750" cy="142875"/>
                          </a:xfrm>
                          <a:prstGeom prst="rect">
                            <a:avLst/>
                          </a:prstGeom>
                          <a:noFill/>
                          <a:ln>
                            <a:noFill/>
                          </a:ln>
                        </pic:spPr>
                      </pic:pic>
                    </a:graphicData>
                  </a:graphic>
                </wp:inline>
              </w:drawing>
            </w:r>
          </w:p>
        </w:tc>
        <w:tc>
          <w:tcPr>
            <w:tcW w:w="1995" w:type="dxa"/>
            <w:vAlign w:val="center"/>
          </w:tcPr>
          <w:p>
            <w:pPr>
              <w:tabs>
                <w:tab w:val="left" w:pos="794"/>
                <w:tab w:val="clear" w:pos="0"/>
              </w:tabs>
              <w:jc w:val="center"/>
              <w:rPr>
                <w:rFonts w:ascii="仿宋" w:hAnsi="仿宋" w:eastAsia="仿宋" w:cs="仿宋"/>
                <w:sz w:val="18"/>
                <w:szCs w:val="18"/>
              </w:rPr>
            </w:pPr>
            <w:r>
              <w:rPr>
                <w:rFonts w:hint="eastAsia" w:ascii="仿宋" w:hAnsi="仿宋" w:eastAsia="仿宋" w:cs="仿宋"/>
                <w:sz w:val="18"/>
                <w:szCs w:val="18"/>
              </w:rPr>
              <w:t>2.0+6.0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非普查</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695325" cy="85725"/>
                  <wp:effectExtent l="0" t="0" r="9525" b="952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695325" cy="85725"/>
                          </a:xfrm>
                          <a:prstGeom prst="rect">
                            <a:avLst/>
                          </a:prstGeom>
                          <a:noFill/>
                          <a:ln>
                            <a:noFill/>
                          </a:ln>
                        </pic:spPr>
                      </pic:pic>
                    </a:graphicData>
                  </a:graphic>
                </wp:inline>
              </w:drawing>
            </w:r>
          </w:p>
        </w:tc>
        <w:tc>
          <w:tcPr>
            <w:tcW w:w="1995" w:type="dxa"/>
            <w:vAlign w:val="center"/>
          </w:tcPr>
          <w:p>
            <w:pPr>
              <w:tabs>
                <w:tab w:val="left" w:pos="794"/>
                <w:tab w:val="clear" w:pos="0"/>
              </w:tabs>
              <w:jc w:val="center"/>
              <w:rPr>
                <w:rFonts w:ascii="仿宋" w:hAnsi="仿宋" w:eastAsia="仿宋" w:cs="仿宋"/>
                <w:sz w:val="18"/>
                <w:szCs w:val="18"/>
              </w:rPr>
            </w:pPr>
            <w:r>
              <w:rPr>
                <w:rFonts w:hint="eastAsia" w:ascii="仿宋" w:hAnsi="仿宋" w:eastAsia="仿宋" w:cs="仿宋"/>
                <w:sz w:val="18"/>
                <w:szCs w:val="18"/>
              </w:rPr>
              <w:t>1.0+6.0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井边点</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85725" cy="85725"/>
                  <wp:effectExtent l="0" t="0" r="9525" b="952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偏心点</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85725" cy="85725"/>
                  <wp:effectExtent l="0" t="0" r="9525" b="952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出地点</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85725" cy="257175"/>
                  <wp:effectExtent l="0" t="0" r="9525" b="952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85725" cy="257175"/>
                          </a:xfrm>
                          <a:prstGeom prst="rect">
                            <a:avLst/>
                          </a:prstGeom>
                          <a:noFill/>
                          <a:ln>
                            <a:noFill/>
                          </a:ln>
                        </pic:spPr>
                      </pic:pic>
                    </a:graphicData>
                  </a:graphic>
                </wp:inline>
              </w:drawing>
            </w:r>
          </w:p>
        </w:tc>
        <w:tc>
          <w:tcPr>
            <w:tcW w:w="1995" w:type="dxa"/>
            <w:vAlign w:val="center"/>
          </w:tcPr>
          <w:p>
            <w:pPr>
              <w:tabs>
                <w:tab w:val="left" w:pos="794"/>
                <w:tab w:val="clear" w:pos="0"/>
              </w:tabs>
              <w:jc w:val="center"/>
              <w:rPr>
                <w:rFonts w:ascii="仿宋" w:hAnsi="仿宋" w:eastAsia="仿宋" w:cs="仿宋"/>
                <w:sz w:val="18"/>
                <w:szCs w:val="18"/>
              </w:rPr>
            </w:pPr>
            <w:r>
              <w:rPr>
                <w:rFonts w:hint="eastAsia" w:ascii="仿宋" w:hAnsi="仿宋" w:eastAsia="仿宋" w:cs="仿宋"/>
                <w:sz w:val="18"/>
                <w:szCs w:val="18"/>
              </w:rPr>
              <w:t>1.0+2.0</w:t>
            </w:r>
          </w:p>
        </w:tc>
        <w:tc>
          <w:tcPr>
            <w:tcW w:w="1707" w:type="dxa"/>
            <w:vAlign w:val="center"/>
          </w:tcPr>
          <w:p>
            <w:pPr>
              <w:widowControl/>
              <w:jc w:val="center"/>
              <w:rPr>
                <w:rFonts w:ascii="仿宋" w:hAnsi="仿宋" w:eastAsia="仿宋" w:cs="仿宋"/>
                <w:kern w:val="0"/>
                <w:sz w:val="18"/>
                <w:szCs w:val="18"/>
              </w:rPr>
            </w:pPr>
            <w:r>
              <w:rPr>
                <w:rFonts w:hint="eastAsia" w:ascii="仿宋" w:hAnsi="仿宋" w:eastAsia="仿宋" w:cs="仿宋"/>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变径</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209550" cy="1714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09550" cy="171450"/>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1.0+2.0</w:t>
            </w:r>
          </w:p>
        </w:tc>
        <w:tc>
          <w:tcPr>
            <w:tcW w:w="1707" w:type="dxa"/>
            <w:vAlign w:val="center"/>
          </w:tcPr>
          <w:p>
            <w:pPr>
              <w:widowControl/>
              <w:jc w:val="center"/>
              <w:rPr>
                <w:rFonts w:ascii="仿宋" w:hAnsi="仿宋" w:eastAsia="仿宋" w:cs="仿宋"/>
                <w:kern w:val="0"/>
                <w:sz w:val="18"/>
                <w:szCs w:val="18"/>
              </w:rPr>
            </w:pPr>
            <w:r>
              <w:rPr>
                <w:rFonts w:hint="eastAsia" w:ascii="仿宋" w:hAnsi="仿宋" w:eastAsia="仿宋" w:cs="仿宋"/>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盖堵</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200025"/>
                  <wp:effectExtent l="0" t="0" r="9525" b="952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85725" cy="2000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2.0+1.0</w:t>
            </w:r>
          </w:p>
        </w:tc>
        <w:tc>
          <w:tcPr>
            <w:tcW w:w="1707" w:type="dxa"/>
            <w:vAlign w:val="center"/>
          </w:tcPr>
          <w:p>
            <w:pPr>
              <w:widowControl/>
              <w:jc w:val="center"/>
              <w:rPr>
                <w:rFonts w:ascii="仿宋" w:hAnsi="仿宋" w:eastAsia="仿宋" w:cs="仿宋"/>
                <w:kern w:val="0"/>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三通</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四通</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多通</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sz w:val="18"/>
                <w:szCs w:val="18"/>
              </w:rPr>
              <w:t>变材</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restart"/>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热力</w:t>
            </w:r>
          </w:p>
          <w:p>
            <w:pPr>
              <w:jc w:val="center"/>
              <w:rPr>
                <w:rFonts w:ascii="仿宋" w:hAnsi="仿宋" w:eastAsia="仿宋" w:cs="仿宋"/>
                <w:kern w:val="0"/>
                <w:sz w:val="18"/>
                <w:szCs w:val="18"/>
              </w:rPr>
            </w:pPr>
            <w:r>
              <w:rPr>
                <w:rFonts w:hint="eastAsia" w:ascii="仿宋" w:hAnsi="仿宋" w:eastAsia="仿宋" w:cs="仿宋"/>
                <w:kern w:val="0"/>
                <w:sz w:val="18"/>
                <w:szCs w:val="18"/>
              </w:rPr>
              <w:t>（RL）</w:t>
            </w: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检修井</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71450" cy="1714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171450" cy="171450"/>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阀门井</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71450" cy="1714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171450" cy="171450"/>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吹扫井</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71450" cy="1714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171450" cy="171450"/>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阀门</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42875" cy="209550"/>
                  <wp:effectExtent l="0" t="0" r="9525"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42875" cy="209550"/>
                          </a:xfrm>
                          <a:prstGeom prst="rect">
                            <a:avLst/>
                          </a:prstGeom>
                          <a:noFill/>
                          <a:ln>
                            <a:noFill/>
                          </a:ln>
                        </pic:spPr>
                      </pic:pic>
                    </a:graphicData>
                  </a:graphic>
                </wp:inline>
              </w:drawing>
            </w:r>
          </w:p>
        </w:tc>
        <w:tc>
          <w:tcPr>
            <w:tcW w:w="1995" w:type="dxa"/>
            <w:vAlign w:val="center"/>
          </w:tcPr>
          <w:p>
            <w:pPr>
              <w:tabs>
                <w:tab w:val="left" w:pos="794"/>
                <w:tab w:val="clear" w:pos="0"/>
              </w:tabs>
              <w:jc w:val="center"/>
              <w:rPr>
                <w:rFonts w:ascii="仿宋" w:hAnsi="仿宋" w:eastAsia="仿宋" w:cs="仿宋"/>
                <w:sz w:val="18"/>
                <w:szCs w:val="18"/>
              </w:rPr>
            </w:pPr>
            <w:r>
              <w:rPr>
                <w:rFonts w:hint="eastAsia" w:ascii="仿宋" w:hAnsi="仿宋" w:eastAsia="仿宋" w:cs="仿宋"/>
                <w:sz w:val="18"/>
                <w:szCs w:val="18"/>
              </w:rPr>
              <w:t>1.6+1.0</w:t>
            </w:r>
          </w:p>
        </w:tc>
        <w:tc>
          <w:tcPr>
            <w:tcW w:w="1707" w:type="dxa"/>
            <w:vAlign w:val="center"/>
          </w:tcPr>
          <w:p>
            <w:pPr>
              <w:widowControl/>
              <w:jc w:val="center"/>
              <w:rPr>
                <w:rFonts w:ascii="仿宋" w:hAnsi="仿宋" w:eastAsia="仿宋" w:cs="仿宋"/>
                <w:kern w:val="0"/>
                <w:sz w:val="18"/>
                <w:szCs w:val="18"/>
              </w:rPr>
            </w:pPr>
            <w:r>
              <w:rPr>
                <w:rFonts w:hint="eastAsia" w:ascii="仿宋" w:hAnsi="仿宋" w:eastAsia="仿宋" w:cs="仿宋"/>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调压装置</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42875" cy="142875"/>
                  <wp:effectExtent l="0" t="0" r="9525" b="952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2.0×2.0</w:t>
            </w:r>
          </w:p>
        </w:tc>
        <w:tc>
          <w:tcPr>
            <w:tcW w:w="1707" w:type="dxa"/>
            <w:vAlign w:val="center"/>
          </w:tcPr>
          <w:p>
            <w:pPr>
              <w:widowControl/>
              <w:jc w:val="center"/>
              <w:rPr>
                <w:rFonts w:ascii="仿宋" w:hAnsi="仿宋" w:eastAsia="仿宋" w:cs="仿宋"/>
                <w:kern w:val="0"/>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疏水</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42875" cy="200025"/>
                  <wp:effectExtent l="0" t="0" r="9525" b="952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142875" cy="2000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1.6×3.0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底部中心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真空表</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23825" cy="200025"/>
                  <wp:effectExtent l="0" t="0" r="9525" b="952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123825" cy="2000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1.6×3.0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底部中心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固定节</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23825" cy="200025"/>
                  <wp:effectExtent l="0" t="0" r="9525" b="952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123825" cy="2000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1.6×3.0</w:t>
            </w:r>
          </w:p>
        </w:tc>
        <w:tc>
          <w:tcPr>
            <w:tcW w:w="1707" w:type="dxa"/>
            <w:vAlign w:val="center"/>
          </w:tcPr>
          <w:p>
            <w:pPr>
              <w:widowControl/>
              <w:jc w:val="center"/>
              <w:rPr>
                <w:rFonts w:ascii="仿宋" w:hAnsi="仿宋" w:eastAsia="仿宋" w:cs="仿宋"/>
                <w:kern w:val="0"/>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安全阀</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200025"/>
                  <wp:effectExtent l="0" t="0" r="9525" b="952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85725" cy="2000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1.6×3.0</w:t>
            </w:r>
          </w:p>
        </w:tc>
        <w:tc>
          <w:tcPr>
            <w:tcW w:w="1707" w:type="dxa"/>
            <w:vAlign w:val="center"/>
          </w:tcPr>
          <w:p>
            <w:pPr>
              <w:widowControl/>
              <w:jc w:val="center"/>
              <w:rPr>
                <w:rFonts w:ascii="仿宋" w:hAnsi="仿宋" w:eastAsia="仿宋" w:cs="仿宋"/>
                <w:kern w:val="0"/>
                <w:sz w:val="18"/>
                <w:szCs w:val="18"/>
              </w:rPr>
            </w:pPr>
            <w:r>
              <w:rPr>
                <w:rFonts w:hint="eastAsia" w:ascii="仿宋" w:hAnsi="仿宋" w:eastAsia="仿宋" w:cs="仿宋"/>
                <w:sz w:val="18"/>
                <w:szCs w:val="18"/>
              </w:rPr>
              <w:t>底部中心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排潮孔</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95250" cy="1714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95250" cy="171450"/>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1.6×2.0</w:t>
            </w:r>
          </w:p>
        </w:tc>
        <w:tc>
          <w:tcPr>
            <w:tcW w:w="1707" w:type="dxa"/>
            <w:vAlign w:val="center"/>
          </w:tcPr>
          <w:p>
            <w:pPr>
              <w:widowControl/>
              <w:jc w:val="center"/>
              <w:rPr>
                <w:rFonts w:ascii="仿宋" w:hAnsi="仿宋" w:eastAsia="仿宋" w:cs="仿宋"/>
                <w:kern w:val="0"/>
                <w:sz w:val="18"/>
                <w:szCs w:val="18"/>
              </w:rPr>
            </w:pPr>
            <w:r>
              <w:rPr>
                <w:rFonts w:hint="eastAsia" w:ascii="仿宋" w:hAnsi="仿宋" w:eastAsia="仿宋" w:cs="仿宋"/>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换热站</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266700" cy="123825"/>
                  <wp:effectExtent l="0" t="0" r="0" b="952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noChangeArrowheads="1"/>
                          </pic:cNvPicPr>
                        </pic:nvPicPr>
                        <pic:blipFill>
                          <a:blip r:embed="rId104" cstate="print">
                            <a:extLst>
                              <a:ext uri="{28A0092B-C50C-407E-A947-70E740481C1C}">
                                <a14:useLocalDpi xmlns:a14="http://schemas.microsoft.com/office/drawing/2010/main" val="0"/>
                              </a:ext>
                            </a:extLst>
                          </a:blip>
                          <a:srcRect l="20779" t="12502" r="30798" b="34557"/>
                          <a:stretch>
                            <a:fillRect/>
                          </a:stretch>
                        </pic:blipFill>
                        <pic:spPr>
                          <a:xfrm>
                            <a:off x="0" y="0"/>
                            <a:ext cx="266700" cy="123825"/>
                          </a:xfrm>
                          <a:prstGeom prst="rect">
                            <a:avLst/>
                          </a:prstGeom>
                          <a:noFill/>
                          <a:ln>
                            <a:noFill/>
                          </a:ln>
                        </pic:spPr>
                      </pic:pic>
                    </a:graphicData>
                  </a:graphic>
                </wp:inline>
              </w:drawing>
            </w:r>
          </w:p>
        </w:tc>
        <w:tc>
          <w:tcPr>
            <w:tcW w:w="1995" w:type="dxa"/>
            <w:vAlign w:val="center"/>
          </w:tcPr>
          <w:p>
            <w:pPr>
              <w:widowControl/>
              <w:jc w:val="center"/>
              <w:rPr>
                <w:rFonts w:ascii="仿宋" w:hAnsi="仿宋" w:eastAsia="仿宋" w:cs="仿宋"/>
                <w:kern w:val="0"/>
                <w:sz w:val="18"/>
                <w:szCs w:val="18"/>
              </w:rPr>
            </w:pPr>
            <w:r>
              <w:rPr>
                <w:rFonts w:hint="eastAsia" w:ascii="仿宋" w:hAnsi="仿宋" w:eastAsia="仿宋" w:cs="仿宋"/>
                <w:sz w:val="18"/>
                <w:szCs w:val="18"/>
              </w:rPr>
              <w:t>3.0×2.0</w:t>
            </w:r>
          </w:p>
        </w:tc>
        <w:tc>
          <w:tcPr>
            <w:tcW w:w="1707" w:type="dxa"/>
            <w:vAlign w:val="center"/>
          </w:tcPr>
          <w:p>
            <w:pPr>
              <w:widowControl/>
              <w:jc w:val="center"/>
              <w:rPr>
                <w:rFonts w:ascii="仿宋" w:hAnsi="仿宋" w:eastAsia="仿宋" w:cs="仿宋"/>
                <w:kern w:val="0"/>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弯头</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85725" cy="85725"/>
                  <wp:effectExtent l="0" t="0" r="9525" b="952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直线点</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85725" cy="85725"/>
                  <wp:effectExtent l="0" t="0" r="9525" b="952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预留口</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666750" cy="142875"/>
                  <wp:effectExtent l="0" t="0" r="0" b="952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666750" cy="142875"/>
                          </a:xfrm>
                          <a:prstGeom prst="rect">
                            <a:avLst/>
                          </a:prstGeom>
                          <a:noFill/>
                          <a:ln>
                            <a:noFill/>
                          </a:ln>
                        </pic:spPr>
                      </pic:pic>
                    </a:graphicData>
                  </a:graphic>
                </wp:inline>
              </w:drawing>
            </w:r>
          </w:p>
        </w:tc>
        <w:tc>
          <w:tcPr>
            <w:tcW w:w="1995" w:type="dxa"/>
            <w:vAlign w:val="center"/>
          </w:tcPr>
          <w:p>
            <w:pPr>
              <w:tabs>
                <w:tab w:val="left" w:pos="794"/>
                <w:tab w:val="clear" w:pos="0"/>
              </w:tabs>
              <w:jc w:val="center"/>
              <w:rPr>
                <w:rFonts w:ascii="仿宋" w:hAnsi="仿宋" w:eastAsia="仿宋" w:cs="仿宋"/>
                <w:sz w:val="18"/>
                <w:szCs w:val="18"/>
              </w:rPr>
            </w:pPr>
            <w:r>
              <w:rPr>
                <w:rFonts w:hint="eastAsia" w:ascii="仿宋" w:hAnsi="仿宋" w:eastAsia="仿宋" w:cs="仿宋"/>
                <w:sz w:val="18"/>
                <w:szCs w:val="18"/>
              </w:rPr>
              <w:t>2.0+6.0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非普查</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695325" cy="85725"/>
                  <wp:effectExtent l="0" t="0" r="9525" b="952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695325" cy="85725"/>
                          </a:xfrm>
                          <a:prstGeom prst="rect">
                            <a:avLst/>
                          </a:prstGeom>
                          <a:noFill/>
                          <a:ln>
                            <a:noFill/>
                          </a:ln>
                        </pic:spPr>
                      </pic:pic>
                    </a:graphicData>
                  </a:graphic>
                </wp:inline>
              </w:drawing>
            </w:r>
          </w:p>
        </w:tc>
        <w:tc>
          <w:tcPr>
            <w:tcW w:w="1995" w:type="dxa"/>
            <w:vAlign w:val="center"/>
          </w:tcPr>
          <w:p>
            <w:pPr>
              <w:tabs>
                <w:tab w:val="left" w:pos="794"/>
                <w:tab w:val="clear" w:pos="0"/>
              </w:tabs>
              <w:jc w:val="center"/>
              <w:rPr>
                <w:rFonts w:ascii="仿宋" w:hAnsi="仿宋" w:eastAsia="仿宋" w:cs="仿宋"/>
                <w:sz w:val="18"/>
                <w:szCs w:val="18"/>
              </w:rPr>
            </w:pPr>
            <w:r>
              <w:rPr>
                <w:rFonts w:hint="eastAsia" w:ascii="仿宋" w:hAnsi="仿宋" w:eastAsia="仿宋" w:cs="仿宋"/>
                <w:sz w:val="18"/>
                <w:szCs w:val="18"/>
              </w:rPr>
              <w:t>1.0+6.0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井边点</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85725" cy="85725"/>
                  <wp:effectExtent l="0" t="0" r="9525" b="952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偏心点</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85725" cy="85725"/>
                  <wp:effectExtent l="0" t="0" r="9525"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出地</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85725" cy="257175"/>
                  <wp:effectExtent l="0" t="0" r="9525" b="952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85725" cy="257175"/>
                          </a:xfrm>
                          <a:prstGeom prst="rect">
                            <a:avLst/>
                          </a:prstGeom>
                          <a:noFill/>
                          <a:ln>
                            <a:noFill/>
                          </a:ln>
                        </pic:spPr>
                      </pic:pic>
                    </a:graphicData>
                  </a:graphic>
                </wp:inline>
              </w:drawing>
            </w:r>
          </w:p>
        </w:tc>
        <w:tc>
          <w:tcPr>
            <w:tcW w:w="1995" w:type="dxa"/>
            <w:vAlign w:val="center"/>
          </w:tcPr>
          <w:p>
            <w:pPr>
              <w:tabs>
                <w:tab w:val="left" w:pos="794"/>
                <w:tab w:val="clear" w:pos="0"/>
              </w:tabs>
              <w:jc w:val="center"/>
              <w:rPr>
                <w:rFonts w:ascii="仿宋" w:hAnsi="仿宋" w:eastAsia="仿宋" w:cs="仿宋"/>
                <w:sz w:val="18"/>
                <w:szCs w:val="18"/>
              </w:rPr>
            </w:pPr>
            <w:r>
              <w:rPr>
                <w:rFonts w:hint="eastAsia" w:ascii="仿宋" w:hAnsi="仿宋" w:eastAsia="仿宋" w:cs="仿宋"/>
                <w:sz w:val="18"/>
                <w:szCs w:val="18"/>
              </w:rPr>
              <w:t>1.0+2.0</w:t>
            </w:r>
          </w:p>
        </w:tc>
        <w:tc>
          <w:tcPr>
            <w:tcW w:w="1707" w:type="dxa"/>
            <w:vAlign w:val="center"/>
          </w:tcPr>
          <w:p>
            <w:pPr>
              <w:widowControl/>
              <w:jc w:val="center"/>
              <w:rPr>
                <w:rFonts w:ascii="仿宋" w:hAnsi="仿宋" w:eastAsia="仿宋" w:cs="仿宋"/>
                <w:kern w:val="0"/>
                <w:sz w:val="18"/>
                <w:szCs w:val="18"/>
              </w:rPr>
            </w:pPr>
            <w:r>
              <w:rPr>
                <w:rFonts w:hint="eastAsia" w:ascii="仿宋" w:hAnsi="仿宋" w:eastAsia="仿宋" w:cs="仿宋"/>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变径</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209550" cy="1714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09550" cy="171450"/>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1.0+2.0</w:t>
            </w:r>
          </w:p>
        </w:tc>
        <w:tc>
          <w:tcPr>
            <w:tcW w:w="1707" w:type="dxa"/>
            <w:vAlign w:val="center"/>
          </w:tcPr>
          <w:p>
            <w:pPr>
              <w:widowControl/>
              <w:jc w:val="center"/>
              <w:rPr>
                <w:rFonts w:ascii="仿宋" w:hAnsi="仿宋" w:eastAsia="仿宋" w:cs="仿宋"/>
                <w:kern w:val="0"/>
                <w:sz w:val="18"/>
                <w:szCs w:val="18"/>
              </w:rPr>
            </w:pPr>
            <w:r>
              <w:rPr>
                <w:rFonts w:hint="eastAsia" w:ascii="仿宋" w:hAnsi="仿宋" w:eastAsia="仿宋" w:cs="仿宋"/>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盖堵</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200025"/>
                  <wp:effectExtent l="0" t="0" r="9525" b="952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85725" cy="2000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2.0+1.0</w:t>
            </w:r>
          </w:p>
        </w:tc>
        <w:tc>
          <w:tcPr>
            <w:tcW w:w="1707" w:type="dxa"/>
            <w:vAlign w:val="center"/>
          </w:tcPr>
          <w:p>
            <w:pPr>
              <w:widowControl/>
              <w:jc w:val="center"/>
              <w:rPr>
                <w:rFonts w:ascii="仿宋" w:hAnsi="仿宋" w:eastAsia="仿宋" w:cs="仿宋"/>
                <w:kern w:val="0"/>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三通</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四通</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多通</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restart"/>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电力</w:t>
            </w:r>
          </w:p>
          <w:p>
            <w:pPr>
              <w:jc w:val="center"/>
              <w:rPr>
                <w:rFonts w:ascii="仿宋" w:hAnsi="仿宋" w:eastAsia="仿宋" w:cs="仿宋"/>
                <w:kern w:val="0"/>
                <w:sz w:val="18"/>
                <w:szCs w:val="18"/>
              </w:rPr>
            </w:pPr>
            <w:r>
              <w:rPr>
                <w:rFonts w:hint="eastAsia" w:ascii="仿宋" w:hAnsi="仿宋" w:eastAsia="仿宋" w:cs="仿宋"/>
                <w:kern w:val="0"/>
                <w:sz w:val="18"/>
                <w:szCs w:val="18"/>
              </w:rPr>
              <w:t>（DL）</w:t>
            </w: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人孔井</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71450" cy="1714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171450" cy="171450"/>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手孔</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200025" cy="200025"/>
                  <wp:effectExtent l="0" t="0" r="9525" b="952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通风井</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71450" cy="200025"/>
                  <wp:effectExtent l="0" t="0" r="0" b="952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71450" cy="2000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变电站</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200025" cy="200025"/>
                  <wp:effectExtent l="0" t="0" r="9525" b="952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配电室</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219075" cy="200025"/>
                  <wp:effectExtent l="0" t="0" r="9525" b="952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219075" cy="2000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3.0×2.0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变压器</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23825" cy="200025"/>
                  <wp:effectExtent l="0" t="0" r="9525" b="952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123825" cy="2000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1.2×2.0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接线箱</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200025" cy="200025"/>
                  <wp:effectExtent l="0" t="0" r="9525" b="952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sz w:val="18"/>
                <w:szCs w:val="18"/>
              </w:rPr>
              <w:t>路灯控制箱</w:t>
            </w:r>
          </w:p>
        </w:tc>
        <w:tc>
          <w:tcPr>
            <w:tcW w:w="1559" w:type="dxa"/>
            <w:vAlign w:val="center"/>
          </w:tcPr>
          <w:p>
            <w:pPr>
              <w:jc w:val="center"/>
              <w:rPr>
                <w:rFonts w:ascii="仿宋" w:hAnsi="仿宋" w:eastAsia="仿宋" w:cs="仿宋"/>
                <w:sz w:val="18"/>
                <w:szCs w:val="18"/>
              </w:rPr>
            </w:pPr>
            <w:r>
              <w:rPr>
                <w:rFonts w:ascii="仿宋" w:hAnsi="仿宋" w:eastAsia="仿宋" w:cs="仿宋"/>
                <w:kern w:val="0"/>
                <w:sz w:val="18"/>
                <w:szCs w:val="18"/>
              </w:rPr>
              <w:drawing>
                <wp:inline distT="0" distB="0" distL="0" distR="0">
                  <wp:extent cx="285750" cy="257175"/>
                  <wp:effectExtent l="0" t="0" r="0" b="952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285750" cy="25717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底部中心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路灯</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71450" cy="2095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171450" cy="209550"/>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2.2×2.8</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底部圆的几何中心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交通信号灯</w:t>
            </w:r>
          </w:p>
        </w:tc>
        <w:tc>
          <w:tcPr>
            <w:tcW w:w="1559" w:type="dxa"/>
            <w:vAlign w:val="center"/>
          </w:tcPr>
          <w:p>
            <w:pPr>
              <w:jc w:val="center"/>
              <w:rPr>
                <w:rFonts w:ascii="仿宋" w:hAnsi="仿宋" w:eastAsia="仿宋" w:cs="仿宋"/>
                <w:sz w:val="18"/>
                <w:szCs w:val="18"/>
              </w:rPr>
            </w:pPr>
            <w:r>
              <w:rPr>
                <w:rFonts w:ascii="仿宋" w:hAnsi="仿宋" w:eastAsia="仿宋" w:cs="仿宋"/>
                <w:kern w:val="0"/>
                <w:sz w:val="18"/>
                <w:szCs w:val="18"/>
              </w:rPr>
              <w:drawing>
                <wp:inline distT="0" distB="0" distL="0" distR="0">
                  <wp:extent cx="257175" cy="304800"/>
                  <wp:effectExtent l="0" t="0" r="952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257175" cy="304800"/>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1.6×3.6</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底部中心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地灯</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200025" cy="200025"/>
                  <wp:effectExtent l="0" t="0" r="9525" b="952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底部中心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线杆</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66675" cy="200025"/>
                  <wp:effectExtent l="0" t="0" r="9525" b="952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66675" cy="2000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2.0×3.6</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底部中心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广告牌</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200025" cy="200025"/>
                  <wp:effectExtent l="0" t="0" r="9525" b="952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底部圆的几何中心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bCs/>
                <w:kern w:val="0"/>
                <w:szCs w:val="21"/>
              </w:rPr>
              <w:t>砼杆</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bCs/>
                <w:kern w:val="0"/>
                <w:szCs w:val="21"/>
              </w:rPr>
              <w:t>π杆</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bCs/>
                <w:kern w:val="0"/>
                <w:szCs w:val="21"/>
              </w:rPr>
              <w:t>铁杆</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bCs/>
                <w:kern w:val="0"/>
                <w:szCs w:val="21"/>
              </w:rPr>
              <w:t>铁塔</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转折点</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直线点</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预留口</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666750" cy="142875"/>
                  <wp:effectExtent l="0" t="0" r="0" b="952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666750" cy="14287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2.0+6.0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非普查</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695325" cy="85725"/>
                  <wp:effectExtent l="0" t="0" r="9525"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6953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1.0+6.0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井边点</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偏心点</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上杆</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257175"/>
                  <wp:effectExtent l="0" t="0" r="9525" b="952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85725" cy="25717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分支点</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restart"/>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通信</w:t>
            </w:r>
          </w:p>
          <w:p>
            <w:pPr>
              <w:jc w:val="center"/>
              <w:rPr>
                <w:rFonts w:ascii="仿宋" w:hAnsi="仿宋" w:eastAsia="仿宋" w:cs="仿宋"/>
                <w:kern w:val="0"/>
                <w:sz w:val="18"/>
                <w:szCs w:val="18"/>
              </w:rPr>
            </w:pPr>
            <w:r>
              <w:rPr>
                <w:rFonts w:hint="eastAsia" w:ascii="仿宋" w:hAnsi="仿宋" w:eastAsia="仿宋" w:cs="仿宋"/>
                <w:kern w:val="0"/>
                <w:sz w:val="18"/>
                <w:szCs w:val="18"/>
              </w:rPr>
              <w:t>（TX）</w:t>
            </w: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人孔井</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52400" cy="142875"/>
                  <wp:effectExtent l="0" t="0" r="0" b="952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152400" cy="14287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手孔井</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42875" cy="142875"/>
                  <wp:effectExtent l="0" t="0" r="9525"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交接箱</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71450" cy="200025"/>
                  <wp:effectExtent l="0" t="0" r="0"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171450" cy="2000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2.0×3.0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电话亭</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209550" cy="2476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209550" cy="247650"/>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3.0×0.5</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底部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监控器</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95250" cy="314325"/>
                  <wp:effectExtent l="0" t="0" r="0" b="952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95250" cy="3143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1.4×3.0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底部圆的几何中心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无线电杆</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23825" cy="257175"/>
                  <wp:effectExtent l="0" t="0" r="9525"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123825" cy="25717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1.0×3.0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底部圆的几何中心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差转台</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200025" cy="200025"/>
                  <wp:effectExtent l="0" t="0" r="9525" b="952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底部中心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发射塔</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95250" cy="200025"/>
                  <wp:effectExtent l="0" t="0" r="0"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95250" cy="2000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1.6×2.0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底部中心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交换站</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42875" cy="142875"/>
                  <wp:effectExtent l="0" t="0" r="9525"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转折点</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直线点</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预留口</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666750" cy="142875"/>
                  <wp:effectExtent l="0" t="0" r="0"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666750" cy="14287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2.0+6.0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非普查</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695325" cy="85725"/>
                  <wp:effectExtent l="0" t="0" r="9525"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6953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1.0+6.0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井边点</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偏心点</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上杆</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257175"/>
                  <wp:effectExtent l="0" t="0" r="9525"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85725" cy="25717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沟边点</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分支点</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restart"/>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工业</w:t>
            </w:r>
          </w:p>
          <w:p>
            <w:pPr>
              <w:jc w:val="center"/>
              <w:rPr>
                <w:rFonts w:ascii="仿宋" w:hAnsi="仿宋" w:eastAsia="仿宋" w:cs="仿宋"/>
                <w:kern w:val="0"/>
                <w:sz w:val="18"/>
                <w:szCs w:val="18"/>
              </w:rPr>
            </w:pPr>
            <w:r>
              <w:rPr>
                <w:rFonts w:hint="eastAsia" w:ascii="仿宋" w:hAnsi="仿宋" w:eastAsia="仿宋" w:cs="仿宋"/>
                <w:kern w:val="0"/>
                <w:sz w:val="18"/>
                <w:szCs w:val="18"/>
              </w:rPr>
              <w:t>（GY）</w:t>
            </w: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检修井</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200025" cy="200025"/>
                  <wp:effectExtent l="0" t="0" r="9525"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阀门井</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200025" cy="200025"/>
                  <wp:effectExtent l="0" t="0" r="9525"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阀门</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42875" cy="209550"/>
                  <wp:effectExtent l="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42875" cy="209550"/>
                          </a:xfrm>
                          <a:prstGeom prst="rect">
                            <a:avLst/>
                          </a:prstGeom>
                          <a:noFill/>
                          <a:ln>
                            <a:noFill/>
                          </a:ln>
                        </pic:spPr>
                      </pic:pic>
                    </a:graphicData>
                  </a:graphic>
                </wp:inline>
              </w:drawing>
            </w:r>
          </w:p>
        </w:tc>
        <w:tc>
          <w:tcPr>
            <w:tcW w:w="1995" w:type="dxa"/>
            <w:vAlign w:val="center"/>
          </w:tcPr>
          <w:p>
            <w:pPr>
              <w:tabs>
                <w:tab w:val="left" w:pos="794"/>
                <w:tab w:val="clear" w:pos="0"/>
              </w:tabs>
              <w:jc w:val="center"/>
              <w:rPr>
                <w:rFonts w:ascii="仿宋" w:hAnsi="仿宋" w:eastAsia="仿宋" w:cs="仿宋"/>
                <w:sz w:val="18"/>
                <w:szCs w:val="18"/>
              </w:rPr>
            </w:pPr>
            <w:r>
              <w:rPr>
                <w:rFonts w:hint="eastAsia" w:ascii="仿宋" w:hAnsi="仿宋" w:eastAsia="仿宋" w:cs="仿宋"/>
                <w:sz w:val="18"/>
                <w:szCs w:val="18"/>
              </w:rPr>
              <w:t>1.6+1.0</w:t>
            </w:r>
          </w:p>
        </w:tc>
        <w:tc>
          <w:tcPr>
            <w:tcW w:w="1707" w:type="dxa"/>
            <w:vAlign w:val="center"/>
          </w:tcPr>
          <w:p>
            <w:pPr>
              <w:widowControl/>
              <w:jc w:val="center"/>
              <w:rPr>
                <w:rFonts w:ascii="仿宋" w:hAnsi="仿宋" w:eastAsia="仿宋" w:cs="仿宋"/>
                <w:kern w:val="0"/>
                <w:sz w:val="18"/>
                <w:szCs w:val="18"/>
              </w:rPr>
            </w:pPr>
            <w:r>
              <w:rPr>
                <w:rFonts w:hint="eastAsia" w:ascii="仿宋" w:hAnsi="仿宋" w:eastAsia="仿宋" w:cs="仿宋"/>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排污装置</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200025" cy="200025"/>
                  <wp:effectExtent l="0" t="0" r="9525"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a:ln>
                            <a:noFill/>
                          </a:ln>
                        </pic:spPr>
                      </pic:pic>
                    </a:graphicData>
                  </a:graphic>
                </wp:inline>
              </w:drawing>
            </w:r>
          </w:p>
        </w:tc>
        <w:tc>
          <w:tcPr>
            <w:tcW w:w="1995" w:type="dxa"/>
            <w:vAlign w:val="center"/>
          </w:tcPr>
          <w:p>
            <w:pPr>
              <w:widowControl/>
              <w:jc w:val="center"/>
              <w:rPr>
                <w:rFonts w:ascii="仿宋" w:hAnsi="仿宋" w:eastAsia="仿宋" w:cs="仿宋"/>
                <w:kern w:val="0"/>
                <w:sz w:val="18"/>
                <w:szCs w:val="18"/>
              </w:rPr>
            </w:pPr>
            <w:r>
              <w:rPr>
                <w:rFonts w:hint="eastAsia" w:ascii="仿宋" w:hAnsi="仿宋" w:eastAsia="仿宋" w:cs="仿宋"/>
                <w:sz w:val="18"/>
                <w:szCs w:val="18"/>
              </w:rPr>
              <w:t>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动力站</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285750" cy="1714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285750" cy="171450"/>
                          </a:xfrm>
                          <a:prstGeom prst="rect">
                            <a:avLst/>
                          </a:prstGeom>
                          <a:noFill/>
                          <a:ln>
                            <a:noFill/>
                          </a:ln>
                        </pic:spPr>
                      </pic:pic>
                    </a:graphicData>
                  </a:graphic>
                </wp:inline>
              </w:drawing>
            </w:r>
          </w:p>
        </w:tc>
        <w:tc>
          <w:tcPr>
            <w:tcW w:w="1995" w:type="dxa"/>
            <w:vAlign w:val="center"/>
          </w:tcPr>
          <w:p>
            <w:pPr>
              <w:widowControl/>
              <w:jc w:val="center"/>
              <w:rPr>
                <w:rFonts w:ascii="仿宋" w:hAnsi="仿宋" w:eastAsia="仿宋" w:cs="仿宋"/>
                <w:kern w:val="0"/>
                <w:sz w:val="18"/>
                <w:szCs w:val="18"/>
              </w:rPr>
            </w:pPr>
            <w:r>
              <w:rPr>
                <w:rFonts w:hint="eastAsia" w:ascii="仿宋" w:hAnsi="仿宋" w:eastAsia="仿宋" w:cs="仿宋"/>
                <w:sz w:val="18"/>
                <w:szCs w:val="18"/>
              </w:rPr>
              <w:t>3.0×2.0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弯头</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85725" cy="85725"/>
                  <wp:effectExtent l="0" t="0" r="9525"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直线点</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85725" cy="85725"/>
                  <wp:effectExtent l="0" t="0" r="9525"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预留口</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666750" cy="142875"/>
                  <wp:effectExtent l="0" t="0" r="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666750" cy="142875"/>
                          </a:xfrm>
                          <a:prstGeom prst="rect">
                            <a:avLst/>
                          </a:prstGeom>
                          <a:noFill/>
                          <a:ln>
                            <a:noFill/>
                          </a:ln>
                        </pic:spPr>
                      </pic:pic>
                    </a:graphicData>
                  </a:graphic>
                </wp:inline>
              </w:drawing>
            </w:r>
          </w:p>
        </w:tc>
        <w:tc>
          <w:tcPr>
            <w:tcW w:w="1995" w:type="dxa"/>
            <w:vAlign w:val="center"/>
          </w:tcPr>
          <w:p>
            <w:pPr>
              <w:tabs>
                <w:tab w:val="left" w:pos="794"/>
                <w:tab w:val="clear" w:pos="0"/>
              </w:tabs>
              <w:jc w:val="center"/>
              <w:rPr>
                <w:rFonts w:ascii="仿宋" w:hAnsi="仿宋" w:eastAsia="仿宋" w:cs="仿宋"/>
                <w:sz w:val="18"/>
                <w:szCs w:val="18"/>
              </w:rPr>
            </w:pPr>
            <w:r>
              <w:rPr>
                <w:rFonts w:hint="eastAsia" w:ascii="仿宋" w:hAnsi="仿宋" w:eastAsia="仿宋" w:cs="仿宋"/>
                <w:sz w:val="18"/>
                <w:szCs w:val="18"/>
              </w:rPr>
              <w:t>2.0+6.0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非普查</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695325" cy="85725"/>
                  <wp:effectExtent l="0" t="0" r="952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695325" cy="85725"/>
                          </a:xfrm>
                          <a:prstGeom prst="rect">
                            <a:avLst/>
                          </a:prstGeom>
                          <a:noFill/>
                          <a:ln>
                            <a:noFill/>
                          </a:ln>
                        </pic:spPr>
                      </pic:pic>
                    </a:graphicData>
                  </a:graphic>
                </wp:inline>
              </w:drawing>
            </w:r>
          </w:p>
        </w:tc>
        <w:tc>
          <w:tcPr>
            <w:tcW w:w="1995" w:type="dxa"/>
            <w:vAlign w:val="center"/>
          </w:tcPr>
          <w:p>
            <w:pPr>
              <w:tabs>
                <w:tab w:val="left" w:pos="794"/>
                <w:tab w:val="clear" w:pos="0"/>
              </w:tabs>
              <w:jc w:val="center"/>
              <w:rPr>
                <w:rFonts w:ascii="仿宋" w:hAnsi="仿宋" w:eastAsia="仿宋" w:cs="仿宋"/>
                <w:sz w:val="18"/>
                <w:szCs w:val="18"/>
              </w:rPr>
            </w:pPr>
            <w:r>
              <w:rPr>
                <w:rFonts w:hint="eastAsia" w:ascii="仿宋" w:hAnsi="仿宋" w:eastAsia="仿宋" w:cs="仿宋"/>
                <w:sz w:val="18"/>
                <w:szCs w:val="18"/>
              </w:rPr>
              <w:t>1.0+6.0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井边点</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85725" cy="85725"/>
                  <wp:effectExtent l="0" t="0" r="9525"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偏心点</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85725" cy="85725"/>
                  <wp:effectExtent l="0" t="0" r="9525"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出地</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85725" cy="257175"/>
                  <wp:effectExtent l="0" t="0" r="952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85725" cy="257175"/>
                          </a:xfrm>
                          <a:prstGeom prst="rect">
                            <a:avLst/>
                          </a:prstGeom>
                          <a:noFill/>
                          <a:ln>
                            <a:noFill/>
                          </a:ln>
                        </pic:spPr>
                      </pic:pic>
                    </a:graphicData>
                  </a:graphic>
                </wp:inline>
              </w:drawing>
            </w:r>
          </w:p>
        </w:tc>
        <w:tc>
          <w:tcPr>
            <w:tcW w:w="1995" w:type="dxa"/>
            <w:vAlign w:val="center"/>
          </w:tcPr>
          <w:p>
            <w:pPr>
              <w:tabs>
                <w:tab w:val="left" w:pos="794"/>
                <w:tab w:val="clear" w:pos="0"/>
              </w:tabs>
              <w:jc w:val="center"/>
              <w:rPr>
                <w:rFonts w:ascii="仿宋" w:hAnsi="仿宋" w:eastAsia="仿宋" w:cs="仿宋"/>
                <w:sz w:val="18"/>
                <w:szCs w:val="18"/>
              </w:rPr>
            </w:pPr>
            <w:r>
              <w:rPr>
                <w:rFonts w:hint="eastAsia" w:ascii="仿宋" w:hAnsi="仿宋" w:eastAsia="仿宋" w:cs="仿宋"/>
                <w:sz w:val="18"/>
                <w:szCs w:val="18"/>
              </w:rPr>
              <w:t>1.0+2.0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变径</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209550" cy="1714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09550" cy="171450"/>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盖堵</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200025"/>
                  <wp:effectExtent l="0" t="0" r="952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85725" cy="2000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2.0+1.0</w:t>
            </w:r>
          </w:p>
        </w:tc>
        <w:tc>
          <w:tcPr>
            <w:tcW w:w="1707" w:type="dxa"/>
            <w:vAlign w:val="center"/>
          </w:tcPr>
          <w:p>
            <w:pPr>
              <w:widowControl/>
              <w:jc w:val="center"/>
              <w:rPr>
                <w:rFonts w:ascii="仿宋" w:hAnsi="仿宋" w:eastAsia="仿宋" w:cs="仿宋"/>
                <w:kern w:val="0"/>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三通</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四通</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多通</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restart"/>
            <w:vAlign w:val="center"/>
          </w:tcPr>
          <w:p>
            <w:pPr>
              <w:jc w:val="center"/>
              <w:rPr>
                <w:rFonts w:ascii="仿宋" w:hAnsi="仿宋" w:eastAsia="仿宋" w:cs="仿宋"/>
                <w:kern w:val="0"/>
                <w:sz w:val="18"/>
                <w:szCs w:val="18"/>
              </w:rPr>
            </w:pPr>
          </w:p>
          <w:p>
            <w:pPr>
              <w:jc w:val="center"/>
              <w:rPr>
                <w:rFonts w:ascii="仿宋" w:hAnsi="仿宋" w:eastAsia="仿宋" w:cs="仿宋"/>
                <w:kern w:val="0"/>
                <w:sz w:val="18"/>
                <w:szCs w:val="18"/>
              </w:rPr>
            </w:pPr>
          </w:p>
          <w:p>
            <w:pPr>
              <w:jc w:val="center"/>
              <w:rPr>
                <w:rFonts w:ascii="仿宋" w:hAnsi="仿宋" w:eastAsia="仿宋" w:cs="仿宋"/>
                <w:kern w:val="0"/>
                <w:sz w:val="18"/>
                <w:szCs w:val="18"/>
              </w:rPr>
            </w:pPr>
          </w:p>
          <w:p>
            <w:pPr>
              <w:jc w:val="center"/>
              <w:rPr>
                <w:rFonts w:ascii="仿宋" w:hAnsi="仿宋" w:eastAsia="仿宋" w:cs="仿宋"/>
                <w:kern w:val="0"/>
                <w:sz w:val="18"/>
                <w:szCs w:val="18"/>
              </w:rPr>
            </w:pPr>
          </w:p>
          <w:p>
            <w:pPr>
              <w:jc w:val="center"/>
              <w:rPr>
                <w:rFonts w:ascii="仿宋" w:hAnsi="仿宋" w:eastAsia="仿宋" w:cs="仿宋"/>
                <w:kern w:val="0"/>
                <w:sz w:val="18"/>
                <w:szCs w:val="18"/>
              </w:rPr>
            </w:pPr>
          </w:p>
          <w:p>
            <w:pPr>
              <w:pStyle w:val="2"/>
              <w:jc w:val="center"/>
            </w:pPr>
          </w:p>
          <w:p>
            <w:pPr>
              <w:pStyle w:val="2"/>
              <w:jc w:val="center"/>
            </w:pPr>
          </w:p>
          <w:p>
            <w:pPr>
              <w:pStyle w:val="2"/>
              <w:jc w:val="center"/>
            </w:pPr>
          </w:p>
          <w:p>
            <w:pPr>
              <w:pStyle w:val="2"/>
              <w:jc w:val="center"/>
            </w:pPr>
          </w:p>
          <w:p>
            <w:pPr>
              <w:pStyle w:val="2"/>
              <w:jc w:val="center"/>
              <w:rPr>
                <w:rFonts w:ascii="仿宋" w:hAnsi="仿宋" w:eastAsia="仿宋" w:cs="仿宋"/>
                <w:kern w:val="0"/>
                <w:sz w:val="18"/>
                <w:szCs w:val="18"/>
              </w:rPr>
            </w:pPr>
          </w:p>
          <w:p>
            <w:pPr>
              <w:jc w:val="center"/>
              <w:rPr>
                <w:rFonts w:ascii="仿宋" w:hAnsi="仿宋" w:eastAsia="仿宋" w:cs="仿宋"/>
                <w:kern w:val="0"/>
                <w:sz w:val="18"/>
                <w:szCs w:val="18"/>
              </w:rPr>
            </w:pPr>
            <w:r>
              <w:rPr>
                <w:rFonts w:hint="eastAsia" w:ascii="仿宋" w:hAnsi="仿宋" w:eastAsia="仿宋" w:cs="仿宋"/>
                <w:kern w:val="0"/>
                <w:sz w:val="18"/>
                <w:szCs w:val="18"/>
              </w:rPr>
              <w:t>综合管廊（沟）</w:t>
            </w:r>
          </w:p>
          <w:p>
            <w:pPr>
              <w:jc w:val="center"/>
              <w:rPr>
                <w:rFonts w:ascii="仿宋" w:hAnsi="仿宋" w:eastAsia="仿宋" w:cs="仿宋"/>
                <w:kern w:val="0"/>
                <w:sz w:val="18"/>
                <w:szCs w:val="18"/>
              </w:rPr>
            </w:pPr>
            <w:r>
              <w:rPr>
                <w:rFonts w:hint="eastAsia" w:ascii="仿宋" w:hAnsi="仿宋" w:eastAsia="仿宋" w:cs="仿宋"/>
                <w:kern w:val="0"/>
                <w:sz w:val="18"/>
                <w:szCs w:val="18"/>
              </w:rPr>
              <w:t>（ZH）</w:t>
            </w: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检修井</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42875" cy="142875"/>
                  <wp:effectExtent l="0" t="0" r="952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出入口</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23825" cy="152400"/>
                  <wp:effectExtent l="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123825" cy="152400"/>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1.8×2.5</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投料口</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71450" cy="1714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171450" cy="171450"/>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通风口</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200025" cy="200025"/>
                  <wp:effectExtent l="0" t="0" r="952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排气装置</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200025" cy="200025"/>
                  <wp:effectExtent l="0" t="0" r="9525"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弯头</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85725" cy="85725"/>
                  <wp:effectExtent l="0" t="0" r="9525"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直线点</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85725" cy="85725"/>
                  <wp:effectExtent l="0" t="0" r="952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预留口</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666750" cy="14287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666750" cy="142875"/>
                          </a:xfrm>
                          <a:prstGeom prst="rect">
                            <a:avLst/>
                          </a:prstGeom>
                          <a:noFill/>
                          <a:ln>
                            <a:noFill/>
                          </a:ln>
                        </pic:spPr>
                      </pic:pic>
                    </a:graphicData>
                  </a:graphic>
                </wp:inline>
              </w:drawing>
            </w:r>
          </w:p>
        </w:tc>
        <w:tc>
          <w:tcPr>
            <w:tcW w:w="1995" w:type="dxa"/>
            <w:vAlign w:val="center"/>
          </w:tcPr>
          <w:p>
            <w:pPr>
              <w:tabs>
                <w:tab w:val="left" w:pos="794"/>
                <w:tab w:val="clear" w:pos="0"/>
              </w:tabs>
              <w:jc w:val="center"/>
              <w:rPr>
                <w:rFonts w:ascii="仿宋" w:hAnsi="仿宋" w:eastAsia="仿宋" w:cs="仿宋"/>
                <w:sz w:val="18"/>
                <w:szCs w:val="18"/>
              </w:rPr>
            </w:pPr>
            <w:r>
              <w:rPr>
                <w:rFonts w:hint="eastAsia" w:ascii="仿宋" w:hAnsi="仿宋" w:eastAsia="仿宋" w:cs="仿宋"/>
                <w:sz w:val="18"/>
                <w:szCs w:val="18"/>
              </w:rPr>
              <w:t>2.0+6.0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非普查</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695325" cy="8572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695325" cy="85725"/>
                          </a:xfrm>
                          <a:prstGeom prst="rect">
                            <a:avLst/>
                          </a:prstGeom>
                          <a:noFill/>
                          <a:ln>
                            <a:noFill/>
                          </a:ln>
                        </pic:spPr>
                      </pic:pic>
                    </a:graphicData>
                  </a:graphic>
                </wp:inline>
              </w:drawing>
            </w:r>
          </w:p>
        </w:tc>
        <w:tc>
          <w:tcPr>
            <w:tcW w:w="1995" w:type="dxa"/>
            <w:vAlign w:val="center"/>
          </w:tcPr>
          <w:p>
            <w:pPr>
              <w:tabs>
                <w:tab w:val="left" w:pos="794"/>
                <w:tab w:val="clear" w:pos="0"/>
              </w:tabs>
              <w:jc w:val="center"/>
              <w:rPr>
                <w:rFonts w:ascii="仿宋" w:hAnsi="仿宋" w:eastAsia="仿宋" w:cs="仿宋"/>
                <w:sz w:val="18"/>
                <w:szCs w:val="18"/>
              </w:rPr>
            </w:pPr>
            <w:r>
              <w:rPr>
                <w:rFonts w:hint="eastAsia" w:ascii="仿宋" w:hAnsi="仿宋" w:eastAsia="仿宋" w:cs="仿宋"/>
                <w:sz w:val="18"/>
                <w:szCs w:val="18"/>
              </w:rPr>
              <w:t>1.0+6.0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井边点</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85725" cy="85725"/>
                  <wp:effectExtent l="0" t="0" r="952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偏心点</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85725" cy="8572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出地</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85725" cy="28575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85725" cy="285750"/>
                          </a:xfrm>
                          <a:prstGeom prst="rect">
                            <a:avLst/>
                          </a:prstGeom>
                          <a:noFill/>
                          <a:ln>
                            <a:noFill/>
                          </a:ln>
                        </pic:spPr>
                      </pic:pic>
                    </a:graphicData>
                  </a:graphic>
                </wp:inline>
              </w:drawing>
            </w:r>
          </w:p>
        </w:tc>
        <w:tc>
          <w:tcPr>
            <w:tcW w:w="1995" w:type="dxa"/>
            <w:vAlign w:val="center"/>
          </w:tcPr>
          <w:p>
            <w:pPr>
              <w:tabs>
                <w:tab w:val="left" w:pos="794"/>
                <w:tab w:val="clear" w:pos="0"/>
              </w:tabs>
              <w:jc w:val="center"/>
              <w:rPr>
                <w:rFonts w:ascii="仿宋" w:hAnsi="仿宋" w:eastAsia="仿宋" w:cs="仿宋"/>
                <w:sz w:val="18"/>
                <w:szCs w:val="18"/>
              </w:rPr>
            </w:pPr>
            <w:r>
              <w:rPr>
                <w:rFonts w:hint="eastAsia" w:ascii="仿宋" w:hAnsi="仿宋" w:eastAsia="仿宋" w:cs="仿宋"/>
                <w:sz w:val="18"/>
                <w:szCs w:val="18"/>
              </w:rPr>
              <w:t>1.0+2.0</w:t>
            </w:r>
          </w:p>
        </w:tc>
        <w:tc>
          <w:tcPr>
            <w:tcW w:w="1707" w:type="dxa"/>
            <w:vAlign w:val="center"/>
          </w:tcPr>
          <w:p>
            <w:pPr>
              <w:widowControl/>
              <w:jc w:val="center"/>
              <w:rPr>
                <w:rFonts w:ascii="仿宋" w:hAnsi="仿宋" w:eastAsia="仿宋" w:cs="仿宋"/>
                <w:kern w:val="0"/>
                <w:sz w:val="18"/>
                <w:szCs w:val="18"/>
              </w:rPr>
            </w:pPr>
            <w:r>
              <w:rPr>
                <w:rFonts w:hint="eastAsia" w:ascii="仿宋" w:hAnsi="仿宋" w:eastAsia="仿宋" w:cs="仿宋"/>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变径</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209550" cy="1714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09550" cy="171450"/>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1.0+2.0</w:t>
            </w:r>
          </w:p>
        </w:tc>
        <w:tc>
          <w:tcPr>
            <w:tcW w:w="1707" w:type="dxa"/>
            <w:vAlign w:val="center"/>
          </w:tcPr>
          <w:p>
            <w:pPr>
              <w:widowControl/>
              <w:jc w:val="center"/>
              <w:rPr>
                <w:rFonts w:ascii="仿宋" w:hAnsi="仿宋" w:eastAsia="仿宋" w:cs="仿宋"/>
                <w:kern w:val="0"/>
                <w:sz w:val="18"/>
                <w:szCs w:val="18"/>
              </w:rPr>
            </w:pPr>
            <w:r>
              <w:rPr>
                <w:rFonts w:hint="eastAsia" w:ascii="仿宋" w:hAnsi="仿宋" w:eastAsia="仿宋" w:cs="仿宋"/>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三通</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四通</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多通</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restart"/>
            <w:vAlign w:val="center"/>
          </w:tcPr>
          <w:p>
            <w:pPr>
              <w:jc w:val="center"/>
              <w:rPr>
                <w:rFonts w:ascii="仿宋" w:hAnsi="仿宋" w:eastAsia="仿宋" w:cs="仿宋"/>
                <w:kern w:val="0"/>
                <w:sz w:val="18"/>
                <w:szCs w:val="18"/>
              </w:rPr>
            </w:pPr>
            <w:r>
              <w:rPr>
                <w:rFonts w:hint="eastAsia" w:ascii="仿宋" w:hAnsi="仿宋" w:eastAsia="仿宋" w:cs="仿宋"/>
                <w:kern w:val="0"/>
                <w:sz w:val="18"/>
                <w:szCs w:val="18"/>
              </w:rPr>
              <w:t>其他管线（QT ）</w:t>
            </w:r>
          </w:p>
        </w:tc>
        <w:tc>
          <w:tcPr>
            <w:tcW w:w="2127" w:type="dxa"/>
            <w:vAlign w:val="center"/>
          </w:tcPr>
          <w:p>
            <w:pPr>
              <w:widowControl/>
              <w:jc w:val="center"/>
              <w:rPr>
                <w:rFonts w:ascii="仿宋" w:hAnsi="仿宋" w:eastAsia="仿宋" w:cs="仿宋"/>
                <w:kern w:val="0"/>
                <w:sz w:val="18"/>
                <w:szCs w:val="18"/>
              </w:rPr>
            </w:pPr>
            <w:r>
              <w:rPr>
                <w:rFonts w:hint="eastAsia" w:ascii="仿宋" w:hAnsi="仿宋" w:eastAsia="仿宋" w:cs="仿宋"/>
                <w:kern w:val="0"/>
                <w:sz w:val="18"/>
                <w:szCs w:val="18"/>
              </w:rPr>
              <w:t>检修井</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42875" cy="14287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弯头</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85725" cy="8572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直线点</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85725" cy="8572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预留口</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666750" cy="14287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666750" cy="142875"/>
                          </a:xfrm>
                          <a:prstGeom prst="rect">
                            <a:avLst/>
                          </a:prstGeom>
                          <a:noFill/>
                          <a:ln>
                            <a:noFill/>
                          </a:ln>
                        </pic:spPr>
                      </pic:pic>
                    </a:graphicData>
                  </a:graphic>
                </wp:inline>
              </w:drawing>
            </w:r>
          </w:p>
        </w:tc>
        <w:tc>
          <w:tcPr>
            <w:tcW w:w="1995" w:type="dxa"/>
            <w:vAlign w:val="center"/>
          </w:tcPr>
          <w:p>
            <w:pPr>
              <w:tabs>
                <w:tab w:val="left" w:pos="794"/>
                <w:tab w:val="clear" w:pos="0"/>
              </w:tabs>
              <w:jc w:val="center"/>
              <w:rPr>
                <w:rFonts w:ascii="仿宋" w:hAnsi="仿宋" w:eastAsia="仿宋" w:cs="仿宋"/>
                <w:sz w:val="18"/>
                <w:szCs w:val="18"/>
              </w:rPr>
            </w:pPr>
            <w:r>
              <w:rPr>
                <w:rFonts w:hint="eastAsia" w:ascii="仿宋" w:hAnsi="仿宋" w:eastAsia="仿宋" w:cs="仿宋"/>
                <w:sz w:val="18"/>
                <w:szCs w:val="18"/>
              </w:rPr>
              <w:t>2.0+6.0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非普查</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695325" cy="8572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695325" cy="85725"/>
                          </a:xfrm>
                          <a:prstGeom prst="rect">
                            <a:avLst/>
                          </a:prstGeom>
                          <a:noFill/>
                          <a:ln>
                            <a:noFill/>
                          </a:ln>
                        </pic:spPr>
                      </pic:pic>
                    </a:graphicData>
                  </a:graphic>
                </wp:inline>
              </w:drawing>
            </w:r>
          </w:p>
        </w:tc>
        <w:tc>
          <w:tcPr>
            <w:tcW w:w="1995" w:type="dxa"/>
            <w:vAlign w:val="center"/>
          </w:tcPr>
          <w:p>
            <w:pPr>
              <w:tabs>
                <w:tab w:val="left" w:pos="794"/>
                <w:tab w:val="clear" w:pos="0"/>
              </w:tabs>
              <w:jc w:val="center"/>
              <w:rPr>
                <w:rFonts w:ascii="仿宋" w:hAnsi="仿宋" w:eastAsia="仿宋" w:cs="仿宋"/>
                <w:sz w:val="18"/>
                <w:szCs w:val="18"/>
              </w:rPr>
            </w:pPr>
            <w:r>
              <w:rPr>
                <w:rFonts w:hint="eastAsia" w:ascii="仿宋" w:hAnsi="仿宋" w:eastAsia="仿宋" w:cs="仿宋"/>
                <w:sz w:val="18"/>
                <w:szCs w:val="18"/>
              </w:rPr>
              <w:t>1.0+6.0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井边点</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85725" cy="85725"/>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偏心点</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85725" cy="8572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出地</w:t>
            </w:r>
          </w:p>
        </w:tc>
        <w:tc>
          <w:tcPr>
            <w:tcW w:w="1559" w:type="dxa"/>
            <w:vAlign w:val="center"/>
          </w:tcPr>
          <w:p>
            <w:pPr>
              <w:widowControl/>
              <w:jc w:val="center"/>
              <w:rPr>
                <w:rFonts w:ascii="仿宋" w:hAnsi="仿宋" w:eastAsia="仿宋" w:cs="仿宋"/>
                <w:kern w:val="0"/>
                <w:sz w:val="18"/>
                <w:szCs w:val="18"/>
              </w:rPr>
            </w:pPr>
            <w:r>
              <w:rPr>
                <w:rFonts w:ascii="仿宋" w:hAnsi="仿宋" w:eastAsia="仿宋" w:cs="仿宋"/>
                <w:sz w:val="18"/>
                <w:szCs w:val="18"/>
              </w:rPr>
              <w:drawing>
                <wp:inline distT="0" distB="0" distL="0" distR="0">
                  <wp:extent cx="85725" cy="28575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85725" cy="285750"/>
                          </a:xfrm>
                          <a:prstGeom prst="rect">
                            <a:avLst/>
                          </a:prstGeom>
                          <a:noFill/>
                          <a:ln>
                            <a:noFill/>
                          </a:ln>
                        </pic:spPr>
                      </pic:pic>
                    </a:graphicData>
                  </a:graphic>
                </wp:inline>
              </w:drawing>
            </w:r>
          </w:p>
        </w:tc>
        <w:tc>
          <w:tcPr>
            <w:tcW w:w="1995" w:type="dxa"/>
            <w:vAlign w:val="center"/>
          </w:tcPr>
          <w:p>
            <w:pPr>
              <w:tabs>
                <w:tab w:val="left" w:pos="794"/>
                <w:tab w:val="clear" w:pos="0"/>
              </w:tabs>
              <w:jc w:val="center"/>
              <w:rPr>
                <w:rFonts w:ascii="仿宋" w:hAnsi="仿宋" w:eastAsia="仿宋" w:cs="仿宋"/>
                <w:sz w:val="18"/>
                <w:szCs w:val="18"/>
              </w:rPr>
            </w:pPr>
            <w:r>
              <w:rPr>
                <w:rFonts w:hint="eastAsia" w:ascii="仿宋" w:hAnsi="仿宋" w:eastAsia="仿宋" w:cs="仿宋"/>
                <w:sz w:val="18"/>
                <w:szCs w:val="18"/>
              </w:rPr>
              <w:t>1.0+2.0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变径</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209550" cy="1714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09550" cy="171450"/>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1.0+2.0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三通</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四通</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jc w:val="center"/>
              <w:rPr>
                <w:rFonts w:ascii="仿宋" w:hAnsi="仿宋" w:eastAsia="仿宋" w:cs="仿宋"/>
                <w:kern w:val="0"/>
                <w:sz w:val="18"/>
                <w:szCs w:val="18"/>
              </w:rPr>
            </w:pPr>
          </w:p>
        </w:tc>
        <w:tc>
          <w:tcPr>
            <w:tcW w:w="2127" w:type="dxa"/>
            <w:vAlign w:val="center"/>
          </w:tcPr>
          <w:p>
            <w:pPr>
              <w:jc w:val="center"/>
              <w:rPr>
                <w:rFonts w:ascii="仿宋" w:hAnsi="仿宋" w:eastAsia="仿宋" w:cs="仿宋"/>
                <w:sz w:val="18"/>
                <w:szCs w:val="18"/>
              </w:rPr>
            </w:pPr>
            <w:r>
              <w:rPr>
                <w:rFonts w:hint="eastAsia" w:ascii="仿宋" w:hAnsi="仿宋" w:eastAsia="仿宋" w:cs="仿宋"/>
                <w:kern w:val="0"/>
                <w:sz w:val="18"/>
                <w:szCs w:val="18"/>
              </w:rPr>
              <w:t>多通</w:t>
            </w:r>
          </w:p>
        </w:tc>
        <w:tc>
          <w:tcPr>
            <w:tcW w:w="1559"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85725" cy="8572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85725" cy="85725"/>
                          </a:xfrm>
                          <a:prstGeom prst="rect">
                            <a:avLst/>
                          </a:prstGeom>
                          <a:noFill/>
                          <a:ln>
                            <a:noFill/>
                          </a:ln>
                        </pic:spPr>
                      </pic:pic>
                    </a:graphicData>
                  </a:graphic>
                </wp:inline>
              </w:drawing>
            </w:r>
          </w:p>
        </w:tc>
        <w:tc>
          <w:tcPr>
            <w:tcW w:w="1995" w:type="dxa"/>
            <w:vAlign w:val="center"/>
          </w:tcPr>
          <w:p>
            <w:pPr>
              <w:jc w:val="center"/>
              <w:rPr>
                <w:rFonts w:ascii="仿宋" w:hAnsi="仿宋" w:eastAsia="仿宋" w:cs="仿宋"/>
                <w:sz w:val="18"/>
                <w:szCs w:val="18"/>
              </w:rPr>
            </w:pPr>
            <w:r>
              <w:rPr>
                <w:rFonts w:hint="eastAsia" w:ascii="仿宋" w:hAnsi="仿宋" w:eastAsia="仿宋" w:cs="仿宋"/>
                <w:sz w:val="18"/>
                <w:szCs w:val="18"/>
              </w:rPr>
              <w:t>1.0</w:t>
            </w:r>
          </w:p>
        </w:tc>
        <w:tc>
          <w:tcPr>
            <w:tcW w:w="1707" w:type="dxa"/>
            <w:vAlign w:val="center"/>
          </w:tcPr>
          <w:p>
            <w:pPr>
              <w:jc w:val="center"/>
              <w:rPr>
                <w:rFonts w:ascii="仿宋" w:hAnsi="仿宋" w:eastAsia="仿宋" w:cs="仿宋"/>
                <w:sz w:val="18"/>
                <w:szCs w:val="18"/>
              </w:rPr>
            </w:pPr>
            <w:r>
              <w:rPr>
                <w:rFonts w:hint="eastAsia" w:ascii="仿宋" w:hAnsi="仿宋" w:eastAsia="仿宋" w:cs="仿宋"/>
                <w:sz w:val="18"/>
                <w:szCs w:val="18"/>
              </w:rPr>
              <w:t>几何中心</w:t>
            </w:r>
          </w:p>
        </w:tc>
      </w:tr>
    </w:tbl>
    <w:p>
      <w:pPr>
        <w:pStyle w:val="2"/>
        <w:spacing w:line="480" w:lineRule="exact"/>
        <w:jc w:val="center"/>
        <w:rPr>
          <w:rFonts w:ascii="仿宋" w:hAnsi="仿宋" w:eastAsia="仿宋" w:cs="仿宋"/>
          <w:sz w:val="24"/>
        </w:rPr>
        <w:sectPr>
          <w:pgSz w:w="11906" w:h="16838"/>
          <w:pgMar w:top="1701" w:right="1474" w:bottom="1417" w:left="1587" w:header="851" w:footer="992" w:gutter="0"/>
          <w:cols w:space="720" w:num="1"/>
          <w:docGrid w:type="lines" w:linePitch="312" w:charSpace="0"/>
        </w:sectPr>
      </w:pPr>
    </w:p>
    <w:p>
      <w:pPr>
        <w:pStyle w:val="5"/>
        <w:spacing w:line="360" w:lineRule="auto"/>
        <w:jc w:val="center"/>
        <w:rPr>
          <w:rFonts w:ascii="仿宋" w:hAnsi="仿宋" w:eastAsia="仿宋" w:cs="仿宋"/>
          <w:sz w:val="24"/>
          <w:szCs w:val="24"/>
        </w:rPr>
      </w:pPr>
      <w:bookmarkStart w:id="1729" w:name="_Toc21065"/>
      <w:bookmarkStart w:id="1730" w:name="_Toc19650"/>
      <w:bookmarkStart w:id="1731" w:name="_Toc22433"/>
      <w:bookmarkStart w:id="1732" w:name="_Toc6887"/>
      <w:bookmarkStart w:id="1733" w:name="_Toc21264"/>
      <w:bookmarkStart w:id="1734" w:name="_Toc30590"/>
      <w:r>
        <w:rPr>
          <w:rFonts w:hint="eastAsia" w:ascii="仿宋" w:hAnsi="仿宋" w:eastAsia="仿宋" w:cs="仿宋"/>
          <w:sz w:val="24"/>
          <w:szCs w:val="24"/>
        </w:rPr>
        <w:t>附表A.11 管线线型图例及颜色表</w:t>
      </w:r>
      <w:bookmarkEnd w:id="1729"/>
      <w:bookmarkEnd w:id="1730"/>
      <w:bookmarkEnd w:id="1731"/>
      <w:bookmarkEnd w:id="1732"/>
      <w:bookmarkEnd w:id="1733"/>
      <w:bookmarkEnd w:id="1734"/>
    </w:p>
    <w:tbl>
      <w:tblPr>
        <w:tblStyle w:val="26"/>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1215"/>
        <w:gridCol w:w="1134"/>
        <w:gridCol w:w="2410"/>
        <w:gridCol w:w="1134"/>
        <w:gridCol w:w="1701"/>
        <w:gridCol w:w="4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728" w:type="dxa"/>
            <w:vAlign w:val="center"/>
          </w:tcPr>
          <w:p>
            <w:pPr>
              <w:jc w:val="center"/>
              <w:rPr>
                <w:rFonts w:ascii="仿宋" w:hAnsi="仿宋" w:eastAsia="仿宋" w:cs="仿宋"/>
                <w:szCs w:val="21"/>
              </w:rPr>
            </w:pPr>
            <w:r>
              <w:rPr>
                <w:rFonts w:hint="eastAsia" w:ascii="仿宋" w:hAnsi="仿宋" w:eastAsia="仿宋" w:cs="仿宋"/>
                <w:b/>
                <w:bCs/>
                <w:szCs w:val="21"/>
              </w:rPr>
              <w:t>管线类型</w:t>
            </w:r>
          </w:p>
        </w:tc>
        <w:tc>
          <w:tcPr>
            <w:tcW w:w="1215" w:type="dxa"/>
            <w:vAlign w:val="center"/>
          </w:tcPr>
          <w:p>
            <w:pPr>
              <w:jc w:val="center"/>
              <w:rPr>
                <w:rFonts w:ascii="仿宋" w:hAnsi="仿宋" w:eastAsia="仿宋" w:cs="仿宋"/>
                <w:szCs w:val="21"/>
              </w:rPr>
            </w:pPr>
            <w:r>
              <w:rPr>
                <w:rFonts w:hint="eastAsia" w:ascii="仿宋" w:hAnsi="仿宋" w:eastAsia="仿宋" w:cs="仿宋"/>
                <w:b/>
                <w:bCs/>
                <w:szCs w:val="21"/>
              </w:rPr>
              <w:t>线类型</w:t>
            </w:r>
          </w:p>
        </w:tc>
        <w:tc>
          <w:tcPr>
            <w:tcW w:w="1134" w:type="dxa"/>
            <w:vAlign w:val="center"/>
          </w:tcPr>
          <w:p>
            <w:pPr>
              <w:jc w:val="center"/>
              <w:rPr>
                <w:rFonts w:ascii="仿宋" w:hAnsi="仿宋" w:eastAsia="仿宋" w:cs="仿宋"/>
                <w:szCs w:val="21"/>
              </w:rPr>
            </w:pPr>
            <w:r>
              <w:rPr>
                <w:rFonts w:hint="eastAsia" w:ascii="仿宋" w:hAnsi="仿宋" w:eastAsia="仿宋" w:cs="仿宋"/>
                <w:b/>
                <w:bCs/>
                <w:szCs w:val="21"/>
              </w:rPr>
              <w:t>线型名称</w:t>
            </w:r>
          </w:p>
        </w:tc>
        <w:tc>
          <w:tcPr>
            <w:tcW w:w="2410" w:type="dxa"/>
            <w:vAlign w:val="center"/>
          </w:tcPr>
          <w:p>
            <w:pPr>
              <w:jc w:val="center"/>
              <w:rPr>
                <w:rFonts w:ascii="仿宋" w:hAnsi="仿宋" w:eastAsia="仿宋" w:cs="仿宋"/>
                <w:szCs w:val="21"/>
              </w:rPr>
            </w:pPr>
            <w:r>
              <w:rPr>
                <w:rFonts w:hint="eastAsia" w:ascii="仿宋" w:hAnsi="仿宋" w:eastAsia="仿宋" w:cs="仿宋"/>
                <w:b/>
                <w:bCs/>
                <w:szCs w:val="21"/>
              </w:rPr>
              <w:t>符号</w:t>
            </w:r>
          </w:p>
        </w:tc>
        <w:tc>
          <w:tcPr>
            <w:tcW w:w="1134" w:type="dxa"/>
            <w:vAlign w:val="center"/>
          </w:tcPr>
          <w:p>
            <w:pPr>
              <w:jc w:val="center"/>
              <w:rPr>
                <w:rFonts w:ascii="仿宋" w:hAnsi="仿宋" w:eastAsia="仿宋" w:cs="仿宋"/>
                <w:szCs w:val="21"/>
              </w:rPr>
            </w:pPr>
            <w:r>
              <w:rPr>
                <w:rFonts w:hint="eastAsia" w:ascii="仿宋" w:hAnsi="仿宋" w:eastAsia="仿宋" w:cs="仿宋"/>
                <w:b/>
                <w:bCs/>
                <w:szCs w:val="21"/>
              </w:rPr>
              <w:t>线宽</w:t>
            </w:r>
          </w:p>
        </w:tc>
        <w:tc>
          <w:tcPr>
            <w:tcW w:w="1701" w:type="dxa"/>
            <w:vAlign w:val="center"/>
          </w:tcPr>
          <w:p>
            <w:pPr>
              <w:jc w:val="center"/>
              <w:rPr>
                <w:rFonts w:ascii="仿宋" w:hAnsi="仿宋" w:eastAsia="仿宋" w:cs="仿宋"/>
                <w:szCs w:val="21"/>
              </w:rPr>
            </w:pPr>
            <w:r>
              <w:rPr>
                <w:rFonts w:hint="eastAsia" w:ascii="仿宋" w:hAnsi="仿宋" w:eastAsia="仿宋" w:cs="仿宋"/>
                <w:b/>
                <w:bCs/>
                <w:szCs w:val="21"/>
              </w:rPr>
              <w:t>线型颜色要求</w:t>
            </w:r>
          </w:p>
        </w:tc>
        <w:tc>
          <w:tcPr>
            <w:tcW w:w="4852" w:type="dxa"/>
            <w:vAlign w:val="center"/>
          </w:tcPr>
          <w:p>
            <w:pPr>
              <w:jc w:val="center"/>
              <w:rPr>
                <w:rFonts w:ascii="仿宋" w:hAnsi="仿宋" w:eastAsia="仿宋" w:cs="仿宋"/>
                <w:szCs w:val="21"/>
              </w:rPr>
            </w:pPr>
            <w:r>
              <w:rPr>
                <w:rFonts w:hint="eastAsia" w:ascii="仿宋" w:hAnsi="仿宋" w:eastAsia="仿宋" w:cs="仿宋"/>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728" w:type="dxa"/>
            <w:vAlign w:val="center"/>
          </w:tcPr>
          <w:p>
            <w:pPr>
              <w:jc w:val="center"/>
              <w:rPr>
                <w:rFonts w:ascii="仿宋" w:hAnsi="仿宋" w:eastAsia="仿宋" w:cs="仿宋"/>
                <w:sz w:val="18"/>
                <w:szCs w:val="18"/>
              </w:rPr>
            </w:pPr>
            <w:r>
              <w:rPr>
                <w:rFonts w:hint="eastAsia" w:ascii="仿宋" w:hAnsi="仿宋" w:eastAsia="仿宋" w:cs="仿宋"/>
                <w:sz w:val="18"/>
                <w:szCs w:val="18"/>
              </w:rPr>
              <w:t>非空管、线缆</w:t>
            </w:r>
          </w:p>
        </w:tc>
        <w:tc>
          <w:tcPr>
            <w:tcW w:w="1215" w:type="dxa"/>
            <w:vAlign w:val="center"/>
          </w:tcPr>
          <w:p>
            <w:pPr>
              <w:jc w:val="center"/>
              <w:rPr>
                <w:rFonts w:ascii="仿宋" w:hAnsi="仿宋" w:eastAsia="仿宋" w:cs="仿宋"/>
                <w:sz w:val="18"/>
                <w:szCs w:val="18"/>
              </w:rPr>
            </w:pPr>
            <w:r>
              <w:rPr>
                <w:rFonts w:hint="eastAsia" w:ascii="仿宋" w:hAnsi="仿宋" w:eastAsia="仿宋" w:cs="仿宋"/>
                <w:sz w:val="18"/>
                <w:szCs w:val="18"/>
              </w:rPr>
              <w:t>实线</w:t>
            </w:r>
          </w:p>
        </w:tc>
        <w:tc>
          <w:tcPr>
            <w:tcW w:w="1134" w:type="dxa"/>
            <w:vAlign w:val="center"/>
          </w:tcPr>
          <w:p>
            <w:pPr>
              <w:jc w:val="center"/>
              <w:rPr>
                <w:rFonts w:ascii="仿宋" w:hAnsi="仿宋" w:eastAsia="仿宋" w:cs="仿宋"/>
                <w:sz w:val="18"/>
                <w:szCs w:val="18"/>
              </w:rPr>
            </w:pPr>
            <w:r>
              <w:rPr>
                <w:rFonts w:hint="eastAsia" w:ascii="仿宋" w:hAnsi="仿宋" w:eastAsia="仿宋" w:cs="仿宋"/>
                <w:sz w:val="18"/>
                <w:szCs w:val="18"/>
              </w:rPr>
              <w:t>PL1</w:t>
            </w:r>
          </w:p>
        </w:tc>
        <w:tc>
          <w:tcPr>
            <w:tcW w:w="2410"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123950" cy="1714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1123950" cy="171450"/>
                          </a:xfrm>
                          <a:prstGeom prst="rect">
                            <a:avLst/>
                          </a:prstGeom>
                          <a:noFill/>
                          <a:ln>
                            <a:noFill/>
                          </a:ln>
                        </pic:spPr>
                      </pic:pic>
                    </a:graphicData>
                  </a:graphic>
                </wp:inline>
              </w:drawing>
            </w:r>
          </w:p>
        </w:tc>
        <w:tc>
          <w:tcPr>
            <w:tcW w:w="1134" w:type="dxa"/>
            <w:vAlign w:val="center"/>
          </w:tcPr>
          <w:p>
            <w:pPr>
              <w:jc w:val="center"/>
              <w:rPr>
                <w:rFonts w:ascii="仿宋" w:hAnsi="仿宋" w:eastAsia="仿宋" w:cs="仿宋"/>
                <w:sz w:val="18"/>
                <w:szCs w:val="18"/>
              </w:rPr>
            </w:pPr>
            <w:r>
              <w:rPr>
                <w:rFonts w:hint="eastAsia" w:ascii="仿宋" w:hAnsi="仿宋" w:eastAsia="仿宋" w:cs="仿宋"/>
                <w:sz w:val="18"/>
                <w:szCs w:val="18"/>
              </w:rPr>
              <w:t>0.3mm</w:t>
            </w:r>
          </w:p>
        </w:tc>
        <w:tc>
          <w:tcPr>
            <w:tcW w:w="1701" w:type="dxa"/>
          </w:tcPr>
          <w:p>
            <w:pPr>
              <w:jc w:val="center"/>
              <w:rPr>
                <w:rFonts w:ascii="仿宋" w:hAnsi="仿宋" w:eastAsia="仿宋" w:cs="仿宋"/>
                <w:sz w:val="18"/>
                <w:szCs w:val="18"/>
              </w:rPr>
            </w:pPr>
            <w:r>
              <w:rPr>
                <w:rFonts w:hint="eastAsia" w:ascii="仿宋" w:hAnsi="仿宋" w:eastAsia="仿宋" w:cs="仿宋"/>
                <w:sz w:val="18"/>
                <w:szCs w:val="18"/>
              </w:rPr>
              <w:t>管类颜色</w:t>
            </w:r>
          </w:p>
        </w:tc>
        <w:tc>
          <w:tcPr>
            <w:tcW w:w="4852" w:type="dxa"/>
            <w:vAlign w:val="center"/>
          </w:tcPr>
          <w:p>
            <w:pPr>
              <w:jc w:val="center"/>
              <w:rPr>
                <w:rFonts w:ascii="仿宋" w:hAnsi="仿宋" w:eastAsia="仿宋" w:cs="仿宋"/>
                <w:sz w:val="18"/>
                <w:szCs w:val="18"/>
              </w:rPr>
            </w:pPr>
            <w:r>
              <w:rPr>
                <w:rFonts w:hint="eastAsia" w:ascii="仿宋" w:hAnsi="仿宋" w:eastAsia="仿宋" w:cs="仿宋"/>
                <w:sz w:val="18"/>
                <w:szCs w:val="18"/>
              </w:rPr>
              <w:t>连续实线，用于一般地下管线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8" w:type="dxa"/>
            <w:vAlign w:val="center"/>
          </w:tcPr>
          <w:p>
            <w:pPr>
              <w:jc w:val="center"/>
              <w:rPr>
                <w:rFonts w:ascii="仿宋" w:hAnsi="仿宋" w:eastAsia="仿宋" w:cs="仿宋"/>
                <w:sz w:val="18"/>
                <w:szCs w:val="18"/>
              </w:rPr>
            </w:pPr>
            <w:r>
              <w:rPr>
                <w:rFonts w:hint="eastAsia" w:ascii="仿宋" w:hAnsi="仿宋" w:eastAsia="仿宋" w:cs="仿宋"/>
                <w:sz w:val="18"/>
                <w:szCs w:val="18"/>
              </w:rPr>
              <w:t>空管</w:t>
            </w:r>
          </w:p>
        </w:tc>
        <w:tc>
          <w:tcPr>
            <w:tcW w:w="1215" w:type="dxa"/>
            <w:vAlign w:val="center"/>
          </w:tcPr>
          <w:p>
            <w:pPr>
              <w:jc w:val="center"/>
              <w:rPr>
                <w:rFonts w:ascii="仿宋" w:hAnsi="仿宋" w:eastAsia="仿宋" w:cs="仿宋"/>
                <w:sz w:val="18"/>
                <w:szCs w:val="18"/>
              </w:rPr>
            </w:pPr>
            <w:r>
              <w:rPr>
                <w:rFonts w:hint="eastAsia" w:ascii="仿宋" w:hAnsi="仿宋" w:eastAsia="仿宋" w:cs="仿宋"/>
                <w:sz w:val="18"/>
                <w:szCs w:val="18"/>
              </w:rPr>
              <w:t>虚线</w:t>
            </w:r>
          </w:p>
        </w:tc>
        <w:tc>
          <w:tcPr>
            <w:tcW w:w="1134" w:type="dxa"/>
            <w:vAlign w:val="center"/>
          </w:tcPr>
          <w:p>
            <w:pPr>
              <w:jc w:val="center"/>
              <w:rPr>
                <w:rFonts w:ascii="仿宋" w:hAnsi="仿宋" w:eastAsia="仿宋" w:cs="仿宋"/>
                <w:sz w:val="18"/>
                <w:szCs w:val="18"/>
              </w:rPr>
            </w:pPr>
            <w:r>
              <w:rPr>
                <w:rFonts w:hint="eastAsia" w:ascii="仿宋" w:hAnsi="仿宋" w:eastAsia="仿宋" w:cs="仿宋"/>
                <w:sz w:val="18"/>
                <w:szCs w:val="18"/>
              </w:rPr>
              <w:t>PL2</w:t>
            </w:r>
          </w:p>
        </w:tc>
        <w:tc>
          <w:tcPr>
            <w:tcW w:w="2410"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104900" cy="1714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35">
                            <a:extLst>
                              <a:ext uri="{28A0092B-C50C-407E-A947-70E740481C1C}">
                                <a14:useLocalDpi xmlns:a14="http://schemas.microsoft.com/office/drawing/2010/main" val="0"/>
                              </a:ext>
                            </a:extLst>
                          </a:blip>
                          <a:srcRect t="2" r="8594" b="-2"/>
                          <a:stretch>
                            <a:fillRect/>
                          </a:stretch>
                        </pic:blipFill>
                        <pic:spPr>
                          <a:xfrm>
                            <a:off x="0" y="0"/>
                            <a:ext cx="1104900" cy="171450"/>
                          </a:xfrm>
                          <a:prstGeom prst="rect">
                            <a:avLst/>
                          </a:prstGeom>
                          <a:noFill/>
                          <a:ln>
                            <a:noFill/>
                          </a:ln>
                        </pic:spPr>
                      </pic:pic>
                    </a:graphicData>
                  </a:graphic>
                </wp:inline>
              </w:drawing>
            </w:r>
          </w:p>
        </w:tc>
        <w:tc>
          <w:tcPr>
            <w:tcW w:w="1134" w:type="dxa"/>
            <w:vAlign w:val="center"/>
          </w:tcPr>
          <w:p>
            <w:pPr>
              <w:jc w:val="center"/>
              <w:rPr>
                <w:rFonts w:ascii="仿宋" w:hAnsi="仿宋" w:eastAsia="仿宋" w:cs="仿宋"/>
                <w:sz w:val="18"/>
                <w:szCs w:val="18"/>
              </w:rPr>
            </w:pPr>
            <w:r>
              <w:rPr>
                <w:rFonts w:hint="eastAsia" w:ascii="仿宋" w:hAnsi="仿宋" w:eastAsia="仿宋" w:cs="仿宋"/>
                <w:sz w:val="18"/>
                <w:szCs w:val="18"/>
              </w:rPr>
              <w:t>0.3mm</w:t>
            </w:r>
          </w:p>
        </w:tc>
        <w:tc>
          <w:tcPr>
            <w:tcW w:w="1701" w:type="dxa"/>
          </w:tcPr>
          <w:p>
            <w:pPr>
              <w:jc w:val="center"/>
              <w:rPr>
                <w:rFonts w:ascii="仿宋" w:hAnsi="仿宋" w:eastAsia="仿宋" w:cs="仿宋"/>
                <w:sz w:val="18"/>
                <w:szCs w:val="18"/>
              </w:rPr>
            </w:pPr>
            <w:r>
              <w:rPr>
                <w:rFonts w:hint="eastAsia" w:ascii="仿宋" w:hAnsi="仿宋" w:eastAsia="仿宋" w:cs="仿宋"/>
                <w:sz w:val="18"/>
                <w:szCs w:val="18"/>
              </w:rPr>
              <w:t>管类颜色</w:t>
            </w:r>
          </w:p>
        </w:tc>
        <w:tc>
          <w:tcPr>
            <w:tcW w:w="4852" w:type="dxa"/>
            <w:vAlign w:val="center"/>
          </w:tcPr>
          <w:p>
            <w:pPr>
              <w:jc w:val="center"/>
              <w:rPr>
                <w:rFonts w:ascii="仿宋" w:hAnsi="仿宋" w:eastAsia="仿宋" w:cs="仿宋"/>
                <w:sz w:val="18"/>
                <w:szCs w:val="18"/>
              </w:rPr>
            </w:pPr>
            <w:r>
              <w:rPr>
                <w:rFonts w:hint="eastAsia" w:ascii="仿宋" w:hAnsi="仿宋" w:eastAsia="仿宋" w:cs="仿宋"/>
                <w:sz w:val="18"/>
                <w:szCs w:val="18"/>
              </w:rPr>
              <w:t>实线部分和虚线部分比例为3:1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8" w:type="dxa"/>
            <w:vAlign w:val="center"/>
          </w:tcPr>
          <w:p>
            <w:pPr>
              <w:jc w:val="center"/>
              <w:rPr>
                <w:rFonts w:ascii="仿宋" w:hAnsi="仿宋" w:eastAsia="仿宋" w:cs="仿宋"/>
                <w:sz w:val="18"/>
                <w:szCs w:val="18"/>
              </w:rPr>
            </w:pPr>
            <w:r>
              <w:rPr>
                <w:rFonts w:hint="eastAsia" w:ascii="仿宋" w:hAnsi="仿宋" w:eastAsia="仿宋" w:cs="仿宋"/>
                <w:sz w:val="18"/>
                <w:szCs w:val="18"/>
              </w:rPr>
              <w:t>管沟（廊）</w:t>
            </w:r>
          </w:p>
          <w:p>
            <w:pPr>
              <w:jc w:val="center"/>
              <w:rPr>
                <w:rFonts w:ascii="仿宋" w:hAnsi="仿宋" w:eastAsia="仿宋" w:cs="仿宋"/>
                <w:sz w:val="18"/>
                <w:szCs w:val="18"/>
              </w:rPr>
            </w:pPr>
            <w:r>
              <w:rPr>
                <w:rFonts w:hint="eastAsia" w:ascii="仿宋" w:hAnsi="仿宋" w:eastAsia="仿宋" w:cs="仿宋"/>
                <w:sz w:val="18"/>
                <w:szCs w:val="18"/>
              </w:rPr>
              <w:t>边线</w:t>
            </w:r>
          </w:p>
        </w:tc>
        <w:tc>
          <w:tcPr>
            <w:tcW w:w="1215" w:type="dxa"/>
            <w:vAlign w:val="center"/>
          </w:tcPr>
          <w:p>
            <w:pPr>
              <w:jc w:val="center"/>
              <w:rPr>
                <w:rFonts w:ascii="仿宋" w:hAnsi="仿宋" w:eastAsia="仿宋" w:cs="仿宋"/>
                <w:sz w:val="18"/>
                <w:szCs w:val="18"/>
              </w:rPr>
            </w:pPr>
            <w:r>
              <w:rPr>
                <w:rFonts w:hint="eastAsia" w:ascii="仿宋" w:hAnsi="仿宋" w:eastAsia="仿宋" w:cs="仿宋"/>
                <w:sz w:val="18"/>
                <w:szCs w:val="18"/>
              </w:rPr>
              <w:t>虚线</w:t>
            </w:r>
          </w:p>
        </w:tc>
        <w:tc>
          <w:tcPr>
            <w:tcW w:w="1134" w:type="dxa"/>
            <w:vAlign w:val="center"/>
          </w:tcPr>
          <w:p>
            <w:pPr>
              <w:jc w:val="center"/>
              <w:rPr>
                <w:rFonts w:ascii="仿宋" w:hAnsi="仿宋" w:eastAsia="仿宋" w:cs="仿宋"/>
                <w:sz w:val="18"/>
                <w:szCs w:val="18"/>
              </w:rPr>
            </w:pPr>
            <w:r>
              <w:rPr>
                <w:rFonts w:hint="eastAsia" w:ascii="仿宋" w:hAnsi="仿宋" w:eastAsia="仿宋" w:cs="仿宋"/>
                <w:sz w:val="18"/>
                <w:szCs w:val="18"/>
              </w:rPr>
              <w:t>PL3</w:t>
            </w:r>
          </w:p>
        </w:tc>
        <w:tc>
          <w:tcPr>
            <w:tcW w:w="2410"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076325" cy="1714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6">
                            <a:extLst>
                              <a:ext uri="{28A0092B-C50C-407E-A947-70E740481C1C}">
                                <a14:useLocalDpi xmlns:a14="http://schemas.microsoft.com/office/drawing/2010/main" val="0"/>
                              </a:ext>
                            </a:extLst>
                          </a:blip>
                          <a:srcRect r="6612"/>
                          <a:stretch>
                            <a:fillRect/>
                          </a:stretch>
                        </pic:blipFill>
                        <pic:spPr>
                          <a:xfrm>
                            <a:off x="0" y="0"/>
                            <a:ext cx="1076325" cy="171450"/>
                          </a:xfrm>
                          <a:prstGeom prst="rect">
                            <a:avLst/>
                          </a:prstGeom>
                          <a:noFill/>
                          <a:ln>
                            <a:noFill/>
                          </a:ln>
                        </pic:spPr>
                      </pic:pic>
                    </a:graphicData>
                  </a:graphic>
                </wp:inline>
              </w:drawing>
            </w:r>
          </w:p>
        </w:tc>
        <w:tc>
          <w:tcPr>
            <w:tcW w:w="1134" w:type="dxa"/>
            <w:vAlign w:val="center"/>
          </w:tcPr>
          <w:p>
            <w:pPr>
              <w:jc w:val="center"/>
              <w:rPr>
                <w:rFonts w:ascii="仿宋" w:hAnsi="仿宋" w:eastAsia="仿宋" w:cs="仿宋"/>
                <w:sz w:val="18"/>
                <w:szCs w:val="18"/>
              </w:rPr>
            </w:pPr>
            <w:r>
              <w:rPr>
                <w:rFonts w:hint="eastAsia" w:ascii="仿宋" w:hAnsi="仿宋" w:eastAsia="仿宋" w:cs="仿宋"/>
                <w:sz w:val="18"/>
                <w:szCs w:val="18"/>
              </w:rPr>
              <w:t>0.2mm</w:t>
            </w:r>
          </w:p>
        </w:tc>
        <w:tc>
          <w:tcPr>
            <w:tcW w:w="1701" w:type="dxa"/>
          </w:tcPr>
          <w:p>
            <w:pPr>
              <w:jc w:val="center"/>
              <w:rPr>
                <w:rFonts w:ascii="仿宋" w:hAnsi="仿宋" w:eastAsia="仿宋" w:cs="仿宋"/>
                <w:sz w:val="18"/>
                <w:szCs w:val="18"/>
              </w:rPr>
            </w:pPr>
            <w:r>
              <w:rPr>
                <w:rFonts w:hint="eastAsia" w:ascii="仿宋" w:hAnsi="仿宋" w:eastAsia="仿宋" w:cs="仿宋"/>
                <w:sz w:val="18"/>
                <w:szCs w:val="18"/>
              </w:rPr>
              <w:t>管类颜色</w:t>
            </w:r>
          </w:p>
        </w:tc>
        <w:tc>
          <w:tcPr>
            <w:tcW w:w="4852" w:type="dxa"/>
            <w:vAlign w:val="center"/>
          </w:tcPr>
          <w:p>
            <w:pPr>
              <w:jc w:val="center"/>
              <w:rPr>
                <w:rFonts w:ascii="仿宋" w:hAnsi="仿宋" w:eastAsia="仿宋" w:cs="仿宋"/>
                <w:sz w:val="18"/>
                <w:szCs w:val="18"/>
              </w:rPr>
            </w:pPr>
            <w:r>
              <w:rPr>
                <w:rFonts w:hint="eastAsia" w:ascii="仿宋" w:hAnsi="仿宋" w:eastAsia="仿宋" w:cs="仿宋"/>
                <w:sz w:val="18"/>
                <w:szCs w:val="18"/>
              </w:rPr>
              <w:t>实线部分和虚线部分比例为2:1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8" w:type="dxa"/>
            <w:vAlign w:val="center"/>
          </w:tcPr>
          <w:p>
            <w:pPr>
              <w:jc w:val="center"/>
              <w:rPr>
                <w:rFonts w:ascii="仿宋" w:hAnsi="仿宋" w:eastAsia="仿宋" w:cs="仿宋"/>
                <w:sz w:val="18"/>
                <w:szCs w:val="18"/>
              </w:rPr>
            </w:pPr>
            <w:r>
              <w:rPr>
                <w:rFonts w:hint="eastAsia" w:ascii="仿宋" w:hAnsi="仿宋" w:eastAsia="仿宋" w:cs="仿宋"/>
                <w:sz w:val="18"/>
                <w:szCs w:val="18"/>
              </w:rPr>
              <w:t>非开挖管线</w:t>
            </w:r>
          </w:p>
        </w:tc>
        <w:tc>
          <w:tcPr>
            <w:tcW w:w="1215" w:type="dxa"/>
            <w:vAlign w:val="center"/>
          </w:tcPr>
          <w:p>
            <w:pPr>
              <w:jc w:val="center"/>
              <w:rPr>
                <w:rFonts w:ascii="仿宋" w:hAnsi="仿宋" w:eastAsia="仿宋" w:cs="仿宋"/>
                <w:sz w:val="18"/>
                <w:szCs w:val="18"/>
              </w:rPr>
            </w:pPr>
            <w:r>
              <w:rPr>
                <w:rFonts w:hint="eastAsia" w:ascii="仿宋" w:hAnsi="仿宋" w:eastAsia="仿宋" w:cs="仿宋"/>
                <w:sz w:val="18"/>
                <w:szCs w:val="18"/>
              </w:rPr>
              <w:t>点划线</w:t>
            </w:r>
          </w:p>
        </w:tc>
        <w:tc>
          <w:tcPr>
            <w:tcW w:w="1134" w:type="dxa"/>
            <w:vAlign w:val="center"/>
          </w:tcPr>
          <w:p>
            <w:pPr>
              <w:jc w:val="center"/>
              <w:rPr>
                <w:rFonts w:ascii="仿宋" w:hAnsi="仿宋" w:eastAsia="仿宋" w:cs="仿宋"/>
                <w:sz w:val="18"/>
                <w:szCs w:val="18"/>
              </w:rPr>
            </w:pPr>
            <w:r>
              <w:rPr>
                <w:rFonts w:hint="eastAsia" w:ascii="仿宋" w:hAnsi="仿宋" w:eastAsia="仿宋" w:cs="仿宋"/>
                <w:sz w:val="18"/>
                <w:szCs w:val="18"/>
              </w:rPr>
              <w:t>PL5</w:t>
            </w:r>
          </w:p>
        </w:tc>
        <w:tc>
          <w:tcPr>
            <w:tcW w:w="2410"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123950" cy="1714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37">
                            <a:extLst>
                              <a:ext uri="{28A0092B-C50C-407E-A947-70E740481C1C}">
                                <a14:useLocalDpi xmlns:a14="http://schemas.microsoft.com/office/drawing/2010/main" val="0"/>
                              </a:ext>
                            </a:extLst>
                          </a:blip>
                          <a:srcRect l="-2" t="2" r="4065" b="-2"/>
                          <a:stretch>
                            <a:fillRect/>
                          </a:stretch>
                        </pic:blipFill>
                        <pic:spPr>
                          <a:xfrm>
                            <a:off x="0" y="0"/>
                            <a:ext cx="1123950" cy="171450"/>
                          </a:xfrm>
                          <a:prstGeom prst="rect">
                            <a:avLst/>
                          </a:prstGeom>
                          <a:noFill/>
                          <a:ln>
                            <a:noFill/>
                          </a:ln>
                        </pic:spPr>
                      </pic:pic>
                    </a:graphicData>
                  </a:graphic>
                </wp:inline>
              </w:drawing>
            </w:r>
          </w:p>
        </w:tc>
        <w:tc>
          <w:tcPr>
            <w:tcW w:w="1134" w:type="dxa"/>
            <w:vAlign w:val="center"/>
          </w:tcPr>
          <w:p>
            <w:pPr>
              <w:jc w:val="center"/>
              <w:rPr>
                <w:rFonts w:ascii="仿宋" w:hAnsi="仿宋" w:eastAsia="仿宋" w:cs="仿宋"/>
                <w:sz w:val="18"/>
                <w:szCs w:val="18"/>
              </w:rPr>
            </w:pPr>
            <w:r>
              <w:rPr>
                <w:rFonts w:hint="eastAsia" w:ascii="仿宋" w:hAnsi="仿宋" w:eastAsia="仿宋" w:cs="仿宋"/>
                <w:sz w:val="18"/>
                <w:szCs w:val="18"/>
              </w:rPr>
              <w:t>0.3mm</w:t>
            </w:r>
          </w:p>
        </w:tc>
        <w:tc>
          <w:tcPr>
            <w:tcW w:w="1701" w:type="dxa"/>
          </w:tcPr>
          <w:p>
            <w:pPr>
              <w:jc w:val="center"/>
              <w:rPr>
                <w:rFonts w:ascii="仿宋" w:hAnsi="仿宋" w:eastAsia="仿宋" w:cs="仿宋"/>
                <w:sz w:val="18"/>
                <w:szCs w:val="18"/>
              </w:rPr>
            </w:pPr>
            <w:r>
              <w:rPr>
                <w:rFonts w:hint="eastAsia" w:ascii="仿宋" w:hAnsi="仿宋" w:eastAsia="仿宋" w:cs="仿宋"/>
                <w:sz w:val="18"/>
                <w:szCs w:val="18"/>
              </w:rPr>
              <w:t>管类颜色</w:t>
            </w:r>
          </w:p>
        </w:tc>
        <w:tc>
          <w:tcPr>
            <w:tcW w:w="4852" w:type="dxa"/>
            <w:vAlign w:val="center"/>
          </w:tcPr>
          <w:p>
            <w:pPr>
              <w:jc w:val="center"/>
              <w:rPr>
                <w:rFonts w:ascii="仿宋" w:hAnsi="仿宋" w:eastAsia="仿宋" w:cs="仿宋"/>
                <w:sz w:val="18"/>
                <w:szCs w:val="18"/>
              </w:rPr>
            </w:pPr>
            <w:r>
              <w:rPr>
                <w:rFonts w:hint="eastAsia" w:ascii="仿宋" w:hAnsi="仿宋" w:eastAsia="仿宋" w:cs="仿宋"/>
                <w:sz w:val="18"/>
                <w:szCs w:val="18"/>
              </w:rPr>
              <w:t>实线部分和虚线部分比例为2:1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8" w:type="dxa"/>
            <w:vAlign w:val="center"/>
          </w:tcPr>
          <w:p>
            <w:pPr>
              <w:jc w:val="center"/>
              <w:rPr>
                <w:rFonts w:ascii="仿宋" w:hAnsi="仿宋" w:eastAsia="仿宋" w:cs="仿宋"/>
                <w:sz w:val="18"/>
                <w:szCs w:val="18"/>
              </w:rPr>
            </w:pPr>
            <w:r>
              <w:rPr>
                <w:rFonts w:hint="eastAsia" w:ascii="仿宋" w:hAnsi="仿宋" w:eastAsia="仿宋" w:cs="仿宋"/>
                <w:sz w:val="18"/>
                <w:szCs w:val="18"/>
              </w:rPr>
              <w:t>废弃管线</w:t>
            </w:r>
          </w:p>
        </w:tc>
        <w:tc>
          <w:tcPr>
            <w:tcW w:w="1215" w:type="dxa"/>
            <w:vAlign w:val="center"/>
          </w:tcPr>
          <w:p>
            <w:pPr>
              <w:jc w:val="center"/>
              <w:rPr>
                <w:rFonts w:ascii="仿宋" w:hAnsi="仿宋" w:eastAsia="仿宋" w:cs="仿宋"/>
                <w:sz w:val="18"/>
                <w:szCs w:val="18"/>
              </w:rPr>
            </w:pPr>
            <w:r>
              <w:rPr>
                <w:rFonts w:hint="eastAsia" w:ascii="仿宋" w:hAnsi="仿宋" w:eastAsia="仿宋" w:cs="仿宋"/>
                <w:sz w:val="18"/>
                <w:szCs w:val="18"/>
              </w:rPr>
              <w:t>组合线型</w:t>
            </w:r>
          </w:p>
        </w:tc>
        <w:tc>
          <w:tcPr>
            <w:tcW w:w="1134" w:type="dxa"/>
            <w:vAlign w:val="center"/>
          </w:tcPr>
          <w:p>
            <w:pPr>
              <w:jc w:val="center"/>
              <w:rPr>
                <w:rFonts w:ascii="仿宋" w:hAnsi="仿宋" w:eastAsia="仿宋" w:cs="仿宋"/>
                <w:sz w:val="18"/>
                <w:szCs w:val="18"/>
              </w:rPr>
            </w:pPr>
            <w:r>
              <w:rPr>
                <w:rFonts w:hint="eastAsia" w:ascii="仿宋" w:hAnsi="仿宋" w:eastAsia="仿宋" w:cs="仿宋"/>
                <w:sz w:val="18"/>
                <w:szCs w:val="18"/>
              </w:rPr>
              <w:t>PL8</w:t>
            </w:r>
          </w:p>
        </w:tc>
        <w:tc>
          <w:tcPr>
            <w:tcW w:w="2410"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009650" cy="190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0" y="0"/>
                            <a:ext cx="1009650" cy="190500"/>
                          </a:xfrm>
                          <a:prstGeom prst="rect">
                            <a:avLst/>
                          </a:prstGeom>
                          <a:noFill/>
                          <a:ln>
                            <a:noFill/>
                          </a:ln>
                        </pic:spPr>
                      </pic:pic>
                    </a:graphicData>
                  </a:graphic>
                </wp:inline>
              </w:drawing>
            </w:r>
          </w:p>
        </w:tc>
        <w:tc>
          <w:tcPr>
            <w:tcW w:w="1134" w:type="dxa"/>
            <w:vAlign w:val="center"/>
          </w:tcPr>
          <w:p>
            <w:pPr>
              <w:jc w:val="center"/>
              <w:rPr>
                <w:rFonts w:ascii="仿宋" w:hAnsi="仿宋" w:eastAsia="仿宋" w:cs="仿宋"/>
                <w:sz w:val="18"/>
                <w:szCs w:val="18"/>
              </w:rPr>
            </w:pPr>
            <w:r>
              <w:rPr>
                <w:rFonts w:hint="eastAsia" w:ascii="仿宋" w:hAnsi="仿宋" w:eastAsia="仿宋" w:cs="仿宋"/>
                <w:sz w:val="18"/>
                <w:szCs w:val="18"/>
              </w:rPr>
              <w:t>0.3mm</w:t>
            </w:r>
          </w:p>
        </w:tc>
        <w:tc>
          <w:tcPr>
            <w:tcW w:w="1701" w:type="dxa"/>
          </w:tcPr>
          <w:p>
            <w:pPr>
              <w:jc w:val="center"/>
              <w:rPr>
                <w:rFonts w:ascii="仿宋" w:hAnsi="仿宋" w:eastAsia="仿宋" w:cs="仿宋"/>
                <w:sz w:val="18"/>
                <w:szCs w:val="18"/>
              </w:rPr>
            </w:pPr>
            <w:r>
              <w:rPr>
                <w:rFonts w:hint="eastAsia" w:ascii="仿宋" w:hAnsi="仿宋" w:eastAsia="仿宋" w:cs="仿宋"/>
                <w:sz w:val="18"/>
                <w:szCs w:val="18"/>
              </w:rPr>
              <w:t>管类颜色</w:t>
            </w:r>
          </w:p>
        </w:tc>
        <w:tc>
          <w:tcPr>
            <w:tcW w:w="4852" w:type="dxa"/>
            <w:vAlign w:val="center"/>
          </w:tcPr>
          <w:p>
            <w:pPr>
              <w:jc w:val="center"/>
              <w:rPr>
                <w:rFonts w:ascii="仿宋" w:hAnsi="仿宋" w:eastAsia="仿宋" w:cs="仿宋"/>
                <w:sz w:val="18"/>
                <w:szCs w:val="18"/>
              </w:rPr>
            </w:pPr>
            <w:r>
              <w:rPr>
                <w:rFonts w:hint="eastAsia" w:ascii="仿宋" w:hAnsi="仿宋" w:eastAsia="仿宋" w:cs="仿宋"/>
                <w:sz w:val="18"/>
                <w:szCs w:val="18"/>
              </w:rPr>
              <w:t>标记位置为7：1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8" w:type="dxa"/>
            <w:vAlign w:val="center"/>
          </w:tcPr>
          <w:p>
            <w:pPr>
              <w:jc w:val="center"/>
              <w:rPr>
                <w:rFonts w:ascii="仿宋" w:hAnsi="仿宋" w:eastAsia="仿宋" w:cs="仿宋"/>
                <w:sz w:val="18"/>
                <w:szCs w:val="18"/>
              </w:rPr>
            </w:pPr>
            <w:r>
              <w:rPr>
                <w:rFonts w:hint="eastAsia" w:ascii="仿宋" w:hAnsi="仿宋" w:eastAsia="仿宋" w:cs="仿宋"/>
                <w:sz w:val="18"/>
                <w:szCs w:val="18"/>
              </w:rPr>
              <w:t>地上管线</w:t>
            </w:r>
          </w:p>
        </w:tc>
        <w:tc>
          <w:tcPr>
            <w:tcW w:w="1215" w:type="dxa"/>
            <w:vAlign w:val="center"/>
          </w:tcPr>
          <w:p>
            <w:pPr>
              <w:jc w:val="center"/>
              <w:rPr>
                <w:rFonts w:ascii="仿宋" w:hAnsi="仿宋" w:eastAsia="仿宋" w:cs="仿宋"/>
                <w:sz w:val="18"/>
                <w:szCs w:val="18"/>
              </w:rPr>
            </w:pPr>
            <w:r>
              <w:rPr>
                <w:rFonts w:hint="eastAsia" w:ascii="仿宋" w:hAnsi="仿宋" w:eastAsia="仿宋" w:cs="仿宋"/>
                <w:sz w:val="18"/>
                <w:szCs w:val="18"/>
              </w:rPr>
              <w:t>点划线</w:t>
            </w:r>
          </w:p>
        </w:tc>
        <w:tc>
          <w:tcPr>
            <w:tcW w:w="1134" w:type="dxa"/>
            <w:vAlign w:val="center"/>
          </w:tcPr>
          <w:p>
            <w:pPr>
              <w:jc w:val="center"/>
              <w:rPr>
                <w:rFonts w:ascii="仿宋" w:hAnsi="仿宋" w:eastAsia="仿宋" w:cs="仿宋"/>
                <w:sz w:val="18"/>
                <w:szCs w:val="18"/>
              </w:rPr>
            </w:pPr>
            <w:r>
              <w:rPr>
                <w:rFonts w:hint="eastAsia" w:ascii="仿宋" w:hAnsi="仿宋" w:eastAsia="仿宋" w:cs="仿宋"/>
                <w:color w:val="000000"/>
                <w:sz w:val="18"/>
                <w:szCs w:val="18"/>
              </w:rPr>
              <w:t>PL9</w:t>
            </w:r>
          </w:p>
        </w:tc>
        <w:tc>
          <w:tcPr>
            <w:tcW w:w="2410" w:type="dxa"/>
            <w:vAlign w:val="center"/>
          </w:tcPr>
          <w:p>
            <w:pPr>
              <w:jc w:val="center"/>
              <w:rPr>
                <w:rFonts w:ascii="仿宋" w:hAnsi="仿宋" w:eastAsia="仿宋" w:cs="仿宋"/>
                <w:sz w:val="18"/>
                <w:szCs w:val="18"/>
              </w:rPr>
            </w:pPr>
            <w:r>
              <w:rPr>
                <w:rFonts w:hint="eastAsia" w:ascii="仿宋" w:hAnsi="仿宋" w:eastAsia="仿宋" w:cs="仿宋"/>
                <w:color w:val="000000"/>
                <w:sz w:val="18"/>
                <w:szCs w:val="18"/>
              </w:rPr>
              <w:t>－·－·－·－·－·</w:t>
            </w:r>
          </w:p>
        </w:tc>
        <w:tc>
          <w:tcPr>
            <w:tcW w:w="1134" w:type="dxa"/>
            <w:vAlign w:val="center"/>
          </w:tcPr>
          <w:p>
            <w:pPr>
              <w:jc w:val="center"/>
              <w:rPr>
                <w:rFonts w:ascii="仿宋" w:hAnsi="仿宋" w:eastAsia="仿宋" w:cs="仿宋"/>
                <w:sz w:val="18"/>
                <w:szCs w:val="18"/>
              </w:rPr>
            </w:pPr>
            <w:r>
              <w:rPr>
                <w:rFonts w:hint="eastAsia" w:ascii="仿宋" w:hAnsi="仿宋" w:eastAsia="仿宋" w:cs="仿宋"/>
                <w:sz w:val="18"/>
                <w:szCs w:val="18"/>
              </w:rPr>
              <w:t>0.3mm</w:t>
            </w:r>
          </w:p>
        </w:tc>
        <w:tc>
          <w:tcPr>
            <w:tcW w:w="1701" w:type="dxa"/>
          </w:tcPr>
          <w:p>
            <w:pPr>
              <w:jc w:val="center"/>
              <w:rPr>
                <w:rFonts w:ascii="仿宋" w:hAnsi="仿宋" w:eastAsia="仿宋" w:cs="仿宋"/>
                <w:sz w:val="18"/>
                <w:szCs w:val="18"/>
              </w:rPr>
            </w:pPr>
            <w:r>
              <w:rPr>
                <w:rFonts w:hint="eastAsia" w:ascii="仿宋" w:hAnsi="仿宋" w:eastAsia="仿宋" w:cs="仿宋"/>
                <w:sz w:val="18"/>
                <w:szCs w:val="18"/>
              </w:rPr>
              <w:t>管类颜色</w:t>
            </w:r>
          </w:p>
        </w:tc>
        <w:tc>
          <w:tcPr>
            <w:tcW w:w="4852" w:type="dxa"/>
            <w:vAlign w:val="center"/>
          </w:tcPr>
          <w:p>
            <w:pPr>
              <w:jc w:val="center"/>
              <w:rPr>
                <w:rFonts w:ascii="仿宋" w:hAnsi="仿宋" w:eastAsia="仿宋" w:cs="仿宋"/>
                <w:sz w:val="18"/>
                <w:szCs w:val="18"/>
              </w:rPr>
            </w:pPr>
            <w:r>
              <w:rPr>
                <w:rFonts w:hint="eastAsia" w:ascii="仿宋" w:hAnsi="仿宋" w:eastAsia="仿宋" w:cs="仿宋"/>
                <w:sz w:val="18"/>
                <w:szCs w:val="18"/>
              </w:rPr>
              <w:t>线长3mm，间隔1mm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8" w:type="dxa"/>
            <w:vAlign w:val="center"/>
          </w:tcPr>
          <w:p>
            <w:pPr>
              <w:jc w:val="center"/>
              <w:rPr>
                <w:rFonts w:ascii="仿宋" w:hAnsi="仿宋" w:eastAsia="仿宋" w:cs="仿宋"/>
                <w:sz w:val="18"/>
                <w:szCs w:val="18"/>
              </w:rPr>
            </w:pPr>
            <w:r>
              <w:rPr>
                <w:rFonts w:hint="eastAsia" w:ascii="仿宋" w:hAnsi="仿宋" w:eastAsia="仿宋" w:cs="仿宋"/>
                <w:sz w:val="18"/>
                <w:szCs w:val="18"/>
              </w:rPr>
              <w:t>辅助线</w:t>
            </w:r>
          </w:p>
        </w:tc>
        <w:tc>
          <w:tcPr>
            <w:tcW w:w="1215" w:type="dxa"/>
            <w:vAlign w:val="center"/>
          </w:tcPr>
          <w:p>
            <w:pPr>
              <w:jc w:val="center"/>
              <w:rPr>
                <w:rFonts w:ascii="仿宋" w:hAnsi="仿宋" w:eastAsia="仿宋" w:cs="仿宋"/>
                <w:sz w:val="18"/>
                <w:szCs w:val="18"/>
              </w:rPr>
            </w:pPr>
            <w:r>
              <w:rPr>
                <w:rFonts w:hint="eastAsia" w:ascii="仿宋" w:hAnsi="仿宋" w:eastAsia="仿宋" w:cs="仿宋"/>
                <w:sz w:val="18"/>
                <w:szCs w:val="18"/>
              </w:rPr>
              <w:t>虚线</w:t>
            </w:r>
          </w:p>
        </w:tc>
        <w:tc>
          <w:tcPr>
            <w:tcW w:w="1134" w:type="dxa"/>
            <w:vAlign w:val="center"/>
          </w:tcPr>
          <w:p>
            <w:pPr>
              <w:jc w:val="center"/>
              <w:rPr>
                <w:rFonts w:ascii="仿宋" w:hAnsi="仿宋" w:eastAsia="仿宋" w:cs="仿宋"/>
                <w:sz w:val="18"/>
                <w:szCs w:val="18"/>
              </w:rPr>
            </w:pPr>
            <w:r>
              <w:rPr>
                <w:rFonts w:hint="eastAsia" w:ascii="仿宋" w:hAnsi="仿宋" w:eastAsia="仿宋" w:cs="仿宋"/>
                <w:sz w:val="18"/>
                <w:szCs w:val="18"/>
              </w:rPr>
              <w:t>PL10</w:t>
            </w:r>
          </w:p>
        </w:tc>
        <w:tc>
          <w:tcPr>
            <w:tcW w:w="2410"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076325" cy="171450"/>
                  <wp:effectExtent l="0" t="0" r="9525"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noChangeArrowheads="1"/>
                          </pic:cNvPicPr>
                        </pic:nvPicPr>
                        <pic:blipFill>
                          <a:blip r:embed="rId136">
                            <a:extLst>
                              <a:ext uri="{28A0092B-C50C-407E-A947-70E740481C1C}">
                                <a14:useLocalDpi xmlns:a14="http://schemas.microsoft.com/office/drawing/2010/main" val="0"/>
                              </a:ext>
                            </a:extLst>
                          </a:blip>
                          <a:srcRect r="6612"/>
                          <a:stretch>
                            <a:fillRect/>
                          </a:stretch>
                        </pic:blipFill>
                        <pic:spPr>
                          <a:xfrm>
                            <a:off x="0" y="0"/>
                            <a:ext cx="1076325" cy="171450"/>
                          </a:xfrm>
                          <a:prstGeom prst="rect">
                            <a:avLst/>
                          </a:prstGeom>
                          <a:noFill/>
                          <a:ln>
                            <a:noFill/>
                          </a:ln>
                        </pic:spPr>
                      </pic:pic>
                    </a:graphicData>
                  </a:graphic>
                </wp:inline>
              </w:drawing>
            </w:r>
          </w:p>
        </w:tc>
        <w:tc>
          <w:tcPr>
            <w:tcW w:w="1134" w:type="dxa"/>
            <w:vAlign w:val="center"/>
          </w:tcPr>
          <w:p>
            <w:pPr>
              <w:jc w:val="center"/>
              <w:rPr>
                <w:rFonts w:ascii="仿宋" w:hAnsi="仿宋" w:eastAsia="仿宋" w:cs="仿宋"/>
                <w:sz w:val="18"/>
                <w:szCs w:val="18"/>
              </w:rPr>
            </w:pPr>
            <w:r>
              <w:rPr>
                <w:rFonts w:hint="eastAsia" w:ascii="仿宋" w:hAnsi="仿宋" w:eastAsia="仿宋" w:cs="仿宋"/>
                <w:sz w:val="18"/>
                <w:szCs w:val="18"/>
              </w:rPr>
              <w:t>0.2mm</w:t>
            </w:r>
          </w:p>
        </w:tc>
        <w:tc>
          <w:tcPr>
            <w:tcW w:w="1701" w:type="dxa"/>
          </w:tcPr>
          <w:p>
            <w:pPr>
              <w:jc w:val="center"/>
              <w:rPr>
                <w:rFonts w:ascii="仿宋" w:hAnsi="仿宋" w:eastAsia="仿宋" w:cs="仿宋"/>
                <w:sz w:val="18"/>
                <w:szCs w:val="18"/>
              </w:rPr>
            </w:pPr>
            <w:r>
              <w:rPr>
                <w:rFonts w:hint="eastAsia" w:ascii="仿宋" w:hAnsi="仿宋" w:eastAsia="仿宋" w:cs="仿宋"/>
                <w:sz w:val="18"/>
                <w:szCs w:val="18"/>
              </w:rPr>
              <w:t>管类颜色</w:t>
            </w:r>
          </w:p>
        </w:tc>
        <w:tc>
          <w:tcPr>
            <w:tcW w:w="4852" w:type="dxa"/>
            <w:vAlign w:val="center"/>
          </w:tcPr>
          <w:p>
            <w:pPr>
              <w:jc w:val="center"/>
              <w:rPr>
                <w:rFonts w:ascii="仿宋" w:hAnsi="仿宋" w:eastAsia="仿宋" w:cs="仿宋"/>
                <w:sz w:val="18"/>
                <w:szCs w:val="18"/>
              </w:rPr>
            </w:pPr>
            <w:r>
              <w:rPr>
                <w:rFonts w:hint="eastAsia" w:ascii="仿宋" w:hAnsi="仿宋" w:eastAsia="仿宋" w:cs="仿宋"/>
                <w:sz w:val="18"/>
                <w:szCs w:val="18"/>
              </w:rPr>
              <w:t>实线部分和虚线部分比例为2:1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8" w:type="dxa"/>
            <w:vAlign w:val="center"/>
          </w:tcPr>
          <w:p>
            <w:pPr>
              <w:jc w:val="center"/>
              <w:rPr>
                <w:rFonts w:ascii="仿宋" w:hAnsi="仿宋" w:eastAsia="仿宋" w:cs="仿宋"/>
                <w:sz w:val="18"/>
                <w:szCs w:val="18"/>
              </w:rPr>
            </w:pPr>
            <w:r>
              <w:rPr>
                <w:rFonts w:hint="eastAsia" w:ascii="仿宋" w:hAnsi="仿宋" w:eastAsia="仿宋" w:cs="仿宋"/>
                <w:sz w:val="18"/>
                <w:szCs w:val="18"/>
              </w:rPr>
              <w:t>缺失属性管线</w:t>
            </w:r>
          </w:p>
        </w:tc>
        <w:tc>
          <w:tcPr>
            <w:tcW w:w="1215" w:type="dxa"/>
            <w:vAlign w:val="center"/>
          </w:tcPr>
          <w:p>
            <w:pPr>
              <w:jc w:val="center"/>
              <w:rPr>
                <w:rFonts w:ascii="仿宋" w:hAnsi="仿宋" w:eastAsia="仿宋" w:cs="仿宋"/>
                <w:sz w:val="18"/>
                <w:szCs w:val="18"/>
              </w:rPr>
            </w:pPr>
            <w:r>
              <w:rPr>
                <w:rFonts w:hint="eastAsia" w:ascii="仿宋" w:hAnsi="仿宋" w:eastAsia="仿宋" w:cs="仿宋"/>
                <w:sz w:val="18"/>
                <w:szCs w:val="18"/>
              </w:rPr>
              <w:t>虚线</w:t>
            </w:r>
          </w:p>
        </w:tc>
        <w:tc>
          <w:tcPr>
            <w:tcW w:w="1134" w:type="dxa"/>
            <w:vAlign w:val="center"/>
          </w:tcPr>
          <w:p>
            <w:pPr>
              <w:jc w:val="center"/>
              <w:rPr>
                <w:rFonts w:ascii="仿宋" w:hAnsi="仿宋" w:eastAsia="仿宋" w:cs="仿宋"/>
                <w:sz w:val="18"/>
                <w:szCs w:val="18"/>
              </w:rPr>
            </w:pPr>
            <w:r>
              <w:rPr>
                <w:rFonts w:hint="eastAsia" w:ascii="仿宋" w:hAnsi="仿宋" w:eastAsia="仿宋" w:cs="仿宋"/>
                <w:sz w:val="18"/>
                <w:szCs w:val="18"/>
              </w:rPr>
              <w:t>PL11</w:t>
            </w:r>
          </w:p>
        </w:tc>
        <w:tc>
          <w:tcPr>
            <w:tcW w:w="2410"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076325" cy="171450"/>
                  <wp:effectExtent l="0" t="0" r="9525"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noChangeArrowheads="1"/>
                          </pic:cNvPicPr>
                        </pic:nvPicPr>
                        <pic:blipFill>
                          <a:blip r:embed="rId136">
                            <a:extLst>
                              <a:ext uri="{28A0092B-C50C-407E-A947-70E740481C1C}">
                                <a14:useLocalDpi xmlns:a14="http://schemas.microsoft.com/office/drawing/2010/main" val="0"/>
                              </a:ext>
                            </a:extLst>
                          </a:blip>
                          <a:srcRect r="6612"/>
                          <a:stretch>
                            <a:fillRect/>
                          </a:stretch>
                        </pic:blipFill>
                        <pic:spPr>
                          <a:xfrm>
                            <a:off x="0" y="0"/>
                            <a:ext cx="1076325" cy="171450"/>
                          </a:xfrm>
                          <a:prstGeom prst="rect">
                            <a:avLst/>
                          </a:prstGeom>
                          <a:noFill/>
                          <a:ln>
                            <a:noFill/>
                          </a:ln>
                        </pic:spPr>
                      </pic:pic>
                    </a:graphicData>
                  </a:graphic>
                </wp:inline>
              </w:drawing>
            </w:r>
          </w:p>
        </w:tc>
        <w:tc>
          <w:tcPr>
            <w:tcW w:w="1134" w:type="dxa"/>
            <w:vAlign w:val="center"/>
          </w:tcPr>
          <w:p>
            <w:pPr>
              <w:jc w:val="center"/>
              <w:rPr>
                <w:rFonts w:ascii="仿宋" w:hAnsi="仿宋" w:eastAsia="仿宋" w:cs="仿宋"/>
                <w:sz w:val="18"/>
                <w:szCs w:val="18"/>
              </w:rPr>
            </w:pPr>
            <w:r>
              <w:rPr>
                <w:rFonts w:hint="eastAsia" w:ascii="仿宋" w:hAnsi="仿宋" w:eastAsia="仿宋" w:cs="仿宋"/>
                <w:sz w:val="18"/>
                <w:szCs w:val="18"/>
              </w:rPr>
              <w:t>0.6mm</w:t>
            </w:r>
          </w:p>
        </w:tc>
        <w:tc>
          <w:tcPr>
            <w:tcW w:w="1701" w:type="dxa"/>
          </w:tcPr>
          <w:p>
            <w:pPr>
              <w:jc w:val="center"/>
              <w:rPr>
                <w:rFonts w:ascii="仿宋" w:hAnsi="仿宋" w:eastAsia="仿宋" w:cs="仿宋"/>
                <w:sz w:val="18"/>
                <w:szCs w:val="18"/>
              </w:rPr>
            </w:pPr>
            <w:r>
              <w:rPr>
                <w:rFonts w:hint="eastAsia" w:ascii="仿宋" w:hAnsi="仿宋" w:eastAsia="仿宋" w:cs="仿宋"/>
                <w:sz w:val="18"/>
                <w:szCs w:val="18"/>
              </w:rPr>
              <w:t>管类颜色</w:t>
            </w:r>
          </w:p>
        </w:tc>
        <w:tc>
          <w:tcPr>
            <w:tcW w:w="4852" w:type="dxa"/>
            <w:vAlign w:val="center"/>
          </w:tcPr>
          <w:p>
            <w:pPr>
              <w:jc w:val="center"/>
              <w:rPr>
                <w:rFonts w:ascii="仿宋" w:hAnsi="仿宋" w:eastAsia="仿宋" w:cs="仿宋"/>
                <w:sz w:val="18"/>
                <w:szCs w:val="18"/>
              </w:rPr>
            </w:pPr>
            <w:r>
              <w:rPr>
                <w:rFonts w:hint="eastAsia" w:ascii="仿宋" w:hAnsi="仿宋" w:eastAsia="仿宋" w:cs="仿宋"/>
                <w:sz w:val="18"/>
                <w:szCs w:val="18"/>
              </w:rPr>
              <w:t>实线部分和虚线部分比例为2:1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8" w:type="dxa"/>
            <w:vAlign w:val="center"/>
          </w:tcPr>
          <w:p>
            <w:pPr>
              <w:jc w:val="center"/>
              <w:rPr>
                <w:rFonts w:ascii="仿宋" w:hAnsi="仿宋" w:eastAsia="仿宋" w:cs="仿宋"/>
                <w:sz w:val="18"/>
                <w:szCs w:val="18"/>
              </w:rPr>
            </w:pPr>
            <w:r>
              <w:rPr>
                <w:rFonts w:hint="eastAsia" w:ascii="仿宋" w:hAnsi="仿宋" w:eastAsia="仿宋" w:cs="仿宋"/>
                <w:sz w:val="18"/>
                <w:szCs w:val="18"/>
              </w:rPr>
              <w:t>示意管线</w:t>
            </w:r>
          </w:p>
        </w:tc>
        <w:tc>
          <w:tcPr>
            <w:tcW w:w="1215" w:type="dxa"/>
            <w:vAlign w:val="center"/>
          </w:tcPr>
          <w:p>
            <w:pPr>
              <w:jc w:val="center"/>
              <w:rPr>
                <w:rFonts w:ascii="仿宋" w:hAnsi="仿宋" w:eastAsia="仿宋" w:cs="仿宋"/>
                <w:sz w:val="18"/>
                <w:szCs w:val="18"/>
              </w:rPr>
            </w:pPr>
            <w:r>
              <w:rPr>
                <w:rFonts w:hint="eastAsia" w:ascii="仿宋" w:hAnsi="仿宋" w:eastAsia="仿宋" w:cs="仿宋"/>
                <w:sz w:val="18"/>
                <w:szCs w:val="18"/>
              </w:rPr>
              <w:t>组合线型</w:t>
            </w:r>
          </w:p>
        </w:tc>
        <w:tc>
          <w:tcPr>
            <w:tcW w:w="1134" w:type="dxa"/>
            <w:vAlign w:val="center"/>
          </w:tcPr>
          <w:p>
            <w:pPr>
              <w:jc w:val="center"/>
              <w:rPr>
                <w:rFonts w:ascii="仿宋" w:hAnsi="仿宋" w:eastAsia="仿宋" w:cs="仿宋"/>
                <w:sz w:val="18"/>
                <w:szCs w:val="18"/>
              </w:rPr>
            </w:pPr>
            <w:r>
              <w:rPr>
                <w:rFonts w:hint="eastAsia" w:ascii="仿宋" w:hAnsi="仿宋" w:eastAsia="仿宋" w:cs="仿宋"/>
                <w:sz w:val="18"/>
                <w:szCs w:val="18"/>
              </w:rPr>
              <w:t>PL12</w:t>
            </w:r>
          </w:p>
        </w:tc>
        <w:tc>
          <w:tcPr>
            <w:tcW w:w="2410"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362075" cy="152400"/>
                  <wp:effectExtent l="0" t="0" r="9525"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1362075" cy="152400"/>
                          </a:xfrm>
                          <a:prstGeom prst="rect">
                            <a:avLst/>
                          </a:prstGeom>
                          <a:noFill/>
                          <a:ln>
                            <a:noFill/>
                          </a:ln>
                        </pic:spPr>
                      </pic:pic>
                    </a:graphicData>
                  </a:graphic>
                </wp:inline>
              </w:drawing>
            </w:r>
          </w:p>
        </w:tc>
        <w:tc>
          <w:tcPr>
            <w:tcW w:w="1134" w:type="dxa"/>
            <w:vAlign w:val="center"/>
          </w:tcPr>
          <w:p>
            <w:pPr>
              <w:jc w:val="center"/>
              <w:rPr>
                <w:rFonts w:ascii="仿宋" w:hAnsi="仿宋" w:eastAsia="仿宋" w:cs="仿宋"/>
                <w:sz w:val="18"/>
                <w:szCs w:val="18"/>
              </w:rPr>
            </w:pPr>
            <w:r>
              <w:rPr>
                <w:rFonts w:hint="eastAsia" w:ascii="仿宋" w:hAnsi="仿宋" w:eastAsia="仿宋" w:cs="仿宋"/>
                <w:sz w:val="18"/>
                <w:szCs w:val="18"/>
                <w:shd w:val="clear" w:color="FFFFFF" w:fill="D9D9D9"/>
              </w:rPr>
              <w:t>0.3mm</w:t>
            </w:r>
          </w:p>
        </w:tc>
        <w:tc>
          <w:tcPr>
            <w:tcW w:w="1701" w:type="dxa"/>
          </w:tcPr>
          <w:p>
            <w:pPr>
              <w:jc w:val="center"/>
              <w:rPr>
                <w:rFonts w:ascii="仿宋" w:hAnsi="仿宋" w:eastAsia="仿宋" w:cs="仿宋"/>
                <w:sz w:val="18"/>
                <w:szCs w:val="18"/>
              </w:rPr>
            </w:pPr>
            <w:r>
              <w:rPr>
                <w:rFonts w:hint="eastAsia" w:ascii="仿宋" w:hAnsi="仿宋" w:eastAsia="仿宋" w:cs="仿宋"/>
                <w:sz w:val="18"/>
                <w:szCs w:val="18"/>
              </w:rPr>
              <w:t>管类颜色</w:t>
            </w:r>
          </w:p>
        </w:tc>
        <w:tc>
          <w:tcPr>
            <w:tcW w:w="4852" w:type="dxa"/>
            <w:vAlign w:val="center"/>
          </w:tcPr>
          <w:p>
            <w:pPr>
              <w:jc w:val="center"/>
              <w:rPr>
                <w:rFonts w:ascii="仿宋" w:hAnsi="仿宋" w:eastAsia="仿宋" w:cs="仿宋"/>
                <w:sz w:val="18"/>
                <w:szCs w:val="18"/>
              </w:rPr>
            </w:pPr>
            <w:r>
              <w:rPr>
                <w:rFonts w:hint="eastAsia" w:ascii="仿宋" w:hAnsi="仿宋" w:eastAsia="仿宋" w:cs="仿宋"/>
                <w:sz w:val="18"/>
                <w:szCs w:val="18"/>
              </w:rPr>
              <w:t>示意管线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8" w:type="dxa"/>
            <w:vAlign w:val="center"/>
          </w:tcPr>
          <w:p>
            <w:pPr>
              <w:jc w:val="center"/>
              <w:rPr>
                <w:rFonts w:ascii="仿宋" w:hAnsi="仿宋" w:eastAsia="仿宋" w:cs="仿宋"/>
                <w:sz w:val="18"/>
                <w:szCs w:val="18"/>
              </w:rPr>
            </w:pPr>
            <w:r>
              <w:rPr>
                <w:rFonts w:hint="eastAsia" w:ascii="仿宋" w:hAnsi="仿宋" w:eastAsia="仿宋" w:cs="仿宋"/>
                <w:sz w:val="18"/>
                <w:szCs w:val="18"/>
              </w:rPr>
              <w:t>地下井室填充</w:t>
            </w:r>
          </w:p>
        </w:tc>
        <w:tc>
          <w:tcPr>
            <w:tcW w:w="1215" w:type="dxa"/>
            <w:vAlign w:val="center"/>
          </w:tcPr>
          <w:p>
            <w:pPr>
              <w:jc w:val="center"/>
              <w:rPr>
                <w:rFonts w:ascii="仿宋" w:hAnsi="仿宋" w:eastAsia="仿宋" w:cs="仿宋"/>
                <w:sz w:val="18"/>
                <w:szCs w:val="18"/>
              </w:rPr>
            </w:pPr>
            <w:r>
              <w:rPr>
                <w:rFonts w:hint="eastAsia" w:ascii="仿宋" w:hAnsi="仿宋" w:eastAsia="仿宋" w:cs="仿宋"/>
                <w:sz w:val="18"/>
                <w:szCs w:val="18"/>
              </w:rPr>
              <w:t>虚线</w:t>
            </w:r>
          </w:p>
        </w:tc>
        <w:tc>
          <w:tcPr>
            <w:tcW w:w="1134" w:type="dxa"/>
            <w:vAlign w:val="center"/>
          </w:tcPr>
          <w:p>
            <w:pPr>
              <w:jc w:val="center"/>
              <w:rPr>
                <w:rFonts w:ascii="仿宋" w:hAnsi="仿宋" w:eastAsia="仿宋" w:cs="仿宋"/>
                <w:sz w:val="18"/>
                <w:szCs w:val="18"/>
              </w:rPr>
            </w:pPr>
            <w:r>
              <w:rPr>
                <w:rFonts w:hint="eastAsia" w:ascii="仿宋" w:hAnsi="仿宋" w:eastAsia="仿宋" w:cs="仿宋"/>
                <w:sz w:val="18"/>
                <w:szCs w:val="18"/>
              </w:rPr>
              <w:t>PL13</w:t>
            </w:r>
          </w:p>
        </w:tc>
        <w:tc>
          <w:tcPr>
            <w:tcW w:w="2410" w:type="dxa"/>
            <w:vAlign w:val="center"/>
          </w:tcPr>
          <w:p>
            <w:pPr>
              <w:jc w:val="center"/>
              <w:rPr>
                <w:rFonts w:ascii="仿宋" w:hAnsi="仿宋" w:eastAsia="仿宋" w:cs="仿宋"/>
                <w:sz w:val="18"/>
                <w:szCs w:val="18"/>
              </w:rPr>
            </w:pPr>
            <w:r>
              <w:rPr>
                <w:rFonts w:ascii="仿宋" w:hAnsi="仿宋" w:eastAsia="仿宋" w:cs="仿宋"/>
              </w:rPr>
              <w:drawing>
                <wp:inline distT="0" distB="0" distL="0" distR="0">
                  <wp:extent cx="1076325" cy="171450"/>
                  <wp:effectExtent l="0" t="0" r="9525"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noChangeArrowheads="1"/>
                          </pic:cNvPicPr>
                        </pic:nvPicPr>
                        <pic:blipFill>
                          <a:blip r:embed="rId136">
                            <a:extLst>
                              <a:ext uri="{28A0092B-C50C-407E-A947-70E740481C1C}">
                                <a14:useLocalDpi xmlns:a14="http://schemas.microsoft.com/office/drawing/2010/main" val="0"/>
                              </a:ext>
                            </a:extLst>
                          </a:blip>
                          <a:srcRect r="6612"/>
                          <a:stretch>
                            <a:fillRect/>
                          </a:stretch>
                        </pic:blipFill>
                        <pic:spPr>
                          <a:xfrm>
                            <a:off x="0" y="0"/>
                            <a:ext cx="1076325" cy="171450"/>
                          </a:xfrm>
                          <a:prstGeom prst="rect">
                            <a:avLst/>
                          </a:prstGeom>
                          <a:noFill/>
                          <a:ln>
                            <a:noFill/>
                          </a:ln>
                        </pic:spPr>
                      </pic:pic>
                    </a:graphicData>
                  </a:graphic>
                </wp:inline>
              </w:drawing>
            </w:r>
          </w:p>
        </w:tc>
        <w:tc>
          <w:tcPr>
            <w:tcW w:w="1134" w:type="dxa"/>
            <w:vAlign w:val="center"/>
          </w:tcPr>
          <w:p>
            <w:pPr>
              <w:jc w:val="center"/>
              <w:rPr>
                <w:rFonts w:ascii="仿宋" w:hAnsi="仿宋" w:eastAsia="仿宋" w:cs="仿宋"/>
                <w:sz w:val="18"/>
                <w:szCs w:val="18"/>
                <w:shd w:val="clear" w:color="FFFFFF" w:fill="D9D9D9"/>
              </w:rPr>
            </w:pPr>
            <w:r>
              <w:rPr>
                <w:rFonts w:hint="eastAsia" w:ascii="仿宋" w:hAnsi="仿宋" w:eastAsia="仿宋" w:cs="仿宋"/>
                <w:sz w:val="18"/>
                <w:szCs w:val="18"/>
              </w:rPr>
              <w:t>0.2mm</w:t>
            </w:r>
          </w:p>
        </w:tc>
        <w:tc>
          <w:tcPr>
            <w:tcW w:w="1701" w:type="dxa"/>
          </w:tcPr>
          <w:p>
            <w:pPr>
              <w:jc w:val="center"/>
              <w:rPr>
                <w:rFonts w:ascii="仿宋" w:hAnsi="仿宋" w:eastAsia="仿宋" w:cs="仿宋"/>
                <w:sz w:val="18"/>
                <w:szCs w:val="18"/>
              </w:rPr>
            </w:pPr>
            <w:r>
              <w:rPr>
                <w:rFonts w:hint="eastAsia" w:ascii="仿宋" w:hAnsi="仿宋" w:eastAsia="仿宋" w:cs="仿宋"/>
                <w:sz w:val="18"/>
                <w:szCs w:val="18"/>
              </w:rPr>
              <w:t>管类颜色</w:t>
            </w:r>
          </w:p>
        </w:tc>
        <w:tc>
          <w:tcPr>
            <w:tcW w:w="4852" w:type="dxa"/>
            <w:vAlign w:val="center"/>
          </w:tcPr>
          <w:p>
            <w:pPr>
              <w:jc w:val="center"/>
              <w:rPr>
                <w:rFonts w:ascii="仿宋" w:hAnsi="仿宋" w:eastAsia="仿宋" w:cs="仿宋"/>
                <w:sz w:val="18"/>
                <w:szCs w:val="18"/>
              </w:rPr>
            </w:pPr>
            <w:r>
              <w:rPr>
                <w:rFonts w:hint="eastAsia" w:ascii="仿宋" w:hAnsi="仿宋" w:eastAsia="仿宋" w:cs="仿宋"/>
                <w:sz w:val="18"/>
                <w:szCs w:val="18"/>
              </w:rPr>
              <w:t>地下井室填充图案为ANSI31，填充比例0.1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8" w:type="dxa"/>
            <w:vAlign w:val="center"/>
          </w:tcPr>
          <w:p>
            <w:pPr>
              <w:jc w:val="center"/>
              <w:rPr>
                <w:rFonts w:ascii="仿宋" w:hAnsi="仿宋" w:eastAsia="仿宋" w:cs="仿宋"/>
                <w:sz w:val="18"/>
                <w:szCs w:val="18"/>
              </w:rPr>
            </w:pPr>
            <w:r>
              <w:rPr>
                <w:rFonts w:hint="eastAsia" w:ascii="仿宋" w:hAnsi="仿宋" w:eastAsia="仿宋" w:cs="仿宋"/>
                <w:sz w:val="18"/>
                <w:szCs w:val="18"/>
              </w:rPr>
              <w:t>施工范围线</w:t>
            </w:r>
          </w:p>
        </w:tc>
        <w:tc>
          <w:tcPr>
            <w:tcW w:w="1215" w:type="dxa"/>
            <w:vAlign w:val="center"/>
          </w:tcPr>
          <w:p>
            <w:pPr>
              <w:jc w:val="center"/>
              <w:rPr>
                <w:rFonts w:ascii="仿宋" w:hAnsi="仿宋" w:eastAsia="仿宋" w:cs="仿宋"/>
                <w:sz w:val="18"/>
                <w:szCs w:val="18"/>
              </w:rPr>
            </w:pPr>
            <w:r>
              <w:rPr>
                <w:rFonts w:hint="eastAsia" w:ascii="仿宋" w:hAnsi="仿宋" w:eastAsia="仿宋" w:cs="仿宋"/>
                <w:sz w:val="18"/>
                <w:szCs w:val="18"/>
              </w:rPr>
              <w:t>虚线</w:t>
            </w:r>
          </w:p>
        </w:tc>
        <w:tc>
          <w:tcPr>
            <w:tcW w:w="1134" w:type="dxa"/>
            <w:vAlign w:val="center"/>
          </w:tcPr>
          <w:p>
            <w:pPr>
              <w:jc w:val="center"/>
              <w:rPr>
                <w:rFonts w:ascii="仿宋" w:hAnsi="仿宋" w:eastAsia="仿宋" w:cs="仿宋"/>
                <w:sz w:val="18"/>
                <w:szCs w:val="18"/>
              </w:rPr>
            </w:pPr>
            <w:r>
              <w:rPr>
                <w:rFonts w:hint="eastAsia" w:ascii="仿宋" w:hAnsi="仿宋" w:eastAsia="仿宋" w:cs="仿宋"/>
                <w:sz w:val="18"/>
                <w:szCs w:val="18"/>
              </w:rPr>
              <w:t>PL14</w:t>
            </w:r>
          </w:p>
        </w:tc>
        <w:tc>
          <w:tcPr>
            <w:tcW w:w="2410" w:type="dxa"/>
            <w:vAlign w:val="center"/>
          </w:tcPr>
          <w:p>
            <w:pPr>
              <w:jc w:val="center"/>
              <w:rPr>
                <w:rFonts w:ascii="仿宋" w:hAnsi="仿宋" w:eastAsia="仿宋" w:cs="仿宋"/>
                <w:sz w:val="18"/>
                <w:szCs w:val="18"/>
              </w:rPr>
            </w:pPr>
            <w:r>
              <w:rPr>
                <w:rFonts w:ascii="仿宋" w:hAnsi="仿宋" w:eastAsia="仿宋" w:cs="仿宋"/>
                <w:sz w:val="18"/>
                <w:szCs w:val="18"/>
              </w:rPr>
              <w:drawing>
                <wp:inline distT="0" distB="0" distL="0" distR="0">
                  <wp:extent cx="1076325" cy="171450"/>
                  <wp:effectExtent l="0" t="0" r="9525"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noChangeArrowheads="1"/>
                          </pic:cNvPicPr>
                        </pic:nvPicPr>
                        <pic:blipFill>
                          <a:blip r:embed="rId136">
                            <a:extLst>
                              <a:ext uri="{28A0092B-C50C-407E-A947-70E740481C1C}">
                                <a14:useLocalDpi xmlns:a14="http://schemas.microsoft.com/office/drawing/2010/main" val="0"/>
                              </a:ext>
                            </a:extLst>
                          </a:blip>
                          <a:srcRect r="6612"/>
                          <a:stretch>
                            <a:fillRect/>
                          </a:stretch>
                        </pic:blipFill>
                        <pic:spPr>
                          <a:xfrm>
                            <a:off x="0" y="0"/>
                            <a:ext cx="1076325" cy="171450"/>
                          </a:xfrm>
                          <a:prstGeom prst="rect">
                            <a:avLst/>
                          </a:prstGeom>
                          <a:noFill/>
                          <a:ln>
                            <a:noFill/>
                          </a:ln>
                        </pic:spPr>
                      </pic:pic>
                    </a:graphicData>
                  </a:graphic>
                </wp:inline>
              </w:drawing>
            </w:r>
          </w:p>
        </w:tc>
        <w:tc>
          <w:tcPr>
            <w:tcW w:w="1134" w:type="dxa"/>
            <w:vAlign w:val="center"/>
          </w:tcPr>
          <w:p>
            <w:pPr>
              <w:jc w:val="center"/>
              <w:rPr>
                <w:rFonts w:ascii="仿宋" w:hAnsi="仿宋" w:eastAsia="仿宋" w:cs="仿宋"/>
                <w:sz w:val="18"/>
                <w:szCs w:val="18"/>
                <w:shd w:val="clear" w:color="FFFFFF" w:fill="D9D9D9"/>
              </w:rPr>
            </w:pPr>
            <w:r>
              <w:rPr>
                <w:rFonts w:hint="eastAsia" w:ascii="仿宋" w:hAnsi="仿宋" w:eastAsia="仿宋" w:cs="仿宋"/>
                <w:sz w:val="18"/>
                <w:szCs w:val="18"/>
              </w:rPr>
              <w:t>0.3mm</w:t>
            </w:r>
          </w:p>
        </w:tc>
        <w:tc>
          <w:tcPr>
            <w:tcW w:w="1701" w:type="dxa"/>
            <w:vAlign w:val="center"/>
          </w:tcPr>
          <w:p>
            <w:pPr>
              <w:jc w:val="center"/>
              <w:rPr>
                <w:rFonts w:ascii="仿宋" w:hAnsi="仿宋" w:eastAsia="仿宋" w:cs="仿宋"/>
                <w:sz w:val="18"/>
                <w:szCs w:val="18"/>
              </w:rPr>
            </w:pPr>
            <w:r>
              <w:rPr>
                <w:rFonts w:hint="eastAsia" w:ascii="仿宋" w:hAnsi="仿宋" w:eastAsia="仿宋" w:cs="仿宋"/>
                <w:sz w:val="18"/>
                <w:szCs w:val="18"/>
              </w:rPr>
              <w:t>黑色</w:t>
            </w:r>
          </w:p>
        </w:tc>
        <w:tc>
          <w:tcPr>
            <w:tcW w:w="4852" w:type="dxa"/>
            <w:vAlign w:val="center"/>
          </w:tcPr>
          <w:p>
            <w:pPr>
              <w:jc w:val="center"/>
              <w:rPr>
                <w:rFonts w:ascii="仿宋" w:hAnsi="仿宋" w:eastAsia="仿宋" w:cs="仿宋"/>
                <w:sz w:val="18"/>
                <w:szCs w:val="18"/>
              </w:rPr>
            </w:pPr>
            <w:r>
              <w:rPr>
                <w:rFonts w:hint="eastAsia" w:ascii="仿宋" w:hAnsi="仿宋" w:eastAsia="仿宋" w:cs="仿宋"/>
                <w:sz w:val="18"/>
                <w:szCs w:val="18"/>
              </w:rPr>
              <w:t>实线部分和虚线部分比例为2:1</w:t>
            </w:r>
          </w:p>
        </w:tc>
      </w:tr>
    </w:tbl>
    <w:p>
      <w:pPr>
        <w:pStyle w:val="2"/>
        <w:spacing w:line="480" w:lineRule="exact"/>
        <w:jc w:val="left"/>
        <w:rPr>
          <w:rFonts w:ascii="仿宋" w:hAnsi="仿宋" w:eastAsia="仿宋" w:cs="仿宋"/>
          <w:sz w:val="24"/>
        </w:rPr>
      </w:pPr>
    </w:p>
    <w:p>
      <w:pPr>
        <w:tabs>
          <w:tab w:val="left" w:pos="5080"/>
          <w:tab w:val="clear" w:pos="0"/>
        </w:tabs>
        <w:jc w:val="left"/>
        <w:rPr>
          <w:rFonts w:ascii="仿宋" w:hAnsi="仿宋" w:eastAsia="仿宋" w:cs="仿宋"/>
          <w:sz w:val="24"/>
        </w:rPr>
      </w:pPr>
      <w:r>
        <w:rPr>
          <w:rFonts w:ascii="仿宋" w:hAnsi="仿宋" w:eastAsia="仿宋" w:cs="仿宋"/>
          <w:sz w:val="24"/>
        </w:rPr>
        <w:tab/>
      </w:r>
    </w:p>
    <w:p>
      <w:pPr>
        <w:pStyle w:val="2"/>
        <w:jc w:val="left"/>
      </w:pPr>
    </w:p>
    <w:p>
      <w:pPr>
        <w:pStyle w:val="2"/>
        <w:jc w:val="left"/>
      </w:pPr>
    </w:p>
    <w:p>
      <w:pPr>
        <w:pStyle w:val="2"/>
        <w:jc w:val="left"/>
      </w:pPr>
    </w:p>
    <w:p>
      <w:pPr>
        <w:tabs>
          <w:tab w:val="left" w:pos="5080"/>
          <w:tab w:val="clear" w:pos="0"/>
        </w:tabs>
        <w:jc w:val="left"/>
        <w:sectPr>
          <w:pgSz w:w="16838" w:h="11906" w:orient="landscape"/>
          <w:pgMar w:top="1474" w:right="1417" w:bottom="1587" w:left="1701" w:header="851" w:footer="992" w:gutter="0"/>
          <w:cols w:space="720" w:num="1"/>
          <w:docGrid w:type="lines" w:linePitch="312" w:charSpace="0"/>
        </w:sectPr>
      </w:pPr>
    </w:p>
    <w:p>
      <w:pPr>
        <w:pStyle w:val="5"/>
        <w:spacing w:line="360" w:lineRule="auto"/>
        <w:jc w:val="center"/>
        <w:rPr>
          <w:rFonts w:ascii="仿宋" w:hAnsi="仿宋" w:eastAsia="仿宋" w:cs="仿宋"/>
          <w:sz w:val="24"/>
          <w:szCs w:val="24"/>
        </w:rPr>
      </w:pPr>
      <w:bookmarkStart w:id="1735" w:name="_Toc22788"/>
      <w:bookmarkStart w:id="1736" w:name="_Toc17167"/>
      <w:bookmarkStart w:id="1737" w:name="_Toc48835706"/>
      <w:bookmarkStart w:id="1738" w:name="_Toc18309"/>
      <w:bookmarkStart w:id="1739" w:name="_Toc10540"/>
      <w:bookmarkStart w:id="1740" w:name="_Toc21452"/>
      <w:bookmarkStart w:id="1741" w:name="_Toc14030"/>
      <w:bookmarkStart w:id="1742" w:name="_Toc29605"/>
      <w:bookmarkStart w:id="1743" w:name="_Toc27842"/>
      <w:bookmarkStart w:id="1744" w:name="_Toc510987406"/>
      <w:r>
        <w:rPr>
          <w:rFonts w:hint="eastAsia" w:ascii="仿宋" w:hAnsi="仿宋" w:eastAsia="仿宋" w:cs="仿宋"/>
          <w:sz w:val="24"/>
          <w:szCs w:val="24"/>
        </w:rPr>
        <w:t>附表A.12 管线要素代码表</w:t>
      </w:r>
      <w:bookmarkEnd w:id="1735"/>
      <w:bookmarkEnd w:id="1736"/>
      <w:bookmarkEnd w:id="1737"/>
      <w:bookmarkEnd w:id="1738"/>
      <w:bookmarkEnd w:id="1739"/>
      <w:bookmarkEnd w:id="1740"/>
      <w:bookmarkEnd w:id="1741"/>
      <w:bookmarkEnd w:id="1742"/>
      <w:bookmarkEnd w:id="1743"/>
    </w:p>
    <w:p>
      <w:pPr>
        <w:spacing w:line="560" w:lineRule="exact"/>
        <w:ind w:firstLine="241" w:firstLineChars="100"/>
        <w:jc w:val="center"/>
        <w:rPr>
          <w:rFonts w:ascii="仿宋" w:hAnsi="仿宋" w:eastAsia="仿宋" w:cs="仿宋"/>
          <w:b/>
        </w:rPr>
      </w:pPr>
      <w:r>
        <w:rPr>
          <w:rFonts w:hint="eastAsia" w:ascii="仿宋" w:hAnsi="仿宋" w:eastAsia="仿宋" w:cs="仿宋"/>
          <w:b/>
          <w:sz w:val="24"/>
        </w:rPr>
        <w:t>附</w:t>
      </w:r>
      <w:r>
        <w:rPr>
          <w:rFonts w:hint="eastAsia" w:ascii="仿宋" w:hAnsi="仿宋" w:eastAsia="仿宋" w:cs="仿宋"/>
          <w:b/>
        </w:rPr>
        <w:t>表A.</w:t>
      </w:r>
      <w:r>
        <w:rPr>
          <w:rFonts w:ascii="仿宋" w:hAnsi="仿宋" w:eastAsia="仿宋" w:cs="仿宋"/>
          <w:b/>
        </w:rPr>
        <w:t>1</w:t>
      </w:r>
      <w:r>
        <w:rPr>
          <w:rFonts w:hint="eastAsia" w:ascii="仿宋" w:hAnsi="仿宋" w:eastAsia="仿宋" w:cs="仿宋"/>
          <w:b/>
        </w:rPr>
        <w:t>2.1给水管线要素代码表</w:t>
      </w:r>
    </w:p>
    <w:tbl>
      <w:tblPr>
        <w:tblStyle w:val="26"/>
        <w:tblW w:w="8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381"/>
        <w:gridCol w:w="1381"/>
        <w:gridCol w:w="1381"/>
        <w:gridCol w:w="1381"/>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381" w:type="dxa"/>
            <w:vAlign w:val="center"/>
          </w:tcPr>
          <w:p>
            <w:pPr>
              <w:pStyle w:val="98"/>
              <w:ind w:firstLine="0" w:firstLineChars="0"/>
              <w:jc w:val="center"/>
              <w:rPr>
                <w:rFonts w:ascii="仿宋" w:hAnsi="仿宋" w:eastAsia="仿宋" w:cs="仿宋"/>
                <w:szCs w:val="21"/>
              </w:rPr>
            </w:pPr>
            <w:r>
              <w:rPr>
                <w:rFonts w:hint="eastAsia" w:ascii="仿宋" w:hAnsi="仿宋" w:eastAsia="仿宋" w:cs="仿宋"/>
                <w:b/>
                <w:szCs w:val="21"/>
              </w:rPr>
              <w:t>管线小类</w:t>
            </w:r>
          </w:p>
        </w:tc>
        <w:tc>
          <w:tcPr>
            <w:tcW w:w="1381" w:type="dxa"/>
            <w:vAlign w:val="center"/>
          </w:tcPr>
          <w:p>
            <w:pPr>
              <w:pStyle w:val="98"/>
              <w:ind w:firstLine="0" w:firstLineChars="0"/>
              <w:jc w:val="center"/>
              <w:rPr>
                <w:rFonts w:ascii="仿宋" w:hAnsi="仿宋" w:eastAsia="仿宋" w:cs="仿宋"/>
                <w:szCs w:val="21"/>
              </w:rPr>
            </w:pPr>
            <w:r>
              <w:rPr>
                <w:rFonts w:hint="eastAsia" w:ascii="仿宋" w:hAnsi="仿宋" w:eastAsia="仿宋" w:cs="仿宋"/>
                <w:b/>
                <w:szCs w:val="21"/>
              </w:rPr>
              <w:t>要素名称</w:t>
            </w:r>
          </w:p>
        </w:tc>
        <w:tc>
          <w:tcPr>
            <w:tcW w:w="1381" w:type="dxa"/>
            <w:vAlign w:val="center"/>
          </w:tcPr>
          <w:p>
            <w:pPr>
              <w:tabs>
                <w:tab w:val="left" w:pos="794"/>
                <w:tab w:val="clear" w:pos="0"/>
              </w:tabs>
              <w:jc w:val="center"/>
              <w:rPr>
                <w:rFonts w:ascii="仿宋" w:hAnsi="仿宋" w:eastAsia="仿宋" w:cs="仿宋"/>
                <w:szCs w:val="21"/>
              </w:rPr>
            </w:pPr>
            <w:r>
              <w:rPr>
                <w:rFonts w:hint="eastAsia" w:ascii="仿宋" w:hAnsi="仿宋" w:eastAsia="仿宋" w:cs="仿宋"/>
                <w:b/>
                <w:szCs w:val="21"/>
              </w:rPr>
              <w:t>代码</w:t>
            </w:r>
          </w:p>
        </w:tc>
        <w:tc>
          <w:tcPr>
            <w:tcW w:w="1381" w:type="dxa"/>
            <w:vAlign w:val="center"/>
          </w:tcPr>
          <w:p>
            <w:pPr>
              <w:widowControl/>
              <w:jc w:val="center"/>
              <w:rPr>
                <w:rFonts w:ascii="仿宋" w:hAnsi="仿宋" w:eastAsia="仿宋" w:cs="仿宋"/>
                <w:szCs w:val="21"/>
              </w:rPr>
            </w:pPr>
            <w:r>
              <w:rPr>
                <w:rFonts w:hint="eastAsia" w:ascii="仿宋" w:hAnsi="仿宋" w:eastAsia="仿宋" w:cs="仿宋"/>
                <w:b/>
                <w:szCs w:val="21"/>
              </w:rPr>
              <w:t>管线小类</w:t>
            </w:r>
          </w:p>
        </w:tc>
        <w:tc>
          <w:tcPr>
            <w:tcW w:w="1381" w:type="dxa"/>
            <w:vAlign w:val="center"/>
          </w:tcPr>
          <w:p>
            <w:pPr>
              <w:widowControl/>
              <w:jc w:val="center"/>
              <w:rPr>
                <w:rFonts w:ascii="仿宋" w:hAnsi="仿宋" w:eastAsia="仿宋" w:cs="仿宋"/>
                <w:szCs w:val="21"/>
              </w:rPr>
            </w:pPr>
            <w:r>
              <w:rPr>
                <w:rFonts w:hint="eastAsia" w:ascii="仿宋" w:hAnsi="仿宋" w:eastAsia="仿宋" w:cs="仿宋"/>
                <w:b/>
                <w:szCs w:val="21"/>
              </w:rPr>
              <w:t>要素名称</w:t>
            </w:r>
          </w:p>
        </w:tc>
        <w:tc>
          <w:tcPr>
            <w:tcW w:w="1383" w:type="dxa"/>
            <w:vAlign w:val="center"/>
          </w:tcPr>
          <w:p>
            <w:pPr>
              <w:widowControl/>
              <w:jc w:val="center"/>
              <w:rPr>
                <w:rFonts w:ascii="仿宋" w:hAnsi="仿宋" w:eastAsia="仿宋" w:cs="仿宋"/>
                <w:szCs w:val="21"/>
              </w:rPr>
            </w:pPr>
            <w:r>
              <w:rPr>
                <w:rFonts w:hint="eastAsia" w:ascii="仿宋" w:hAnsi="仿宋" w:eastAsia="仿宋" w:cs="仿宋"/>
                <w:b/>
                <w:szCs w:val="21"/>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restart"/>
            <w:shd w:val="clear" w:color="auto" w:fill="auto"/>
            <w:vAlign w:val="center"/>
          </w:tcPr>
          <w:p>
            <w:pPr>
              <w:widowControl/>
              <w:jc w:val="center"/>
              <w:rPr>
                <w:rFonts w:ascii="仿宋" w:hAnsi="仿宋" w:eastAsia="仿宋" w:cs="仿宋"/>
                <w:b/>
                <w:kern w:val="0"/>
                <w:sz w:val="18"/>
                <w:szCs w:val="18"/>
              </w:rPr>
            </w:pPr>
            <w:r>
              <w:rPr>
                <w:rFonts w:hint="eastAsia" w:ascii="仿宋" w:hAnsi="仿宋" w:eastAsia="仿宋" w:cs="仿宋"/>
                <w:b/>
                <w:kern w:val="0"/>
                <w:sz w:val="18"/>
                <w:szCs w:val="18"/>
              </w:rPr>
              <w:t>原水</w:t>
            </w:r>
          </w:p>
          <w:p>
            <w:pPr>
              <w:ind w:firstLine="361" w:firstLineChars="200"/>
              <w:jc w:val="center"/>
              <w:rPr>
                <w:rFonts w:ascii="仿宋" w:hAnsi="仿宋" w:eastAsia="仿宋" w:cs="仿宋"/>
                <w:b/>
                <w:kern w:val="0"/>
                <w:sz w:val="18"/>
                <w:szCs w:val="18"/>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原水管段</w:t>
            </w: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51011000</w:t>
            </w:r>
          </w:p>
        </w:tc>
        <w:tc>
          <w:tcPr>
            <w:tcW w:w="1381" w:type="dxa"/>
            <w:vMerge w:val="restart"/>
            <w:shd w:val="clear" w:color="auto" w:fill="auto"/>
            <w:vAlign w:val="center"/>
          </w:tcPr>
          <w:p>
            <w:pPr>
              <w:widowControl/>
              <w:jc w:val="center"/>
              <w:rPr>
                <w:rFonts w:ascii="仿宋" w:hAnsi="仿宋" w:eastAsia="仿宋" w:cs="仿宋"/>
                <w:b/>
                <w:kern w:val="0"/>
                <w:sz w:val="18"/>
                <w:szCs w:val="18"/>
              </w:rPr>
            </w:pPr>
            <w:r>
              <w:rPr>
                <w:rFonts w:hint="eastAsia" w:ascii="仿宋" w:hAnsi="仿宋" w:eastAsia="仿宋" w:cs="仿宋"/>
                <w:b/>
                <w:kern w:val="0"/>
                <w:sz w:val="18"/>
                <w:szCs w:val="18"/>
              </w:rPr>
              <w:t>输水</w:t>
            </w: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进水口</w:t>
            </w:r>
          </w:p>
        </w:tc>
        <w:tc>
          <w:tcPr>
            <w:tcW w:w="1383"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51022106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ind w:firstLine="480" w:firstLineChars="200"/>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弯头</w:t>
            </w: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51012101</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出水口</w:t>
            </w:r>
          </w:p>
        </w:tc>
        <w:tc>
          <w:tcPr>
            <w:tcW w:w="1383"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51022107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ind w:firstLine="480" w:firstLineChars="200"/>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三通</w:t>
            </w: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51012102</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测流点</w:t>
            </w:r>
          </w:p>
        </w:tc>
        <w:tc>
          <w:tcPr>
            <w:tcW w:w="1383"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51022108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ind w:firstLine="480" w:firstLineChars="200"/>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四通</w:t>
            </w: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51012103</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测压点</w:t>
            </w:r>
          </w:p>
        </w:tc>
        <w:tc>
          <w:tcPr>
            <w:tcW w:w="1383"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51022109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ind w:firstLine="480" w:firstLineChars="200"/>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变径</w:t>
            </w: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51012104</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水质监测点</w:t>
            </w:r>
          </w:p>
        </w:tc>
        <w:tc>
          <w:tcPr>
            <w:tcW w:w="1383"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51022110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ind w:firstLine="480" w:firstLineChars="200"/>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预留口</w:t>
            </w: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51012105</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伸缩器</w:t>
            </w:r>
          </w:p>
        </w:tc>
        <w:tc>
          <w:tcPr>
            <w:tcW w:w="1383"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51022111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ind w:firstLine="480" w:firstLineChars="200"/>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进水口</w:t>
            </w: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51012106</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停止塞</w:t>
            </w:r>
          </w:p>
        </w:tc>
        <w:tc>
          <w:tcPr>
            <w:tcW w:w="1383"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51022112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ind w:firstLine="480" w:firstLineChars="200"/>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出水口</w:t>
            </w: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51012107</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变材</w:t>
            </w:r>
          </w:p>
        </w:tc>
        <w:tc>
          <w:tcPr>
            <w:tcW w:w="1383"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51022113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ind w:firstLine="480" w:firstLineChars="200"/>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测流点</w:t>
            </w: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51012108</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bottom"/>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转折点</w:t>
            </w:r>
          </w:p>
        </w:tc>
        <w:tc>
          <w:tcPr>
            <w:tcW w:w="1383" w:type="dxa"/>
            <w:shd w:val="clear" w:color="auto" w:fill="FFFFFF"/>
            <w:vAlign w:val="bottom"/>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51022114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ind w:firstLine="480" w:firstLineChars="200"/>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测压点</w:t>
            </w: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51012109</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bottom"/>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出地</w:t>
            </w:r>
          </w:p>
        </w:tc>
        <w:tc>
          <w:tcPr>
            <w:tcW w:w="1383" w:type="dxa"/>
            <w:shd w:val="clear" w:color="auto" w:fill="FFFFFF"/>
            <w:vAlign w:val="bottom"/>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51022115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ind w:firstLine="480" w:firstLineChars="200"/>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水质监测点</w:t>
            </w: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51012110</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盖堵</w:t>
            </w:r>
          </w:p>
        </w:tc>
        <w:tc>
          <w:tcPr>
            <w:tcW w:w="1383"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51022116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ind w:firstLine="480" w:firstLineChars="200"/>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伸缩器</w:t>
            </w: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51012111</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非普查</w:t>
            </w:r>
          </w:p>
        </w:tc>
        <w:tc>
          <w:tcPr>
            <w:tcW w:w="1383"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51022117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ind w:firstLine="480" w:firstLineChars="200"/>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出地</w:t>
            </w: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51012112</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bottom"/>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窨井</w:t>
            </w:r>
          </w:p>
        </w:tc>
        <w:tc>
          <w:tcPr>
            <w:tcW w:w="1383" w:type="dxa"/>
            <w:shd w:val="clear" w:color="auto" w:fill="FFFFFF"/>
            <w:vAlign w:val="bottom"/>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51022201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ind w:firstLine="480" w:firstLineChars="200"/>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盖堵</w:t>
            </w: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51012113</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消防栓</w:t>
            </w:r>
          </w:p>
        </w:tc>
        <w:tc>
          <w:tcPr>
            <w:tcW w:w="1383"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51022202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ind w:firstLine="480" w:firstLineChars="200"/>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非普查</w:t>
            </w:r>
          </w:p>
        </w:tc>
        <w:tc>
          <w:tcPr>
            <w:tcW w:w="1381"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51012114</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阀门</w:t>
            </w:r>
          </w:p>
        </w:tc>
        <w:tc>
          <w:tcPr>
            <w:tcW w:w="1383"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51022203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ind w:firstLine="480" w:firstLineChars="200"/>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窨井</w:t>
            </w: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51012201</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阀门井</w:t>
            </w:r>
          </w:p>
        </w:tc>
        <w:tc>
          <w:tcPr>
            <w:tcW w:w="1383"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51022204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ind w:firstLine="480" w:firstLineChars="200"/>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阀门</w:t>
            </w: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51012202</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阀门孔</w:t>
            </w:r>
          </w:p>
        </w:tc>
        <w:tc>
          <w:tcPr>
            <w:tcW w:w="1383"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51022205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ind w:firstLine="480" w:firstLineChars="200"/>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阀门井</w:t>
            </w: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51012203</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水表</w:t>
            </w:r>
          </w:p>
        </w:tc>
        <w:tc>
          <w:tcPr>
            <w:tcW w:w="1383"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51022206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ind w:firstLine="480" w:firstLineChars="200"/>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阀门孔</w:t>
            </w: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51012204</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水表井</w:t>
            </w:r>
          </w:p>
        </w:tc>
        <w:tc>
          <w:tcPr>
            <w:tcW w:w="1383"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51022207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ind w:firstLine="480" w:firstLineChars="200"/>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水表</w:t>
            </w: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51012205</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bottom"/>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地下消防栓</w:t>
            </w:r>
          </w:p>
        </w:tc>
        <w:tc>
          <w:tcPr>
            <w:tcW w:w="1383" w:type="dxa"/>
            <w:shd w:val="clear" w:color="auto" w:fill="FFFFFF"/>
            <w:vAlign w:val="bottom"/>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51022208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ind w:firstLine="480" w:firstLineChars="200"/>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水表井</w:t>
            </w: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51012206</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消防井</w:t>
            </w:r>
          </w:p>
        </w:tc>
        <w:tc>
          <w:tcPr>
            <w:tcW w:w="1383"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51022209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ind w:firstLine="480" w:firstLineChars="200"/>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排气阀</w:t>
            </w: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51012207</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消防栓</w:t>
            </w:r>
          </w:p>
        </w:tc>
        <w:tc>
          <w:tcPr>
            <w:tcW w:w="1383"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51022210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ind w:firstLine="480" w:firstLineChars="200"/>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排污阀</w:t>
            </w: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51012208</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带阀泄气</w:t>
            </w:r>
          </w:p>
        </w:tc>
        <w:tc>
          <w:tcPr>
            <w:tcW w:w="1383"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51022211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ind w:firstLine="480" w:firstLineChars="200"/>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Style w:val="100"/>
                <w:rFonts w:hint="default" w:ascii="仿宋" w:hAnsi="仿宋" w:eastAsia="仿宋" w:cs="仿宋"/>
                <w:color w:val="000000"/>
                <w:sz w:val="18"/>
                <w:szCs w:val="18"/>
                <w:lang w:val="zh-CN"/>
              </w:rPr>
              <w:t>沉淀池</w:t>
            </w: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Style w:val="100"/>
                <w:rFonts w:hint="default" w:ascii="仿宋" w:hAnsi="仿宋" w:eastAsia="仿宋" w:cs="仿宋"/>
                <w:color w:val="000000"/>
                <w:sz w:val="18"/>
                <w:szCs w:val="18"/>
                <w:lang w:val="zh-CN"/>
              </w:rPr>
              <w:t>51012209</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止回阀</w:t>
            </w:r>
          </w:p>
        </w:tc>
        <w:tc>
          <w:tcPr>
            <w:tcW w:w="1383"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51022212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ind w:firstLine="480" w:firstLineChars="200"/>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Style w:val="100"/>
                <w:rFonts w:hint="default" w:ascii="仿宋" w:hAnsi="仿宋" w:eastAsia="仿宋" w:cs="仿宋"/>
                <w:color w:val="000000"/>
                <w:sz w:val="18"/>
                <w:szCs w:val="18"/>
                <w:lang w:val="zh-CN"/>
              </w:rPr>
              <w:t>水塔</w:t>
            </w: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Style w:val="100"/>
                <w:rFonts w:hint="default" w:ascii="仿宋" w:hAnsi="仿宋" w:eastAsia="仿宋" w:cs="仿宋"/>
                <w:color w:val="000000"/>
                <w:sz w:val="18"/>
                <w:szCs w:val="18"/>
                <w:lang w:val="zh-CN"/>
              </w:rPr>
              <w:t>51012210</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排气阀</w:t>
            </w:r>
          </w:p>
        </w:tc>
        <w:tc>
          <w:tcPr>
            <w:tcW w:w="1383"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51022213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ind w:firstLine="480" w:firstLineChars="200"/>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Style w:val="100"/>
                <w:rFonts w:hint="default" w:ascii="仿宋" w:hAnsi="仿宋" w:eastAsia="仿宋" w:cs="仿宋"/>
                <w:color w:val="000000"/>
                <w:sz w:val="18"/>
                <w:szCs w:val="18"/>
                <w:lang w:val="zh-CN"/>
              </w:rPr>
              <w:t>水池</w:t>
            </w: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Style w:val="100"/>
                <w:rFonts w:hint="default" w:ascii="仿宋" w:hAnsi="仿宋" w:eastAsia="仿宋" w:cs="仿宋"/>
                <w:color w:val="000000"/>
                <w:sz w:val="18"/>
                <w:szCs w:val="18"/>
                <w:lang w:val="zh-CN"/>
              </w:rPr>
              <w:t>51012211</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排污阀</w:t>
            </w:r>
          </w:p>
        </w:tc>
        <w:tc>
          <w:tcPr>
            <w:tcW w:w="1383"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51022214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ind w:firstLine="480" w:firstLineChars="200"/>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Style w:val="100"/>
                <w:rFonts w:hint="default" w:ascii="仿宋" w:hAnsi="仿宋" w:eastAsia="仿宋" w:cs="仿宋"/>
                <w:color w:val="000000"/>
                <w:sz w:val="18"/>
                <w:szCs w:val="18"/>
                <w:lang w:val="zh-CN"/>
              </w:rPr>
              <w:t>净化池</w:t>
            </w: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Style w:val="100"/>
                <w:rFonts w:hint="default" w:ascii="仿宋" w:hAnsi="仿宋" w:eastAsia="仿宋" w:cs="仿宋"/>
                <w:color w:val="000000"/>
                <w:sz w:val="18"/>
                <w:szCs w:val="18"/>
                <w:lang w:val="zh-CN"/>
              </w:rPr>
              <w:t>51012212</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沉淀池</w:t>
            </w:r>
          </w:p>
        </w:tc>
        <w:tc>
          <w:tcPr>
            <w:tcW w:w="1383"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51022215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ind w:firstLine="480" w:firstLineChars="200"/>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Style w:val="100"/>
                <w:rFonts w:hint="default" w:ascii="仿宋" w:hAnsi="仿宋" w:eastAsia="仿宋" w:cs="仿宋"/>
                <w:color w:val="000000"/>
                <w:sz w:val="18"/>
                <w:szCs w:val="18"/>
                <w:lang w:val="zh-CN"/>
              </w:rPr>
              <w:t>栗站</w:t>
            </w: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Style w:val="100"/>
                <w:rFonts w:hint="default" w:ascii="仿宋" w:hAnsi="仿宋" w:eastAsia="仿宋" w:cs="仿宋"/>
                <w:color w:val="000000"/>
                <w:sz w:val="18"/>
                <w:szCs w:val="18"/>
                <w:lang w:val="zh-CN"/>
              </w:rPr>
              <w:t>51012213</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水塔</w:t>
            </w:r>
          </w:p>
        </w:tc>
        <w:tc>
          <w:tcPr>
            <w:tcW w:w="1383"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51022216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ind w:firstLine="480" w:firstLineChars="200"/>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Style w:val="100"/>
                <w:rFonts w:hint="default" w:ascii="仿宋" w:hAnsi="仿宋" w:eastAsia="仿宋" w:cs="仿宋"/>
                <w:color w:val="000000"/>
                <w:sz w:val="18"/>
                <w:szCs w:val="18"/>
                <w:lang w:val="zh-CN"/>
              </w:rPr>
              <w:t>水源井</w:t>
            </w: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Style w:val="100"/>
                <w:rFonts w:hint="default" w:ascii="仿宋" w:hAnsi="仿宋" w:eastAsia="仿宋" w:cs="仿宋"/>
                <w:color w:val="000000"/>
                <w:sz w:val="18"/>
                <w:szCs w:val="18"/>
                <w:lang w:val="zh-CN"/>
              </w:rPr>
              <w:t>51012214</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水池</w:t>
            </w:r>
          </w:p>
        </w:tc>
        <w:tc>
          <w:tcPr>
            <w:tcW w:w="1383"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51022217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81" w:type="dxa"/>
            <w:vMerge w:val="continue"/>
            <w:shd w:val="clear" w:color="auto" w:fill="auto"/>
            <w:vAlign w:val="center"/>
          </w:tcPr>
          <w:p>
            <w:pPr>
              <w:ind w:firstLine="480" w:firstLineChars="200"/>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Style w:val="100"/>
                <w:rFonts w:hint="default" w:ascii="仿宋" w:hAnsi="仿宋" w:eastAsia="仿宋" w:cs="仿宋"/>
                <w:color w:val="000000"/>
                <w:sz w:val="18"/>
                <w:szCs w:val="18"/>
                <w:lang w:val="zh-CN"/>
              </w:rPr>
              <w:t>原水面状要素</w:t>
            </w: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Style w:val="100"/>
                <w:rFonts w:hint="default" w:ascii="仿宋" w:hAnsi="仿宋" w:eastAsia="仿宋" w:cs="仿宋"/>
                <w:color w:val="000000"/>
                <w:sz w:val="18"/>
                <w:szCs w:val="18"/>
                <w:lang w:val="zh-CN"/>
              </w:rPr>
              <w:t>51013000</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净化池</w:t>
            </w:r>
          </w:p>
        </w:tc>
        <w:tc>
          <w:tcPr>
            <w:tcW w:w="1383"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51022218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restart"/>
            <w:shd w:val="clear" w:color="auto" w:fill="auto"/>
            <w:vAlign w:val="center"/>
          </w:tcPr>
          <w:p>
            <w:pPr>
              <w:ind w:firstLine="361" w:firstLineChars="200"/>
              <w:rPr>
                <w:rFonts w:ascii="仿宋" w:hAnsi="仿宋" w:eastAsia="仿宋" w:cs="仿宋"/>
              </w:rPr>
            </w:pPr>
            <w:r>
              <w:rPr>
                <w:rFonts w:hint="eastAsia" w:ascii="仿宋" w:hAnsi="仿宋" w:eastAsia="仿宋" w:cs="仿宋"/>
                <w:b/>
                <w:kern w:val="0"/>
                <w:sz w:val="18"/>
                <w:szCs w:val="18"/>
              </w:rPr>
              <w:t>输水</w:t>
            </w:r>
          </w:p>
        </w:tc>
        <w:tc>
          <w:tcPr>
            <w:tcW w:w="1381"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sz w:val="18"/>
                <w:szCs w:val="18"/>
              </w:rPr>
              <w:t>输水管段</w:t>
            </w:r>
          </w:p>
        </w:tc>
        <w:tc>
          <w:tcPr>
            <w:tcW w:w="1381"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sz w:val="18"/>
                <w:szCs w:val="18"/>
              </w:rPr>
              <w:t>51021000</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泄气</w:t>
            </w:r>
          </w:p>
        </w:tc>
        <w:tc>
          <w:tcPr>
            <w:tcW w:w="1383"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51022219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弯头</w:t>
            </w: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51022101</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水表集</w:t>
            </w:r>
          </w:p>
        </w:tc>
        <w:tc>
          <w:tcPr>
            <w:tcW w:w="1383"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51022220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三通</w:t>
            </w: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51022102</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泵站</w:t>
            </w:r>
          </w:p>
        </w:tc>
        <w:tc>
          <w:tcPr>
            <w:tcW w:w="1383"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51022221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四通</w:t>
            </w: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51022103</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水厂出水</w:t>
            </w:r>
          </w:p>
        </w:tc>
        <w:tc>
          <w:tcPr>
            <w:tcW w:w="1383"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51022222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变径</w:t>
            </w: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51022104</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增压站出水</w:t>
            </w:r>
          </w:p>
        </w:tc>
        <w:tc>
          <w:tcPr>
            <w:tcW w:w="1383"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51022223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预留口</w:t>
            </w:r>
          </w:p>
        </w:tc>
        <w:tc>
          <w:tcPr>
            <w:tcW w:w="1381" w:type="dxa"/>
            <w:shd w:val="clear" w:color="auto" w:fill="FFFFFF"/>
            <w:vAlign w:val="center"/>
          </w:tcPr>
          <w:p>
            <w:pPr>
              <w:pStyle w:val="99"/>
              <w:spacing w:before="0" w:line="240" w:lineRule="auto"/>
              <w:ind w:firstLine="0"/>
              <w:jc w:val="center"/>
              <w:rPr>
                <w:rFonts w:ascii="仿宋" w:hAnsi="仿宋" w:eastAsia="仿宋" w:cs="仿宋"/>
                <w:sz w:val="24"/>
              </w:rPr>
            </w:pPr>
            <w:r>
              <w:rPr>
                <w:rFonts w:hint="eastAsia" w:ascii="仿宋" w:hAnsi="仿宋" w:eastAsia="仿宋" w:cs="仿宋"/>
                <w:color w:val="000000"/>
                <w:sz w:val="18"/>
                <w:szCs w:val="18"/>
                <w:shd w:val="clear" w:color="auto" w:fill="auto"/>
                <w:lang w:val="zh-CN"/>
              </w:rPr>
              <w:t>51022105</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水源井</w:t>
            </w:r>
          </w:p>
        </w:tc>
        <w:tc>
          <w:tcPr>
            <w:tcW w:w="1383"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51022224</w:t>
            </w:r>
          </w:p>
        </w:tc>
      </w:tr>
    </w:tbl>
    <w:p>
      <w:pPr>
        <w:spacing w:after="162" w:afterLines="50"/>
        <w:ind w:firstLine="241" w:firstLineChars="100"/>
        <w:jc w:val="center"/>
        <w:rPr>
          <w:b/>
        </w:rPr>
      </w:pPr>
    </w:p>
    <w:tbl>
      <w:tblPr>
        <w:tblStyle w:val="26"/>
        <w:tblW w:w="8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1380"/>
        <w:gridCol w:w="1381"/>
        <w:gridCol w:w="1381"/>
        <w:gridCol w:w="1383"/>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380"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管线小类</w:t>
            </w:r>
          </w:p>
        </w:tc>
        <w:tc>
          <w:tcPr>
            <w:tcW w:w="1380"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要素名称</w:t>
            </w:r>
          </w:p>
        </w:tc>
        <w:tc>
          <w:tcPr>
            <w:tcW w:w="1381" w:type="dxa"/>
            <w:vAlign w:val="center"/>
          </w:tcPr>
          <w:p>
            <w:pPr>
              <w:tabs>
                <w:tab w:val="left" w:pos="794"/>
                <w:tab w:val="clear" w:pos="0"/>
              </w:tabs>
              <w:jc w:val="center"/>
              <w:rPr>
                <w:rFonts w:ascii="仿宋" w:hAnsi="仿宋" w:eastAsia="仿宋" w:cs="仿宋"/>
              </w:rPr>
            </w:pPr>
            <w:r>
              <w:rPr>
                <w:rFonts w:hint="eastAsia" w:ascii="仿宋" w:hAnsi="仿宋" w:eastAsia="仿宋" w:cs="仿宋"/>
                <w:b/>
                <w:szCs w:val="21"/>
              </w:rPr>
              <w:t>代码</w:t>
            </w:r>
          </w:p>
        </w:tc>
        <w:tc>
          <w:tcPr>
            <w:tcW w:w="1381" w:type="dxa"/>
            <w:vAlign w:val="center"/>
          </w:tcPr>
          <w:p>
            <w:pPr>
              <w:widowControl/>
              <w:jc w:val="center"/>
              <w:rPr>
                <w:rFonts w:ascii="仿宋" w:hAnsi="仿宋" w:eastAsia="仿宋" w:cs="仿宋"/>
              </w:rPr>
            </w:pPr>
            <w:r>
              <w:rPr>
                <w:rFonts w:hint="eastAsia" w:ascii="仿宋" w:hAnsi="仿宋" w:eastAsia="仿宋" w:cs="仿宋"/>
                <w:b/>
                <w:szCs w:val="21"/>
              </w:rPr>
              <w:t>管线小类</w:t>
            </w:r>
          </w:p>
        </w:tc>
        <w:tc>
          <w:tcPr>
            <w:tcW w:w="1383" w:type="dxa"/>
            <w:vAlign w:val="center"/>
          </w:tcPr>
          <w:p>
            <w:pPr>
              <w:widowControl/>
              <w:jc w:val="center"/>
              <w:rPr>
                <w:rFonts w:ascii="仿宋" w:hAnsi="仿宋" w:eastAsia="仿宋" w:cs="仿宋"/>
              </w:rPr>
            </w:pPr>
            <w:r>
              <w:rPr>
                <w:rFonts w:hint="eastAsia" w:ascii="仿宋" w:hAnsi="仿宋" w:eastAsia="仿宋" w:cs="仿宋"/>
                <w:b/>
                <w:szCs w:val="21"/>
              </w:rPr>
              <w:t>要素名称</w:t>
            </w:r>
          </w:p>
        </w:tc>
        <w:tc>
          <w:tcPr>
            <w:tcW w:w="1383" w:type="dxa"/>
            <w:vAlign w:val="center"/>
          </w:tcPr>
          <w:p>
            <w:pPr>
              <w:widowControl/>
              <w:jc w:val="center"/>
              <w:rPr>
                <w:rFonts w:ascii="仿宋" w:hAnsi="仿宋" w:eastAsia="仿宋" w:cs="仿宋"/>
              </w:rPr>
            </w:pPr>
            <w:r>
              <w:rPr>
                <w:rFonts w:hint="eastAsia" w:ascii="仿宋" w:hAnsi="仿宋" w:eastAsia="仿宋" w:cs="仿宋"/>
                <w:b/>
                <w:szCs w:val="21"/>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380" w:type="dxa"/>
            <w:shd w:val="clear" w:color="auto" w:fill="auto"/>
            <w:vAlign w:val="center"/>
          </w:tcPr>
          <w:p>
            <w:pPr>
              <w:ind w:firstLine="361" w:firstLineChars="200"/>
              <w:rPr>
                <w:rFonts w:ascii="仿宋" w:hAnsi="仿宋" w:eastAsia="仿宋" w:cs="仿宋"/>
                <w:sz w:val="10"/>
                <w:szCs w:val="10"/>
              </w:rPr>
            </w:pPr>
            <w:r>
              <w:rPr>
                <w:rFonts w:hint="eastAsia" w:ascii="仿宋" w:hAnsi="仿宋" w:eastAsia="仿宋" w:cs="仿宋"/>
                <w:b/>
                <w:kern w:val="0"/>
                <w:sz w:val="18"/>
                <w:szCs w:val="18"/>
              </w:rPr>
              <w:t>输水</w:t>
            </w:r>
          </w:p>
        </w:tc>
        <w:tc>
          <w:tcPr>
            <w:tcW w:w="1380"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输水面状要素</w:t>
            </w:r>
          </w:p>
        </w:tc>
        <w:tc>
          <w:tcPr>
            <w:tcW w:w="1381"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51023000</w:t>
            </w:r>
          </w:p>
        </w:tc>
        <w:tc>
          <w:tcPr>
            <w:tcW w:w="1381" w:type="dxa"/>
            <w:vMerge w:val="restart"/>
            <w:shd w:val="clear" w:color="auto" w:fill="auto"/>
          </w:tcPr>
          <w:p>
            <w:pPr>
              <w:jc w:val="center"/>
              <w:rPr>
                <w:rFonts w:ascii="仿宋" w:hAnsi="仿宋" w:eastAsia="仿宋" w:cs="仿宋"/>
              </w:rPr>
            </w:pPr>
            <w:r>
              <w:rPr>
                <w:rFonts w:hint="eastAsia" w:ascii="仿宋" w:hAnsi="仿宋" w:eastAsia="仿宋" w:cs="仿宋"/>
                <w:b/>
                <w:kern w:val="0"/>
                <w:sz w:val="18"/>
                <w:szCs w:val="18"/>
              </w:rPr>
              <w:t>中水</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化粪池</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51032223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restart"/>
            <w:shd w:val="clear" w:color="auto" w:fill="auto"/>
            <w:vAlign w:val="center"/>
          </w:tcPr>
          <w:p>
            <w:pPr>
              <w:ind w:firstLine="452" w:firstLineChars="250"/>
              <w:rPr>
                <w:rFonts w:ascii="仿宋" w:hAnsi="仿宋" w:eastAsia="仿宋" w:cs="仿宋"/>
              </w:rPr>
            </w:pPr>
            <w:r>
              <w:rPr>
                <w:rFonts w:hint="eastAsia" w:ascii="仿宋" w:hAnsi="仿宋" w:eastAsia="仿宋" w:cs="仿宋"/>
                <w:b/>
                <w:kern w:val="0"/>
                <w:sz w:val="18"/>
                <w:szCs w:val="18"/>
              </w:rPr>
              <w:t>中水</w:t>
            </w:r>
          </w:p>
        </w:tc>
        <w:tc>
          <w:tcPr>
            <w:tcW w:w="1380"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中水管段</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51031000</w:t>
            </w:r>
          </w:p>
        </w:tc>
        <w:tc>
          <w:tcPr>
            <w:tcW w:w="1381" w:type="dxa"/>
            <w:vMerge w:val="continue"/>
            <w:shd w:val="clear" w:color="auto" w:fill="auto"/>
          </w:tcPr>
          <w:p>
            <w:pPr>
              <w:jc w:val="center"/>
              <w:rPr>
                <w:rFonts w:ascii="仿宋" w:hAnsi="仿宋" w:eastAsia="仿宋" w:cs="仿宋"/>
              </w:rPr>
            </w:pP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中水面状要素</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51033000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0" w:type="dxa"/>
            <w:vMerge w:val="continue"/>
            <w:shd w:val="clear" w:color="auto" w:fill="auto"/>
          </w:tcPr>
          <w:p>
            <w:pPr>
              <w:jc w:val="center"/>
              <w:rPr>
                <w:rFonts w:ascii="仿宋" w:hAnsi="仿宋" w:eastAsia="仿宋" w:cs="仿宋"/>
              </w:rPr>
            </w:pPr>
          </w:p>
        </w:tc>
        <w:tc>
          <w:tcPr>
            <w:tcW w:w="1380"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sz w:val="18"/>
                <w:szCs w:val="18"/>
                <w:shd w:val="clear" w:color="auto" w:fill="auto"/>
              </w:rPr>
              <w:t>弯头</w:t>
            </w:r>
          </w:p>
        </w:tc>
        <w:tc>
          <w:tcPr>
            <w:tcW w:w="1381"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sz w:val="18"/>
                <w:szCs w:val="18"/>
                <w:shd w:val="clear" w:color="auto" w:fill="auto"/>
              </w:rPr>
              <w:t>51032101</w:t>
            </w:r>
          </w:p>
        </w:tc>
        <w:tc>
          <w:tcPr>
            <w:tcW w:w="1381" w:type="dxa"/>
            <w:vMerge w:val="restart"/>
            <w:shd w:val="clear" w:color="auto" w:fill="auto"/>
            <w:vAlign w:val="center"/>
          </w:tcPr>
          <w:p>
            <w:pPr>
              <w:jc w:val="center"/>
              <w:rPr>
                <w:rFonts w:ascii="仿宋" w:hAnsi="仿宋" w:eastAsia="仿宋" w:cs="仿宋"/>
              </w:rPr>
            </w:pPr>
            <w:r>
              <w:rPr>
                <w:rFonts w:hint="eastAsia" w:ascii="仿宋" w:hAnsi="仿宋" w:eastAsia="仿宋" w:cs="仿宋"/>
                <w:b/>
                <w:kern w:val="0"/>
                <w:sz w:val="18"/>
                <w:szCs w:val="18"/>
              </w:rPr>
              <w:t>配水</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配水管段</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51041000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0"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sz w:val="18"/>
                <w:szCs w:val="18"/>
                <w:shd w:val="clear" w:color="auto" w:fill="auto"/>
              </w:rPr>
              <w:t>三通</w:t>
            </w:r>
          </w:p>
        </w:tc>
        <w:tc>
          <w:tcPr>
            <w:tcW w:w="1381"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sz w:val="18"/>
                <w:szCs w:val="18"/>
                <w:shd w:val="clear" w:color="auto" w:fill="auto"/>
              </w:rPr>
              <w:t>51032102</w:t>
            </w:r>
          </w:p>
        </w:tc>
        <w:tc>
          <w:tcPr>
            <w:tcW w:w="1381" w:type="dxa"/>
            <w:vMerge w:val="continue"/>
            <w:shd w:val="clear" w:color="auto" w:fill="auto"/>
          </w:tcPr>
          <w:p>
            <w:pPr>
              <w:jc w:val="center"/>
              <w:rPr>
                <w:rFonts w:ascii="仿宋" w:hAnsi="仿宋" w:eastAsia="仿宋" w:cs="仿宋"/>
              </w:rPr>
            </w:pP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弯头</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51042101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0"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sz w:val="18"/>
                <w:szCs w:val="18"/>
                <w:shd w:val="clear" w:color="auto" w:fill="auto"/>
              </w:rPr>
              <w:t>四通</w:t>
            </w:r>
          </w:p>
        </w:tc>
        <w:tc>
          <w:tcPr>
            <w:tcW w:w="1381"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sz w:val="18"/>
                <w:szCs w:val="18"/>
                <w:shd w:val="clear" w:color="auto" w:fill="auto"/>
              </w:rPr>
              <w:t>51032103</w:t>
            </w:r>
          </w:p>
        </w:tc>
        <w:tc>
          <w:tcPr>
            <w:tcW w:w="1381" w:type="dxa"/>
            <w:vMerge w:val="continue"/>
            <w:shd w:val="clear" w:color="auto" w:fill="auto"/>
          </w:tcPr>
          <w:p>
            <w:pPr>
              <w:jc w:val="center"/>
              <w:rPr>
                <w:rFonts w:ascii="仿宋" w:hAnsi="仿宋" w:eastAsia="仿宋" w:cs="仿宋"/>
              </w:rPr>
            </w:pP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三通</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51042102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0"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sz w:val="18"/>
                <w:szCs w:val="18"/>
                <w:shd w:val="clear" w:color="auto" w:fill="auto"/>
              </w:rPr>
              <w:t>变径</w:t>
            </w:r>
          </w:p>
        </w:tc>
        <w:tc>
          <w:tcPr>
            <w:tcW w:w="1381"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sz w:val="18"/>
                <w:szCs w:val="18"/>
                <w:shd w:val="clear" w:color="auto" w:fill="auto"/>
              </w:rPr>
              <w:t>51032104</w:t>
            </w:r>
          </w:p>
        </w:tc>
        <w:tc>
          <w:tcPr>
            <w:tcW w:w="1381" w:type="dxa"/>
            <w:vMerge w:val="continue"/>
            <w:shd w:val="clear" w:color="auto" w:fill="auto"/>
          </w:tcPr>
          <w:p>
            <w:pPr>
              <w:jc w:val="center"/>
              <w:rPr>
                <w:rFonts w:ascii="仿宋" w:hAnsi="仿宋" w:eastAsia="仿宋" w:cs="仿宋"/>
              </w:rPr>
            </w:pP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四通</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51042103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0"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sz w:val="18"/>
                <w:szCs w:val="18"/>
                <w:shd w:val="clear" w:color="auto" w:fill="auto"/>
              </w:rPr>
              <w:t>预留口</w:t>
            </w:r>
          </w:p>
        </w:tc>
        <w:tc>
          <w:tcPr>
            <w:tcW w:w="1381"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sz w:val="18"/>
                <w:szCs w:val="18"/>
                <w:shd w:val="clear" w:color="auto" w:fill="auto"/>
              </w:rPr>
              <w:t>51032105</w:t>
            </w:r>
          </w:p>
        </w:tc>
        <w:tc>
          <w:tcPr>
            <w:tcW w:w="1381" w:type="dxa"/>
            <w:vMerge w:val="continue"/>
            <w:shd w:val="clear" w:color="auto" w:fill="auto"/>
          </w:tcPr>
          <w:p>
            <w:pPr>
              <w:jc w:val="center"/>
              <w:rPr>
                <w:rFonts w:ascii="仿宋" w:hAnsi="仿宋" w:eastAsia="仿宋" w:cs="仿宋"/>
              </w:rPr>
            </w:pP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变径</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51042104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0"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sz w:val="18"/>
                <w:szCs w:val="18"/>
                <w:shd w:val="clear" w:color="auto" w:fill="auto"/>
              </w:rPr>
              <w:t>进水口</w:t>
            </w:r>
          </w:p>
        </w:tc>
        <w:tc>
          <w:tcPr>
            <w:tcW w:w="1381"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sz w:val="18"/>
                <w:szCs w:val="18"/>
                <w:shd w:val="clear" w:color="auto" w:fill="auto"/>
              </w:rPr>
              <w:t>51032106</w:t>
            </w:r>
          </w:p>
        </w:tc>
        <w:tc>
          <w:tcPr>
            <w:tcW w:w="1381" w:type="dxa"/>
            <w:vMerge w:val="continue"/>
            <w:shd w:val="clear" w:color="auto" w:fill="auto"/>
          </w:tcPr>
          <w:p>
            <w:pPr>
              <w:jc w:val="center"/>
              <w:rPr>
                <w:rFonts w:ascii="仿宋" w:hAnsi="仿宋" w:eastAsia="仿宋" w:cs="仿宋"/>
              </w:rPr>
            </w:pP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预留口</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51042105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0"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sz w:val="18"/>
                <w:szCs w:val="18"/>
                <w:shd w:val="clear" w:color="auto" w:fill="auto"/>
              </w:rPr>
              <w:t>出水口</w:t>
            </w:r>
          </w:p>
        </w:tc>
        <w:tc>
          <w:tcPr>
            <w:tcW w:w="1381"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sz w:val="18"/>
                <w:szCs w:val="18"/>
                <w:shd w:val="clear" w:color="auto" w:fill="auto"/>
              </w:rPr>
              <w:t>51032107</w:t>
            </w:r>
          </w:p>
        </w:tc>
        <w:tc>
          <w:tcPr>
            <w:tcW w:w="1381" w:type="dxa"/>
            <w:vMerge w:val="continue"/>
            <w:shd w:val="clear" w:color="auto" w:fill="auto"/>
          </w:tcPr>
          <w:p>
            <w:pPr>
              <w:jc w:val="center"/>
              <w:rPr>
                <w:rFonts w:ascii="仿宋" w:hAnsi="仿宋" w:eastAsia="仿宋" w:cs="仿宋"/>
              </w:rPr>
            </w:pP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进水口</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51042106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0"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sz w:val="18"/>
                <w:szCs w:val="18"/>
                <w:shd w:val="clear" w:color="auto" w:fill="auto"/>
              </w:rPr>
              <w:t>测流点</w:t>
            </w:r>
          </w:p>
        </w:tc>
        <w:tc>
          <w:tcPr>
            <w:tcW w:w="1381"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sz w:val="18"/>
                <w:szCs w:val="18"/>
                <w:shd w:val="clear" w:color="auto" w:fill="auto"/>
              </w:rPr>
              <w:t>51032108</w:t>
            </w:r>
          </w:p>
        </w:tc>
        <w:tc>
          <w:tcPr>
            <w:tcW w:w="1381" w:type="dxa"/>
            <w:vMerge w:val="continue"/>
            <w:shd w:val="clear" w:color="auto" w:fill="auto"/>
          </w:tcPr>
          <w:p>
            <w:pPr>
              <w:jc w:val="center"/>
              <w:rPr>
                <w:rFonts w:ascii="仿宋" w:hAnsi="仿宋" w:eastAsia="仿宋" w:cs="仿宋"/>
              </w:rPr>
            </w:pP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出水口</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51042107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0"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sz w:val="18"/>
                <w:szCs w:val="18"/>
                <w:shd w:val="clear" w:color="auto" w:fill="auto"/>
              </w:rPr>
              <w:t>测压点</w:t>
            </w:r>
          </w:p>
        </w:tc>
        <w:tc>
          <w:tcPr>
            <w:tcW w:w="1381"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sz w:val="18"/>
                <w:szCs w:val="18"/>
                <w:shd w:val="clear" w:color="auto" w:fill="auto"/>
              </w:rPr>
              <w:t>51032109</w:t>
            </w:r>
          </w:p>
        </w:tc>
        <w:tc>
          <w:tcPr>
            <w:tcW w:w="1381" w:type="dxa"/>
            <w:vMerge w:val="continue"/>
            <w:shd w:val="clear" w:color="auto" w:fill="auto"/>
          </w:tcPr>
          <w:p>
            <w:pPr>
              <w:jc w:val="center"/>
              <w:rPr>
                <w:rFonts w:ascii="仿宋" w:hAnsi="仿宋" w:eastAsia="仿宋" w:cs="仿宋"/>
              </w:rPr>
            </w:pP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测流点</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51042108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0"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sz w:val="18"/>
                <w:szCs w:val="18"/>
                <w:shd w:val="clear" w:color="auto" w:fill="auto"/>
              </w:rPr>
              <w:t>水质监测点</w:t>
            </w:r>
          </w:p>
        </w:tc>
        <w:tc>
          <w:tcPr>
            <w:tcW w:w="1381"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sz w:val="18"/>
                <w:szCs w:val="18"/>
                <w:shd w:val="clear" w:color="auto" w:fill="auto"/>
              </w:rPr>
              <w:t>51032110</w:t>
            </w:r>
          </w:p>
        </w:tc>
        <w:tc>
          <w:tcPr>
            <w:tcW w:w="1381" w:type="dxa"/>
            <w:vMerge w:val="continue"/>
            <w:shd w:val="clear" w:color="auto" w:fill="auto"/>
          </w:tcPr>
          <w:p>
            <w:pPr>
              <w:jc w:val="center"/>
              <w:rPr>
                <w:rFonts w:ascii="仿宋" w:hAnsi="仿宋" w:eastAsia="仿宋" w:cs="仿宋"/>
              </w:rPr>
            </w:pP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测压点</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51042109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0" w:type="dxa"/>
            <w:shd w:val="clear" w:color="auto" w:fill="FFFFFF"/>
            <w:vAlign w:val="bottom"/>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sz w:val="18"/>
                <w:szCs w:val="18"/>
                <w:shd w:val="clear" w:color="auto" w:fill="auto"/>
              </w:rPr>
              <w:t>伸缩器</w:t>
            </w:r>
          </w:p>
        </w:tc>
        <w:tc>
          <w:tcPr>
            <w:tcW w:w="1381" w:type="dxa"/>
            <w:shd w:val="clear" w:color="auto" w:fill="FFFFFF"/>
            <w:vAlign w:val="bottom"/>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sz w:val="18"/>
                <w:szCs w:val="18"/>
                <w:shd w:val="clear" w:color="auto" w:fill="auto"/>
              </w:rPr>
              <w:t>51032111</w:t>
            </w:r>
          </w:p>
        </w:tc>
        <w:tc>
          <w:tcPr>
            <w:tcW w:w="1381" w:type="dxa"/>
            <w:vMerge w:val="continue"/>
            <w:shd w:val="clear" w:color="auto" w:fill="auto"/>
          </w:tcPr>
          <w:p>
            <w:pPr>
              <w:jc w:val="center"/>
              <w:rPr>
                <w:rFonts w:ascii="仿宋" w:hAnsi="仿宋" w:eastAsia="仿宋" w:cs="仿宋"/>
              </w:rPr>
            </w:pP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水质监测点</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51042110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0"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sz w:val="18"/>
                <w:szCs w:val="18"/>
                <w:shd w:val="clear" w:color="auto" w:fill="auto"/>
              </w:rPr>
              <w:t>出地</w:t>
            </w:r>
          </w:p>
        </w:tc>
        <w:tc>
          <w:tcPr>
            <w:tcW w:w="1381"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sz w:val="18"/>
                <w:szCs w:val="18"/>
                <w:shd w:val="clear" w:color="auto" w:fill="auto"/>
              </w:rPr>
              <w:t>51032112</w:t>
            </w:r>
          </w:p>
        </w:tc>
        <w:tc>
          <w:tcPr>
            <w:tcW w:w="1381" w:type="dxa"/>
            <w:vMerge w:val="continue"/>
            <w:shd w:val="clear" w:color="auto" w:fill="auto"/>
          </w:tcPr>
          <w:p>
            <w:pPr>
              <w:jc w:val="center"/>
              <w:rPr>
                <w:rFonts w:ascii="仿宋" w:hAnsi="仿宋" w:eastAsia="仿宋" w:cs="仿宋"/>
              </w:rPr>
            </w:pP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伸缩器</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51042111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0"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sz w:val="18"/>
                <w:szCs w:val="18"/>
                <w:shd w:val="clear" w:color="auto" w:fill="auto"/>
              </w:rPr>
              <w:t>盖堵</w:t>
            </w:r>
          </w:p>
        </w:tc>
        <w:tc>
          <w:tcPr>
            <w:tcW w:w="1381"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sz w:val="18"/>
                <w:szCs w:val="18"/>
                <w:shd w:val="clear" w:color="auto" w:fill="auto"/>
              </w:rPr>
              <w:t>51032113</w:t>
            </w:r>
          </w:p>
        </w:tc>
        <w:tc>
          <w:tcPr>
            <w:tcW w:w="1381" w:type="dxa"/>
            <w:vMerge w:val="continue"/>
            <w:shd w:val="clear" w:color="auto" w:fill="auto"/>
          </w:tcPr>
          <w:p>
            <w:pPr>
              <w:jc w:val="center"/>
              <w:rPr>
                <w:rFonts w:ascii="仿宋" w:hAnsi="仿宋" w:eastAsia="仿宋" w:cs="仿宋"/>
              </w:rPr>
            </w:pP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出地</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51042112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0"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非普查</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51032114</w:t>
            </w:r>
          </w:p>
        </w:tc>
        <w:tc>
          <w:tcPr>
            <w:tcW w:w="1381" w:type="dxa"/>
            <w:vMerge w:val="continue"/>
            <w:shd w:val="clear" w:color="auto" w:fill="auto"/>
          </w:tcPr>
          <w:p>
            <w:pPr>
              <w:jc w:val="center"/>
              <w:rPr>
                <w:rFonts w:ascii="仿宋" w:hAnsi="仿宋" w:eastAsia="仿宋" w:cs="仿宋"/>
              </w:rPr>
            </w:pP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盖堵</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51042113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0"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窨井</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51032201</w:t>
            </w:r>
          </w:p>
        </w:tc>
        <w:tc>
          <w:tcPr>
            <w:tcW w:w="1381" w:type="dxa"/>
            <w:vMerge w:val="continue"/>
            <w:shd w:val="clear" w:color="auto" w:fill="auto"/>
          </w:tcPr>
          <w:p>
            <w:pPr>
              <w:jc w:val="center"/>
              <w:rPr>
                <w:rFonts w:ascii="仿宋" w:hAnsi="仿宋" w:eastAsia="仿宋" w:cs="仿宋"/>
              </w:rPr>
            </w:pP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非普查</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51042114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0"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消防栓</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51032202</w:t>
            </w:r>
          </w:p>
        </w:tc>
        <w:tc>
          <w:tcPr>
            <w:tcW w:w="1381" w:type="dxa"/>
            <w:vMerge w:val="continue"/>
            <w:shd w:val="clear" w:color="auto" w:fill="auto"/>
          </w:tcPr>
          <w:p>
            <w:pPr>
              <w:jc w:val="center"/>
              <w:rPr>
                <w:rFonts w:ascii="仿宋" w:hAnsi="仿宋" w:eastAsia="仿宋" w:cs="仿宋"/>
              </w:rPr>
            </w:pP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窨井</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51042201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0"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阀门</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51032203</w:t>
            </w:r>
          </w:p>
        </w:tc>
        <w:tc>
          <w:tcPr>
            <w:tcW w:w="1381" w:type="dxa"/>
            <w:vMerge w:val="continue"/>
            <w:shd w:val="clear" w:color="auto" w:fill="auto"/>
          </w:tcPr>
          <w:p>
            <w:pPr>
              <w:jc w:val="center"/>
              <w:rPr>
                <w:rFonts w:ascii="仿宋" w:hAnsi="仿宋" w:eastAsia="仿宋" w:cs="仿宋"/>
              </w:rPr>
            </w:pP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消防栓</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51042202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0"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水表</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51032204</w:t>
            </w:r>
          </w:p>
        </w:tc>
        <w:tc>
          <w:tcPr>
            <w:tcW w:w="1381" w:type="dxa"/>
            <w:vMerge w:val="continue"/>
            <w:shd w:val="clear" w:color="auto" w:fill="auto"/>
          </w:tcPr>
          <w:p>
            <w:pPr>
              <w:jc w:val="center"/>
              <w:rPr>
                <w:rFonts w:ascii="仿宋" w:hAnsi="仿宋" w:eastAsia="仿宋" w:cs="仿宋"/>
              </w:rPr>
            </w:pP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消防井</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51042203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0"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污水井</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51032205</w:t>
            </w:r>
          </w:p>
        </w:tc>
        <w:tc>
          <w:tcPr>
            <w:tcW w:w="1381" w:type="dxa"/>
            <w:vMerge w:val="continue"/>
            <w:shd w:val="clear" w:color="auto" w:fill="auto"/>
          </w:tcPr>
          <w:p>
            <w:pPr>
              <w:jc w:val="center"/>
              <w:rPr>
                <w:rFonts w:ascii="仿宋" w:hAnsi="仿宋" w:eastAsia="仿宋" w:cs="仿宋"/>
              </w:rPr>
            </w:pP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阀门</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51042204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0"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雨水井</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51032206</w:t>
            </w:r>
          </w:p>
        </w:tc>
        <w:tc>
          <w:tcPr>
            <w:tcW w:w="1381" w:type="dxa"/>
            <w:vMerge w:val="continue"/>
            <w:shd w:val="clear" w:color="auto" w:fill="auto"/>
          </w:tcPr>
          <w:p>
            <w:pPr>
              <w:jc w:val="center"/>
              <w:rPr>
                <w:rFonts w:ascii="仿宋" w:hAnsi="仿宋" w:eastAsia="仿宋" w:cs="仿宋"/>
              </w:rPr>
            </w:pP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阀门井</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51042205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0"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污箅</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51032207</w:t>
            </w:r>
          </w:p>
        </w:tc>
        <w:tc>
          <w:tcPr>
            <w:tcW w:w="1381" w:type="dxa"/>
            <w:vMerge w:val="continue"/>
            <w:shd w:val="clear" w:color="auto" w:fill="auto"/>
          </w:tcPr>
          <w:p>
            <w:pPr>
              <w:jc w:val="center"/>
              <w:rPr>
                <w:rFonts w:ascii="仿宋" w:hAnsi="仿宋" w:eastAsia="仿宋" w:cs="仿宋"/>
              </w:rPr>
            </w:pP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阀门孔</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51042206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0"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雨箅</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51032208</w:t>
            </w:r>
          </w:p>
        </w:tc>
        <w:tc>
          <w:tcPr>
            <w:tcW w:w="1381" w:type="dxa"/>
            <w:vMerge w:val="continue"/>
            <w:shd w:val="clear" w:color="auto" w:fill="auto"/>
          </w:tcPr>
          <w:p>
            <w:pPr>
              <w:jc w:val="center"/>
              <w:rPr>
                <w:rFonts w:ascii="仿宋" w:hAnsi="仿宋" w:eastAsia="仿宋" w:cs="仿宋"/>
              </w:rPr>
            </w:pP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水表</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51042207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0"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溢流井</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51032209</w:t>
            </w:r>
          </w:p>
        </w:tc>
        <w:tc>
          <w:tcPr>
            <w:tcW w:w="1381" w:type="dxa"/>
            <w:vMerge w:val="continue"/>
            <w:shd w:val="clear" w:color="auto" w:fill="auto"/>
          </w:tcPr>
          <w:p>
            <w:pPr>
              <w:jc w:val="center"/>
              <w:rPr>
                <w:rFonts w:ascii="仿宋" w:hAnsi="仿宋" w:eastAsia="仿宋" w:cs="仿宋"/>
              </w:rPr>
            </w:pP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水表井</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51042208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0"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闸门井</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51032210</w:t>
            </w:r>
          </w:p>
        </w:tc>
        <w:tc>
          <w:tcPr>
            <w:tcW w:w="1381" w:type="dxa"/>
            <w:vMerge w:val="continue"/>
            <w:shd w:val="clear" w:color="auto" w:fill="auto"/>
          </w:tcPr>
          <w:p>
            <w:pPr>
              <w:jc w:val="center"/>
              <w:rPr>
                <w:rFonts w:ascii="仿宋" w:hAnsi="仿宋" w:eastAsia="仿宋" w:cs="仿宋"/>
              </w:rPr>
            </w:pP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排气阀</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51042209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0"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跌水井</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51032211</w:t>
            </w:r>
          </w:p>
        </w:tc>
        <w:tc>
          <w:tcPr>
            <w:tcW w:w="1381" w:type="dxa"/>
            <w:vMerge w:val="continue"/>
            <w:shd w:val="clear" w:color="auto" w:fill="auto"/>
          </w:tcPr>
          <w:p>
            <w:pPr>
              <w:jc w:val="center"/>
              <w:rPr>
                <w:rFonts w:ascii="仿宋" w:hAnsi="仿宋" w:eastAsia="仿宋" w:cs="仿宋"/>
              </w:rPr>
            </w:pP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排污阀</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51042210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0"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通风井</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51032212</w:t>
            </w:r>
          </w:p>
        </w:tc>
        <w:tc>
          <w:tcPr>
            <w:tcW w:w="1381" w:type="dxa"/>
            <w:vMerge w:val="continue"/>
            <w:shd w:val="clear" w:color="auto" w:fill="auto"/>
          </w:tcPr>
          <w:p>
            <w:pPr>
              <w:jc w:val="center"/>
              <w:rPr>
                <w:rFonts w:ascii="仿宋" w:hAnsi="仿宋" w:eastAsia="仿宋" w:cs="仿宋"/>
              </w:rPr>
            </w:pP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沉淀池</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51042211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0"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冲洗井</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51032213</w:t>
            </w:r>
          </w:p>
        </w:tc>
        <w:tc>
          <w:tcPr>
            <w:tcW w:w="1381" w:type="dxa"/>
            <w:vMerge w:val="continue"/>
            <w:shd w:val="clear" w:color="auto" w:fill="auto"/>
          </w:tcPr>
          <w:p>
            <w:pPr>
              <w:jc w:val="center"/>
              <w:rPr>
                <w:rFonts w:ascii="仿宋" w:hAnsi="仿宋" w:eastAsia="仿宋" w:cs="仿宋"/>
              </w:rPr>
            </w:pP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水塔</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51042212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0"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沉泥井</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51032214</w:t>
            </w:r>
          </w:p>
        </w:tc>
        <w:tc>
          <w:tcPr>
            <w:tcW w:w="1381" w:type="dxa"/>
            <w:vMerge w:val="continue"/>
            <w:shd w:val="clear" w:color="auto" w:fill="auto"/>
          </w:tcPr>
          <w:p>
            <w:pPr>
              <w:jc w:val="center"/>
              <w:rPr>
                <w:rFonts w:ascii="仿宋" w:hAnsi="仿宋" w:eastAsia="仿宋" w:cs="仿宋"/>
              </w:rPr>
            </w:pP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水池</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51042213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0"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渗水井</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51032215</w:t>
            </w:r>
          </w:p>
        </w:tc>
        <w:tc>
          <w:tcPr>
            <w:tcW w:w="1381" w:type="dxa"/>
            <w:vMerge w:val="continue"/>
            <w:shd w:val="clear" w:color="auto" w:fill="auto"/>
          </w:tcPr>
          <w:p>
            <w:pPr>
              <w:jc w:val="center"/>
              <w:rPr>
                <w:rFonts w:ascii="仿宋" w:hAnsi="仿宋" w:eastAsia="仿宋" w:cs="仿宋"/>
              </w:rPr>
            </w:pP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净化池</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51042214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vAlign w:val="center"/>
          </w:tcPr>
          <w:p>
            <w:pPr>
              <w:jc w:val="center"/>
              <w:rPr>
                <w:rFonts w:ascii="仿宋" w:hAnsi="仿宋" w:eastAsia="仿宋" w:cs="仿宋"/>
              </w:rPr>
            </w:pPr>
          </w:p>
        </w:tc>
        <w:tc>
          <w:tcPr>
            <w:tcW w:w="1380" w:type="dxa"/>
            <w:shd w:val="clear" w:color="auto" w:fill="auto"/>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出气井</w:t>
            </w:r>
          </w:p>
        </w:tc>
        <w:tc>
          <w:tcPr>
            <w:tcW w:w="1381" w:type="dxa"/>
            <w:shd w:val="clear" w:color="auto" w:fill="auto"/>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51032216</w:t>
            </w:r>
          </w:p>
        </w:tc>
        <w:tc>
          <w:tcPr>
            <w:tcW w:w="1381" w:type="dxa"/>
            <w:vMerge w:val="continue"/>
            <w:shd w:val="clear" w:color="auto" w:fill="auto"/>
          </w:tcPr>
          <w:p>
            <w:pPr>
              <w:jc w:val="center"/>
              <w:rPr>
                <w:rFonts w:ascii="仿宋" w:hAnsi="仿宋" w:eastAsia="仿宋" w:cs="仿宋"/>
              </w:rPr>
            </w:pP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泵站</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51042215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0"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水封井</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51032217</w:t>
            </w:r>
          </w:p>
        </w:tc>
        <w:tc>
          <w:tcPr>
            <w:tcW w:w="1381" w:type="dxa"/>
            <w:vMerge w:val="continue"/>
            <w:shd w:val="clear" w:color="auto" w:fill="auto"/>
          </w:tcPr>
          <w:p>
            <w:pPr>
              <w:jc w:val="center"/>
              <w:rPr>
                <w:rFonts w:ascii="仿宋" w:hAnsi="仿宋" w:eastAsia="仿宋" w:cs="仿宋"/>
              </w:rPr>
            </w:pP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水源井</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51042216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0"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沉淀池</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51032218</w:t>
            </w:r>
          </w:p>
        </w:tc>
        <w:tc>
          <w:tcPr>
            <w:tcW w:w="1381" w:type="dxa"/>
            <w:vMerge w:val="continue"/>
            <w:shd w:val="clear" w:color="auto" w:fill="auto"/>
          </w:tcPr>
          <w:p>
            <w:pPr>
              <w:jc w:val="center"/>
              <w:rPr>
                <w:rFonts w:ascii="仿宋" w:hAnsi="仿宋" w:eastAsia="仿宋" w:cs="仿宋"/>
              </w:rPr>
            </w:pP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配水面状要素</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51043000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0"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水塔</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51032219</w:t>
            </w:r>
          </w:p>
        </w:tc>
        <w:tc>
          <w:tcPr>
            <w:tcW w:w="1381" w:type="dxa"/>
            <w:vMerge w:val="restart"/>
            <w:shd w:val="clear" w:color="auto" w:fill="auto"/>
            <w:vAlign w:val="center"/>
          </w:tcPr>
          <w:p>
            <w:pPr>
              <w:ind w:firstLine="271" w:firstLineChars="150"/>
              <w:jc w:val="center"/>
              <w:rPr>
                <w:rFonts w:ascii="仿宋" w:hAnsi="仿宋" w:eastAsia="仿宋" w:cs="仿宋"/>
              </w:rPr>
            </w:pPr>
            <w:r>
              <w:rPr>
                <w:rFonts w:hint="eastAsia" w:ascii="仿宋" w:hAnsi="仿宋" w:eastAsia="仿宋" w:cs="仿宋"/>
                <w:b/>
                <w:kern w:val="0"/>
                <w:sz w:val="18"/>
                <w:szCs w:val="18"/>
              </w:rPr>
              <w:t>直饮水</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直饮水管段</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51051000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0"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水池</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51032220</w:t>
            </w:r>
          </w:p>
        </w:tc>
        <w:tc>
          <w:tcPr>
            <w:tcW w:w="1381" w:type="dxa"/>
            <w:vMerge w:val="continue"/>
            <w:shd w:val="clear" w:color="auto" w:fill="auto"/>
          </w:tcPr>
          <w:p>
            <w:pPr>
              <w:jc w:val="center"/>
              <w:rPr>
                <w:rFonts w:ascii="仿宋" w:hAnsi="仿宋" w:eastAsia="仿宋" w:cs="仿宋"/>
              </w:rPr>
            </w:pP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弯头</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51052101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0"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净化池</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51032221</w:t>
            </w:r>
          </w:p>
        </w:tc>
        <w:tc>
          <w:tcPr>
            <w:tcW w:w="1381" w:type="dxa"/>
            <w:vMerge w:val="continue"/>
            <w:shd w:val="clear" w:color="auto" w:fill="auto"/>
          </w:tcPr>
          <w:p>
            <w:pPr>
              <w:jc w:val="center"/>
              <w:rPr>
                <w:rFonts w:ascii="仿宋" w:hAnsi="仿宋" w:eastAsia="仿宋" w:cs="仿宋"/>
              </w:rPr>
            </w:pP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三通</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51052102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0" w:type="dxa"/>
            <w:shd w:val="clear" w:color="auto" w:fill="FFFFFF"/>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排水泵站</w:t>
            </w:r>
          </w:p>
        </w:tc>
        <w:tc>
          <w:tcPr>
            <w:tcW w:w="1381" w:type="dxa"/>
            <w:shd w:val="clear" w:color="auto" w:fill="FFFFFF"/>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51032222</w:t>
            </w:r>
          </w:p>
        </w:tc>
        <w:tc>
          <w:tcPr>
            <w:tcW w:w="1381" w:type="dxa"/>
            <w:vMerge w:val="continue"/>
            <w:shd w:val="clear" w:color="auto" w:fill="auto"/>
          </w:tcPr>
          <w:p>
            <w:pPr>
              <w:jc w:val="center"/>
              <w:rPr>
                <w:rFonts w:ascii="仿宋" w:hAnsi="仿宋" w:eastAsia="仿宋" w:cs="仿宋"/>
              </w:rPr>
            </w:pP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四通</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shd w:val="clear" w:color="auto" w:fill="auto"/>
              </w:rPr>
            </w:pPr>
            <w:r>
              <w:rPr>
                <w:rFonts w:hint="eastAsia" w:ascii="仿宋" w:hAnsi="仿宋" w:eastAsia="仿宋" w:cs="仿宋"/>
                <w:sz w:val="18"/>
                <w:szCs w:val="18"/>
                <w:shd w:val="clear" w:color="auto" w:fill="auto"/>
              </w:rPr>
              <w:t>51052103</w:t>
            </w:r>
          </w:p>
        </w:tc>
      </w:tr>
    </w:tbl>
    <w:p>
      <w:pPr>
        <w:spacing w:after="162" w:afterLines="50"/>
        <w:ind w:firstLine="241" w:firstLineChars="100"/>
        <w:jc w:val="center"/>
        <w:rPr>
          <w:b/>
        </w:rPr>
      </w:pPr>
    </w:p>
    <w:p>
      <w:pPr>
        <w:pStyle w:val="2"/>
        <w:jc w:val="center"/>
      </w:pPr>
    </w:p>
    <w:tbl>
      <w:tblPr>
        <w:tblStyle w:val="26"/>
        <w:tblW w:w="8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1487"/>
        <w:gridCol w:w="1381"/>
        <w:gridCol w:w="1238"/>
        <w:gridCol w:w="1606"/>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75"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管线小类</w:t>
            </w:r>
          </w:p>
        </w:tc>
        <w:tc>
          <w:tcPr>
            <w:tcW w:w="1487"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要素名称</w:t>
            </w:r>
          </w:p>
        </w:tc>
        <w:tc>
          <w:tcPr>
            <w:tcW w:w="1381" w:type="dxa"/>
            <w:vAlign w:val="center"/>
          </w:tcPr>
          <w:p>
            <w:pPr>
              <w:tabs>
                <w:tab w:val="left" w:pos="794"/>
                <w:tab w:val="clear" w:pos="0"/>
              </w:tabs>
              <w:jc w:val="center"/>
              <w:rPr>
                <w:rFonts w:ascii="仿宋" w:hAnsi="仿宋" w:eastAsia="仿宋" w:cs="仿宋"/>
              </w:rPr>
            </w:pPr>
            <w:r>
              <w:rPr>
                <w:rFonts w:hint="eastAsia" w:ascii="仿宋" w:hAnsi="仿宋" w:eastAsia="仿宋" w:cs="仿宋"/>
                <w:b/>
                <w:szCs w:val="21"/>
              </w:rPr>
              <w:t>代码</w:t>
            </w:r>
          </w:p>
        </w:tc>
        <w:tc>
          <w:tcPr>
            <w:tcW w:w="1238" w:type="dxa"/>
            <w:vAlign w:val="center"/>
          </w:tcPr>
          <w:p>
            <w:pPr>
              <w:widowControl/>
              <w:jc w:val="center"/>
              <w:rPr>
                <w:rFonts w:ascii="仿宋" w:hAnsi="仿宋" w:eastAsia="仿宋" w:cs="仿宋"/>
              </w:rPr>
            </w:pPr>
            <w:r>
              <w:rPr>
                <w:rFonts w:hint="eastAsia" w:ascii="仿宋" w:hAnsi="仿宋" w:eastAsia="仿宋" w:cs="仿宋"/>
                <w:b/>
                <w:szCs w:val="21"/>
              </w:rPr>
              <w:t>管线小类</w:t>
            </w:r>
          </w:p>
        </w:tc>
        <w:tc>
          <w:tcPr>
            <w:tcW w:w="1606" w:type="dxa"/>
            <w:vAlign w:val="center"/>
          </w:tcPr>
          <w:p>
            <w:pPr>
              <w:widowControl/>
              <w:jc w:val="center"/>
              <w:rPr>
                <w:rFonts w:ascii="仿宋" w:hAnsi="仿宋" w:eastAsia="仿宋" w:cs="仿宋"/>
              </w:rPr>
            </w:pPr>
            <w:r>
              <w:rPr>
                <w:rFonts w:hint="eastAsia" w:ascii="仿宋" w:hAnsi="仿宋" w:eastAsia="仿宋" w:cs="仿宋"/>
                <w:b/>
                <w:szCs w:val="21"/>
              </w:rPr>
              <w:t>要素名称</w:t>
            </w:r>
          </w:p>
        </w:tc>
        <w:tc>
          <w:tcPr>
            <w:tcW w:w="1188" w:type="dxa"/>
            <w:vAlign w:val="center"/>
          </w:tcPr>
          <w:p>
            <w:pPr>
              <w:widowControl/>
              <w:jc w:val="center"/>
              <w:rPr>
                <w:rFonts w:ascii="仿宋" w:hAnsi="仿宋" w:eastAsia="仿宋" w:cs="仿宋"/>
              </w:rPr>
            </w:pPr>
            <w:r>
              <w:rPr>
                <w:rFonts w:hint="eastAsia" w:ascii="仿宋" w:hAnsi="仿宋" w:eastAsia="仿宋" w:cs="仿宋"/>
                <w:b/>
                <w:szCs w:val="21"/>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restart"/>
            <w:shd w:val="clear" w:color="auto" w:fill="auto"/>
            <w:vAlign w:val="center"/>
          </w:tcPr>
          <w:p>
            <w:pPr>
              <w:widowControl/>
              <w:jc w:val="center"/>
              <w:rPr>
                <w:rFonts w:ascii="仿宋" w:hAnsi="仿宋" w:eastAsia="仿宋" w:cs="仿宋"/>
                <w:b/>
                <w:kern w:val="0"/>
                <w:sz w:val="18"/>
                <w:szCs w:val="18"/>
              </w:rPr>
            </w:pPr>
            <w:r>
              <w:rPr>
                <w:rFonts w:hint="eastAsia" w:ascii="仿宋" w:hAnsi="仿宋" w:eastAsia="仿宋" w:cs="仿宋"/>
                <w:b/>
                <w:kern w:val="0"/>
                <w:sz w:val="18"/>
                <w:szCs w:val="18"/>
              </w:rPr>
              <w:t>直饮水</w:t>
            </w:r>
          </w:p>
          <w:p>
            <w:pPr>
              <w:jc w:val="center"/>
              <w:rPr>
                <w:rFonts w:ascii="仿宋" w:hAnsi="仿宋" w:eastAsia="仿宋" w:cs="仿宋"/>
              </w:rPr>
            </w:pPr>
          </w:p>
        </w:tc>
        <w:tc>
          <w:tcPr>
            <w:tcW w:w="1487"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变径</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51052104</w:t>
            </w:r>
          </w:p>
        </w:tc>
        <w:tc>
          <w:tcPr>
            <w:tcW w:w="1238" w:type="dxa"/>
            <w:vMerge w:val="restart"/>
            <w:shd w:val="clear" w:color="auto" w:fill="auto"/>
            <w:vAlign w:val="center"/>
          </w:tcPr>
          <w:p>
            <w:pPr>
              <w:widowControl/>
              <w:jc w:val="center"/>
              <w:rPr>
                <w:rFonts w:ascii="仿宋" w:hAnsi="仿宋" w:eastAsia="仿宋" w:cs="仿宋"/>
                <w:b/>
                <w:kern w:val="0"/>
                <w:sz w:val="18"/>
                <w:szCs w:val="18"/>
              </w:rPr>
            </w:pPr>
            <w:r>
              <w:rPr>
                <w:rFonts w:hint="eastAsia" w:ascii="仿宋" w:hAnsi="仿宋" w:eastAsia="仿宋" w:cs="仿宋"/>
                <w:b/>
                <w:kern w:val="0"/>
                <w:sz w:val="18"/>
                <w:szCs w:val="18"/>
              </w:rPr>
              <w:t>消防水</w:t>
            </w:r>
          </w:p>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测压点</w:t>
            </w:r>
          </w:p>
        </w:tc>
        <w:tc>
          <w:tcPr>
            <w:tcW w:w="1188"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51062109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tcPr>
          <w:p>
            <w:pPr>
              <w:jc w:val="center"/>
              <w:rPr>
                <w:rFonts w:ascii="仿宋" w:hAnsi="仿宋" w:eastAsia="仿宋" w:cs="仿宋"/>
              </w:rPr>
            </w:pPr>
          </w:p>
        </w:tc>
        <w:tc>
          <w:tcPr>
            <w:tcW w:w="1487" w:type="dxa"/>
            <w:shd w:val="clear" w:color="auto" w:fill="FFFFFF"/>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预留口</w:t>
            </w:r>
          </w:p>
        </w:tc>
        <w:tc>
          <w:tcPr>
            <w:tcW w:w="1381" w:type="dxa"/>
            <w:shd w:val="clear" w:color="auto" w:fill="FFFFFF"/>
          </w:tcPr>
          <w:p>
            <w:pPr>
              <w:pStyle w:val="99"/>
              <w:spacing w:before="0" w:line="240" w:lineRule="auto"/>
              <w:ind w:firstLine="0"/>
              <w:jc w:val="center"/>
              <w:rPr>
                <w:rFonts w:ascii="仿宋" w:hAnsi="仿宋" w:eastAsia="仿宋" w:cs="仿宋"/>
                <w:sz w:val="18"/>
                <w:szCs w:val="18"/>
              </w:rPr>
            </w:pPr>
            <w:r>
              <w:rPr>
                <w:rFonts w:hint="eastAsia" w:ascii="仿宋" w:hAnsi="仿宋" w:eastAsia="仿宋" w:cs="仿宋"/>
                <w:sz w:val="18"/>
                <w:szCs w:val="18"/>
              </w:rPr>
              <w:t>51052105</w:t>
            </w:r>
          </w:p>
        </w:tc>
        <w:tc>
          <w:tcPr>
            <w:tcW w:w="1238" w:type="dxa"/>
            <w:vMerge w:val="continue"/>
            <w:shd w:val="clear" w:color="auto" w:fill="auto"/>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水质监测点</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51062110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tcPr>
          <w:p>
            <w:pPr>
              <w:jc w:val="center"/>
              <w:rPr>
                <w:rFonts w:ascii="仿宋" w:hAnsi="仿宋" w:eastAsia="仿宋" w:cs="仿宋"/>
              </w:rPr>
            </w:pPr>
          </w:p>
        </w:tc>
        <w:tc>
          <w:tcPr>
            <w:tcW w:w="1487"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进水口</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Fonts w:hint="eastAsia" w:ascii="仿宋" w:hAnsi="仿宋" w:eastAsia="仿宋" w:cs="仿宋"/>
                <w:sz w:val="18"/>
                <w:szCs w:val="18"/>
              </w:rPr>
              <w:t>51052106</w:t>
            </w:r>
          </w:p>
        </w:tc>
        <w:tc>
          <w:tcPr>
            <w:tcW w:w="1238" w:type="dxa"/>
            <w:vMerge w:val="continue"/>
            <w:shd w:val="clear" w:color="auto" w:fill="auto"/>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伸缩器</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51062111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tcPr>
          <w:p>
            <w:pPr>
              <w:jc w:val="center"/>
              <w:rPr>
                <w:rFonts w:ascii="仿宋" w:hAnsi="仿宋" w:eastAsia="仿宋" w:cs="仿宋"/>
              </w:rPr>
            </w:pPr>
          </w:p>
        </w:tc>
        <w:tc>
          <w:tcPr>
            <w:tcW w:w="1487"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出水口</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51052107</w:t>
            </w:r>
          </w:p>
        </w:tc>
        <w:tc>
          <w:tcPr>
            <w:tcW w:w="1238" w:type="dxa"/>
            <w:vMerge w:val="continue"/>
            <w:shd w:val="clear" w:color="auto" w:fill="auto"/>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出地</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51062112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tcPr>
          <w:p>
            <w:pPr>
              <w:jc w:val="center"/>
              <w:rPr>
                <w:rFonts w:ascii="仿宋" w:hAnsi="仿宋" w:eastAsia="仿宋" w:cs="仿宋"/>
              </w:rPr>
            </w:pPr>
          </w:p>
        </w:tc>
        <w:tc>
          <w:tcPr>
            <w:tcW w:w="1487" w:type="dxa"/>
            <w:shd w:val="clear" w:color="auto" w:fill="FFFFFF"/>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测流点</w:t>
            </w:r>
          </w:p>
        </w:tc>
        <w:tc>
          <w:tcPr>
            <w:tcW w:w="1381" w:type="dxa"/>
            <w:shd w:val="clear" w:color="auto" w:fill="FFFFFF"/>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51052108</w:t>
            </w:r>
          </w:p>
        </w:tc>
        <w:tc>
          <w:tcPr>
            <w:tcW w:w="1238" w:type="dxa"/>
            <w:vMerge w:val="continue"/>
            <w:shd w:val="clear" w:color="auto" w:fill="auto"/>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盖堵</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51062113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tcPr>
          <w:p>
            <w:pPr>
              <w:jc w:val="center"/>
              <w:rPr>
                <w:rFonts w:ascii="仿宋" w:hAnsi="仿宋" w:eastAsia="仿宋" w:cs="仿宋"/>
              </w:rPr>
            </w:pPr>
          </w:p>
        </w:tc>
        <w:tc>
          <w:tcPr>
            <w:tcW w:w="1487"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测压点</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51052109</w:t>
            </w:r>
          </w:p>
        </w:tc>
        <w:tc>
          <w:tcPr>
            <w:tcW w:w="1238" w:type="dxa"/>
            <w:vMerge w:val="continue"/>
            <w:shd w:val="clear" w:color="auto" w:fill="auto"/>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51062114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tcPr>
          <w:p>
            <w:pPr>
              <w:jc w:val="center"/>
              <w:rPr>
                <w:rFonts w:ascii="仿宋" w:hAnsi="仿宋" w:eastAsia="仿宋" w:cs="仿宋"/>
              </w:rPr>
            </w:pPr>
          </w:p>
        </w:tc>
        <w:tc>
          <w:tcPr>
            <w:tcW w:w="1487"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水质监测点</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51052110</w:t>
            </w:r>
          </w:p>
        </w:tc>
        <w:tc>
          <w:tcPr>
            <w:tcW w:w="1238" w:type="dxa"/>
            <w:vMerge w:val="continue"/>
            <w:shd w:val="clear" w:color="auto" w:fill="auto"/>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窨井</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51062201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tcPr>
          <w:p>
            <w:pPr>
              <w:jc w:val="center"/>
              <w:rPr>
                <w:rFonts w:ascii="仿宋" w:hAnsi="仿宋" w:eastAsia="仿宋" w:cs="仿宋"/>
              </w:rPr>
            </w:pPr>
          </w:p>
        </w:tc>
        <w:tc>
          <w:tcPr>
            <w:tcW w:w="1487" w:type="dxa"/>
            <w:shd w:val="clear" w:color="auto" w:fill="FFFFFF"/>
            <w:vAlign w:val="bottom"/>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伸缩器</w:t>
            </w:r>
          </w:p>
        </w:tc>
        <w:tc>
          <w:tcPr>
            <w:tcW w:w="1381" w:type="dxa"/>
            <w:shd w:val="clear" w:color="auto" w:fill="FFFFFF"/>
            <w:vAlign w:val="bottom"/>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51052111</w:t>
            </w:r>
          </w:p>
        </w:tc>
        <w:tc>
          <w:tcPr>
            <w:tcW w:w="1238" w:type="dxa"/>
            <w:vMerge w:val="continue"/>
            <w:shd w:val="clear" w:color="auto" w:fill="auto"/>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消防栓</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51062202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tcPr>
          <w:p>
            <w:pPr>
              <w:jc w:val="center"/>
              <w:rPr>
                <w:rFonts w:ascii="仿宋" w:hAnsi="仿宋" w:eastAsia="仿宋" w:cs="仿宋"/>
              </w:rPr>
            </w:pPr>
          </w:p>
        </w:tc>
        <w:tc>
          <w:tcPr>
            <w:tcW w:w="1487"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出地</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51052112</w:t>
            </w:r>
          </w:p>
        </w:tc>
        <w:tc>
          <w:tcPr>
            <w:tcW w:w="1238" w:type="dxa"/>
            <w:vMerge w:val="continue"/>
            <w:shd w:val="clear" w:color="auto" w:fill="auto"/>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消防井</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51062203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tcPr>
          <w:p>
            <w:pPr>
              <w:jc w:val="center"/>
              <w:rPr>
                <w:rFonts w:ascii="仿宋" w:hAnsi="仿宋" w:eastAsia="仿宋" w:cs="仿宋"/>
              </w:rPr>
            </w:pPr>
          </w:p>
        </w:tc>
        <w:tc>
          <w:tcPr>
            <w:tcW w:w="1487"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盖堵</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51052113</w:t>
            </w:r>
          </w:p>
        </w:tc>
        <w:tc>
          <w:tcPr>
            <w:tcW w:w="1238" w:type="dxa"/>
            <w:vMerge w:val="continue"/>
            <w:shd w:val="clear" w:color="auto" w:fill="auto"/>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51062204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tcPr>
          <w:p>
            <w:pPr>
              <w:jc w:val="center"/>
              <w:rPr>
                <w:rFonts w:ascii="仿宋" w:hAnsi="仿宋" w:eastAsia="仿宋" w:cs="仿宋"/>
              </w:rPr>
            </w:pPr>
          </w:p>
        </w:tc>
        <w:tc>
          <w:tcPr>
            <w:tcW w:w="14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51052114</w:t>
            </w:r>
          </w:p>
        </w:tc>
        <w:tc>
          <w:tcPr>
            <w:tcW w:w="1238" w:type="dxa"/>
            <w:vMerge w:val="continue"/>
            <w:shd w:val="clear" w:color="auto" w:fill="auto"/>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阀门井</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51062205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tcPr>
          <w:p>
            <w:pPr>
              <w:jc w:val="center"/>
              <w:rPr>
                <w:rFonts w:ascii="仿宋" w:hAnsi="仿宋" w:eastAsia="仿宋" w:cs="仿宋"/>
              </w:rPr>
            </w:pPr>
          </w:p>
        </w:tc>
        <w:tc>
          <w:tcPr>
            <w:tcW w:w="1487"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窨井</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51052201</w:t>
            </w:r>
          </w:p>
        </w:tc>
        <w:tc>
          <w:tcPr>
            <w:tcW w:w="1238" w:type="dxa"/>
            <w:vMerge w:val="continue"/>
            <w:shd w:val="clear" w:color="auto" w:fill="auto"/>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阀门孔</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51062206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tcPr>
          <w:p>
            <w:pPr>
              <w:jc w:val="center"/>
              <w:rPr>
                <w:rFonts w:ascii="仿宋" w:hAnsi="仿宋" w:eastAsia="仿宋" w:cs="仿宋"/>
              </w:rPr>
            </w:pPr>
          </w:p>
        </w:tc>
        <w:tc>
          <w:tcPr>
            <w:tcW w:w="1487"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消防栓</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51052202</w:t>
            </w:r>
          </w:p>
        </w:tc>
        <w:tc>
          <w:tcPr>
            <w:tcW w:w="1238" w:type="dxa"/>
            <w:vMerge w:val="continue"/>
            <w:shd w:val="clear" w:color="auto" w:fill="auto"/>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水表</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51062207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tcPr>
          <w:p>
            <w:pPr>
              <w:jc w:val="center"/>
              <w:rPr>
                <w:rFonts w:ascii="仿宋" w:hAnsi="仿宋" w:eastAsia="仿宋" w:cs="仿宋"/>
              </w:rPr>
            </w:pPr>
          </w:p>
        </w:tc>
        <w:tc>
          <w:tcPr>
            <w:tcW w:w="1487"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消防井</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51052203</w:t>
            </w:r>
          </w:p>
        </w:tc>
        <w:tc>
          <w:tcPr>
            <w:tcW w:w="1238" w:type="dxa"/>
            <w:vMerge w:val="continue"/>
            <w:shd w:val="clear" w:color="auto" w:fill="auto"/>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水表井</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51062208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tcPr>
          <w:p>
            <w:pPr>
              <w:jc w:val="center"/>
              <w:rPr>
                <w:rFonts w:ascii="仿宋" w:hAnsi="仿宋" w:eastAsia="仿宋" w:cs="仿宋"/>
              </w:rPr>
            </w:pPr>
          </w:p>
        </w:tc>
        <w:tc>
          <w:tcPr>
            <w:tcW w:w="1487" w:type="dxa"/>
            <w:shd w:val="clear" w:color="auto" w:fill="FFFFFF"/>
            <w:vAlign w:val="bottom"/>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阀门</w:t>
            </w:r>
          </w:p>
        </w:tc>
        <w:tc>
          <w:tcPr>
            <w:tcW w:w="1381" w:type="dxa"/>
            <w:shd w:val="clear" w:color="auto" w:fill="FFFFFF"/>
            <w:vAlign w:val="bottom"/>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51052204</w:t>
            </w:r>
          </w:p>
        </w:tc>
        <w:tc>
          <w:tcPr>
            <w:tcW w:w="1238" w:type="dxa"/>
            <w:vMerge w:val="continue"/>
            <w:shd w:val="clear" w:color="auto" w:fill="auto"/>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排气阀</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51062209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tcPr>
          <w:p>
            <w:pPr>
              <w:jc w:val="center"/>
              <w:rPr>
                <w:rFonts w:ascii="仿宋" w:hAnsi="仿宋" w:eastAsia="仿宋" w:cs="仿宋"/>
              </w:rPr>
            </w:pPr>
          </w:p>
        </w:tc>
        <w:tc>
          <w:tcPr>
            <w:tcW w:w="1487"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阀门井</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51052205</w:t>
            </w:r>
          </w:p>
        </w:tc>
        <w:tc>
          <w:tcPr>
            <w:tcW w:w="1238" w:type="dxa"/>
            <w:vMerge w:val="continue"/>
            <w:shd w:val="clear" w:color="auto" w:fill="auto"/>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排污阀</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51062210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tcPr>
          <w:p>
            <w:pPr>
              <w:jc w:val="center"/>
              <w:rPr>
                <w:rFonts w:ascii="仿宋" w:hAnsi="仿宋" w:eastAsia="仿宋" w:cs="仿宋"/>
              </w:rPr>
            </w:pPr>
          </w:p>
        </w:tc>
        <w:tc>
          <w:tcPr>
            <w:tcW w:w="1487"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阀门孔</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51052206</w:t>
            </w:r>
          </w:p>
        </w:tc>
        <w:tc>
          <w:tcPr>
            <w:tcW w:w="1238" w:type="dxa"/>
            <w:vMerge w:val="continue"/>
            <w:shd w:val="clear" w:color="auto" w:fill="auto"/>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沉淀池</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51062211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tcPr>
          <w:p>
            <w:pPr>
              <w:jc w:val="center"/>
              <w:rPr>
                <w:rFonts w:ascii="仿宋" w:hAnsi="仿宋" w:eastAsia="仿宋" w:cs="仿宋"/>
              </w:rPr>
            </w:pPr>
          </w:p>
        </w:tc>
        <w:tc>
          <w:tcPr>
            <w:tcW w:w="1487" w:type="dxa"/>
            <w:shd w:val="clear" w:color="auto" w:fill="FFFFFF"/>
            <w:vAlign w:val="bottom"/>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水表</w:t>
            </w:r>
          </w:p>
        </w:tc>
        <w:tc>
          <w:tcPr>
            <w:tcW w:w="1381" w:type="dxa"/>
            <w:shd w:val="clear" w:color="auto" w:fill="FFFFFF"/>
            <w:vAlign w:val="bottom"/>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51052207</w:t>
            </w:r>
          </w:p>
        </w:tc>
        <w:tc>
          <w:tcPr>
            <w:tcW w:w="1238" w:type="dxa"/>
            <w:vMerge w:val="continue"/>
            <w:shd w:val="clear" w:color="auto" w:fill="auto"/>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水塔</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51062212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tcPr>
          <w:p>
            <w:pPr>
              <w:jc w:val="center"/>
              <w:rPr>
                <w:rFonts w:ascii="仿宋" w:hAnsi="仿宋" w:eastAsia="仿宋" w:cs="仿宋"/>
              </w:rPr>
            </w:pPr>
          </w:p>
        </w:tc>
        <w:tc>
          <w:tcPr>
            <w:tcW w:w="1487"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水表井</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51052208</w:t>
            </w:r>
          </w:p>
        </w:tc>
        <w:tc>
          <w:tcPr>
            <w:tcW w:w="1238" w:type="dxa"/>
            <w:vMerge w:val="continue"/>
            <w:shd w:val="clear" w:color="auto" w:fill="auto"/>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水池</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51062213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tcPr>
          <w:p>
            <w:pPr>
              <w:jc w:val="center"/>
              <w:rPr>
                <w:rFonts w:ascii="仿宋" w:hAnsi="仿宋" w:eastAsia="仿宋" w:cs="仿宋"/>
              </w:rPr>
            </w:pPr>
          </w:p>
        </w:tc>
        <w:tc>
          <w:tcPr>
            <w:tcW w:w="1487"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排水阀</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51052209</w:t>
            </w:r>
          </w:p>
        </w:tc>
        <w:tc>
          <w:tcPr>
            <w:tcW w:w="1238" w:type="dxa"/>
            <w:vMerge w:val="continue"/>
            <w:shd w:val="clear" w:color="auto" w:fill="auto"/>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净化池</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51062214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tcPr>
          <w:p>
            <w:pPr>
              <w:jc w:val="center"/>
              <w:rPr>
                <w:rFonts w:ascii="仿宋" w:hAnsi="仿宋" w:eastAsia="仿宋" w:cs="仿宋"/>
              </w:rPr>
            </w:pPr>
          </w:p>
        </w:tc>
        <w:tc>
          <w:tcPr>
            <w:tcW w:w="1487"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排污阀</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51052210</w:t>
            </w:r>
          </w:p>
        </w:tc>
        <w:tc>
          <w:tcPr>
            <w:tcW w:w="1238" w:type="dxa"/>
            <w:vMerge w:val="continue"/>
            <w:shd w:val="clear" w:color="auto" w:fill="auto"/>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泵站</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51062215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tcPr>
          <w:p>
            <w:pPr>
              <w:jc w:val="center"/>
              <w:rPr>
                <w:rFonts w:ascii="仿宋" w:hAnsi="仿宋" w:eastAsia="仿宋" w:cs="仿宋"/>
              </w:rPr>
            </w:pPr>
          </w:p>
        </w:tc>
        <w:tc>
          <w:tcPr>
            <w:tcW w:w="1487"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沉淀池</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51052211</w:t>
            </w:r>
          </w:p>
        </w:tc>
        <w:tc>
          <w:tcPr>
            <w:tcW w:w="1238" w:type="dxa"/>
            <w:vMerge w:val="continue"/>
            <w:shd w:val="clear" w:color="auto" w:fill="auto"/>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水源井</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51062216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tcPr>
          <w:p>
            <w:pPr>
              <w:jc w:val="center"/>
              <w:rPr>
                <w:rFonts w:ascii="仿宋" w:hAnsi="仿宋" w:eastAsia="仿宋" w:cs="仿宋"/>
              </w:rPr>
            </w:pPr>
          </w:p>
        </w:tc>
        <w:tc>
          <w:tcPr>
            <w:tcW w:w="1487"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水塔</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51052212</w:t>
            </w:r>
          </w:p>
        </w:tc>
        <w:tc>
          <w:tcPr>
            <w:tcW w:w="1238" w:type="dxa"/>
            <w:vMerge w:val="continue"/>
            <w:shd w:val="clear" w:color="auto" w:fill="auto"/>
            <w:vAlign w:val="center"/>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消防水面状要素</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51063000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tcPr>
          <w:p>
            <w:pPr>
              <w:jc w:val="center"/>
              <w:rPr>
                <w:rFonts w:ascii="仿宋" w:hAnsi="仿宋" w:eastAsia="仿宋" w:cs="仿宋"/>
              </w:rPr>
            </w:pPr>
          </w:p>
        </w:tc>
        <w:tc>
          <w:tcPr>
            <w:tcW w:w="1487"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水池</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51052213</w:t>
            </w:r>
          </w:p>
        </w:tc>
        <w:tc>
          <w:tcPr>
            <w:tcW w:w="1238" w:type="dxa"/>
            <w:vMerge w:val="restart"/>
            <w:shd w:val="clear" w:color="auto" w:fill="auto"/>
            <w:vAlign w:val="center"/>
          </w:tcPr>
          <w:p>
            <w:pPr>
              <w:widowControl/>
              <w:jc w:val="center"/>
              <w:rPr>
                <w:rFonts w:ascii="仿宋" w:hAnsi="仿宋" w:eastAsia="仿宋" w:cs="仿宋"/>
                <w:b/>
                <w:kern w:val="0"/>
                <w:sz w:val="18"/>
                <w:szCs w:val="18"/>
              </w:rPr>
            </w:pPr>
            <w:r>
              <w:rPr>
                <w:rFonts w:hint="eastAsia" w:ascii="仿宋" w:hAnsi="仿宋" w:eastAsia="仿宋" w:cs="仿宋"/>
                <w:b/>
                <w:kern w:val="0"/>
                <w:sz w:val="18"/>
                <w:szCs w:val="18"/>
              </w:rPr>
              <w:t>绿化水</w:t>
            </w:r>
          </w:p>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绿化水管段</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tcPr>
          <w:p>
            <w:pPr>
              <w:jc w:val="center"/>
              <w:rPr>
                <w:rFonts w:ascii="仿宋" w:hAnsi="仿宋" w:eastAsia="仿宋" w:cs="仿宋"/>
              </w:rPr>
            </w:pPr>
          </w:p>
        </w:tc>
        <w:tc>
          <w:tcPr>
            <w:tcW w:w="1487"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净化池</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51052214</w:t>
            </w:r>
          </w:p>
        </w:tc>
        <w:tc>
          <w:tcPr>
            <w:tcW w:w="1238" w:type="dxa"/>
            <w:vMerge w:val="continue"/>
            <w:shd w:val="clear" w:color="auto" w:fill="auto"/>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弯头</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tcPr>
          <w:p>
            <w:pPr>
              <w:jc w:val="center"/>
              <w:rPr>
                <w:rFonts w:ascii="仿宋" w:hAnsi="仿宋" w:eastAsia="仿宋" w:cs="仿宋"/>
              </w:rPr>
            </w:pPr>
          </w:p>
        </w:tc>
        <w:tc>
          <w:tcPr>
            <w:tcW w:w="1487"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泵站</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51052215</w:t>
            </w:r>
          </w:p>
        </w:tc>
        <w:tc>
          <w:tcPr>
            <w:tcW w:w="1238" w:type="dxa"/>
            <w:vMerge w:val="continue"/>
            <w:shd w:val="clear" w:color="auto" w:fill="auto"/>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三通</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tcPr>
          <w:p>
            <w:pPr>
              <w:jc w:val="center"/>
              <w:rPr>
                <w:rFonts w:ascii="仿宋" w:hAnsi="仿宋" w:eastAsia="仿宋" w:cs="仿宋"/>
              </w:rPr>
            </w:pPr>
          </w:p>
        </w:tc>
        <w:tc>
          <w:tcPr>
            <w:tcW w:w="1487"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水源井</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51052216</w:t>
            </w:r>
          </w:p>
        </w:tc>
        <w:tc>
          <w:tcPr>
            <w:tcW w:w="1238" w:type="dxa"/>
            <w:vMerge w:val="continue"/>
            <w:shd w:val="clear" w:color="auto" w:fill="auto"/>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四通</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tcPr>
          <w:p>
            <w:pPr>
              <w:jc w:val="center"/>
              <w:rPr>
                <w:rFonts w:ascii="仿宋" w:hAnsi="仿宋" w:eastAsia="仿宋" w:cs="仿宋"/>
              </w:rPr>
            </w:pPr>
          </w:p>
        </w:tc>
        <w:tc>
          <w:tcPr>
            <w:tcW w:w="1487"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沉淀池</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51052217</w:t>
            </w:r>
          </w:p>
        </w:tc>
        <w:tc>
          <w:tcPr>
            <w:tcW w:w="1238" w:type="dxa"/>
            <w:vMerge w:val="continue"/>
            <w:shd w:val="clear" w:color="auto" w:fill="auto"/>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变径</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tcPr>
          <w:p>
            <w:pPr>
              <w:jc w:val="center"/>
              <w:rPr>
                <w:rFonts w:ascii="仿宋" w:hAnsi="仿宋" w:eastAsia="仿宋" w:cs="仿宋"/>
              </w:rPr>
            </w:pPr>
          </w:p>
        </w:tc>
        <w:tc>
          <w:tcPr>
            <w:tcW w:w="1487"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直饮水面状要素</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51053000</w:t>
            </w:r>
          </w:p>
        </w:tc>
        <w:tc>
          <w:tcPr>
            <w:tcW w:w="1238" w:type="dxa"/>
            <w:vMerge w:val="continue"/>
            <w:shd w:val="clear" w:color="auto" w:fill="auto"/>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预留口</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restart"/>
            <w:shd w:val="clear" w:color="auto" w:fill="auto"/>
            <w:vAlign w:val="center"/>
          </w:tcPr>
          <w:p>
            <w:pPr>
              <w:widowControl/>
              <w:jc w:val="center"/>
              <w:rPr>
                <w:rFonts w:ascii="仿宋" w:hAnsi="仿宋" w:eastAsia="仿宋" w:cs="仿宋"/>
                <w:b/>
                <w:kern w:val="0"/>
                <w:sz w:val="18"/>
                <w:szCs w:val="18"/>
              </w:rPr>
            </w:pPr>
            <w:r>
              <w:rPr>
                <w:rFonts w:hint="eastAsia" w:ascii="仿宋" w:hAnsi="仿宋" w:eastAsia="仿宋" w:cs="仿宋"/>
                <w:b/>
                <w:kern w:val="0"/>
                <w:sz w:val="18"/>
                <w:szCs w:val="18"/>
              </w:rPr>
              <w:t>消防水</w:t>
            </w:r>
          </w:p>
          <w:p>
            <w:pPr>
              <w:jc w:val="center"/>
              <w:rPr>
                <w:rFonts w:ascii="仿宋" w:hAnsi="仿宋" w:eastAsia="仿宋" w:cs="仿宋"/>
              </w:rPr>
            </w:pPr>
          </w:p>
        </w:tc>
        <w:tc>
          <w:tcPr>
            <w:tcW w:w="1487"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消防水管段</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51061000</w:t>
            </w:r>
          </w:p>
        </w:tc>
        <w:tc>
          <w:tcPr>
            <w:tcW w:w="1238" w:type="dxa"/>
            <w:vMerge w:val="continue"/>
            <w:shd w:val="clear" w:color="auto" w:fill="auto"/>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进水口</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tcPr>
          <w:p>
            <w:pPr>
              <w:jc w:val="center"/>
              <w:rPr>
                <w:rFonts w:ascii="仿宋" w:hAnsi="仿宋" w:eastAsia="仿宋" w:cs="仿宋"/>
              </w:rPr>
            </w:pPr>
          </w:p>
        </w:tc>
        <w:tc>
          <w:tcPr>
            <w:tcW w:w="1487"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弯头</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51062101</w:t>
            </w:r>
          </w:p>
        </w:tc>
        <w:tc>
          <w:tcPr>
            <w:tcW w:w="1238" w:type="dxa"/>
            <w:vMerge w:val="continue"/>
            <w:shd w:val="clear" w:color="auto" w:fill="auto"/>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出水口</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tcPr>
          <w:p>
            <w:pPr>
              <w:jc w:val="center"/>
              <w:rPr>
                <w:rFonts w:ascii="仿宋" w:hAnsi="仿宋" w:eastAsia="仿宋" w:cs="仿宋"/>
              </w:rPr>
            </w:pPr>
          </w:p>
        </w:tc>
        <w:tc>
          <w:tcPr>
            <w:tcW w:w="1487"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三通</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51062102</w:t>
            </w:r>
          </w:p>
        </w:tc>
        <w:tc>
          <w:tcPr>
            <w:tcW w:w="1238" w:type="dxa"/>
            <w:vMerge w:val="continue"/>
            <w:shd w:val="clear" w:color="auto" w:fill="auto"/>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测流点</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tcPr>
          <w:p>
            <w:pPr>
              <w:jc w:val="center"/>
              <w:rPr>
                <w:rFonts w:ascii="仿宋" w:hAnsi="仿宋" w:eastAsia="仿宋" w:cs="仿宋"/>
              </w:rPr>
            </w:pPr>
          </w:p>
        </w:tc>
        <w:tc>
          <w:tcPr>
            <w:tcW w:w="1487"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四通</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51062103</w:t>
            </w:r>
          </w:p>
        </w:tc>
        <w:tc>
          <w:tcPr>
            <w:tcW w:w="1238" w:type="dxa"/>
            <w:vMerge w:val="continue"/>
            <w:shd w:val="clear" w:color="auto" w:fill="auto"/>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测压点</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vAlign w:val="center"/>
          </w:tcPr>
          <w:p>
            <w:pPr>
              <w:jc w:val="center"/>
              <w:rPr>
                <w:rFonts w:ascii="仿宋" w:hAnsi="仿宋" w:eastAsia="仿宋" w:cs="仿宋"/>
              </w:rPr>
            </w:pPr>
          </w:p>
        </w:tc>
        <w:tc>
          <w:tcPr>
            <w:tcW w:w="1487"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变径</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51062104</w:t>
            </w:r>
          </w:p>
        </w:tc>
        <w:tc>
          <w:tcPr>
            <w:tcW w:w="1238" w:type="dxa"/>
            <w:vMerge w:val="continue"/>
            <w:shd w:val="clear" w:color="auto" w:fill="auto"/>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水质监测点</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tcPr>
          <w:p>
            <w:pPr>
              <w:jc w:val="center"/>
              <w:rPr>
                <w:rFonts w:ascii="仿宋" w:hAnsi="仿宋" w:eastAsia="仿宋" w:cs="仿宋"/>
              </w:rPr>
            </w:pPr>
          </w:p>
        </w:tc>
        <w:tc>
          <w:tcPr>
            <w:tcW w:w="1487"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预留口</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51062105</w:t>
            </w:r>
          </w:p>
        </w:tc>
        <w:tc>
          <w:tcPr>
            <w:tcW w:w="1238" w:type="dxa"/>
            <w:vMerge w:val="continue"/>
            <w:shd w:val="clear" w:color="auto" w:fill="auto"/>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伸缩器</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tcPr>
          <w:p>
            <w:pPr>
              <w:jc w:val="center"/>
              <w:rPr>
                <w:rFonts w:ascii="仿宋" w:hAnsi="仿宋" w:eastAsia="仿宋" w:cs="仿宋"/>
              </w:rPr>
            </w:pPr>
          </w:p>
        </w:tc>
        <w:tc>
          <w:tcPr>
            <w:tcW w:w="1487"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进水口</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51062106</w:t>
            </w:r>
          </w:p>
        </w:tc>
        <w:tc>
          <w:tcPr>
            <w:tcW w:w="1238" w:type="dxa"/>
            <w:vMerge w:val="continue"/>
            <w:shd w:val="clear" w:color="auto" w:fill="auto"/>
            <w:vAlign w:val="center"/>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出地</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tcPr>
          <w:p>
            <w:pPr>
              <w:jc w:val="center"/>
              <w:rPr>
                <w:rFonts w:ascii="仿宋" w:hAnsi="仿宋" w:eastAsia="仿宋" w:cs="仿宋"/>
              </w:rPr>
            </w:pPr>
          </w:p>
        </w:tc>
        <w:tc>
          <w:tcPr>
            <w:tcW w:w="1487"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出水口</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51062107</w:t>
            </w:r>
          </w:p>
        </w:tc>
        <w:tc>
          <w:tcPr>
            <w:tcW w:w="1238" w:type="dxa"/>
            <w:vMerge w:val="continue"/>
            <w:shd w:val="clear" w:color="auto" w:fill="auto"/>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盖堵</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tcPr>
          <w:p>
            <w:pPr>
              <w:jc w:val="center"/>
              <w:rPr>
                <w:rFonts w:ascii="仿宋" w:hAnsi="仿宋" w:eastAsia="仿宋" w:cs="仿宋"/>
              </w:rPr>
            </w:pPr>
          </w:p>
        </w:tc>
        <w:tc>
          <w:tcPr>
            <w:tcW w:w="1487"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测流点</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51062108</w:t>
            </w:r>
          </w:p>
        </w:tc>
        <w:tc>
          <w:tcPr>
            <w:tcW w:w="1238" w:type="dxa"/>
            <w:vMerge w:val="continue"/>
            <w:shd w:val="clear" w:color="auto" w:fill="auto"/>
          </w:tcPr>
          <w:p>
            <w:pPr>
              <w:jc w:val="center"/>
              <w:rPr>
                <w:rFonts w:ascii="仿宋" w:hAnsi="仿宋" w:eastAsia="仿宋" w:cs="仿宋"/>
              </w:rPr>
            </w:pPr>
          </w:p>
        </w:tc>
        <w:tc>
          <w:tcPr>
            <w:tcW w:w="160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18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51072114</w:t>
            </w:r>
          </w:p>
        </w:tc>
      </w:tr>
    </w:tbl>
    <w:p>
      <w:pPr>
        <w:spacing w:after="162" w:afterLines="50"/>
        <w:ind w:firstLine="241" w:firstLineChars="100"/>
        <w:jc w:val="center"/>
        <w:rPr>
          <w:b/>
        </w:rPr>
      </w:pPr>
    </w:p>
    <w:p>
      <w:pPr>
        <w:pStyle w:val="2"/>
        <w:jc w:val="center"/>
      </w:pPr>
    </w:p>
    <w:tbl>
      <w:tblPr>
        <w:tblStyle w:val="26"/>
        <w:tblW w:w="8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1512"/>
        <w:gridCol w:w="1381"/>
        <w:gridCol w:w="1244"/>
        <w:gridCol w:w="1518"/>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50"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管线小类</w:t>
            </w:r>
          </w:p>
        </w:tc>
        <w:tc>
          <w:tcPr>
            <w:tcW w:w="1512"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要素名称</w:t>
            </w:r>
          </w:p>
        </w:tc>
        <w:tc>
          <w:tcPr>
            <w:tcW w:w="1381" w:type="dxa"/>
            <w:vAlign w:val="center"/>
          </w:tcPr>
          <w:p>
            <w:pPr>
              <w:tabs>
                <w:tab w:val="left" w:pos="794"/>
                <w:tab w:val="clear" w:pos="0"/>
              </w:tabs>
              <w:jc w:val="center"/>
              <w:rPr>
                <w:rFonts w:ascii="仿宋" w:hAnsi="仿宋" w:eastAsia="仿宋" w:cs="仿宋"/>
              </w:rPr>
            </w:pPr>
            <w:r>
              <w:rPr>
                <w:rFonts w:hint="eastAsia" w:ascii="仿宋" w:hAnsi="仿宋" w:eastAsia="仿宋" w:cs="仿宋"/>
                <w:b/>
                <w:szCs w:val="21"/>
              </w:rPr>
              <w:t>代码</w:t>
            </w:r>
          </w:p>
        </w:tc>
        <w:tc>
          <w:tcPr>
            <w:tcW w:w="1244" w:type="dxa"/>
            <w:vAlign w:val="center"/>
          </w:tcPr>
          <w:p>
            <w:pPr>
              <w:widowControl/>
              <w:jc w:val="center"/>
              <w:rPr>
                <w:rFonts w:ascii="仿宋" w:hAnsi="仿宋" w:eastAsia="仿宋" w:cs="仿宋"/>
              </w:rPr>
            </w:pPr>
            <w:r>
              <w:rPr>
                <w:rFonts w:hint="eastAsia" w:ascii="仿宋" w:hAnsi="仿宋" w:eastAsia="仿宋" w:cs="仿宋"/>
                <w:b/>
                <w:szCs w:val="21"/>
              </w:rPr>
              <w:t>管线小类</w:t>
            </w:r>
          </w:p>
        </w:tc>
        <w:tc>
          <w:tcPr>
            <w:tcW w:w="1518" w:type="dxa"/>
            <w:vAlign w:val="center"/>
          </w:tcPr>
          <w:p>
            <w:pPr>
              <w:widowControl/>
              <w:jc w:val="center"/>
              <w:rPr>
                <w:rFonts w:ascii="仿宋" w:hAnsi="仿宋" w:eastAsia="仿宋" w:cs="仿宋"/>
              </w:rPr>
            </w:pPr>
            <w:r>
              <w:rPr>
                <w:rFonts w:hint="eastAsia" w:ascii="仿宋" w:hAnsi="仿宋" w:eastAsia="仿宋" w:cs="仿宋"/>
                <w:b/>
                <w:szCs w:val="21"/>
              </w:rPr>
              <w:t>要素名称</w:t>
            </w:r>
          </w:p>
        </w:tc>
        <w:tc>
          <w:tcPr>
            <w:tcW w:w="1383" w:type="dxa"/>
            <w:vAlign w:val="center"/>
          </w:tcPr>
          <w:p>
            <w:pPr>
              <w:widowControl/>
              <w:jc w:val="center"/>
              <w:rPr>
                <w:rFonts w:ascii="仿宋" w:hAnsi="仿宋" w:eastAsia="仿宋" w:cs="仿宋"/>
              </w:rPr>
            </w:pPr>
            <w:r>
              <w:rPr>
                <w:rFonts w:hint="eastAsia" w:ascii="仿宋" w:hAnsi="仿宋" w:eastAsia="仿宋" w:cs="仿宋"/>
                <w:b/>
                <w:szCs w:val="21"/>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restart"/>
            <w:shd w:val="clear" w:color="auto" w:fill="auto"/>
            <w:vAlign w:val="center"/>
          </w:tcPr>
          <w:p>
            <w:pPr>
              <w:widowControl/>
              <w:jc w:val="center"/>
              <w:rPr>
                <w:rFonts w:ascii="仿宋" w:hAnsi="仿宋" w:eastAsia="仿宋" w:cs="仿宋"/>
                <w:b/>
                <w:kern w:val="0"/>
                <w:sz w:val="18"/>
                <w:szCs w:val="18"/>
              </w:rPr>
            </w:pPr>
            <w:r>
              <w:rPr>
                <w:rFonts w:hint="eastAsia" w:ascii="仿宋" w:hAnsi="仿宋" w:eastAsia="仿宋" w:cs="仿宋"/>
                <w:b/>
                <w:kern w:val="0"/>
                <w:sz w:val="18"/>
                <w:szCs w:val="18"/>
              </w:rPr>
              <w:t>绿化水</w:t>
            </w:r>
          </w:p>
          <w:p>
            <w:pPr>
              <w:jc w:val="center"/>
              <w:rPr>
                <w:rFonts w:ascii="仿宋" w:hAnsi="仿宋" w:eastAsia="仿宋" w:cs="仿宋"/>
              </w:rPr>
            </w:pPr>
          </w:p>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窨井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51072201</w:t>
            </w:r>
          </w:p>
        </w:tc>
        <w:tc>
          <w:tcPr>
            <w:tcW w:w="1244" w:type="dxa"/>
            <w:vMerge w:val="restart"/>
            <w:shd w:val="clear" w:color="auto" w:fill="auto"/>
            <w:vAlign w:val="center"/>
          </w:tcPr>
          <w:p>
            <w:pPr>
              <w:jc w:val="center"/>
              <w:rPr>
                <w:rFonts w:ascii="仿宋" w:hAnsi="仿宋" w:eastAsia="仿宋" w:cs="仿宋"/>
                <w:b/>
                <w:kern w:val="0"/>
                <w:sz w:val="18"/>
                <w:szCs w:val="18"/>
                <w:lang w:val="zh-CN"/>
              </w:rPr>
            </w:pPr>
            <w:r>
              <w:rPr>
                <w:rFonts w:hint="eastAsia" w:ascii="仿宋" w:hAnsi="仿宋" w:eastAsia="仿宋" w:cs="仿宋"/>
                <w:b/>
                <w:kern w:val="0"/>
                <w:sz w:val="18"/>
                <w:szCs w:val="18"/>
                <w:lang w:val="zh-CN"/>
              </w:rPr>
              <w:t>循环水</w:t>
            </w:r>
          </w:p>
          <w:p>
            <w:pPr>
              <w:jc w:val="center"/>
              <w:rPr>
                <w:rFonts w:ascii="仿宋" w:hAnsi="仿宋" w:eastAsia="仿宋" w:cs="仿宋"/>
              </w:rPr>
            </w:pPr>
          </w:p>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消防栓</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消防栓</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51072202</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51072203</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水表</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水表</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51072204</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污水井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污水井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51072205</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雨水井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雨水井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51072206</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污箅</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污箅</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51072207</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雨箅</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雨箅</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51072208</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溢流井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51082209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溢流井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51072209</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闸门井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闸门井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51072210</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跌水井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跌水井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51072211</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通风井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通风井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51072212</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冲洗井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冲洗井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51072213</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沉泥井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沉泥井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51072214</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渗水井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渗水井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51072215</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出气井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出气井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51072216</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水封井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51082217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水封井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51072217</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沉淀池</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51082218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沉淀池</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51072218</w:t>
            </w:r>
          </w:p>
        </w:tc>
        <w:tc>
          <w:tcPr>
            <w:tcW w:w="1244" w:type="dxa"/>
            <w:vMerge w:val="continue"/>
            <w:shd w:val="clear" w:color="auto" w:fill="auto"/>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水塔</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51082219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vAlign w:val="center"/>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水塔</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51072219</w:t>
            </w:r>
          </w:p>
        </w:tc>
        <w:tc>
          <w:tcPr>
            <w:tcW w:w="1244" w:type="dxa"/>
            <w:vMerge w:val="continue"/>
            <w:shd w:val="clear" w:color="auto" w:fill="auto"/>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水池</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51082220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水池</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51072220</w:t>
            </w:r>
          </w:p>
        </w:tc>
        <w:tc>
          <w:tcPr>
            <w:tcW w:w="1244" w:type="dxa"/>
            <w:vMerge w:val="continue"/>
            <w:shd w:val="clear" w:color="auto" w:fill="auto"/>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净化池</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净化池</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51072221</w:t>
            </w:r>
          </w:p>
        </w:tc>
        <w:tc>
          <w:tcPr>
            <w:tcW w:w="1244" w:type="dxa"/>
            <w:vMerge w:val="continue"/>
            <w:shd w:val="clear" w:color="auto" w:fill="auto"/>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排水泵站</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排水泵站</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51072222</w:t>
            </w:r>
          </w:p>
        </w:tc>
        <w:tc>
          <w:tcPr>
            <w:tcW w:w="1244" w:type="dxa"/>
            <w:vMerge w:val="continue"/>
            <w:shd w:val="clear" w:color="auto" w:fill="auto"/>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化粪池</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51082223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vAlign w:val="center"/>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化粪池</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51072223</w:t>
            </w:r>
          </w:p>
        </w:tc>
        <w:tc>
          <w:tcPr>
            <w:tcW w:w="1244" w:type="dxa"/>
            <w:vMerge w:val="continue"/>
            <w:shd w:val="clear" w:color="auto" w:fill="auto"/>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循环水面状要素</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绿化水面状要素</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51073000</w:t>
            </w:r>
          </w:p>
        </w:tc>
        <w:tc>
          <w:tcPr>
            <w:tcW w:w="1244" w:type="dxa"/>
            <w:vMerge w:val="restart"/>
            <w:shd w:val="clear" w:color="auto" w:fill="auto"/>
            <w:vAlign w:val="center"/>
          </w:tcPr>
          <w:p>
            <w:pPr>
              <w:widowControl/>
              <w:jc w:val="center"/>
              <w:rPr>
                <w:rFonts w:ascii="仿宋" w:hAnsi="仿宋" w:eastAsia="仿宋" w:cs="仿宋"/>
                <w:b/>
                <w:kern w:val="0"/>
                <w:sz w:val="18"/>
                <w:szCs w:val="18"/>
              </w:rPr>
            </w:pPr>
            <w:r>
              <w:rPr>
                <w:rFonts w:hint="eastAsia" w:ascii="仿宋" w:hAnsi="仿宋" w:eastAsia="仿宋" w:cs="仿宋"/>
                <w:b/>
                <w:kern w:val="0"/>
                <w:sz w:val="18"/>
                <w:szCs w:val="18"/>
              </w:rPr>
              <w:t>长途</w:t>
            </w:r>
          </w:p>
          <w:p>
            <w:pPr>
              <w:widowControl/>
              <w:jc w:val="center"/>
              <w:rPr>
                <w:rFonts w:ascii="仿宋" w:hAnsi="仿宋" w:eastAsia="仿宋" w:cs="仿宋"/>
                <w:b/>
                <w:kern w:val="0"/>
                <w:sz w:val="18"/>
                <w:szCs w:val="18"/>
              </w:rPr>
            </w:pPr>
            <w:r>
              <w:rPr>
                <w:rFonts w:hint="eastAsia" w:ascii="仿宋" w:hAnsi="仿宋" w:eastAsia="仿宋" w:cs="仿宋"/>
                <w:b/>
                <w:kern w:val="0"/>
                <w:sz w:val="18"/>
                <w:szCs w:val="18"/>
              </w:rPr>
              <w:t>输水管线</w:t>
            </w:r>
          </w:p>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Fonts w:ascii="仿宋" w:hAnsi="仿宋" w:eastAsia="仿宋" w:cs="仿宋"/>
                <w:sz w:val="18"/>
                <w:szCs w:val="18"/>
              </w:rPr>
            </w:pPr>
            <w:r>
              <w:rPr>
                <w:rFonts w:hint="eastAsia" w:ascii="仿宋" w:hAnsi="仿宋" w:eastAsia="仿宋" w:cs="仿宋"/>
                <w:color w:val="000000"/>
                <w:sz w:val="18"/>
                <w:szCs w:val="18"/>
                <w:shd w:val="clear" w:color="auto" w:fill="auto"/>
                <w:lang w:val="zh-CN"/>
              </w:rPr>
              <w:t>长途输水管段</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rPr>
            </w:pPr>
            <w:r>
              <w:rPr>
                <w:rFonts w:hint="eastAsia" w:ascii="仿宋" w:hAnsi="仿宋" w:eastAsia="仿宋" w:cs="仿宋"/>
                <w:color w:val="000000"/>
                <w:sz w:val="18"/>
                <w:szCs w:val="18"/>
                <w:shd w:val="clear" w:color="auto" w:fill="auto"/>
                <w:lang w:val="zh-CN"/>
              </w:rPr>
              <w:t>51091000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restart"/>
            <w:shd w:val="clear" w:color="auto" w:fill="auto"/>
            <w:vAlign w:val="center"/>
          </w:tcPr>
          <w:p>
            <w:pPr>
              <w:jc w:val="center"/>
              <w:rPr>
                <w:rFonts w:ascii="仿宋" w:hAnsi="仿宋" w:eastAsia="仿宋" w:cs="仿宋"/>
                <w:b/>
                <w:kern w:val="0"/>
                <w:sz w:val="18"/>
                <w:szCs w:val="18"/>
                <w:lang w:val="zh-CN"/>
              </w:rPr>
            </w:pPr>
            <w:r>
              <w:rPr>
                <w:rFonts w:hint="eastAsia" w:ascii="仿宋" w:hAnsi="仿宋" w:eastAsia="仿宋" w:cs="仿宋"/>
                <w:b/>
                <w:kern w:val="0"/>
                <w:sz w:val="18"/>
                <w:szCs w:val="18"/>
                <w:lang w:val="zh-CN"/>
              </w:rPr>
              <w:t>循环水</w:t>
            </w:r>
          </w:p>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循环水管段</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51081000</w:t>
            </w:r>
          </w:p>
        </w:tc>
        <w:tc>
          <w:tcPr>
            <w:tcW w:w="1244" w:type="dxa"/>
            <w:vMerge w:val="continue"/>
            <w:shd w:val="clear" w:color="auto" w:fill="auto"/>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Fonts w:ascii="仿宋" w:hAnsi="仿宋" w:eastAsia="仿宋" w:cs="仿宋"/>
                <w:sz w:val="18"/>
                <w:szCs w:val="18"/>
              </w:rPr>
            </w:pPr>
            <w:r>
              <w:rPr>
                <w:rFonts w:hint="eastAsia" w:ascii="仿宋" w:hAnsi="仿宋" w:eastAsia="仿宋" w:cs="仿宋"/>
                <w:color w:val="000000"/>
                <w:sz w:val="18"/>
                <w:szCs w:val="18"/>
                <w:shd w:val="clear" w:color="auto" w:fill="auto"/>
                <w:lang w:val="zh-CN"/>
              </w:rPr>
              <w:t>弯头</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rPr>
            </w:pPr>
            <w:r>
              <w:rPr>
                <w:rFonts w:hint="eastAsia" w:ascii="仿宋" w:hAnsi="仿宋" w:eastAsia="仿宋" w:cs="仿宋"/>
                <w:color w:val="000000"/>
                <w:sz w:val="18"/>
                <w:szCs w:val="18"/>
                <w:shd w:val="clear" w:color="auto" w:fill="auto"/>
                <w:lang w:val="zh-CN"/>
              </w:rPr>
              <w:t>51092101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弯头</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51082101</w:t>
            </w:r>
          </w:p>
        </w:tc>
        <w:tc>
          <w:tcPr>
            <w:tcW w:w="1244" w:type="dxa"/>
            <w:vMerge w:val="continue"/>
            <w:shd w:val="clear" w:color="auto" w:fill="auto"/>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Fonts w:ascii="仿宋" w:hAnsi="仿宋" w:eastAsia="仿宋" w:cs="仿宋"/>
                <w:sz w:val="18"/>
                <w:szCs w:val="18"/>
              </w:rPr>
            </w:pPr>
            <w:r>
              <w:rPr>
                <w:rFonts w:hint="eastAsia" w:ascii="仿宋" w:hAnsi="仿宋" w:eastAsia="仿宋" w:cs="仿宋"/>
                <w:color w:val="000000"/>
                <w:sz w:val="18"/>
                <w:szCs w:val="18"/>
                <w:shd w:val="clear" w:color="auto" w:fill="auto"/>
                <w:lang w:val="zh-CN"/>
              </w:rPr>
              <w:t>三通</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rPr>
            </w:pPr>
            <w:r>
              <w:rPr>
                <w:rFonts w:hint="eastAsia" w:ascii="仿宋" w:hAnsi="仿宋" w:eastAsia="仿宋" w:cs="仿宋"/>
                <w:color w:val="000000"/>
                <w:sz w:val="18"/>
                <w:szCs w:val="18"/>
                <w:shd w:val="clear" w:color="auto" w:fill="auto"/>
                <w:lang w:val="zh-CN"/>
              </w:rPr>
              <w:t>51092102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三通</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51082102</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Fonts w:ascii="仿宋" w:hAnsi="仿宋" w:eastAsia="仿宋" w:cs="仿宋"/>
                <w:sz w:val="18"/>
                <w:szCs w:val="18"/>
              </w:rPr>
            </w:pPr>
            <w:r>
              <w:rPr>
                <w:rFonts w:hint="eastAsia" w:ascii="仿宋" w:hAnsi="仿宋" w:eastAsia="仿宋" w:cs="仿宋"/>
                <w:color w:val="000000"/>
                <w:sz w:val="18"/>
                <w:szCs w:val="18"/>
                <w:shd w:val="clear" w:color="auto" w:fill="auto"/>
                <w:lang w:val="zh-CN"/>
              </w:rPr>
              <w:t>四通</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rPr>
            </w:pPr>
            <w:r>
              <w:rPr>
                <w:rFonts w:hint="eastAsia" w:ascii="仿宋" w:hAnsi="仿宋" w:eastAsia="仿宋" w:cs="仿宋"/>
                <w:color w:val="000000"/>
                <w:sz w:val="18"/>
                <w:szCs w:val="18"/>
                <w:shd w:val="clear" w:color="auto" w:fill="auto"/>
                <w:lang w:val="zh-CN"/>
              </w:rPr>
              <w:t>51092103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四通</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51082103</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Fonts w:ascii="仿宋" w:hAnsi="仿宋" w:eastAsia="仿宋" w:cs="仿宋"/>
                <w:sz w:val="18"/>
                <w:szCs w:val="18"/>
              </w:rPr>
            </w:pPr>
            <w:r>
              <w:rPr>
                <w:rFonts w:hint="eastAsia" w:ascii="仿宋" w:hAnsi="仿宋" w:eastAsia="仿宋" w:cs="仿宋"/>
                <w:color w:val="000000"/>
                <w:sz w:val="18"/>
                <w:szCs w:val="18"/>
                <w:shd w:val="clear" w:color="auto" w:fill="auto"/>
                <w:lang w:val="zh-CN"/>
              </w:rPr>
              <w:t>变径</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rPr>
            </w:pPr>
            <w:r>
              <w:rPr>
                <w:rFonts w:hint="eastAsia" w:ascii="仿宋" w:hAnsi="仿宋" w:eastAsia="仿宋" w:cs="仿宋"/>
                <w:color w:val="000000"/>
                <w:sz w:val="18"/>
                <w:szCs w:val="18"/>
                <w:shd w:val="clear" w:color="auto" w:fill="auto"/>
                <w:lang w:val="zh-CN"/>
              </w:rPr>
              <w:t>51092104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变径</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51082104</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Fonts w:ascii="仿宋" w:hAnsi="仿宋" w:eastAsia="仿宋" w:cs="仿宋"/>
                <w:sz w:val="18"/>
                <w:szCs w:val="18"/>
              </w:rPr>
            </w:pPr>
            <w:r>
              <w:rPr>
                <w:rFonts w:hint="eastAsia" w:ascii="仿宋" w:hAnsi="仿宋" w:eastAsia="仿宋" w:cs="仿宋"/>
                <w:color w:val="000000"/>
                <w:sz w:val="18"/>
                <w:szCs w:val="18"/>
                <w:shd w:val="clear" w:color="auto" w:fill="auto"/>
                <w:lang w:val="zh-CN"/>
              </w:rPr>
              <w:t>预留口</w:t>
            </w:r>
          </w:p>
        </w:tc>
        <w:tc>
          <w:tcPr>
            <w:tcW w:w="1383" w:type="dxa"/>
            <w:shd w:val="clear" w:color="auto" w:fill="FFFFFF"/>
            <w:vAlign w:val="center"/>
          </w:tcPr>
          <w:p>
            <w:pPr>
              <w:pStyle w:val="99"/>
              <w:spacing w:before="0" w:line="240" w:lineRule="auto"/>
              <w:ind w:firstLine="0"/>
              <w:jc w:val="center"/>
              <w:rPr>
                <w:rFonts w:ascii="仿宋" w:hAnsi="仿宋" w:eastAsia="仿宋" w:cs="仿宋"/>
                <w:sz w:val="18"/>
                <w:szCs w:val="18"/>
              </w:rPr>
            </w:pPr>
            <w:r>
              <w:rPr>
                <w:rFonts w:hint="eastAsia" w:ascii="仿宋" w:hAnsi="仿宋" w:eastAsia="仿宋" w:cs="仿宋"/>
                <w:color w:val="000000"/>
                <w:sz w:val="18"/>
                <w:szCs w:val="18"/>
                <w:shd w:val="clear" w:color="auto" w:fill="auto"/>
                <w:lang w:val="zh-CN"/>
              </w:rPr>
              <w:t>51092105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预留口</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51082105</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进水口</w:t>
            </w:r>
          </w:p>
        </w:tc>
        <w:tc>
          <w:tcPr>
            <w:tcW w:w="1383"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51092106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进水口</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51082106</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出水口</w:t>
            </w:r>
          </w:p>
        </w:tc>
        <w:tc>
          <w:tcPr>
            <w:tcW w:w="1383"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51092107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出水口</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51082107</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测流点</w:t>
            </w:r>
          </w:p>
        </w:tc>
        <w:tc>
          <w:tcPr>
            <w:tcW w:w="1383"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51092108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测流点</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51082108</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测压点</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51092109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水质监测点</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51082110</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水质监测点</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51092110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伸缩器</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51082111</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伸缩器</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51092111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出地</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51082112</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停止塞</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51092112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51082113</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变材</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51092113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窨井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51082201</w:t>
            </w:r>
          </w:p>
        </w:tc>
        <w:tc>
          <w:tcPr>
            <w:tcW w:w="1244" w:type="dxa"/>
            <w:vMerge w:val="continue"/>
            <w:shd w:val="clear" w:color="auto" w:fill="auto"/>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转折点</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51092114</w:t>
            </w:r>
          </w:p>
        </w:tc>
      </w:tr>
    </w:tbl>
    <w:p>
      <w:pPr>
        <w:pStyle w:val="2"/>
        <w:ind w:right="420"/>
        <w:jc w:val="center"/>
      </w:pPr>
    </w:p>
    <w:tbl>
      <w:tblPr>
        <w:tblStyle w:val="26"/>
        <w:tblW w:w="8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1512"/>
        <w:gridCol w:w="1381"/>
        <w:gridCol w:w="1244"/>
        <w:gridCol w:w="1518"/>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jc w:val="center"/>
        </w:trPr>
        <w:tc>
          <w:tcPr>
            <w:tcW w:w="1250"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管线小类</w:t>
            </w:r>
          </w:p>
        </w:tc>
        <w:tc>
          <w:tcPr>
            <w:tcW w:w="1512"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要素名称</w:t>
            </w:r>
          </w:p>
        </w:tc>
        <w:tc>
          <w:tcPr>
            <w:tcW w:w="1381" w:type="dxa"/>
            <w:vAlign w:val="center"/>
          </w:tcPr>
          <w:p>
            <w:pPr>
              <w:tabs>
                <w:tab w:val="left" w:pos="794"/>
                <w:tab w:val="clear" w:pos="0"/>
              </w:tabs>
              <w:jc w:val="center"/>
              <w:rPr>
                <w:rFonts w:ascii="仿宋" w:hAnsi="仿宋" w:eastAsia="仿宋" w:cs="仿宋"/>
              </w:rPr>
            </w:pPr>
            <w:r>
              <w:rPr>
                <w:rFonts w:hint="eastAsia" w:ascii="仿宋" w:hAnsi="仿宋" w:eastAsia="仿宋" w:cs="仿宋"/>
                <w:b/>
                <w:szCs w:val="21"/>
              </w:rPr>
              <w:t>代码</w:t>
            </w:r>
          </w:p>
        </w:tc>
        <w:tc>
          <w:tcPr>
            <w:tcW w:w="1244" w:type="dxa"/>
            <w:vAlign w:val="center"/>
          </w:tcPr>
          <w:p>
            <w:pPr>
              <w:widowControl/>
              <w:jc w:val="center"/>
              <w:rPr>
                <w:rFonts w:ascii="仿宋" w:hAnsi="仿宋" w:eastAsia="仿宋" w:cs="仿宋"/>
              </w:rPr>
            </w:pPr>
            <w:r>
              <w:rPr>
                <w:rFonts w:hint="eastAsia" w:ascii="仿宋" w:hAnsi="仿宋" w:eastAsia="仿宋" w:cs="仿宋"/>
                <w:b/>
                <w:szCs w:val="21"/>
              </w:rPr>
              <w:t>管线小类</w:t>
            </w:r>
          </w:p>
        </w:tc>
        <w:tc>
          <w:tcPr>
            <w:tcW w:w="1518" w:type="dxa"/>
            <w:vAlign w:val="center"/>
          </w:tcPr>
          <w:p>
            <w:pPr>
              <w:widowControl/>
              <w:jc w:val="center"/>
              <w:rPr>
                <w:rFonts w:ascii="仿宋" w:hAnsi="仿宋" w:eastAsia="仿宋" w:cs="仿宋"/>
              </w:rPr>
            </w:pPr>
            <w:r>
              <w:rPr>
                <w:rFonts w:hint="eastAsia" w:ascii="仿宋" w:hAnsi="仿宋" w:eastAsia="仿宋" w:cs="仿宋"/>
                <w:b/>
                <w:szCs w:val="21"/>
              </w:rPr>
              <w:t>要素名称</w:t>
            </w:r>
          </w:p>
        </w:tc>
        <w:tc>
          <w:tcPr>
            <w:tcW w:w="1383" w:type="dxa"/>
            <w:vAlign w:val="center"/>
          </w:tcPr>
          <w:p>
            <w:pPr>
              <w:widowControl/>
              <w:jc w:val="center"/>
              <w:rPr>
                <w:rFonts w:ascii="仿宋" w:hAnsi="仿宋" w:eastAsia="仿宋" w:cs="仿宋"/>
              </w:rPr>
            </w:pPr>
            <w:r>
              <w:rPr>
                <w:rFonts w:hint="eastAsia" w:ascii="仿宋" w:hAnsi="仿宋" w:eastAsia="仿宋" w:cs="仿宋"/>
                <w:b/>
                <w:szCs w:val="21"/>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restart"/>
            <w:shd w:val="clear" w:color="auto" w:fill="auto"/>
            <w:vAlign w:val="center"/>
          </w:tcPr>
          <w:p>
            <w:pPr>
              <w:widowControl/>
              <w:jc w:val="center"/>
              <w:rPr>
                <w:rFonts w:ascii="仿宋" w:hAnsi="仿宋" w:eastAsia="仿宋" w:cs="仿宋"/>
                <w:b/>
                <w:kern w:val="0"/>
                <w:sz w:val="18"/>
                <w:szCs w:val="18"/>
              </w:rPr>
            </w:pPr>
            <w:r>
              <w:rPr>
                <w:rFonts w:hint="eastAsia" w:ascii="仿宋" w:hAnsi="仿宋" w:eastAsia="仿宋" w:cs="仿宋"/>
                <w:b/>
                <w:kern w:val="0"/>
                <w:sz w:val="18"/>
                <w:szCs w:val="18"/>
              </w:rPr>
              <w:t>长途</w:t>
            </w:r>
          </w:p>
          <w:p>
            <w:pPr>
              <w:widowControl/>
              <w:jc w:val="center"/>
              <w:rPr>
                <w:rFonts w:ascii="仿宋" w:hAnsi="仿宋" w:eastAsia="仿宋" w:cs="仿宋"/>
                <w:b/>
                <w:kern w:val="0"/>
                <w:sz w:val="18"/>
                <w:szCs w:val="18"/>
              </w:rPr>
            </w:pPr>
            <w:r>
              <w:rPr>
                <w:rFonts w:hint="eastAsia" w:ascii="仿宋" w:hAnsi="仿宋" w:eastAsia="仿宋" w:cs="仿宋"/>
                <w:b/>
                <w:kern w:val="0"/>
                <w:sz w:val="18"/>
                <w:szCs w:val="18"/>
              </w:rPr>
              <w:t>输水管线</w:t>
            </w:r>
          </w:p>
          <w:p>
            <w:pPr>
              <w:jc w:val="center"/>
              <w:rPr>
                <w:rFonts w:ascii="仿宋" w:hAnsi="仿宋" w:eastAsia="仿宋" w:cs="仿宋"/>
              </w:rPr>
            </w:pPr>
          </w:p>
        </w:tc>
        <w:tc>
          <w:tcPr>
            <w:tcW w:w="1512" w:type="dxa"/>
            <w:shd w:val="clear" w:color="auto" w:fill="FFFFFF"/>
            <w:vAlign w:val="bottom"/>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出地</w:t>
            </w:r>
          </w:p>
        </w:tc>
        <w:tc>
          <w:tcPr>
            <w:tcW w:w="1381" w:type="dxa"/>
            <w:shd w:val="clear" w:color="auto" w:fill="FFFFFF"/>
            <w:vAlign w:val="bottom"/>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51092115</w:t>
            </w:r>
          </w:p>
        </w:tc>
        <w:tc>
          <w:tcPr>
            <w:tcW w:w="1244" w:type="dxa"/>
            <w:vMerge w:val="restart"/>
            <w:shd w:val="clear" w:color="auto" w:fill="auto"/>
            <w:vAlign w:val="center"/>
          </w:tcPr>
          <w:p>
            <w:pPr>
              <w:widowControl/>
              <w:jc w:val="center"/>
              <w:rPr>
                <w:rFonts w:ascii="仿宋" w:hAnsi="仿宋" w:eastAsia="仿宋" w:cs="仿宋"/>
                <w:b/>
                <w:kern w:val="0"/>
                <w:sz w:val="18"/>
                <w:szCs w:val="18"/>
              </w:rPr>
            </w:pPr>
            <w:r>
              <w:rPr>
                <w:rFonts w:hint="eastAsia" w:ascii="仿宋" w:hAnsi="仿宋" w:eastAsia="仿宋" w:cs="仿宋"/>
                <w:b/>
                <w:kern w:val="0"/>
                <w:sz w:val="18"/>
                <w:szCs w:val="18"/>
              </w:rPr>
              <w:t>长途</w:t>
            </w:r>
          </w:p>
          <w:p>
            <w:pPr>
              <w:widowControl/>
              <w:jc w:val="center"/>
              <w:rPr>
                <w:rFonts w:ascii="仿宋" w:hAnsi="仿宋" w:eastAsia="仿宋" w:cs="仿宋"/>
                <w:b/>
                <w:kern w:val="0"/>
                <w:sz w:val="18"/>
                <w:szCs w:val="18"/>
              </w:rPr>
            </w:pPr>
            <w:r>
              <w:rPr>
                <w:rFonts w:hint="eastAsia" w:ascii="仿宋" w:hAnsi="仿宋" w:eastAsia="仿宋" w:cs="仿宋"/>
                <w:b/>
                <w:kern w:val="0"/>
                <w:sz w:val="18"/>
                <w:szCs w:val="18"/>
              </w:rPr>
              <w:t>输水管线</w:t>
            </w:r>
          </w:p>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排气阀</w:t>
            </w:r>
          </w:p>
        </w:tc>
        <w:tc>
          <w:tcPr>
            <w:tcW w:w="1383"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51092213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盖堵</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51092116</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排污阀</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51092214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51092117</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沉淀池</w:t>
            </w:r>
          </w:p>
        </w:tc>
        <w:tc>
          <w:tcPr>
            <w:tcW w:w="1383"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51092215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窨井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51092201</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水塔</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51092216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bottom"/>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消防栓</w:t>
            </w:r>
          </w:p>
        </w:tc>
        <w:tc>
          <w:tcPr>
            <w:tcW w:w="1381" w:type="dxa"/>
            <w:shd w:val="clear" w:color="auto" w:fill="FFFFFF"/>
            <w:vAlign w:val="bottom"/>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51092202</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水池</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51092217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阀门</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51092203</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净化池</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51092218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阀门井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51092204</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泄气</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51092219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阀门孔</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51092205</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水表集</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51092220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水表</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51092206</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泵站</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51092221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水表井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51092207</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水厂出水</w:t>
            </w:r>
          </w:p>
        </w:tc>
        <w:tc>
          <w:tcPr>
            <w:tcW w:w="1383"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51092222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bottom"/>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地下消防栓</w:t>
            </w:r>
          </w:p>
        </w:tc>
        <w:tc>
          <w:tcPr>
            <w:tcW w:w="1381" w:type="dxa"/>
            <w:shd w:val="clear" w:color="auto" w:fill="FFFFFF"/>
            <w:vAlign w:val="bottom"/>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51092208</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增压站出水</w:t>
            </w:r>
          </w:p>
        </w:tc>
        <w:tc>
          <w:tcPr>
            <w:tcW w:w="1383"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51092223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消防井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51092209</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水源井</w:t>
            </w:r>
          </w:p>
        </w:tc>
        <w:tc>
          <w:tcPr>
            <w:tcW w:w="1383"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51092224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消防栓</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51092210</w:t>
            </w:r>
          </w:p>
        </w:tc>
        <w:tc>
          <w:tcPr>
            <w:tcW w:w="1244" w:type="dxa"/>
            <w:vMerge w:val="continue"/>
            <w:shd w:val="clear" w:color="auto" w:fill="auto"/>
            <w:vAlign w:val="center"/>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输水面状要素</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color w:val="000000"/>
                <w:sz w:val="18"/>
                <w:szCs w:val="18"/>
                <w:shd w:val="clear" w:color="auto" w:fill="auto"/>
                <w:lang w:val="zh-CN"/>
              </w:rPr>
              <w:t>51093000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带阀泄气</w:t>
            </w:r>
          </w:p>
        </w:tc>
        <w:tc>
          <w:tcPr>
            <w:tcW w:w="1381"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51092211</w:t>
            </w:r>
          </w:p>
        </w:tc>
        <w:tc>
          <w:tcPr>
            <w:tcW w:w="1244" w:type="dxa"/>
            <w:vMerge w:val="continue"/>
            <w:shd w:val="clear" w:color="auto" w:fill="auto"/>
          </w:tcPr>
          <w:p>
            <w:pPr>
              <w:jc w:val="center"/>
              <w:rPr>
                <w:rFonts w:ascii="仿宋" w:hAnsi="仿宋" w:eastAsia="仿宋" w:cs="仿宋"/>
              </w:rPr>
            </w:pP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1"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止回阀</w:t>
            </w:r>
          </w:p>
        </w:tc>
        <w:tc>
          <w:tcPr>
            <w:tcW w:w="1381" w:type="dxa"/>
            <w:shd w:val="clear" w:color="auto" w:fill="FFFFFF"/>
            <w:vAlign w:val="center"/>
          </w:tcPr>
          <w:p>
            <w:pPr>
              <w:pStyle w:val="99"/>
              <w:spacing w:before="0" w:line="240" w:lineRule="auto"/>
              <w:ind w:firstLine="0"/>
              <w:jc w:val="center"/>
              <w:rPr>
                <w:rFonts w:ascii="仿宋" w:hAnsi="仿宋" w:eastAsia="仿宋" w:cs="仿宋"/>
                <w:color w:val="000000"/>
                <w:sz w:val="18"/>
                <w:szCs w:val="18"/>
                <w:shd w:val="clear" w:color="auto" w:fill="auto"/>
                <w:lang w:val="zh-CN"/>
              </w:rPr>
            </w:pPr>
            <w:r>
              <w:rPr>
                <w:rFonts w:hint="eastAsia" w:ascii="仿宋" w:hAnsi="仿宋" w:eastAsia="仿宋" w:cs="仿宋"/>
                <w:color w:val="000000"/>
                <w:sz w:val="18"/>
                <w:szCs w:val="18"/>
                <w:shd w:val="clear" w:color="auto" w:fill="auto"/>
                <w:lang w:val="zh-CN"/>
              </w:rPr>
              <w:t>51092212</w:t>
            </w:r>
          </w:p>
        </w:tc>
        <w:tc>
          <w:tcPr>
            <w:tcW w:w="1244" w:type="dxa"/>
            <w:shd w:val="clear" w:color="auto" w:fill="auto"/>
          </w:tcPr>
          <w:p>
            <w:pPr>
              <w:jc w:val="center"/>
              <w:rPr>
                <w:rFonts w:ascii="仿宋" w:hAnsi="仿宋" w:eastAsia="仿宋" w:cs="仿宋"/>
                <w:b/>
                <w:kern w:val="0"/>
                <w:sz w:val="18"/>
                <w:szCs w:val="18"/>
                <w:lang w:val="zh-CN"/>
              </w:rPr>
            </w:pPr>
            <w:r>
              <w:rPr>
                <w:rFonts w:hint="eastAsia" w:ascii="仿宋" w:hAnsi="仿宋" w:eastAsia="仿宋" w:cs="仿宋"/>
                <w:b/>
                <w:kern w:val="0"/>
                <w:sz w:val="18"/>
                <w:szCs w:val="18"/>
                <w:lang w:val="zh-CN"/>
              </w:rPr>
              <w:t>其他</w:t>
            </w:r>
          </w:p>
        </w:tc>
        <w:tc>
          <w:tcPr>
            <w:tcW w:w="151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其他</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51990000</w:t>
            </w:r>
          </w:p>
        </w:tc>
      </w:tr>
    </w:tbl>
    <w:p>
      <w:pPr>
        <w:jc w:val="center"/>
        <w:rPr>
          <w:rFonts w:ascii="仿宋" w:hAnsi="仿宋" w:eastAsia="仿宋" w:cs="仿宋"/>
          <w:b/>
        </w:rPr>
      </w:pPr>
      <w:r>
        <w:rPr>
          <w:rFonts w:hint="eastAsia" w:ascii="仿宋" w:hAnsi="仿宋" w:eastAsia="仿宋" w:cs="仿宋"/>
          <w:b/>
        </w:rPr>
        <w:br w:type="page"/>
      </w:r>
      <w:r>
        <w:rPr>
          <w:rFonts w:hint="eastAsia" w:ascii="仿宋" w:hAnsi="仿宋" w:eastAsia="仿宋" w:cs="仿宋"/>
          <w:b/>
        </w:rPr>
        <w:t>附表A.</w:t>
      </w:r>
      <w:r>
        <w:rPr>
          <w:rFonts w:ascii="仿宋" w:hAnsi="仿宋" w:eastAsia="仿宋" w:cs="仿宋"/>
          <w:b/>
        </w:rPr>
        <w:t>1</w:t>
      </w:r>
      <w:r>
        <w:rPr>
          <w:rFonts w:hint="eastAsia" w:ascii="仿宋" w:hAnsi="仿宋" w:eastAsia="仿宋" w:cs="仿宋"/>
          <w:b/>
        </w:rPr>
        <w:t>2.2排水管线要素代码表</w:t>
      </w:r>
    </w:p>
    <w:tbl>
      <w:tblPr>
        <w:tblStyle w:val="26"/>
        <w:tblW w:w="8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1382"/>
        <w:gridCol w:w="1381"/>
        <w:gridCol w:w="1381"/>
        <w:gridCol w:w="1381"/>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380"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管线小类</w:t>
            </w:r>
          </w:p>
        </w:tc>
        <w:tc>
          <w:tcPr>
            <w:tcW w:w="1382"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要素名称</w:t>
            </w:r>
          </w:p>
        </w:tc>
        <w:tc>
          <w:tcPr>
            <w:tcW w:w="1381" w:type="dxa"/>
            <w:vAlign w:val="center"/>
          </w:tcPr>
          <w:p>
            <w:pPr>
              <w:tabs>
                <w:tab w:val="left" w:pos="794"/>
                <w:tab w:val="clear" w:pos="0"/>
              </w:tabs>
              <w:jc w:val="center"/>
              <w:rPr>
                <w:rFonts w:ascii="仿宋" w:hAnsi="仿宋" w:eastAsia="仿宋" w:cs="仿宋"/>
              </w:rPr>
            </w:pPr>
            <w:r>
              <w:rPr>
                <w:rFonts w:hint="eastAsia" w:ascii="仿宋" w:hAnsi="仿宋" w:eastAsia="仿宋" w:cs="仿宋"/>
                <w:b/>
                <w:szCs w:val="21"/>
              </w:rPr>
              <w:t>代码</w:t>
            </w:r>
          </w:p>
        </w:tc>
        <w:tc>
          <w:tcPr>
            <w:tcW w:w="1381" w:type="dxa"/>
            <w:vAlign w:val="center"/>
          </w:tcPr>
          <w:p>
            <w:pPr>
              <w:widowControl/>
              <w:jc w:val="center"/>
              <w:rPr>
                <w:rFonts w:ascii="仿宋" w:hAnsi="仿宋" w:eastAsia="仿宋" w:cs="仿宋"/>
              </w:rPr>
            </w:pPr>
            <w:r>
              <w:rPr>
                <w:rFonts w:hint="eastAsia" w:ascii="仿宋" w:hAnsi="仿宋" w:eastAsia="仿宋" w:cs="仿宋"/>
                <w:b/>
                <w:szCs w:val="21"/>
              </w:rPr>
              <w:t>管线小类</w:t>
            </w:r>
          </w:p>
        </w:tc>
        <w:tc>
          <w:tcPr>
            <w:tcW w:w="1381" w:type="dxa"/>
            <w:vAlign w:val="center"/>
          </w:tcPr>
          <w:p>
            <w:pPr>
              <w:widowControl/>
              <w:jc w:val="center"/>
              <w:rPr>
                <w:rFonts w:ascii="仿宋" w:hAnsi="仿宋" w:eastAsia="仿宋" w:cs="仿宋"/>
              </w:rPr>
            </w:pPr>
            <w:r>
              <w:rPr>
                <w:rFonts w:hint="eastAsia" w:ascii="仿宋" w:hAnsi="仿宋" w:eastAsia="仿宋" w:cs="仿宋"/>
                <w:b/>
                <w:szCs w:val="21"/>
              </w:rPr>
              <w:t>要素名称</w:t>
            </w:r>
          </w:p>
        </w:tc>
        <w:tc>
          <w:tcPr>
            <w:tcW w:w="1383" w:type="dxa"/>
            <w:vAlign w:val="center"/>
          </w:tcPr>
          <w:p>
            <w:pPr>
              <w:widowControl/>
              <w:jc w:val="center"/>
              <w:rPr>
                <w:rFonts w:ascii="仿宋" w:hAnsi="仿宋" w:eastAsia="仿宋" w:cs="仿宋"/>
              </w:rPr>
            </w:pPr>
            <w:r>
              <w:rPr>
                <w:rFonts w:hint="eastAsia" w:ascii="仿宋" w:hAnsi="仿宋" w:eastAsia="仿宋" w:cs="仿宋"/>
                <w:b/>
                <w:szCs w:val="21"/>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restart"/>
            <w:shd w:val="clear" w:color="auto" w:fill="auto"/>
            <w:vAlign w:val="center"/>
          </w:tcPr>
          <w:p>
            <w:pPr>
              <w:jc w:val="center"/>
              <w:rPr>
                <w:rFonts w:ascii="仿宋" w:hAnsi="仿宋" w:eastAsia="仿宋" w:cs="仿宋"/>
                <w:b/>
                <w:kern w:val="0"/>
                <w:sz w:val="18"/>
                <w:szCs w:val="18"/>
              </w:rPr>
            </w:pPr>
            <w:r>
              <w:rPr>
                <w:rFonts w:hint="eastAsia" w:ascii="仿宋" w:hAnsi="仿宋" w:eastAsia="仿宋" w:cs="仿宋"/>
                <w:b/>
                <w:kern w:val="0"/>
                <w:sz w:val="18"/>
                <w:szCs w:val="18"/>
              </w:rPr>
              <w:t>雨水</w:t>
            </w:r>
          </w:p>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雨水管段</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52011000</w:t>
            </w:r>
          </w:p>
        </w:tc>
        <w:tc>
          <w:tcPr>
            <w:tcW w:w="1381" w:type="dxa"/>
            <w:vMerge w:val="restart"/>
            <w:shd w:val="clear" w:color="auto" w:fill="auto"/>
            <w:vAlign w:val="center"/>
          </w:tcPr>
          <w:p>
            <w:pPr>
              <w:jc w:val="center"/>
              <w:rPr>
                <w:rFonts w:ascii="仿宋" w:hAnsi="仿宋" w:eastAsia="仿宋" w:cs="仿宋"/>
                <w:b/>
                <w:kern w:val="0"/>
                <w:sz w:val="18"/>
                <w:szCs w:val="18"/>
              </w:rPr>
            </w:pPr>
            <w:r>
              <w:rPr>
                <w:rFonts w:hint="eastAsia" w:ascii="仿宋" w:hAnsi="仿宋" w:eastAsia="仿宋" w:cs="仿宋"/>
                <w:b/>
                <w:kern w:val="0"/>
                <w:sz w:val="18"/>
                <w:szCs w:val="18"/>
              </w:rPr>
              <w:t>污水</w:t>
            </w:r>
          </w:p>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出地</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52022107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弯头</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52012101</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三通</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52022108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变径</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52012102</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四通</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52022109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预留口</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52012103</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52022110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进水口</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52012104</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窨井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52022201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出水口</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52012105</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检修井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52022202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出水闸</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52012106</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出气井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52022203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出地</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52012107</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污水箅</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52022204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三通</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52012108</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污水井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52022205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四通</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52012109</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溢流井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52022206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52012110</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闸门井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52022207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窨井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52012201</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跌水井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52022208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检修井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52012202</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通风井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52022209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出气井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52012203</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冲洗井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52022210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雨水箅</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52012204</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沉泥井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52022211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雨水井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52012205</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渗水井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52022212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溢流井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52012206</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水封井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52022213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闸门井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52012207</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沉淀池</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52022214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跌水井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52012208</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化粪池</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52022215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通风井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52012209</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净化池</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52022216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冲洗井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52012210</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压力调节塔</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52022217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沉泥井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52012211</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污水处理厂</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52022218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渗水井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52012212</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隔油池</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52022219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水封井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52012213</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地下井室</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52022220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沉淀池</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52012214</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泵站</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52022221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化粪池</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52012215</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污水面状要素</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52023000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净化池</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52012216</w:t>
            </w:r>
          </w:p>
        </w:tc>
        <w:tc>
          <w:tcPr>
            <w:tcW w:w="1381" w:type="dxa"/>
            <w:vMerge w:val="restart"/>
            <w:shd w:val="clear" w:color="auto" w:fill="auto"/>
            <w:vAlign w:val="center"/>
          </w:tcPr>
          <w:p>
            <w:pPr>
              <w:jc w:val="center"/>
              <w:rPr>
                <w:rFonts w:ascii="仿宋" w:hAnsi="仿宋" w:eastAsia="仿宋" w:cs="仿宋"/>
                <w:b/>
                <w:kern w:val="0"/>
                <w:sz w:val="18"/>
                <w:szCs w:val="18"/>
              </w:rPr>
            </w:pPr>
            <w:r>
              <w:rPr>
                <w:rFonts w:hint="eastAsia" w:ascii="仿宋" w:hAnsi="仿宋" w:eastAsia="仿宋" w:cs="仿宋"/>
                <w:b/>
                <w:kern w:val="0"/>
                <w:sz w:val="18"/>
                <w:szCs w:val="18"/>
              </w:rPr>
              <w:t>雨污合流</w:t>
            </w:r>
          </w:p>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合流管段</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52031000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压力调节塔</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52012217</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弯头</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52032101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地下井室</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52012218</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变径</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52032102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泵站</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52012219</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预留口</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52032103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雨水面状要素</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52013000</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进水口</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52032104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restart"/>
            <w:shd w:val="clear" w:color="auto" w:fill="auto"/>
            <w:vAlign w:val="center"/>
          </w:tcPr>
          <w:p>
            <w:pPr>
              <w:jc w:val="center"/>
              <w:rPr>
                <w:rFonts w:ascii="仿宋" w:hAnsi="仿宋" w:eastAsia="仿宋" w:cs="仿宋"/>
                <w:b/>
                <w:kern w:val="0"/>
                <w:sz w:val="18"/>
                <w:szCs w:val="18"/>
              </w:rPr>
            </w:pPr>
            <w:r>
              <w:rPr>
                <w:rFonts w:hint="eastAsia" w:ascii="仿宋" w:hAnsi="仿宋" w:eastAsia="仿宋" w:cs="仿宋"/>
                <w:b/>
                <w:kern w:val="0"/>
                <w:sz w:val="18"/>
                <w:szCs w:val="18"/>
              </w:rPr>
              <w:t>污水</w:t>
            </w:r>
          </w:p>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污水管段</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52021000</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出水口</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52032105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弯头</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52022101</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出水闸</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52032106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变径</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52022102</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出地</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52032107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预留口</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52022103</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三通</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52032108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进水口</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52022104</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四通</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52032109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出水口</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52022105</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52032110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出水闸</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52022106</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窨井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52032201</w:t>
            </w:r>
          </w:p>
        </w:tc>
      </w:tr>
    </w:tbl>
    <w:p>
      <w:pPr>
        <w:jc w:val="center"/>
      </w:pPr>
      <w:r>
        <w:br w:type="page"/>
      </w:r>
    </w:p>
    <w:tbl>
      <w:tblPr>
        <w:tblStyle w:val="26"/>
        <w:tblW w:w="8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381"/>
        <w:gridCol w:w="1381"/>
        <w:gridCol w:w="1381"/>
        <w:gridCol w:w="1381"/>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381"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管线小类</w:t>
            </w:r>
          </w:p>
        </w:tc>
        <w:tc>
          <w:tcPr>
            <w:tcW w:w="1381"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要素名称</w:t>
            </w:r>
          </w:p>
        </w:tc>
        <w:tc>
          <w:tcPr>
            <w:tcW w:w="1381" w:type="dxa"/>
            <w:vAlign w:val="center"/>
          </w:tcPr>
          <w:p>
            <w:pPr>
              <w:tabs>
                <w:tab w:val="left" w:pos="794"/>
                <w:tab w:val="clear" w:pos="0"/>
              </w:tabs>
              <w:jc w:val="center"/>
              <w:rPr>
                <w:rFonts w:ascii="仿宋" w:hAnsi="仿宋" w:eastAsia="仿宋" w:cs="仿宋"/>
              </w:rPr>
            </w:pPr>
            <w:r>
              <w:rPr>
                <w:rFonts w:hint="eastAsia" w:ascii="仿宋" w:hAnsi="仿宋" w:eastAsia="仿宋" w:cs="仿宋"/>
                <w:b/>
                <w:szCs w:val="21"/>
              </w:rPr>
              <w:t>代码</w:t>
            </w:r>
          </w:p>
        </w:tc>
        <w:tc>
          <w:tcPr>
            <w:tcW w:w="1381" w:type="dxa"/>
            <w:vAlign w:val="center"/>
          </w:tcPr>
          <w:p>
            <w:pPr>
              <w:widowControl/>
              <w:jc w:val="center"/>
              <w:rPr>
                <w:rFonts w:ascii="仿宋" w:hAnsi="仿宋" w:eastAsia="仿宋" w:cs="仿宋"/>
              </w:rPr>
            </w:pPr>
            <w:r>
              <w:rPr>
                <w:rFonts w:hint="eastAsia" w:ascii="仿宋" w:hAnsi="仿宋" w:eastAsia="仿宋" w:cs="仿宋"/>
                <w:b/>
                <w:szCs w:val="21"/>
              </w:rPr>
              <w:t>管线小类</w:t>
            </w:r>
          </w:p>
        </w:tc>
        <w:tc>
          <w:tcPr>
            <w:tcW w:w="1381" w:type="dxa"/>
            <w:vAlign w:val="center"/>
          </w:tcPr>
          <w:p>
            <w:pPr>
              <w:widowControl/>
              <w:jc w:val="center"/>
              <w:rPr>
                <w:rFonts w:ascii="仿宋" w:hAnsi="仿宋" w:eastAsia="仿宋" w:cs="仿宋"/>
              </w:rPr>
            </w:pPr>
            <w:r>
              <w:rPr>
                <w:rFonts w:hint="eastAsia" w:ascii="仿宋" w:hAnsi="仿宋" w:eastAsia="仿宋" w:cs="仿宋"/>
                <w:b/>
                <w:szCs w:val="21"/>
              </w:rPr>
              <w:t>要素名称</w:t>
            </w:r>
          </w:p>
        </w:tc>
        <w:tc>
          <w:tcPr>
            <w:tcW w:w="1383" w:type="dxa"/>
            <w:vAlign w:val="center"/>
          </w:tcPr>
          <w:p>
            <w:pPr>
              <w:widowControl/>
              <w:jc w:val="center"/>
              <w:rPr>
                <w:rFonts w:ascii="仿宋" w:hAnsi="仿宋" w:eastAsia="仿宋" w:cs="仿宋"/>
              </w:rPr>
            </w:pPr>
            <w:r>
              <w:rPr>
                <w:rFonts w:hint="eastAsia" w:ascii="仿宋" w:hAnsi="仿宋" w:eastAsia="仿宋" w:cs="仿宋"/>
                <w:b/>
                <w:szCs w:val="21"/>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restart"/>
            <w:shd w:val="clear" w:color="auto" w:fill="auto"/>
            <w:vAlign w:val="center"/>
          </w:tcPr>
          <w:p>
            <w:pPr>
              <w:jc w:val="center"/>
              <w:rPr>
                <w:rFonts w:ascii="仿宋" w:hAnsi="仿宋" w:eastAsia="仿宋" w:cs="仿宋"/>
                <w:b/>
                <w:kern w:val="0"/>
                <w:sz w:val="18"/>
                <w:szCs w:val="18"/>
              </w:rPr>
            </w:pPr>
            <w:r>
              <w:rPr>
                <w:rFonts w:hint="eastAsia" w:ascii="仿宋" w:hAnsi="仿宋" w:eastAsia="仿宋" w:cs="仿宋"/>
                <w:b/>
                <w:kern w:val="0"/>
                <w:sz w:val="18"/>
                <w:szCs w:val="18"/>
              </w:rPr>
              <w:t>雨污合流</w:t>
            </w:r>
          </w:p>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检修井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52032202</w:t>
            </w:r>
          </w:p>
        </w:tc>
        <w:tc>
          <w:tcPr>
            <w:tcW w:w="1381" w:type="dxa"/>
            <w:vMerge w:val="restart"/>
            <w:shd w:val="clear" w:color="auto" w:fill="auto"/>
            <w:vAlign w:val="center"/>
          </w:tcPr>
          <w:p>
            <w:pPr>
              <w:jc w:val="center"/>
              <w:rPr>
                <w:rFonts w:ascii="仿宋" w:hAnsi="仿宋" w:eastAsia="仿宋" w:cs="仿宋"/>
                <w:b/>
                <w:kern w:val="0"/>
                <w:sz w:val="18"/>
                <w:szCs w:val="18"/>
              </w:rPr>
            </w:pPr>
            <w:r>
              <w:rPr>
                <w:rFonts w:hint="eastAsia" w:ascii="仿宋" w:hAnsi="仿宋" w:eastAsia="仿宋" w:cs="仿宋"/>
                <w:b/>
                <w:kern w:val="0"/>
                <w:sz w:val="18"/>
                <w:szCs w:val="18"/>
              </w:rPr>
              <w:t>雨污合流</w:t>
            </w:r>
          </w:p>
          <w:p>
            <w:pPr>
              <w:jc w:val="center"/>
              <w:rPr>
                <w:rFonts w:ascii="仿宋" w:hAnsi="仿宋" w:eastAsia="仿宋" w:cs="仿宋"/>
              </w:rPr>
            </w:pPr>
          </w:p>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渗水井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52032214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出气井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52032203</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水封井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52032215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雨水井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52032204</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沉淀池</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52032216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污水井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52032205</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化粪池</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52032217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雨箅</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52032206</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净化池</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52032218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污箅</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52032207</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压力调节塔</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52032219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溢流井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52032208</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隔油池</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52032220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闸门井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52032209</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地下井室</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52032221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跌水井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52032210</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泵站</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52032222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通风井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52032211</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合流面状要素</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52033000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冲洗井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52032212</w:t>
            </w:r>
          </w:p>
        </w:tc>
        <w:tc>
          <w:tcPr>
            <w:tcW w:w="1381" w:type="dxa"/>
            <w:vMerge w:val="restart"/>
            <w:shd w:val="clear" w:color="auto" w:fill="auto"/>
            <w:vAlign w:val="center"/>
          </w:tcPr>
          <w:p>
            <w:pPr>
              <w:jc w:val="center"/>
              <w:rPr>
                <w:rFonts w:ascii="仿宋" w:hAnsi="仿宋" w:eastAsia="仿宋" w:cs="仿宋"/>
              </w:rPr>
            </w:pPr>
            <w:r>
              <w:rPr>
                <w:rFonts w:hint="eastAsia" w:ascii="仿宋" w:hAnsi="仿宋" w:eastAsia="仿宋" w:cs="仿宋"/>
                <w:b/>
                <w:kern w:val="0"/>
                <w:sz w:val="18"/>
                <w:szCs w:val="18"/>
                <w:lang w:val="zh-CN"/>
              </w:rPr>
              <w:t>其他</w:t>
            </w:r>
          </w:p>
        </w:tc>
        <w:tc>
          <w:tcPr>
            <w:tcW w:w="1381" w:type="dxa"/>
            <w:vMerge w:val="restart"/>
            <w:shd w:val="clear" w:color="auto" w:fill="FFFFFF"/>
            <w:vAlign w:val="center"/>
          </w:tcPr>
          <w:p>
            <w:pPr>
              <w:pStyle w:val="99"/>
              <w:spacing w:before="0" w:line="240" w:lineRule="auto"/>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其他其他             其他</w:t>
            </w:r>
          </w:p>
        </w:tc>
        <w:tc>
          <w:tcPr>
            <w:tcW w:w="1383" w:type="dxa"/>
            <w:vMerge w:val="restart"/>
            <w:shd w:val="clear" w:color="auto" w:fill="FFFFFF"/>
            <w:vAlign w:val="center"/>
          </w:tcPr>
          <w:p>
            <w:pPr>
              <w:pStyle w:val="99"/>
              <w:spacing w:before="0" w:line="240" w:lineRule="auto"/>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52990000              52990000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沉泥井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52032213</w:t>
            </w:r>
          </w:p>
        </w:tc>
        <w:tc>
          <w:tcPr>
            <w:tcW w:w="1381" w:type="dxa"/>
            <w:vMerge w:val="continue"/>
            <w:shd w:val="clear" w:color="auto" w:fill="auto"/>
          </w:tcPr>
          <w:p>
            <w:pPr>
              <w:jc w:val="center"/>
              <w:rPr>
                <w:rFonts w:ascii="仿宋" w:hAnsi="仿宋" w:eastAsia="仿宋" w:cs="仿宋"/>
              </w:rPr>
            </w:pPr>
          </w:p>
        </w:tc>
        <w:tc>
          <w:tcPr>
            <w:tcW w:w="1381" w:type="dxa"/>
            <w:vMerge w:val="continue"/>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p>
        </w:tc>
        <w:tc>
          <w:tcPr>
            <w:tcW w:w="1383" w:type="dxa"/>
            <w:vMerge w:val="continue"/>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p>
        </w:tc>
      </w:tr>
    </w:tbl>
    <w:p>
      <w:pPr>
        <w:spacing w:line="560" w:lineRule="exact"/>
        <w:ind w:firstLine="240" w:firstLineChars="100"/>
        <w:jc w:val="center"/>
        <w:rPr>
          <w:rFonts w:ascii="仿宋" w:hAnsi="仿宋" w:eastAsia="仿宋" w:cs="仿宋"/>
          <w:b/>
        </w:rPr>
      </w:pPr>
      <w:r>
        <w:rPr>
          <w:rFonts w:hint="eastAsia"/>
        </w:rPr>
        <w:br w:type="page"/>
      </w:r>
      <w:r>
        <w:rPr>
          <w:rFonts w:hint="eastAsia" w:ascii="仿宋" w:hAnsi="仿宋" w:eastAsia="仿宋" w:cs="仿宋"/>
          <w:b/>
        </w:rPr>
        <w:t>附表A.</w:t>
      </w:r>
      <w:r>
        <w:rPr>
          <w:rFonts w:ascii="仿宋" w:hAnsi="仿宋" w:eastAsia="仿宋" w:cs="仿宋"/>
          <w:b/>
        </w:rPr>
        <w:t>1</w:t>
      </w:r>
      <w:r>
        <w:rPr>
          <w:rFonts w:hint="eastAsia" w:ascii="仿宋" w:hAnsi="仿宋" w:eastAsia="仿宋" w:cs="仿宋"/>
          <w:b/>
        </w:rPr>
        <w:t>2.3燃气管线要素代码表</w:t>
      </w:r>
    </w:p>
    <w:tbl>
      <w:tblPr>
        <w:tblStyle w:val="26"/>
        <w:tblW w:w="8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1512"/>
        <w:gridCol w:w="1381"/>
        <w:gridCol w:w="1381"/>
        <w:gridCol w:w="1381"/>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50"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管线小类</w:t>
            </w:r>
          </w:p>
        </w:tc>
        <w:tc>
          <w:tcPr>
            <w:tcW w:w="1512"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要素名称</w:t>
            </w:r>
          </w:p>
        </w:tc>
        <w:tc>
          <w:tcPr>
            <w:tcW w:w="1381" w:type="dxa"/>
            <w:vAlign w:val="center"/>
          </w:tcPr>
          <w:p>
            <w:pPr>
              <w:tabs>
                <w:tab w:val="left" w:pos="794"/>
                <w:tab w:val="clear" w:pos="0"/>
              </w:tabs>
              <w:jc w:val="center"/>
              <w:rPr>
                <w:rFonts w:ascii="仿宋" w:hAnsi="仿宋" w:eastAsia="仿宋" w:cs="仿宋"/>
              </w:rPr>
            </w:pPr>
            <w:r>
              <w:rPr>
                <w:rFonts w:hint="eastAsia" w:ascii="仿宋" w:hAnsi="仿宋" w:eastAsia="仿宋" w:cs="仿宋"/>
                <w:b/>
                <w:szCs w:val="21"/>
              </w:rPr>
              <w:t>代码</w:t>
            </w:r>
          </w:p>
        </w:tc>
        <w:tc>
          <w:tcPr>
            <w:tcW w:w="1381" w:type="dxa"/>
            <w:vAlign w:val="center"/>
          </w:tcPr>
          <w:p>
            <w:pPr>
              <w:widowControl/>
              <w:jc w:val="center"/>
              <w:rPr>
                <w:rFonts w:ascii="仿宋" w:hAnsi="仿宋" w:eastAsia="仿宋" w:cs="仿宋"/>
              </w:rPr>
            </w:pPr>
            <w:r>
              <w:rPr>
                <w:rFonts w:hint="eastAsia" w:ascii="仿宋" w:hAnsi="仿宋" w:eastAsia="仿宋" w:cs="仿宋"/>
                <w:b/>
                <w:szCs w:val="21"/>
              </w:rPr>
              <w:t>管线小类</w:t>
            </w:r>
          </w:p>
        </w:tc>
        <w:tc>
          <w:tcPr>
            <w:tcW w:w="1381" w:type="dxa"/>
            <w:vAlign w:val="center"/>
          </w:tcPr>
          <w:p>
            <w:pPr>
              <w:widowControl/>
              <w:jc w:val="center"/>
              <w:rPr>
                <w:rFonts w:ascii="仿宋" w:hAnsi="仿宋" w:eastAsia="仿宋" w:cs="仿宋"/>
              </w:rPr>
            </w:pPr>
            <w:r>
              <w:rPr>
                <w:rFonts w:hint="eastAsia" w:ascii="仿宋" w:hAnsi="仿宋" w:eastAsia="仿宋" w:cs="仿宋"/>
                <w:b/>
                <w:szCs w:val="21"/>
              </w:rPr>
              <w:t>要素名称</w:t>
            </w:r>
          </w:p>
        </w:tc>
        <w:tc>
          <w:tcPr>
            <w:tcW w:w="1383" w:type="dxa"/>
            <w:vAlign w:val="center"/>
          </w:tcPr>
          <w:p>
            <w:pPr>
              <w:widowControl/>
              <w:jc w:val="center"/>
              <w:rPr>
                <w:rFonts w:ascii="仿宋" w:hAnsi="仿宋" w:eastAsia="仿宋" w:cs="仿宋"/>
              </w:rPr>
            </w:pPr>
            <w:r>
              <w:rPr>
                <w:rFonts w:hint="eastAsia" w:ascii="仿宋" w:hAnsi="仿宋" w:eastAsia="仿宋" w:cs="仿宋"/>
                <w:b/>
                <w:szCs w:val="21"/>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restart"/>
            <w:shd w:val="clear" w:color="auto" w:fill="auto"/>
            <w:vAlign w:val="center"/>
          </w:tcPr>
          <w:p>
            <w:pPr>
              <w:jc w:val="center"/>
              <w:rPr>
                <w:rFonts w:ascii="仿宋" w:hAnsi="仿宋" w:eastAsia="仿宋" w:cs="仿宋"/>
                <w:b/>
                <w:kern w:val="0"/>
                <w:sz w:val="18"/>
                <w:szCs w:val="18"/>
              </w:rPr>
            </w:pPr>
            <w:r>
              <w:rPr>
                <w:rFonts w:hint="eastAsia" w:ascii="仿宋" w:hAnsi="仿宋" w:eastAsia="仿宋" w:cs="仿宋"/>
                <w:b/>
                <w:kern w:val="0"/>
                <w:sz w:val="18"/>
                <w:szCs w:val="18"/>
              </w:rPr>
              <w:t>煤气</w:t>
            </w:r>
          </w:p>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高压管段</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53011001</w:t>
            </w:r>
          </w:p>
        </w:tc>
        <w:tc>
          <w:tcPr>
            <w:tcW w:w="1381" w:type="dxa"/>
            <w:vMerge w:val="restart"/>
            <w:shd w:val="clear" w:color="auto" w:fill="auto"/>
            <w:vAlign w:val="center"/>
          </w:tcPr>
          <w:p>
            <w:pPr>
              <w:jc w:val="center"/>
              <w:rPr>
                <w:rFonts w:ascii="仿宋" w:hAnsi="仿宋" w:eastAsia="仿宋" w:cs="仿宋"/>
                <w:b/>
                <w:kern w:val="0"/>
                <w:sz w:val="18"/>
                <w:szCs w:val="18"/>
              </w:rPr>
            </w:pPr>
          </w:p>
          <w:p>
            <w:pPr>
              <w:jc w:val="center"/>
              <w:rPr>
                <w:rFonts w:ascii="仿宋" w:hAnsi="仿宋" w:eastAsia="仿宋" w:cs="仿宋"/>
                <w:b/>
                <w:kern w:val="0"/>
                <w:sz w:val="18"/>
                <w:szCs w:val="18"/>
              </w:rPr>
            </w:pPr>
            <w:r>
              <w:rPr>
                <w:rFonts w:hint="eastAsia" w:ascii="仿宋" w:hAnsi="仿宋" w:eastAsia="仿宋" w:cs="仿宋"/>
                <w:b/>
                <w:kern w:val="0"/>
                <w:sz w:val="18"/>
                <w:szCs w:val="18"/>
              </w:rPr>
              <w:t>煤气</w:t>
            </w:r>
          </w:p>
          <w:p>
            <w:pPr>
              <w:jc w:val="center"/>
              <w:rPr>
                <w:rFonts w:ascii="仿宋" w:hAnsi="仿宋" w:eastAsia="仿宋" w:cs="仿宋"/>
              </w:rPr>
            </w:pPr>
          </w:p>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门站</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53012219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中压管段</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53011002</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地下井室</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53012220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低压管段</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53011003</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燃气柜</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变径</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53012101</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燃气站</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变材</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53012102</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燃气桩</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53012223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弯头</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53012103</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涨缩站</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53012224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预留口</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53012104</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煤气面状要素</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盲板</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53012105</w:t>
            </w:r>
          </w:p>
        </w:tc>
        <w:tc>
          <w:tcPr>
            <w:tcW w:w="1381" w:type="dxa"/>
            <w:vMerge w:val="restart"/>
            <w:shd w:val="clear" w:color="auto" w:fill="auto"/>
            <w:vAlign w:val="center"/>
          </w:tcPr>
          <w:p>
            <w:pPr>
              <w:jc w:val="center"/>
              <w:rPr>
                <w:rFonts w:ascii="仿宋" w:hAnsi="仿宋" w:eastAsia="仿宋" w:cs="仿宋"/>
                <w:b/>
                <w:kern w:val="0"/>
                <w:sz w:val="18"/>
                <w:szCs w:val="18"/>
              </w:rPr>
            </w:pPr>
            <w:r>
              <w:rPr>
                <w:rFonts w:hint="eastAsia" w:ascii="仿宋" w:hAnsi="仿宋" w:eastAsia="仿宋" w:cs="仿宋"/>
                <w:b/>
                <w:kern w:val="0"/>
                <w:sz w:val="18"/>
                <w:szCs w:val="18"/>
              </w:rPr>
              <w:t>液化气</w:t>
            </w:r>
          </w:p>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高压管段</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53021001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管帽</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53012106</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中压管段</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53021002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立管</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53012107</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低压管段</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53021003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登高</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53012108</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变径</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53022101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沉降箱</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53012109</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变材</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53022102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计量箱</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53012110</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弯头</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信息球</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53012111</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预留口</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阴极保护</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53012112</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盲板</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牺牲阳极</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53012113</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管帽</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三通</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53012114</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立管</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四通</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53012115</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登高</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盖堵</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53012116</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沉降箱</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53012117</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计量箱</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检测井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53012201</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信息球</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53012202</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阴极保护</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53012203</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牺牲阳极</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凝水缸</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53012204</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三通</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调压箱</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53012205</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四通</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调压器</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53012206</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盖堵</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压力表</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53012207</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阴极测试桩</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53012208</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检测井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波形管</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53012209</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调压柜</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53012210</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计量站</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53012211</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凝水缸</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vAlign w:val="center"/>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加气站</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53012212</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补偿器</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LNG应急气源站</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53012213</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调压箱</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CNG加气站</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53012214</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调压器</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补偿器</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53012215</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压力表</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调压站</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53012216</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阴极测试桩</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气源</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53012217</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波形管</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储备站</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53012218</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调压柜</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53022211</w:t>
            </w:r>
          </w:p>
        </w:tc>
      </w:tr>
    </w:tbl>
    <w:p>
      <w:pPr>
        <w:jc w:val="center"/>
      </w:pPr>
    </w:p>
    <w:p>
      <w:pPr>
        <w:pStyle w:val="2"/>
        <w:jc w:val="center"/>
      </w:pPr>
    </w:p>
    <w:tbl>
      <w:tblPr>
        <w:tblStyle w:val="26"/>
        <w:tblW w:w="8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1525"/>
        <w:gridCol w:w="1298"/>
        <w:gridCol w:w="1276"/>
        <w:gridCol w:w="1569"/>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37"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管线小类</w:t>
            </w:r>
          </w:p>
        </w:tc>
        <w:tc>
          <w:tcPr>
            <w:tcW w:w="1525"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要素名称</w:t>
            </w:r>
          </w:p>
        </w:tc>
        <w:tc>
          <w:tcPr>
            <w:tcW w:w="1298" w:type="dxa"/>
            <w:vAlign w:val="center"/>
          </w:tcPr>
          <w:p>
            <w:pPr>
              <w:tabs>
                <w:tab w:val="left" w:pos="794"/>
                <w:tab w:val="clear" w:pos="0"/>
              </w:tabs>
              <w:jc w:val="center"/>
              <w:rPr>
                <w:rFonts w:ascii="仿宋" w:hAnsi="仿宋" w:eastAsia="仿宋" w:cs="仿宋"/>
              </w:rPr>
            </w:pPr>
            <w:r>
              <w:rPr>
                <w:rFonts w:hint="eastAsia" w:ascii="仿宋" w:hAnsi="仿宋" w:eastAsia="仿宋" w:cs="仿宋"/>
                <w:b/>
                <w:szCs w:val="21"/>
              </w:rPr>
              <w:t>代码</w:t>
            </w:r>
          </w:p>
        </w:tc>
        <w:tc>
          <w:tcPr>
            <w:tcW w:w="1276" w:type="dxa"/>
            <w:vAlign w:val="center"/>
          </w:tcPr>
          <w:p>
            <w:pPr>
              <w:widowControl/>
              <w:jc w:val="center"/>
              <w:rPr>
                <w:rFonts w:ascii="仿宋" w:hAnsi="仿宋" w:eastAsia="仿宋" w:cs="仿宋"/>
              </w:rPr>
            </w:pPr>
            <w:r>
              <w:rPr>
                <w:rFonts w:hint="eastAsia" w:ascii="仿宋" w:hAnsi="仿宋" w:eastAsia="仿宋" w:cs="仿宋"/>
                <w:b/>
                <w:szCs w:val="21"/>
              </w:rPr>
              <w:t>管线小类</w:t>
            </w:r>
          </w:p>
        </w:tc>
        <w:tc>
          <w:tcPr>
            <w:tcW w:w="1569" w:type="dxa"/>
            <w:vAlign w:val="center"/>
          </w:tcPr>
          <w:p>
            <w:pPr>
              <w:widowControl/>
              <w:jc w:val="center"/>
              <w:rPr>
                <w:rFonts w:ascii="仿宋" w:hAnsi="仿宋" w:eastAsia="仿宋" w:cs="仿宋"/>
              </w:rPr>
            </w:pPr>
            <w:r>
              <w:rPr>
                <w:rFonts w:hint="eastAsia" w:ascii="仿宋" w:hAnsi="仿宋" w:eastAsia="仿宋" w:cs="仿宋"/>
                <w:b/>
                <w:szCs w:val="21"/>
              </w:rPr>
              <w:t>要素名称</w:t>
            </w:r>
          </w:p>
        </w:tc>
        <w:tc>
          <w:tcPr>
            <w:tcW w:w="1383" w:type="dxa"/>
            <w:vAlign w:val="center"/>
          </w:tcPr>
          <w:p>
            <w:pPr>
              <w:widowControl/>
              <w:jc w:val="center"/>
              <w:rPr>
                <w:rFonts w:ascii="仿宋" w:hAnsi="仿宋" w:eastAsia="仿宋" w:cs="仿宋"/>
              </w:rPr>
            </w:pPr>
            <w:r>
              <w:rPr>
                <w:rFonts w:hint="eastAsia" w:ascii="仿宋" w:hAnsi="仿宋" w:eastAsia="仿宋" w:cs="仿宋"/>
                <w:b/>
                <w:szCs w:val="21"/>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restart"/>
            <w:shd w:val="clear" w:color="auto" w:fill="auto"/>
            <w:vAlign w:val="center"/>
          </w:tcPr>
          <w:p>
            <w:pPr>
              <w:jc w:val="center"/>
              <w:rPr>
                <w:rFonts w:ascii="仿宋" w:hAnsi="仿宋" w:eastAsia="仿宋" w:cs="仿宋"/>
                <w:b/>
                <w:kern w:val="0"/>
                <w:sz w:val="18"/>
                <w:szCs w:val="18"/>
              </w:rPr>
            </w:pPr>
            <w:r>
              <w:rPr>
                <w:rFonts w:hint="eastAsia" w:ascii="仿宋" w:hAnsi="仿宋" w:eastAsia="仿宋" w:cs="仿宋"/>
                <w:b/>
                <w:kern w:val="0"/>
                <w:sz w:val="18"/>
                <w:szCs w:val="18"/>
              </w:rPr>
              <w:t>液化气</w:t>
            </w:r>
          </w:p>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计量站</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53022212</w:t>
            </w:r>
          </w:p>
        </w:tc>
        <w:tc>
          <w:tcPr>
            <w:tcW w:w="1276" w:type="dxa"/>
            <w:vMerge w:val="restart"/>
            <w:shd w:val="clear" w:color="auto" w:fill="auto"/>
            <w:vAlign w:val="center"/>
          </w:tcPr>
          <w:p>
            <w:pPr>
              <w:jc w:val="center"/>
              <w:rPr>
                <w:rFonts w:ascii="仿宋" w:hAnsi="仿宋" w:eastAsia="仿宋" w:cs="仿宋"/>
                <w:b/>
                <w:kern w:val="0"/>
                <w:sz w:val="18"/>
                <w:szCs w:val="18"/>
              </w:rPr>
            </w:pPr>
            <w:r>
              <w:rPr>
                <w:rFonts w:hint="eastAsia" w:ascii="仿宋" w:hAnsi="仿宋" w:eastAsia="仿宋" w:cs="仿宋"/>
                <w:b/>
                <w:kern w:val="0"/>
                <w:sz w:val="18"/>
                <w:szCs w:val="18"/>
              </w:rPr>
              <w:t>天然气</w:t>
            </w:r>
          </w:p>
          <w:p>
            <w:pPr>
              <w:jc w:val="center"/>
              <w:rPr>
                <w:rFonts w:ascii="仿宋" w:hAnsi="仿宋" w:eastAsia="仿宋" w:cs="仿宋"/>
              </w:rPr>
            </w:pPr>
          </w:p>
          <w:p>
            <w:pPr>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绝缘接头</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53032121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加气站</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53022213</w:t>
            </w:r>
          </w:p>
        </w:tc>
        <w:tc>
          <w:tcPr>
            <w:tcW w:w="1276" w:type="dxa"/>
            <w:vMerge w:val="continue"/>
            <w:shd w:val="clear" w:color="auto" w:fill="auto"/>
          </w:tcPr>
          <w:p>
            <w:pPr>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接头</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53032122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LNG应急气源站</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53022214</w:t>
            </w:r>
          </w:p>
        </w:tc>
        <w:tc>
          <w:tcPr>
            <w:tcW w:w="1276" w:type="dxa"/>
            <w:vMerge w:val="continue"/>
            <w:shd w:val="clear" w:color="auto" w:fill="auto"/>
          </w:tcPr>
          <w:p>
            <w:pPr>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盖堵</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53032123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CNG加气站</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53022215</w:t>
            </w:r>
          </w:p>
        </w:tc>
        <w:tc>
          <w:tcPr>
            <w:tcW w:w="1276" w:type="dxa"/>
            <w:vMerge w:val="continue"/>
            <w:shd w:val="clear" w:color="auto" w:fill="auto"/>
          </w:tcPr>
          <w:p>
            <w:pPr>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53032124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调压站</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53022216</w:t>
            </w:r>
          </w:p>
        </w:tc>
        <w:tc>
          <w:tcPr>
            <w:tcW w:w="1276" w:type="dxa"/>
            <w:vMerge w:val="continue"/>
            <w:shd w:val="clear" w:color="auto" w:fill="auto"/>
          </w:tcPr>
          <w:p>
            <w:pPr>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检测井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53032201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气源</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53022217</w:t>
            </w:r>
          </w:p>
        </w:tc>
        <w:tc>
          <w:tcPr>
            <w:tcW w:w="1276" w:type="dxa"/>
            <w:vMerge w:val="continue"/>
            <w:shd w:val="clear" w:color="auto" w:fill="auto"/>
          </w:tcPr>
          <w:p>
            <w:pPr>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53032202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储备站</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53022218</w:t>
            </w:r>
          </w:p>
        </w:tc>
        <w:tc>
          <w:tcPr>
            <w:tcW w:w="1276" w:type="dxa"/>
            <w:vMerge w:val="continue"/>
            <w:shd w:val="clear" w:color="auto" w:fill="auto"/>
          </w:tcPr>
          <w:p>
            <w:pPr>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53032203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门站</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53022219</w:t>
            </w:r>
          </w:p>
        </w:tc>
        <w:tc>
          <w:tcPr>
            <w:tcW w:w="1276" w:type="dxa"/>
            <w:vMerge w:val="continue"/>
            <w:shd w:val="clear" w:color="auto" w:fill="auto"/>
          </w:tcPr>
          <w:p>
            <w:pPr>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凝水缸</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53032204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地下井室</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53022220</w:t>
            </w:r>
          </w:p>
        </w:tc>
        <w:tc>
          <w:tcPr>
            <w:tcW w:w="1276" w:type="dxa"/>
            <w:vMerge w:val="continue"/>
            <w:shd w:val="clear" w:color="auto" w:fill="auto"/>
          </w:tcPr>
          <w:p>
            <w:pPr>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调压箱</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53032205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燃气柜</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53022221</w:t>
            </w:r>
          </w:p>
        </w:tc>
        <w:tc>
          <w:tcPr>
            <w:tcW w:w="1276" w:type="dxa"/>
            <w:vMerge w:val="continue"/>
            <w:shd w:val="clear" w:color="auto" w:fill="auto"/>
          </w:tcPr>
          <w:p>
            <w:pPr>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调压器</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53032206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燃气站</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53022222</w:t>
            </w:r>
          </w:p>
        </w:tc>
        <w:tc>
          <w:tcPr>
            <w:tcW w:w="1276" w:type="dxa"/>
            <w:vMerge w:val="continue"/>
            <w:shd w:val="clear" w:color="auto" w:fill="auto"/>
          </w:tcPr>
          <w:p>
            <w:pPr>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高压调压器</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53032207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燃气粧</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53022223</w:t>
            </w:r>
          </w:p>
        </w:tc>
        <w:tc>
          <w:tcPr>
            <w:tcW w:w="1276" w:type="dxa"/>
            <w:vMerge w:val="continue"/>
            <w:shd w:val="clear" w:color="auto" w:fill="auto"/>
          </w:tcPr>
          <w:p>
            <w:pPr>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中压调压器</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53032208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涨缩站</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53022224</w:t>
            </w:r>
          </w:p>
        </w:tc>
        <w:tc>
          <w:tcPr>
            <w:tcW w:w="1276" w:type="dxa"/>
            <w:vMerge w:val="continue"/>
            <w:shd w:val="clear" w:color="auto" w:fill="auto"/>
          </w:tcPr>
          <w:p>
            <w:pPr>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压力表</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53032209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液化气面状要素</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53023000</w:t>
            </w:r>
          </w:p>
        </w:tc>
        <w:tc>
          <w:tcPr>
            <w:tcW w:w="1276" w:type="dxa"/>
            <w:vMerge w:val="continue"/>
            <w:shd w:val="clear" w:color="auto" w:fill="auto"/>
          </w:tcPr>
          <w:p>
            <w:pPr>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阴极测试桩</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53032210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restart"/>
            <w:shd w:val="clear" w:color="auto" w:fill="auto"/>
            <w:vAlign w:val="center"/>
          </w:tcPr>
          <w:p>
            <w:pPr>
              <w:jc w:val="center"/>
              <w:rPr>
                <w:rFonts w:ascii="仿宋" w:hAnsi="仿宋" w:eastAsia="仿宋" w:cs="仿宋"/>
                <w:b/>
                <w:kern w:val="0"/>
                <w:sz w:val="18"/>
                <w:szCs w:val="18"/>
              </w:rPr>
            </w:pPr>
            <w:r>
              <w:rPr>
                <w:rFonts w:hint="eastAsia" w:ascii="仿宋" w:hAnsi="仿宋" w:eastAsia="仿宋" w:cs="仿宋"/>
                <w:b/>
                <w:kern w:val="0"/>
                <w:sz w:val="18"/>
                <w:szCs w:val="18"/>
              </w:rPr>
              <w:t>天然气</w:t>
            </w:r>
          </w:p>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高压管段</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53031001</w:t>
            </w:r>
          </w:p>
        </w:tc>
        <w:tc>
          <w:tcPr>
            <w:tcW w:w="1276" w:type="dxa"/>
            <w:vMerge w:val="continue"/>
            <w:shd w:val="clear" w:color="auto" w:fill="auto"/>
          </w:tcPr>
          <w:p>
            <w:pPr>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波形管</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53032211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中压管段</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53031002</w:t>
            </w:r>
          </w:p>
        </w:tc>
        <w:tc>
          <w:tcPr>
            <w:tcW w:w="1276" w:type="dxa"/>
            <w:vMerge w:val="continue"/>
            <w:shd w:val="clear" w:color="auto" w:fill="auto"/>
          </w:tcPr>
          <w:p>
            <w:pPr>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调压柜</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53032212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低压管段</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53031003</w:t>
            </w:r>
          </w:p>
        </w:tc>
        <w:tc>
          <w:tcPr>
            <w:tcW w:w="1276" w:type="dxa"/>
            <w:vMerge w:val="continue"/>
            <w:shd w:val="clear" w:color="auto" w:fill="auto"/>
          </w:tcPr>
          <w:p>
            <w:pPr>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计量站</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53032213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管线</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53031004</w:t>
            </w:r>
          </w:p>
        </w:tc>
        <w:tc>
          <w:tcPr>
            <w:tcW w:w="1276" w:type="dxa"/>
            <w:vMerge w:val="continue"/>
            <w:shd w:val="clear" w:color="auto" w:fill="auto"/>
          </w:tcPr>
          <w:p>
            <w:pPr>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加气站</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53032214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变径</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53032101</w:t>
            </w:r>
          </w:p>
        </w:tc>
        <w:tc>
          <w:tcPr>
            <w:tcW w:w="1276" w:type="dxa"/>
            <w:vMerge w:val="continue"/>
            <w:shd w:val="clear" w:color="auto" w:fill="auto"/>
          </w:tcPr>
          <w:p>
            <w:pPr>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LNG应急气源站</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53032215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变材</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53032102</w:t>
            </w:r>
          </w:p>
        </w:tc>
        <w:tc>
          <w:tcPr>
            <w:tcW w:w="1276" w:type="dxa"/>
            <w:vMerge w:val="continue"/>
            <w:shd w:val="clear" w:color="auto" w:fill="auto"/>
          </w:tcPr>
          <w:p>
            <w:pPr>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CNG加气站</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53032216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弯头</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53032103</w:t>
            </w:r>
          </w:p>
        </w:tc>
        <w:tc>
          <w:tcPr>
            <w:tcW w:w="1276" w:type="dxa"/>
            <w:vMerge w:val="continue"/>
            <w:shd w:val="clear" w:color="auto" w:fill="auto"/>
          </w:tcPr>
          <w:p>
            <w:pPr>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调压站</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53032217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预留口</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53032104</w:t>
            </w:r>
          </w:p>
        </w:tc>
        <w:tc>
          <w:tcPr>
            <w:tcW w:w="1276" w:type="dxa"/>
            <w:vMerge w:val="continue"/>
            <w:shd w:val="clear" w:color="auto" w:fill="auto"/>
          </w:tcPr>
          <w:p>
            <w:pPr>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气源</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53032218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盲板</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53032105</w:t>
            </w:r>
          </w:p>
        </w:tc>
        <w:tc>
          <w:tcPr>
            <w:tcW w:w="1276" w:type="dxa"/>
            <w:vMerge w:val="continue"/>
            <w:shd w:val="clear" w:color="auto" w:fill="auto"/>
          </w:tcPr>
          <w:p>
            <w:pPr>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储备站</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53032219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管帽</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53032106</w:t>
            </w:r>
          </w:p>
        </w:tc>
        <w:tc>
          <w:tcPr>
            <w:tcW w:w="1276" w:type="dxa"/>
            <w:vMerge w:val="continue"/>
            <w:shd w:val="clear" w:color="auto" w:fill="auto"/>
          </w:tcPr>
          <w:p>
            <w:pPr>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门站</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53032220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立管</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53032107</w:t>
            </w:r>
          </w:p>
        </w:tc>
        <w:tc>
          <w:tcPr>
            <w:tcW w:w="1276" w:type="dxa"/>
            <w:vMerge w:val="continue"/>
            <w:shd w:val="clear" w:color="auto" w:fill="auto"/>
          </w:tcPr>
          <w:p>
            <w:pPr>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地下井室</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53032221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登局</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53032108</w:t>
            </w:r>
          </w:p>
        </w:tc>
        <w:tc>
          <w:tcPr>
            <w:tcW w:w="1276" w:type="dxa"/>
            <w:vMerge w:val="continue"/>
            <w:shd w:val="clear" w:color="auto" w:fill="auto"/>
          </w:tcPr>
          <w:p>
            <w:pPr>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水井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53032222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沉降箱</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53032109</w:t>
            </w:r>
          </w:p>
        </w:tc>
        <w:tc>
          <w:tcPr>
            <w:tcW w:w="1276" w:type="dxa"/>
            <w:vMerge w:val="continue"/>
            <w:shd w:val="clear" w:color="auto" w:fill="auto"/>
          </w:tcPr>
          <w:p>
            <w:pPr>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燃气柜</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53032223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计量箱</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53032110</w:t>
            </w:r>
          </w:p>
        </w:tc>
        <w:tc>
          <w:tcPr>
            <w:tcW w:w="1276" w:type="dxa"/>
            <w:vMerge w:val="continue"/>
            <w:shd w:val="clear" w:color="auto" w:fill="auto"/>
          </w:tcPr>
          <w:p>
            <w:pPr>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燃气站</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53032224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信息球</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53032111</w:t>
            </w:r>
          </w:p>
        </w:tc>
        <w:tc>
          <w:tcPr>
            <w:tcW w:w="1276" w:type="dxa"/>
            <w:vMerge w:val="continue"/>
            <w:shd w:val="clear" w:color="auto" w:fill="auto"/>
          </w:tcPr>
          <w:p>
            <w:pPr>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燃气粧</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53032225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阴极保护</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53032112</w:t>
            </w:r>
          </w:p>
        </w:tc>
        <w:tc>
          <w:tcPr>
            <w:tcW w:w="1276" w:type="dxa"/>
            <w:vMerge w:val="continue"/>
            <w:shd w:val="clear" w:color="auto" w:fill="auto"/>
          </w:tcPr>
          <w:p>
            <w:pPr>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涨缩站</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53032226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牺牲阳极</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53032113</w:t>
            </w:r>
          </w:p>
        </w:tc>
        <w:tc>
          <w:tcPr>
            <w:tcW w:w="1276" w:type="dxa"/>
            <w:vMerge w:val="continue"/>
            <w:shd w:val="clear" w:color="auto" w:fill="auto"/>
          </w:tcPr>
          <w:p>
            <w:pPr>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补偿器</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53032227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vAlign w:val="center"/>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DYT三通</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53032114</w:t>
            </w:r>
          </w:p>
        </w:tc>
        <w:tc>
          <w:tcPr>
            <w:tcW w:w="1276" w:type="dxa"/>
            <w:vMerge w:val="continue"/>
            <w:shd w:val="clear" w:color="auto" w:fill="auto"/>
          </w:tcPr>
          <w:p>
            <w:pPr>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天然气面状要素</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53033000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三通</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53032115</w:t>
            </w:r>
          </w:p>
        </w:tc>
        <w:tc>
          <w:tcPr>
            <w:tcW w:w="1276" w:type="dxa"/>
            <w:vMerge w:val="restart"/>
            <w:shd w:val="clear" w:color="auto" w:fill="auto"/>
            <w:vAlign w:val="center"/>
          </w:tcPr>
          <w:p>
            <w:pPr>
              <w:jc w:val="center"/>
              <w:rPr>
                <w:rFonts w:ascii="仿宋" w:hAnsi="仿宋" w:eastAsia="仿宋" w:cs="仿宋"/>
                <w:b/>
                <w:kern w:val="0"/>
                <w:sz w:val="18"/>
                <w:szCs w:val="18"/>
              </w:rPr>
            </w:pPr>
            <w:r>
              <w:rPr>
                <w:rFonts w:hint="eastAsia" w:ascii="仿宋" w:hAnsi="仿宋" w:eastAsia="仿宋" w:cs="仿宋"/>
                <w:b/>
                <w:kern w:val="0"/>
                <w:sz w:val="18"/>
                <w:szCs w:val="18"/>
              </w:rPr>
              <w:t>长途输气</w:t>
            </w:r>
          </w:p>
          <w:p>
            <w:pPr>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高压管段</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53041000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四通</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53032116</w:t>
            </w:r>
          </w:p>
        </w:tc>
        <w:tc>
          <w:tcPr>
            <w:tcW w:w="1276" w:type="dxa"/>
            <w:vMerge w:val="continue"/>
            <w:shd w:val="clear" w:color="auto" w:fill="auto"/>
            <w:vAlign w:val="center"/>
          </w:tcPr>
          <w:p>
            <w:pPr>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变径</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53042101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套筒</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53032117</w:t>
            </w:r>
          </w:p>
        </w:tc>
        <w:tc>
          <w:tcPr>
            <w:tcW w:w="1276" w:type="dxa"/>
            <w:vMerge w:val="continue"/>
            <w:shd w:val="clear" w:color="auto" w:fill="auto"/>
          </w:tcPr>
          <w:p>
            <w:pPr>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变材</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sz w:val="18"/>
                <w:szCs w:val="18"/>
                <w:lang w:val="zh-CN"/>
              </w:rPr>
            </w:pPr>
            <w:r>
              <w:rPr>
                <w:rStyle w:val="100"/>
                <w:rFonts w:hint="default" w:ascii="仿宋" w:hAnsi="仿宋" w:eastAsia="仿宋" w:cs="仿宋"/>
                <w:sz w:val="18"/>
                <w:szCs w:val="18"/>
                <w:lang w:val="zh-CN"/>
              </w:rPr>
              <w:t>53042102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放散管</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53032118</w:t>
            </w:r>
          </w:p>
        </w:tc>
        <w:tc>
          <w:tcPr>
            <w:tcW w:w="1276" w:type="dxa"/>
            <w:vMerge w:val="continue"/>
            <w:shd w:val="clear" w:color="auto" w:fill="auto"/>
          </w:tcPr>
          <w:p>
            <w:pPr>
              <w:widowControl/>
              <w:jc w:val="center"/>
              <w:rPr>
                <w:rFonts w:ascii="仿宋" w:hAnsi="仿宋" w:eastAsia="仿宋" w:cs="仿宋"/>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弯头</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极性保护</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53032119</w:t>
            </w:r>
          </w:p>
        </w:tc>
        <w:tc>
          <w:tcPr>
            <w:tcW w:w="1276" w:type="dxa"/>
            <w:vMerge w:val="continue"/>
            <w:shd w:val="clear" w:color="auto" w:fill="auto"/>
          </w:tcPr>
          <w:p>
            <w:pPr>
              <w:widowControl/>
              <w:jc w:val="center"/>
              <w:rPr>
                <w:rFonts w:ascii="仿宋" w:hAnsi="仿宋" w:eastAsia="仿宋" w:cs="仿宋"/>
                <w:b/>
                <w:kern w:val="0"/>
                <w:sz w:val="18"/>
                <w:szCs w:val="18"/>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预留口</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tcPr>
          <w:p>
            <w:pPr>
              <w:jc w:val="center"/>
              <w:rPr>
                <w:rFonts w:ascii="仿宋" w:hAnsi="仿宋" w:eastAsia="仿宋" w:cs="仿宋"/>
              </w:rPr>
            </w:pPr>
          </w:p>
        </w:tc>
        <w:tc>
          <w:tcPr>
            <w:tcW w:w="152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管末</w:t>
            </w:r>
          </w:p>
        </w:tc>
        <w:tc>
          <w:tcPr>
            <w:tcW w:w="1298"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53032120</w:t>
            </w:r>
          </w:p>
        </w:tc>
        <w:tc>
          <w:tcPr>
            <w:tcW w:w="1276" w:type="dxa"/>
            <w:vMerge w:val="continue"/>
            <w:shd w:val="clear" w:color="auto" w:fill="auto"/>
          </w:tcPr>
          <w:p>
            <w:pPr>
              <w:widowControl/>
              <w:jc w:val="center"/>
              <w:rPr>
                <w:rFonts w:ascii="仿宋" w:hAnsi="仿宋" w:eastAsia="仿宋" w:cs="仿宋"/>
                <w:b/>
                <w:kern w:val="0"/>
                <w:sz w:val="18"/>
                <w:szCs w:val="18"/>
              </w:rPr>
            </w:pPr>
          </w:p>
        </w:tc>
        <w:tc>
          <w:tcPr>
            <w:tcW w:w="1569"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盲板</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53042105</w:t>
            </w:r>
          </w:p>
        </w:tc>
      </w:tr>
    </w:tbl>
    <w:p>
      <w:pPr>
        <w:jc w:val="center"/>
      </w:pPr>
    </w:p>
    <w:p>
      <w:pPr>
        <w:pStyle w:val="2"/>
        <w:jc w:val="center"/>
      </w:pPr>
    </w:p>
    <w:p>
      <w:pPr>
        <w:pStyle w:val="2"/>
        <w:jc w:val="center"/>
      </w:pPr>
    </w:p>
    <w:p>
      <w:pPr>
        <w:pStyle w:val="2"/>
        <w:jc w:val="center"/>
      </w:pPr>
    </w:p>
    <w:tbl>
      <w:tblPr>
        <w:tblStyle w:val="2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1512"/>
        <w:gridCol w:w="1381"/>
        <w:gridCol w:w="1249"/>
        <w:gridCol w:w="1884"/>
        <w:gridCol w:w="1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50"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管线小类</w:t>
            </w:r>
          </w:p>
        </w:tc>
        <w:tc>
          <w:tcPr>
            <w:tcW w:w="1512"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要素名称</w:t>
            </w:r>
          </w:p>
        </w:tc>
        <w:tc>
          <w:tcPr>
            <w:tcW w:w="1381" w:type="dxa"/>
            <w:vAlign w:val="center"/>
          </w:tcPr>
          <w:p>
            <w:pPr>
              <w:tabs>
                <w:tab w:val="left" w:pos="794"/>
                <w:tab w:val="clear" w:pos="0"/>
              </w:tabs>
              <w:jc w:val="center"/>
              <w:rPr>
                <w:rFonts w:ascii="仿宋" w:hAnsi="仿宋" w:eastAsia="仿宋" w:cs="仿宋"/>
              </w:rPr>
            </w:pPr>
            <w:r>
              <w:rPr>
                <w:rFonts w:hint="eastAsia" w:ascii="仿宋" w:hAnsi="仿宋" w:eastAsia="仿宋" w:cs="仿宋"/>
                <w:b/>
                <w:szCs w:val="21"/>
              </w:rPr>
              <w:t>代码</w:t>
            </w:r>
          </w:p>
        </w:tc>
        <w:tc>
          <w:tcPr>
            <w:tcW w:w="1249" w:type="dxa"/>
            <w:vAlign w:val="center"/>
          </w:tcPr>
          <w:p>
            <w:pPr>
              <w:widowControl/>
              <w:jc w:val="center"/>
              <w:rPr>
                <w:rFonts w:ascii="仿宋" w:hAnsi="仿宋" w:eastAsia="仿宋" w:cs="仿宋"/>
              </w:rPr>
            </w:pPr>
            <w:r>
              <w:rPr>
                <w:rFonts w:hint="eastAsia" w:ascii="仿宋" w:hAnsi="仿宋" w:eastAsia="仿宋" w:cs="仿宋"/>
                <w:b/>
                <w:szCs w:val="21"/>
              </w:rPr>
              <w:t>管线小类</w:t>
            </w:r>
          </w:p>
        </w:tc>
        <w:tc>
          <w:tcPr>
            <w:tcW w:w="1884" w:type="dxa"/>
            <w:vAlign w:val="center"/>
          </w:tcPr>
          <w:p>
            <w:pPr>
              <w:widowControl/>
              <w:jc w:val="center"/>
              <w:rPr>
                <w:rFonts w:ascii="仿宋" w:hAnsi="仿宋" w:eastAsia="仿宋" w:cs="仿宋"/>
              </w:rPr>
            </w:pPr>
            <w:r>
              <w:rPr>
                <w:rFonts w:hint="eastAsia" w:ascii="仿宋" w:hAnsi="仿宋" w:eastAsia="仿宋" w:cs="仿宋"/>
                <w:b/>
                <w:szCs w:val="21"/>
              </w:rPr>
              <w:t>要素名称</w:t>
            </w:r>
          </w:p>
        </w:tc>
        <w:tc>
          <w:tcPr>
            <w:tcW w:w="1377" w:type="dxa"/>
            <w:vAlign w:val="center"/>
          </w:tcPr>
          <w:p>
            <w:pPr>
              <w:widowControl/>
              <w:jc w:val="center"/>
              <w:rPr>
                <w:rFonts w:ascii="仿宋" w:hAnsi="仿宋" w:eastAsia="仿宋" w:cs="仿宋"/>
              </w:rPr>
            </w:pPr>
            <w:r>
              <w:rPr>
                <w:rFonts w:hint="eastAsia" w:ascii="仿宋" w:hAnsi="仿宋" w:eastAsia="仿宋" w:cs="仿宋"/>
                <w:b/>
                <w:szCs w:val="21"/>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restart"/>
            <w:shd w:val="clear" w:color="auto" w:fill="auto"/>
            <w:vAlign w:val="center"/>
          </w:tcPr>
          <w:p>
            <w:pPr>
              <w:jc w:val="center"/>
              <w:rPr>
                <w:rFonts w:ascii="仿宋" w:hAnsi="仿宋" w:eastAsia="仿宋" w:cs="仿宋"/>
                <w:b/>
                <w:kern w:val="0"/>
                <w:sz w:val="18"/>
                <w:szCs w:val="18"/>
              </w:rPr>
            </w:pPr>
            <w:r>
              <w:rPr>
                <w:rFonts w:hint="eastAsia" w:ascii="仿宋" w:hAnsi="仿宋" w:eastAsia="仿宋" w:cs="仿宋"/>
                <w:b/>
                <w:kern w:val="0"/>
                <w:sz w:val="18"/>
                <w:szCs w:val="18"/>
              </w:rPr>
              <w:t>长途输气</w:t>
            </w:r>
          </w:p>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立管</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53042106</w:t>
            </w:r>
          </w:p>
        </w:tc>
        <w:tc>
          <w:tcPr>
            <w:tcW w:w="1249" w:type="dxa"/>
            <w:vMerge w:val="restart"/>
            <w:shd w:val="clear" w:color="auto" w:fill="auto"/>
            <w:vAlign w:val="center"/>
          </w:tcPr>
          <w:p>
            <w:pPr>
              <w:jc w:val="center"/>
              <w:rPr>
                <w:rFonts w:ascii="仿宋" w:hAnsi="仿宋" w:eastAsia="仿宋" w:cs="仿宋"/>
                <w:b/>
                <w:kern w:val="0"/>
                <w:sz w:val="18"/>
                <w:szCs w:val="18"/>
              </w:rPr>
            </w:pPr>
            <w:r>
              <w:rPr>
                <w:rFonts w:hint="eastAsia" w:ascii="仿宋" w:hAnsi="仿宋" w:eastAsia="仿宋" w:cs="仿宋"/>
                <w:b/>
                <w:kern w:val="0"/>
                <w:sz w:val="18"/>
                <w:szCs w:val="18"/>
              </w:rPr>
              <w:t>长途输气</w:t>
            </w:r>
          </w:p>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压力表</w:t>
            </w:r>
          </w:p>
        </w:tc>
        <w:tc>
          <w:tcPr>
            <w:tcW w:w="137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登高</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53042107</w:t>
            </w:r>
          </w:p>
        </w:tc>
        <w:tc>
          <w:tcPr>
            <w:tcW w:w="1249"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阴极测试桩</w:t>
            </w:r>
          </w:p>
        </w:tc>
        <w:tc>
          <w:tcPr>
            <w:tcW w:w="137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沉降箱</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53042108</w:t>
            </w:r>
          </w:p>
        </w:tc>
        <w:tc>
          <w:tcPr>
            <w:tcW w:w="1249"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波形管</w:t>
            </w:r>
          </w:p>
        </w:tc>
        <w:tc>
          <w:tcPr>
            <w:tcW w:w="137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53042209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计量箱</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53042109</w:t>
            </w:r>
          </w:p>
        </w:tc>
        <w:tc>
          <w:tcPr>
            <w:tcW w:w="1249"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调压柜</w:t>
            </w:r>
          </w:p>
        </w:tc>
        <w:tc>
          <w:tcPr>
            <w:tcW w:w="137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信息球</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53042110</w:t>
            </w:r>
          </w:p>
        </w:tc>
        <w:tc>
          <w:tcPr>
            <w:tcW w:w="1249"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计量站</w:t>
            </w:r>
          </w:p>
        </w:tc>
        <w:tc>
          <w:tcPr>
            <w:tcW w:w="137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阴极保护</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53042111</w:t>
            </w:r>
          </w:p>
        </w:tc>
        <w:tc>
          <w:tcPr>
            <w:tcW w:w="1249"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加气站</w:t>
            </w:r>
          </w:p>
        </w:tc>
        <w:tc>
          <w:tcPr>
            <w:tcW w:w="137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牺牲阳极</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53042112</w:t>
            </w:r>
          </w:p>
        </w:tc>
        <w:tc>
          <w:tcPr>
            <w:tcW w:w="1249" w:type="dxa"/>
            <w:vMerge w:val="continue"/>
            <w:shd w:val="clear" w:color="auto" w:fill="auto"/>
            <w:vAlign w:val="center"/>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LNG应急气源站</w:t>
            </w:r>
          </w:p>
        </w:tc>
        <w:tc>
          <w:tcPr>
            <w:tcW w:w="137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三通</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53042113</w:t>
            </w:r>
          </w:p>
        </w:tc>
        <w:tc>
          <w:tcPr>
            <w:tcW w:w="1249"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CNG加气站</w:t>
            </w:r>
          </w:p>
        </w:tc>
        <w:tc>
          <w:tcPr>
            <w:tcW w:w="137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四通</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53042114</w:t>
            </w:r>
          </w:p>
        </w:tc>
        <w:tc>
          <w:tcPr>
            <w:tcW w:w="1249"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补偿器</w:t>
            </w:r>
          </w:p>
        </w:tc>
        <w:tc>
          <w:tcPr>
            <w:tcW w:w="137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盖堵</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53042115</w:t>
            </w:r>
          </w:p>
        </w:tc>
        <w:tc>
          <w:tcPr>
            <w:tcW w:w="1249"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调压站</w:t>
            </w:r>
          </w:p>
        </w:tc>
        <w:tc>
          <w:tcPr>
            <w:tcW w:w="137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53042116</w:t>
            </w:r>
          </w:p>
        </w:tc>
        <w:tc>
          <w:tcPr>
            <w:tcW w:w="1249"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气源</w:t>
            </w:r>
          </w:p>
        </w:tc>
        <w:tc>
          <w:tcPr>
            <w:tcW w:w="137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53042217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检测井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53042201</w:t>
            </w:r>
          </w:p>
        </w:tc>
        <w:tc>
          <w:tcPr>
            <w:tcW w:w="1249"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储备站</w:t>
            </w:r>
          </w:p>
        </w:tc>
        <w:tc>
          <w:tcPr>
            <w:tcW w:w="137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53042218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53042202</w:t>
            </w:r>
          </w:p>
        </w:tc>
        <w:tc>
          <w:tcPr>
            <w:tcW w:w="1249"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门站</w:t>
            </w:r>
          </w:p>
        </w:tc>
        <w:tc>
          <w:tcPr>
            <w:tcW w:w="137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53042219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53042203</w:t>
            </w:r>
          </w:p>
        </w:tc>
        <w:tc>
          <w:tcPr>
            <w:tcW w:w="1249"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地下井室</w:t>
            </w:r>
          </w:p>
        </w:tc>
        <w:tc>
          <w:tcPr>
            <w:tcW w:w="137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53042220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凝水缸</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53042204</w:t>
            </w:r>
          </w:p>
        </w:tc>
        <w:tc>
          <w:tcPr>
            <w:tcW w:w="1249"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燃气桩</w:t>
            </w:r>
          </w:p>
        </w:tc>
        <w:tc>
          <w:tcPr>
            <w:tcW w:w="137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53042223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调压箱</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53042205</w:t>
            </w:r>
          </w:p>
        </w:tc>
        <w:tc>
          <w:tcPr>
            <w:tcW w:w="1249"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长途输气面状要素</w:t>
            </w:r>
          </w:p>
        </w:tc>
        <w:tc>
          <w:tcPr>
            <w:tcW w:w="137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tcPr>
          <w:p>
            <w:pPr>
              <w:jc w:val="center"/>
              <w:rPr>
                <w:rFonts w:ascii="仿宋" w:hAnsi="仿宋" w:eastAsia="仿宋" w:cs="仿宋"/>
              </w:rPr>
            </w:pPr>
          </w:p>
        </w:tc>
        <w:tc>
          <w:tcPr>
            <w:tcW w:w="151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调压器</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53042206</w:t>
            </w:r>
          </w:p>
        </w:tc>
        <w:tc>
          <w:tcPr>
            <w:tcW w:w="1249" w:type="dxa"/>
            <w:shd w:val="clear" w:color="auto" w:fill="auto"/>
          </w:tcPr>
          <w:p>
            <w:pPr>
              <w:jc w:val="center"/>
              <w:rPr>
                <w:rFonts w:ascii="仿宋" w:hAnsi="仿宋" w:eastAsia="仿宋" w:cs="仿宋"/>
              </w:rPr>
            </w:pPr>
            <w:r>
              <w:rPr>
                <w:rFonts w:hint="eastAsia" w:ascii="仿宋" w:hAnsi="仿宋" w:eastAsia="仿宋" w:cs="仿宋"/>
                <w:b/>
                <w:kern w:val="0"/>
                <w:sz w:val="18"/>
                <w:szCs w:val="18"/>
              </w:rPr>
              <w:t>其他</w:t>
            </w:r>
          </w:p>
        </w:tc>
        <w:tc>
          <w:tcPr>
            <w:tcW w:w="188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其他</w:t>
            </w:r>
          </w:p>
        </w:tc>
        <w:tc>
          <w:tcPr>
            <w:tcW w:w="137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53990000</w:t>
            </w:r>
          </w:p>
        </w:tc>
      </w:tr>
    </w:tbl>
    <w:p>
      <w:pPr>
        <w:spacing w:line="560" w:lineRule="exact"/>
        <w:ind w:firstLine="240" w:firstLineChars="100"/>
        <w:jc w:val="center"/>
        <w:rPr>
          <w:rFonts w:ascii="仿宋" w:hAnsi="仿宋" w:eastAsia="仿宋" w:cs="仿宋"/>
          <w:b/>
        </w:rPr>
      </w:pPr>
      <w:r>
        <w:rPr>
          <w:rFonts w:hint="eastAsia"/>
        </w:rPr>
        <w:br w:type="page"/>
      </w:r>
      <w:r>
        <w:rPr>
          <w:rFonts w:hint="eastAsia" w:ascii="仿宋" w:hAnsi="仿宋" w:eastAsia="仿宋" w:cs="仿宋"/>
          <w:b/>
        </w:rPr>
        <w:t>附表A.</w:t>
      </w:r>
      <w:r>
        <w:rPr>
          <w:rFonts w:ascii="仿宋" w:hAnsi="仿宋" w:eastAsia="仿宋" w:cs="仿宋"/>
          <w:b/>
        </w:rPr>
        <w:t>1</w:t>
      </w:r>
      <w:r>
        <w:rPr>
          <w:rFonts w:hint="eastAsia" w:ascii="仿宋" w:hAnsi="仿宋" w:eastAsia="仿宋" w:cs="仿宋"/>
          <w:b/>
        </w:rPr>
        <w:t>2.4 热力管线要素代码表</w:t>
      </w:r>
    </w:p>
    <w:tbl>
      <w:tblPr>
        <w:tblStyle w:val="26"/>
        <w:tblW w:w="8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381"/>
        <w:gridCol w:w="1381"/>
        <w:gridCol w:w="1381"/>
        <w:gridCol w:w="1381"/>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381"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管线小类</w:t>
            </w:r>
          </w:p>
        </w:tc>
        <w:tc>
          <w:tcPr>
            <w:tcW w:w="1381"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要素名称</w:t>
            </w:r>
          </w:p>
        </w:tc>
        <w:tc>
          <w:tcPr>
            <w:tcW w:w="1381" w:type="dxa"/>
            <w:vAlign w:val="center"/>
          </w:tcPr>
          <w:p>
            <w:pPr>
              <w:tabs>
                <w:tab w:val="left" w:pos="794"/>
                <w:tab w:val="clear" w:pos="0"/>
              </w:tabs>
              <w:jc w:val="center"/>
              <w:rPr>
                <w:rFonts w:ascii="仿宋" w:hAnsi="仿宋" w:eastAsia="仿宋" w:cs="仿宋"/>
              </w:rPr>
            </w:pPr>
            <w:r>
              <w:rPr>
                <w:rFonts w:hint="eastAsia" w:ascii="仿宋" w:hAnsi="仿宋" w:eastAsia="仿宋" w:cs="仿宋"/>
                <w:b/>
                <w:szCs w:val="21"/>
              </w:rPr>
              <w:t>代码</w:t>
            </w:r>
          </w:p>
        </w:tc>
        <w:tc>
          <w:tcPr>
            <w:tcW w:w="1381" w:type="dxa"/>
            <w:vAlign w:val="center"/>
          </w:tcPr>
          <w:p>
            <w:pPr>
              <w:widowControl/>
              <w:jc w:val="center"/>
              <w:rPr>
                <w:rFonts w:ascii="仿宋" w:hAnsi="仿宋" w:eastAsia="仿宋" w:cs="仿宋"/>
              </w:rPr>
            </w:pPr>
            <w:r>
              <w:rPr>
                <w:rFonts w:hint="eastAsia" w:ascii="仿宋" w:hAnsi="仿宋" w:eastAsia="仿宋" w:cs="仿宋"/>
                <w:b/>
                <w:szCs w:val="21"/>
              </w:rPr>
              <w:t>管线小类</w:t>
            </w:r>
          </w:p>
        </w:tc>
        <w:tc>
          <w:tcPr>
            <w:tcW w:w="1381" w:type="dxa"/>
            <w:vAlign w:val="center"/>
          </w:tcPr>
          <w:p>
            <w:pPr>
              <w:widowControl/>
              <w:jc w:val="center"/>
              <w:rPr>
                <w:rFonts w:ascii="仿宋" w:hAnsi="仿宋" w:eastAsia="仿宋" w:cs="仿宋"/>
              </w:rPr>
            </w:pPr>
            <w:r>
              <w:rPr>
                <w:rFonts w:hint="eastAsia" w:ascii="仿宋" w:hAnsi="仿宋" w:eastAsia="仿宋" w:cs="仿宋"/>
                <w:b/>
                <w:szCs w:val="21"/>
              </w:rPr>
              <w:t>要素名称</w:t>
            </w:r>
          </w:p>
        </w:tc>
        <w:tc>
          <w:tcPr>
            <w:tcW w:w="1383" w:type="dxa"/>
            <w:vAlign w:val="center"/>
          </w:tcPr>
          <w:p>
            <w:pPr>
              <w:widowControl/>
              <w:jc w:val="center"/>
              <w:rPr>
                <w:rFonts w:ascii="仿宋" w:hAnsi="仿宋" w:eastAsia="仿宋" w:cs="仿宋"/>
              </w:rPr>
            </w:pPr>
            <w:r>
              <w:rPr>
                <w:rFonts w:hint="eastAsia" w:ascii="仿宋" w:hAnsi="仿宋" w:eastAsia="仿宋" w:cs="仿宋"/>
                <w:b/>
                <w:szCs w:val="21"/>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restart"/>
            <w:shd w:val="clear" w:color="auto" w:fill="auto"/>
            <w:vAlign w:val="center"/>
          </w:tcPr>
          <w:p>
            <w:pPr>
              <w:widowControl/>
              <w:jc w:val="center"/>
              <w:rPr>
                <w:rFonts w:ascii="仿宋" w:hAnsi="仿宋" w:eastAsia="仿宋" w:cs="仿宋"/>
                <w:b/>
                <w:kern w:val="0"/>
                <w:sz w:val="18"/>
                <w:szCs w:val="18"/>
              </w:rPr>
            </w:pPr>
            <w:r>
              <w:rPr>
                <w:rFonts w:hint="eastAsia" w:ascii="仿宋" w:hAnsi="仿宋" w:eastAsia="仿宋" w:cs="仿宋"/>
                <w:b/>
                <w:kern w:val="0"/>
                <w:sz w:val="18"/>
                <w:szCs w:val="18"/>
              </w:rPr>
              <w:t>热水</w:t>
            </w:r>
          </w:p>
          <w:p>
            <w:pPr>
              <w:jc w:val="center"/>
              <w:rPr>
                <w:rFonts w:ascii="仿宋" w:hAnsi="仿宋" w:eastAsia="仿宋" w:cs="仿宋"/>
              </w:rPr>
            </w:pPr>
          </w:p>
          <w:p>
            <w:pPr>
              <w:jc w:val="center"/>
              <w:rPr>
                <w:rFonts w:ascii="仿宋" w:hAnsi="仿宋" w:eastAsia="仿宋" w:cs="仿宋"/>
                <w:b/>
                <w:kern w:val="0"/>
                <w:sz w:val="18"/>
                <w:szCs w:val="18"/>
              </w:rPr>
            </w:pPr>
          </w:p>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热水管段</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54011000</w:t>
            </w:r>
          </w:p>
        </w:tc>
        <w:tc>
          <w:tcPr>
            <w:tcW w:w="1381" w:type="dxa"/>
            <w:vMerge w:val="restart"/>
            <w:shd w:val="clear" w:color="auto" w:fill="auto"/>
            <w:vAlign w:val="center"/>
          </w:tcPr>
          <w:p>
            <w:pPr>
              <w:pStyle w:val="99"/>
              <w:spacing w:before="0" w:line="240" w:lineRule="auto"/>
              <w:ind w:firstLine="0"/>
              <w:jc w:val="center"/>
              <w:rPr>
                <w:rStyle w:val="100"/>
                <w:rFonts w:hint="default" w:ascii="仿宋" w:hAnsi="仿宋" w:eastAsia="仿宋" w:cs="仿宋"/>
                <w:b/>
                <w:color w:val="000000"/>
                <w:sz w:val="18"/>
                <w:szCs w:val="18"/>
                <w:lang w:val="zh-CN"/>
              </w:rPr>
            </w:pPr>
            <w:r>
              <w:rPr>
                <w:rStyle w:val="100"/>
                <w:rFonts w:hint="default" w:ascii="仿宋" w:hAnsi="仿宋" w:eastAsia="仿宋" w:cs="仿宋"/>
                <w:b/>
                <w:color w:val="000000"/>
                <w:sz w:val="18"/>
                <w:szCs w:val="18"/>
                <w:lang w:val="zh-CN"/>
              </w:rPr>
              <w:t>蒸汽</w:t>
            </w:r>
          </w:p>
          <w:p>
            <w:pPr>
              <w:pStyle w:val="99"/>
              <w:spacing w:before="0" w:line="240" w:lineRule="auto"/>
              <w:ind w:firstLine="0"/>
              <w:jc w:val="center"/>
              <w:rPr>
                <w:rStyle w:val="100"/>
                <w:rFonts w:hint="default" w:ascii="仿宋" w:hAnsi="仿宋" w:eastAsia="仿宋" w:cs="仿宋"/>
                <w:color w:val="000000"/>
                <w:sz w:val="18"/>
                <w:szCs w:val="18"/>
                <w:lang w:val="zh-CN"/>
              </w:rPr>
            </w:pPr>
          </w:p>
          <w:p>
            <w:pPr>
              <w:pStyle w:val="99"/>
              <w:spacing w:before="0" w:line="240" w:lineRule="auto"/>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其他</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弯头</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54022101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弯头</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54012101</w:t>
            </w:r>
          </w:p>
        </w:tc>
        <w:tc>
          <w:tcPr>
            <w:tcW w:w="1381" w:type="dxa"/>
            <w:vMerge w:val="continue"/>
            <w:shd w:val="clear" w:color="auto" w:fill="auto"/>
          </w:tcPr>
          <w:p>
            <w:pPr>
              <w:pStyle w:val="99"/>
              <w:spacing w:before="0" w:line="240" w:lineRule="auto"/>
              <w:jc w:val="center"/>
              <w:rPr>
                <w:rStyle w:val="100"/>
                <w:rFonts w:hint="default" w:ascii="仿宋" w:hAnsi="仿宋" w:eastAsia="仿宋" w:cs="仿宋"/>
                <w:color w:val="000000"/>
                <w:sz w:val="18"/>
                <w:szCs w:val="18"/>
                <w:lang w:val="zh-CN"/>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三通</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54022102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三通</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54012102</w:t>
            </w:r>
          </w:p>
        </w:tc>
        <w:tc>
          <w:tcPr>
            <w:tcW w:w="1381" w:type="dxa"/>
            <w:vMerge w:val="continue"/>
            <w:shd w:val="clear" w:color="auto" w:fill="auto"/>
          </w:tcPr>
          <w:p>
            <w:pPr>
              <w:pStyle w:val="99"/>
              <w:spacing w:before="0" w:line="240" w:lineRule="auto"/>
              <w:jc w:val="center"/>
              <w:rPr>
                <w:rStyle w:val="100"/>
                <w:rFonts w:hint="default" w:ascii="仿宋" w:hAnsi="仿宋" w:eastAsia="仿宋" w:cs="仿宋"/>
                <w:color w:val="000000"/>
                <w:sz w:val="18"/>
                <w:szCs w:val="18"/>
                <w:lang w:val="zh-CN"/>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四通</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54022103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四通</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54012103</w:t>
            </w:r>
          </w:p>
        </w:tc>
        <w:tc>
          <w:tcPr>
            <w:tcW w:w="1381" w:type="dxa"/>
            <w:vMerge w:val="continue"/>
            <w:shd w:val="clear" w:color="auto" w:fill="auto"/>
          </w:tcPr>
          <w:p>
            <w:pPr>
              <w:pStyle w:val="99"/>
              <w:spacing w:before="0" w:line="240" w:lineRule="auto"/>
              <w:jc w:val="center"/>
              <w:rPr>
                <w:rStyle w:val="100"/>
                <w:rFonts w:hint="default" w:ascii="仿宋" w:hAnsi="仿宋" w:eastAsia="仿宋" w:cs="仿宋"/>
                <w:color w:val="000000"/>
                <w:sz w:val="18"/>
                <w:szCs w:val="18"/>
                <w:lang w:val="zh-CN"/>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变径</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54022104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变径</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54012104</w:t>
            </w:r>
          </w:p>
        </w:tc>
        <w:tc>
          <w:tcPr>
            <w:tcW w:w="1381" w:type="dxa"/>
            <w:vMerge w:val="continue"/>
            <w:shd w:val="clear" w:color="auto" w:fill="auto"/>
          </w:tcPr>
          <w:p>
            <w:pPr>
              <w:pStyle w:val="99"/>
              <w:spacing w:before="0" w:line="240" w:lineRule="auto"/>
              <w:jc w:val="center"/>
              <w:rPr>
                <w:rStyle w:val="100"/>
                <w:rFonts w:hint="default" w:ascii="仿宋" w:hAnsi="仿宋" w:eastAsia="仿宋" w:cs="仿宋"/>
                <w:color w:val="000000"/>
                <w:sz w:val="18"/>
                <w:szCs w:val="18"/>
                <w:lang w:val="zh-CN"/>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预留口</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54022105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预留口</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54012105</w:t>
            </w:r>
          </w:p>
        </w:tc>
        <w:tc>
          <w:tcPr>
            <w:tcW w:w="1381" w:type="dxa"/>
            <w:vMerge w:val="continue"/>
            <w:shd w:val="clear" w:color="auto" w:fill="auto"/>
          </w:tcPr>
          <w:p>
            <w:pPr>
              <w:pStyle w:val="99"/>
              <w:spacing w:before="0" w:line="240" w:lineRule="auto"/>
              <w:jc w:val="center"/>
              <w:rPr>
                <w:rStyle w:val="100"/>
                <w:rFonts w:hint="default" w:ascii="仿宋" w:hAnsi="仿宋" w:eastAsia="仿宋" w:cs="仿宋"/>
                <w:color w:val="000000"/>
                <w:sz w:val="18"/>
                <w:szCs w:val="18"/>
                <w:lang w:val="zh-CN"/>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出地点</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54022106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出地点</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54012106</w:t>
            </w:r>
          </w:p>
        </w:tc>
        <w:tc>
          <w:tcPr>
            <w:tcW w:w="1381" w:type="dxa"/>
            <w:vMerge w:val="continue"/>
            <w:shd w:val="clear" w:color="auto" w:fill="auto"/>
          </w:tcPr>
          <w:p>
            <w:pPr>
              <w:pStyle w:val="99"/>
              <w:spacing w:before="0" w:line="240" w:lineRule="auto"/>
              <w:jc w:val="center"/>
              <w:rPr>
                <w:rStyle w:val="100"/>
                <w:rFonts w:hint="default" w:ascii="仿宋" w:hAnsi="仿宋" w:eastAsia="仿宋" w:cs="仿宋"/>
                <w:color w:val="000000"/>
                <w:sz w:val="18"/>
                <w:szCs w:val="18"/>
                <w:lang w:val="zh-CN"/>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盖堵</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54022107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盖堵</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54012107</w:t>
            </w:r>
          </w:p>
        </w:tc>
        <w:tc>
          <w:tcPr>
            <w:tcW w:w="1381" w:type="dxa"/>
            <w:vMerge w:val="continue"/>
            <w:shd w:val="clear" w:color="auto" w:fill="auto"/>
          </w:tcPr>
          <w:p>
            <w:pPr>
              <w:pStyle w:val="99"/>
              <w:spacing w:before="0" w:line="240" w:lineRule="auto"/>
              <w:jc w:val="center"/>
              <w:rPr>
                <w:rStyle w:val="100"/>
                <w:rFonts w:hint="default" w:ascii="仿宋" w:hAnsi="仿宋" w:eastAsia="仿宋" w:cs="仿宋"/>
                <w:color w:val="000000"/>
                <w:sz w:val="18"/>
                <w:szCs w:val="18"/>
                <w:lang w:val="zh-CN"/>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冷却塔</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54022108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冷却塔</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54012108</w:t>
            </w:r>
          </w:p>
        </w:tc>
        <w:tc>
          <w:tcPr>
            <w:tcW w:w="1381" w:type="dxa"/>
            <w:vMerge w:val="continue"/>
            <w:shd w:val="clear" w:color="auto" w:fill="auto"/>
          </w:tcPr>
          <w:p>
            <w:pPr>
              <w:pStyle w:val="99"/>
              <w:spacing w:before="0" w:line="240" w:lineRule="auto"/>
              <w:jc w:val="center"/>
              <w:rPr>
                <w:rStyle w:val="100"/>
                <w:rFonts w:hint="default" w:ascii="仿宋" w:hAnsi="仿宋" w:eastAsia="仿宋" w:cs="仿宋"/>
                <w:color w:val="000000"/>
                <w:sz w:val="18"/>
                <w:szCs w:val="18"/>
                <w:lang w:val="zh-CN"/>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54022109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54012109</w:t>
            </w:r>
          </w:p>
        </w:tc>
        <w:tc>
          <w:tcPr>
            <w:tcW w:w="1381" w:type="dxa"/>
            <w:vMerge w:val="continue"/>
            <w:shd w:val="clear" w:color="auto" w:fill="auto"/>
          </w:tcPr>
          <w:p>
            <w:pPr>
              <w:pStyle w:val="99"/>
              <w:spacing w:before="0" w:line="240" w:lineRule="auto"/>
              <w:jc w:val="center"/>
              <w:rPr>
                <w:rStyle w:val="100"/>
                <w:rFonts w:hint="default" w:ascii="仿宋" w:hAnsi="仿宋" w:eastAsia="仿宋" w:cs="仿宋"/>
                <w:color w:val="000000"/>
                <w:sz w:val="18"/>
                <w:szCs w:val="18"/>
                <w:lang w:val="zh-CN"/>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窨井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54022201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窨井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54012201</w:t>
            </w:r>
          </w:p>
        </w:tc>
        <w:tc>
          <w:tcPr>
            <w:tcW w:w="1381" w:type="dxa"/>
            <w:vMerge w:val="continue"/>
            <w:shd w:val="clear" w:color="auto" w:fill="auto"/>
          </w:tcPr>
          <w:p>
            <w:pPr>
              <w:pStyle w:val="99"/>
              <w:spacing w:before="0" w:line="240" w:lineRule="auto"/>
              <w:jc w:val="center"/>
              <w:rPr>
                <w:rStyle w:val="100"/>
                <w:rFonts w:hint="default" w:ascii="仿宋" w:hAnsi="仿宋" w:eastAsia="仿宋" w:cs="仿宋"/>
                <w:color w:val="000000"/>
                <w:sz w:val="18"/>
                <w:szCs w:val="18"/>
                <w:lang w:val="zh-CN"/>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54022202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54012202</w:t>
            </w:r>
          </w:p>
        </w:tc>
        <w:tc>
          <w:tcPr>
            <w:tcW w:w="1381" w:type="dxa"/>
            <w:vMerge w:val="continue"/>
            <w:shd w:val="clear" w:color="auto" w:fill="auto"/>
          </w:tcPr>
          <w:p>
            <w:pPr>
              <w:pStyle w:val="99"/>
              <w:spacing w:before="0" w:line="240" w:lineRule="auto"/>
              <w:jc w:val="center"/>
              <w:rPr>
                <w:rStyle w:val="100"/>
                <w:rFonts w:hint="default" w:ascii="仿宋" w:hAnsi="仿宋" w:eastAsia="仿宋" w:cs="仿宋"/>
                <w:color w:val="000000"/>
                <w:sz w:val="18"/>
                <w:szCs w:val="18"/>
                <w:lang w:val="zh-CN"/>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54022203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54012203</w:t>
            </w:r>
          </w:p>
        </w:tc>
        <w:tc>
          <w:tcPr>
            <w:tcW w:w="1381" w:type="dxa"/>
            <w:vMerge w:val="continue"/>
            <w:shd w:val="clear" w:color="auto" w:fill="auto"/>
          </w:tcPr>
          <w:p>
            <w:pPr>
              <w:pStyle w:val="99"/>
              <w:spacing w:before="0" w:line="240" w:lineRule="auto"/>
              <w:jc w:val="center"/>
              <w:rPr>
                <w:rStyle w:val="100"/>
                <w:rFonts w:hint="default" w:ascii="仿宋" w:hAnsi="仿宋" w:eastAsia="仿宋" w:cs="仿宋"/>
                <w:color w:val="000000"/>
                <w:sz w:val="18"/>
                <w:szCs w:val="18"/>
                <w:lang w:val="zh-CN"/>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检修井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54022204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检修井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54012204</w:t>
            </w:r>
          </w:p>
        </w:tc>
        <w:tc>
          <w:tcPr>
            <w:tcW w:w="1381" w:type="dxa"/>
            <w:vMerge w:val="continue"/>
            <w:shd w:val="clear" w:color="auto" w:fill="auto"/>
          </w:tcPr>
          <w:p>
            <w:pPr>
              <w:pStyle w:val="99"/>
              <w:spacing w:before="0" w:line="240" w:lineRule="auto"/>
              <w:jc w:val="center"/>
              <w:rPr>
                <w:rStyle w:val="100"/>
                <w:rFonts w:hint="default" w:ascii="仿宋" w:hAnsi="仿宋" w:eastAsia="仿宋" w:cs="仿宋"/>
                <w:color w:val="000000"/>
                <w:sz w:val="18"/>
                <w:szCs w:val="18"/>
                <w:lang w:val="zh-CN"/>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凝水缸</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54022205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凝水缸</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54012205</w:t>
            </w:r>
          </w:p>
        </w:tc>
        <w:tc>
          <w:tcPr>
            <w:tcW w:w="1381" w:type="dxa"/>
            <w:vMerge w:val="continue"/>
            <w:shd w:val="clear" w:color="auto" w:fill="auto"/>
          </w:tcPr>
          <w:p>
            <w:pPr>
              <w:pStyle w:val="99"/>
              <w:spacing w:before="0" w:line="240" w:lineRule="auto"/>
              <w:jc w:val="center"/>
              <w:rPr>
                <w:rStyle w:val="100"/>
                <w:rFonts w:hint="default" w:ascii="仿宋" w:hAnsi="仿宋" w:eastAsia="仿宋" w:cs="仿宋"/>
                <w:color w:val="000000"/>
                <w:sz w:val="18"/>
                <w:szCs w:val="18"/>
                <w:lang w:val="zh-CN"/>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吹扫井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54022206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吹扫井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54012206</w:t>
            </w:r>
          </w:p>
        </w:tc>
        <w:tc>
          <w:tcPr>
            <w:tcW w:w="1381" w:type="dxa"/>
            <w:vMerge w:val="continue"/>
            <w:shd w:val="clear" w:color="auto" w:fill="auto"/>
          </w:tcPr>
          <w:p>
            <w:pPr>
              <w:pStyle w:val="99"/>
              <w:spacing w:before="0" w:line="240" w:lineRule="auto"/>
              <w:jc w:val="center"/>
              <w:rPr>
                <w:rStyle w:val="100"/>
                <w:rFonts w:hint="default" w:ascii="仿宋" w:hAnsi="仿宋" w:eastAsia="仿宋" w:cs="仿宋"/>
                <w:color w:val="000000"/>
                <w:sz w:val="18"/>
                <w:szCs w:val="18"/>
                <w:lang w:val="zh-CN"/>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疏水</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54022207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疏水</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54012207</w:t>
            </w:r>
          </w:p>
        </w:tc>
        <w:tc>
          <w:tcPr>
            <w:tcW w:w="1381" w:type="dxa"/>
            <w:vMerge w:val="continue"/>
            <w:shd w:val="clear" w:color="auto" w:fill="auto"/>
          </w:tcPr>
          <w:p>
            <w:pPr>
              <w:pStyle w:val="99"/>
              <w:spacing w:before="0" w:line="240" w:lineRule="auto"/>
              <w:jc w:val="center"/>
              <w:rPr>
                <w:rStyle w:val="100"/>
                <w:rFonts w:hint="default" w:ascii="仿宋" w:hAnsi="仿宋" w:eastAsia="仿宋" w:cs="仿宋"/>
                <w:color w:val="000000"/>
                <w:sz w:val="18"/>
                <w:szCs w:val="18"/>
                <w:lang w:val="zh-CN"/>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真空表</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54022208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真空表</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54012208</w:t>
            </w:r>
          </w:p>
        </w:tc>
        <w:tc>
          <w:tcPr>
            <w:tcW w:w="1381" w:type="dxa"/>
            <w:vMerge w:val="continue"/>
            <w:shd w:val="clear" w:color="auto" w:fill="auto"/>
          </w:tcPr>
          <w:p>
            <w:pPr>
              <w:pStyle w:val="99"/>
              <w:spacing w:before="0" w:line="240" w:lineRule="auto"/>
              <w:jc w:val="center"/>
              <w:rPr>
                <w:rStyle w:val="100"/>
                <w:rFonts w:hint="default" w:ascii="仿宋" w:hAnsi="仿宋" w:eastAsia="仿宋" w:cs="仿宋"/>
                <w:color w:val="000000"/>
                <w:sz w:val="18"/>
                <w:szCs w:val="18"/>
                <w:lang w:val="zh-CN"/>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固定节</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54022209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固定节</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54012209</w:t>
            </w:r>
          </w:p>
        </w:tc>
        <w:tc>
          <w:tcPr>
            <w:tcW w:w="1381" w:type="dxa"/>
            <w:vMerge w:val="continue"/>
            <w:shd w:val="clear" w:color="auto" w:fill="auto"/>
          </w:tcPr>
          <w:p>
            <w:pPr>
              <w:pStyle w:val="99"/>
              <w:spacing w:before="0" w:line="240" w:lineRule="auto"/>
              <w:jc w:val="center"/>
              <w:rPr>
                <w:rStyle w:val="100"/>
                <w:rFonts w:hint="default" w:ascii="仿宋" w:hAnsi="仿宋" w:eastAsia="仿宋" w:cs="仿宋"/>
                <w:color w:val="000000"/>
                <w:sz w:val="18"/>
                <w:szCs w:val="18"/>
                <w:lang w:val="zh-CN"/>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安全阀</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54022210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安全阀</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54012210</w:t>
            </w:r>
          </w:p>
        </w:tc>
        <w:tc>
          <w:tcPr>
            <w:tcW w:w="1381" w:type="dxa"/>
            <w:vMerge w:val="continue"/>
            <w:shd w:val="clear" w:color="auto" w:fill="auto"/>
          </w:tcPr>
          <w:p>
            <w:pPr>
              <w:pStyle w:val="99"/>
              <w:spacing w:before="0" w:line="240" w:lineRule="auto"/>
              <w:jc w:val="center"/>
              <w:rPr>
                <w:rStyle w:val="100"/>
                <w:rFonts w:hint="default" w:ascii="仿宋" w:hAnsi="仿宋" w:eastAsia="仿宋" w:cs="仿宋"/>
                <w:color w:val="000000"/>
                <w:sz w:val="18"/>
                <w:szCs w:val="18"/>
                <w:lang w:val="zh-CN"/>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排潮孔</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54022211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排潮孔</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54012211</w:t>
            </w:r>
          </w:p>
        </w:tc>
        <w:tc>
          <w:tcPr>
            <w:tcW w:w="1381" w:type="dxa"/>
            <w:vMerge w:val="continue"/>
            <w:shd w:val="clear" w:color="auto" w:fill="auto"/>
          </w:tcPr>
          <w:p>
            <w:pPr>
              <w:pStyle w:val="99"/>
              <w:spacing w:before="0" w:line="240" w:lineRule="auto"/>
              <w:jc w:val="center"/>
              <w:rPr>
                <w:rStyle w:val="100"/>
                <w:rFonts w:hint="default" w:ascii="仿宋" w:hAnsi="仿宋" w:eastAsia="仿宋" w:cs="仿宋"/>
                <w:color w:val="000000"/>
                <w:sz w:val="18"/>
                <w:szCs w:val="18"/>
                <w:lang w:val="zh-CN"/>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供热泵站</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54022212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供热泵站</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54012212</w:t>
            </w:r>
          </w:p>
        </w:tc>
        <w:tc>
          <w:tcPr>
            <w:tcW w:w="1381" w:type="dxa"/>
            <w:vMerge w:val="continue"/>
            <w:shd w:val="clear" w:color="auto" w:fill="auto"/>
          </w:tcPr>
          <w:p>
            <w:pPr>
              <w:pStyle w:val="99"/>
              <w:spacing w:before="0" w:line="240" w:lineRule="auto"/>
              <w:jc w:val="center"/>
              <w:rPr>
                <w:rStyle w:val="100"/>
                <w:rFonts w:hint="default" w:ascii="仿宋" w:hAnsi="仿宋" w:eastAsia="仿宋" w:cs="仿宋"/>
                <w:color w:val="000000"/>
                <w:sz w:val="18"/>
                <w:szCs w:val="18"/>
                <w:lang w:val="zh-CN"/>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供热调压站</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54022213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供热调压站</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54012213</w:t>
            </w:r>
          </w:p>
        </w:tc>
        <w:tc>
          <w:tcPr>
            <w:tcW w:w="1381" w:type="dxa"/>
            <w:vMerge w:val="continue"/>
            <w:shd w:val="clear" w:color="auto" w:fill="auto"/>
          </w:tcPr>
          <w:p>
            <w:pPr>
              <w:pStyle w:val="99"/>
              <w:spacing w:before="0" w:line="240" w:lineRule="auto"/>
              <w:jc w:val="center"/>
              <w:rPr>
                <w:rStyle w:val="100"/>
                <w:rFonts w:hint="default" w:ascii="仿宋" w:hAnsi="仿宋" w:eastAsia="仿宋" w:cs="仿宋"/>
                <w:color w:val="000000"/>
                <w:sz w:val="18"/>
                <w:szCs w:val="18"/>
                <w:lang w:val="zh-CN"/>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供热交换站</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54022214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供热交换站</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54012214</w:t>
            </w:r>
          </w:p>
        </w:tc>
        <w:tc>
          <w:tcPr>
            <w:tcW w:w="1381" w:type="dxa"/>
            <w:vMerge w:val="continue"/>
            <w:shd w:val="clear" w:color="auto" w:fill="auto"/>
          </w:tcPr>
          <w:p>
            <w:pPr>
              <w:pStyle w:val="99"/>
              <w:spacing w:before="0" w:line="240" w:lineRule="auto"/>
              <w:jc w:val="center"/>
              <w:rPr>
                <w:rStyle w:val="100"/>
                <w:rFonts w:hint="default" w:ascii="仿宋" w:hAnsi="仿宋" w:eastAsia="仿宋" w:cs="仿宋"/>
                <w:color w:val="000000"/>
                <w:sz w:val="18"/>
                <w:szCs w:val="18"/>
                <w:lang w:val="zh-CN"/>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锅炉房</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54022215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锅炉房</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54012215</w:t>
            </w:r>
          </w:p>
        </w:tc>
        <w:tc>
          <w:tcPr>
            <w:tcW w:w="1381" w:type="dxa"/>
            <w:vMerge w:val="continue"/>
            <w:shd w:val="clear" w:color="auto" w:fill="auto"/>
          </w:tcPr>
          <w:p>
            <w:pPr>
              <w:pStyle w:val="99"/>
              <w:spacing w:before="0" w:line="240" w:lineRule="auto"/>
              <w:jc w:val="center"/>
              <w:rPr>
                <w:rStyle w:val="100"/>
                <w:rFonts w:hint="default" w:ascii="仿宋" w:hAnsi="仿宋" w:eastAsia="仿宋" w:cs="仿宋"/>
                <w:color w:val="000000"/>
                <w:sz w:val="18"/>
                <w:szCs w:val="18"/>
                <w:lang w:val="zh-CN"/>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热电厂</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54022216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热电厂</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54012216</w:t>
            </w:r>
          </w:p>
        </w:tc>
        <w:tc>
          <w:tcPr>
            <w:tcW w:w="1381" w:type="dxa"/>
            <w:vMerge w:val="continue"/>
            <w:shd w:val="clear" w:color="auto" w:fill="auto"/>
          </w:tcPr>
          <w:p>
            <w:pPr>
              <w:pStyle w:val="99"/>
              <w:spacing w:before="0" w:line="240" w:lineRule="auto"/>
              <w:jc w:val="center"/>
              <w:rPr>
                <w:rStyle w:val="100"/>
                <w:rFonts w:hint="default" w:ascii="仿宋" w:hAnsi="仿宋" w:eastAsia="仿宋" w:cs="仿宋"/>
                <w:color w:val="000000"/>
                <w:sz w:val="18"/>
                <w:szCs w:val="18"/>
                <w:lang w:val="zh-CN"/>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热电站</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54022217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热电站</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54012217</w:t>
            </w:r>
          </w:p>
        </w:tc>
        <w:tc>
          <w:tcPr>
            <w:tcW w:w="1381" w:type="dxa"/>
            <w:vMerge w:val="continue"/>
            <w:shd w:val="clear" w:color="auto" w:fill="auto"/>
          </w:tcPr>
          <w:p>
            <w:pPr>
              <w:pStyle w:val="99"/>
              <w:spacing w:before="0" w:line="240" w:lineRule="auto"/>
              <w:jc w:val="center"/>
              <w:rPr>
                <w:rStyle w:val="100"/>
                <w:rFonts w:hint="default" w:ascii="仿宋" w:hAnsi="仿宋" w:eastAsia="仿宋" w:cs="仿宋"/>
                <w:color w:val="000000"/>
                <w:sz w:val="18"/>
                <w:szCs w:val="18"/>
                <w:lang w:val="zh-CN"/>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冷暖站</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54022218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冷暖站</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54012218</w:t>
            </w:r>
          </w:p>
        </w:tc>
        <w:tc>
          <w:tcPr>
            <w:tcW w:w="1381" w:type="dxa"/>
            <w:vMerge w:val="continue"/>
            <w:shd w:val="clear" w:color="auto" w:fill="auto"/>
          </w:tcPr>
          <w:p>
            <w:pPr>
              <w:pStyle w:val="99"/>
              <w:spacing w:before="0" w:line="240" w:lineRule="auto"/>
              <w:jc w:val="center"/>
              <w:rPr>
                <w:rStyle w:val="100"/>
                <w:rFonts w:hint="default" w:ascii="仿宋" w:hAnsi="仿宋" w:eastAsia="仿宋" w:cs="仿宋"/>
                <w:color w:val="000000"/>
                <w:sz w:val="18"/>
                <w:szCs w:val="18"/>
                <w:lang w:val="zh-CN"/>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蒸汽面状要素</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54022219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热水面状要素</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54013000</w:t>
            </w:r>
          </w:p>
        </w:tc>
        <w:tc>
          <w:tcPr>
            <w:tcW w:w="1381" w:type="dxa"/>
            <w:shd w:val="clear" w:color="auto" w:fill="auto"/>
          </w:tcPr>
          <w:p>
            <w:pPr>
              <w:pStyle w:val="99"/>
              <w:spacing w:before="0" w:line="240" w:lineRule="auto"/>
              <w:ind w:right="360"/>
              <w:jc w:val="right"/>
              <w:rPr>
                <w:rStyle w:val="100"/>
                <w:rFonts w:hint="default" w:ascii="仿宋" w:hAnsi="仿宋" w:eastAsia="仿宋" w:cs="仿宋"/>
                <w:color w:val="000000"/>
                <w:sz w:val="18"/>
                <w:szCs w:val="18"/>
                <w:lang w:val="zh-CN"/>
              </w:rPr>
            </w:pPr>
            <w:r>
              <w:rPr>
                <w:rStyle w:val="100"/>
                <w:rFonts w:hint="default" w:ascii="仿宋" w:hAnsi="仿宋" w:eastAsia="仿宋" w:cs="仿宋"/>
                <w:b/>
                <w:color w:val="000000"/>
                <w:sz w:val="18"/>
                <w:szCs w:val="18"/>
                <w:lang w:val="zh-CN"/>
              </w:rPr>
              <w:t>其他</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其他</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54990000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381" w:type="dxa"/>
            <w:shd w:val="clear" w:color="auto" w:fill="auto"/>
          </w:tcPr>
          <w:p>
            <w:pPr>
              <w:ind w:firstLine="361" w:firstLineChars="200"/>
              <w:jc w:val="center"/>
              <w:rPr>
                <w:rFonts w:ascii="仿宋" w:hAnsi="仿宋" w:eastAsia="仿宋" w:cs="仿宋"/>
              </w:rPr>
            </w:pPr>
            <w:r>
              <w:rPr>
                <w:rFonts w:hint="eastAsia" w:ascii="仿宋" w:hAnsi="仿宋" w:eastAsia="仿宋" w:cs="仿宋"/>
                <w:b/>
                <w:kern w:val="0"/>
                <w:sz w:val="18"/>
                <w:szCs w:val="18"/>
                <w:lang w:val="zh-CN"/>
              </w:rPr>
              <w:t>蒸汽</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蒸汽管段</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54021000</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b/>
                <w:color w:val="000000"/>
                <w:sz w:val="18"/>
                <w:szCs w:val="18"/>
                <w:lang w:val="zh-CN"/>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p>
        </w:tc>
      </w:tr>
    </w:tbl>
    <w:p>
      <w:pPr>
        <w:spacing w:line="560" w:lineRule="exact"/>
        <w:ind w:firstLine="360" w:firstLineChars="150"/>
        <w:jc w:val="center"/>
        <w:rPr>
          <w:rFonts w:ascii="仿宋" w:hAnsi="仿宋" w:eastAsia="仿宋" w:cs="仿宋"/>
          <w:b/>
        </w:rPr>
      </w:pPr>
      <w:r>
        <w:rPr>
          <w:rFonts w:hint="eastAsia"/>
        </w:rPr>
        <w:br w:type="page"/>
      </w:r>
      <w:r>
        <w:rPr>
          <w:rFonts w:hint="eastAsia" w:ascii="仿宋" w:hAnsi="仿宋" w:eastAsia="仿宋" w:cs="仿宋"/>
          <w:b/>
        </w:rPr>
        <w:t>附表A.</w:t>
      </w:r>
      <w:r>
        <w:rPr>
          <w:rFonts w:ascii="仿宋" w:hAnsi="仿宋" w:eastAsia="仿宋" w:cs="仿宋"/>
          <w:b/>
        </w:rPr>
        <w:t>1</w:t>
      </w:r>
      <w:r>
        <w:rPr>
          <w:rFonts w:hint="eastAsia" w:ascii="仿宋" w:hAnsi="仿宋" w:eastAsia="仿宋" w:cs="仿宋"/>
          <w:b/>
        </w:rPr>
        <w:t>2.5 电力管线要素代码表</w:t>
      </w:r>
    </w:p>
    <w:tbl>
      <w:tblPr>
        <w:tblStyle w:val="26"/>
        <w:tblW w:w="8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1382"/>
        <w:gridCol w:w="1381"/>
        <w:gridCol w:w="1381"/>
        <w:gridCol w:w="1381"/>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380"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管线小类</w:t>
            </w:r>
          </w:p>
        </w:tc>
        <w:tc>
          <w:tcPr>
            <w:tcW w:w="1382"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要素名称</w:t>
            </w:r>
          </w:p>
        </w:tc>
        <w:tc>
          <w:tcPr>
            <w:tcW w:w="1381" w:type="dxa"/>
            <w:vAlign w:val="center"/>
          </w:tcPr>
          <w:p>
            <w:pPr>
              <w:tabs>
                <w:tab w:val="left" w:pos="794"/>
                <w:tab w:val="clear" w:pos="0"/>
              </w:tabs>
              <w:jc w:val="center"/>
              <w:rPr>
                <w:rFonts w:ascii="仿宋" w:hAnsi="仿宋" w:eastAsia="仿宋" w:cs="仿宋"/>
              </w:rPr>
            </w:pPr>
            <w:r>
              <w:rPr>
                <w:rFonts w:hint="eastAsia" w:ascii="仿宋" w:hAnsi="仿宋" w:eastAsia="仿宋" w:cs="仿宋"/>
                <w:b/>
                <w:szCs w:val="21"/>
              </w:rPr>
              <w:t>代码</w:t>
            </w:r>
          </w:p>
        </w:tc>
        <w:tc>
          <w:tcPr>
            <w:tcW w:w="1381" w:type="dxa"/>
            <w:vAlign w:val="center"/>
          </w:tcPr>
          <w:p>
            <w:pPr>
              <w:widowControl/>
              <w:jc w:val="center"/>
              <w:rPr>
                <w:rFonts w:ascii="仿宋" w:hAnsi="仿宋" w:eastAsia="仿宋" w:cs="仿宋"/>
              </w:rPr>
            </w:pPr>
            <w:r>
              <w:rPr>
                <w:rFonts w:hint="eastAsia" w:ascii="仿宋" w:hAnsi="仿宋" w:eastAsia="仿宋" w:cs="仿宋"/>
                <w:b/>
                <w:szCs w:val="21"/>
              </w:rPr>
              <w:t>管线小类</w:t>
            </w:r>
          </w:p>
        </w:tc>
        <w:tc>
          <w:tcPr>
            <w:tcW w:w="1381" w:type="dxa"/>
            <w:vAlign w:val="center"/>
          </w:tcPr>
          <w:p>
            <w:pPr>
              <w:widowControl/>
              <w:jc w:val="center"/>
              <w:rPr>
                <w:rFonts w:ascii="仿宋" w:hAnsi="仿宋" w:eastAsia="仿宋" w:cs="仿宋"/>
              </w:rPr>
            </w:pPr>
            <w:r>
              <w:rPr>
                <w:rFonts w:hint="eastAsia" w:ascii="仿宋" w:hAnsi="仿宋" w:eastAsia="仿宋" w:cs="仿宋"/>
                <w:b/>
                <w:szCs w:val="21"/>
              </w:rPr>
              <w:t>要素名称</w:t>
            </w:r>
          </w:p>
        </w:tc>
        <w:tc>
          <w:tcPr>
            <w:tcW w:w="1383" w:type="dxa"/>
            <w:vAlign w:val="center"/>
          </w:tcPr>
          <w:p>
            <w:pPr>
              <w:widowControl/>
              <w:jc w:val="center"/>
              <w:rPr>
                <w:rFonts w:ascii="仿宋" w:hAnsi="仿宋" w:eastAsia="仿宋" w:cs="仿宋"/>
              </w:rPr>
            </w:pPr>
            <w:r>
              <w:rPr>
                <w:rFonts w:hint="eastAsia" w:ascii="仿宋" w:hAnsi="仿宋" w:eastAsia="仿宋" w:cs="仿宋"/>
                <w:b/>
                <w:szCs w:val="21"/>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restart"/>
            <w:shd w:val="clear" w:color="auto" w:fill="auto"/>
            <w:vAlign w:val="center"/>
          </w:tcPr>
          <w:p>
            <w:pPr>
              <w:jc w:val="center"/>
              <w:rPr>
                <w:rFonts w:ascii="仿宋" w:hAnsi="仿宋" w:eastAsia="仿宋" w:cs="仿宋"/>
                <w:b/>
                <w:kern w:val="0"/>
                <w:sz w:val="18"/>
                <w:szCs w:val="18"/>
              </w:rPr>
            </w:pPr>
            <w:r>
              <w:rPr>
                <w:rFonts w:hint="eastAsia" w:ascii="仿宋" w:hAnsi="仿宋" w:eastAsia="仿宋" w:cs="仿宋"/>
                <w:b/>
                <w:kern w:val="0"/>
                <w:sz w:val="18"/>
                <w:szCs w:val="18"/>
              </w:rPr>
              <w:t>供电</w:t>
            </w:r>
          </w:p>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高压管段</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55011001</w:t>
            </w:r>
          </w:p>
        </w:tc>
        <w:tc>
          <w:tcPr>
            <w:tcW w:w="1381" w:type="dxa"/>
            <w:vMerge w:val="restart"/>
            <w:shd w:val="clear" w:color="auto" w:fill="auto"/>
            <w:vAlign w:val="center"/>
          </w:tcPr>
          <w:p>
            <w:pPr>
              <w:jc w:val="center"/>
              <w:rPr>
                <w:rFonts w:ascii="仿宋" w:hAnsi="仿宋" w:eastAsia="仿宋" w:cs="仿宋"/>
                <w:b/>
                <w:kern w:val="0"/>
                <w:sz w:val="18"/>
                <w:szCs w:val="18"/>
              </w:rPr>
            </w:pPr>
            <w:r>
              <w:rPr>
                <w:rFonts w:hint="eastAsia" w:ascii="仿宋" w:hAnsi="仿宋" w:eastAsia="仿宋" w:cs="仿宋"/>
                <w:b/>
                <w:kern w:val="0"/>
                <w:sz w:val="18"/>
                <w:szCs w:val="18"/>
              </w:rPr>
              <w:t>路灯</w:t>
            </w:r>
          </w:p>
          <w:p>
            <w:pPr>
              <w:jc w:val="center"/>
              <w:rPr>
                <w:rFonts w:ascii="仿宋" w:hAnsi="仿宋" w:eastAsia="仿宋" w:cs="仿宋"/>
              </w:rPr>
            </w:pPr>
          </w:p>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弯头</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55022101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中压管段</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55011002</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分支</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55022102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低压管段</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55011003</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电力沟</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55022103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其他管段</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55011004</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预留口</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55022104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弯头</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55012101</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55022105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分支</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55012102</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变压器</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55022201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电力沟</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55012103</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检修井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55022202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预留口</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55012104</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接线箱</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55022203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55012105</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通风井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55022204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变压器</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55012201</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控制柜</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55022205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检修井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55012202</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环网柜</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55022206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接线箱</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55012203</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开关器</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55022207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通风井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55012204</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人孔井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55022208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控制柜</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55012205</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手孔</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55022209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环网柜</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55012206</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变电所</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55022210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开关器</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55012207</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配电房</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55022211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人孔井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55012208</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变电站</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55022212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手孔</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55012209</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箱式开关站</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55022213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变电所</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55012210</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电线杆</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55022214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配电房</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55012211</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灯杆</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55022215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变电站</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55012212</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铁塔</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55022216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箱式开关站</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55012213</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钢管杆</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55022217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电线杆</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55012214</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电缆终端塔</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55022218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灯杆</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55012215</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沟槽</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55022219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铁塔</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55012216</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地下井室</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55022220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钢管杆</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55012217</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上杆</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55022221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电缆终端塔</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55012218</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路灯控制箱</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55022222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沟槽</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55012219</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地灯</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55022223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地下井室</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55012220</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路灯</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55022224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上杆</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55012221</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路灯面状要素</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55023000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砼杆</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55012222</w:t>
            </w:r>
          </w:p>
        </w:tc>
        <w:tc>
          <w:tcPr>
            <w:tcW w:w="1381" w:type="dxa"/>
            <w:vMerge w:val="restart"/>
            <w:shd w:val="clear" w:color="auto" w:fill="auto"/>
            <w:vAlign w:val="center"/>
          </w:tcPr>
          <w:p>
            <w:pPr>
              <w:jc w:val="center"/>
              <w:rPr>
                <w:rFonts w:ascii="仿宋" w:hAnsi="仿宋" w:eastAsia="仿宋" w:cs="仿宋"/>
                <w:b/>
                <w:kern w:val="0"/>
                <w:sz w:val="18"/>
                <w:szCs w:val="18"/>
              </w:rPr>
            </w:pPr>
            <w:r>
              <w:rPr>
                <w:rFonts w:hint="eastAsia" w:ascii="仿宋" w:hAnsi="仿宋" w:eastAsia="仿宋" w:cs="仿宋"/>
                <w:b/>
                <w:kern w:val="0"/>
                <w:sz w:val="18"/>
                <w:szCs w:val="18"/>
              </w:rPr>
              <w:t>交通信号</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高压管段</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55031001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π杆</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55012223</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中压管段</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55031002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铁杆</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55012224</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低压管段</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55031003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vAlign w:val="center"/>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电力面状要素</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55013000</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其他管段</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55031004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restart"/>
            <w:shd w:val="clear" w:color="auto" w:fill="auto"/>
            <w:vAlign w:val="center"/>
          </w:tcPr>
          <w:p>
            <w:pPr>
              <w:jc w:val="center"/>
              <w:rPr>
                <w:rFonts w:ascii="仿宋" w:hAnsi="仿宋" w:eastAsia="仿宋" w:cs="仿宋"/>
                <w:b/>
                <w:kern w:val="0"/>
                <w:sz w:val="18"/>
                <w:szCs w:val="18"/>
              </w:rPr>
            </w:pPr>
            <w:r>
              <w:rPr>
                <w:rFonts w:hint="eastAsia" w:ascii="仿宋" w:hAnsi="仿宋" w:eastAsia="仿宋" w:cs="仿宋"/>
                <w:b/>
                <w:kern w:val="0"/>
                <w:sz w:val="18"/>
                <w:szCs w:val="18"/>
              </w:rPr>
              <w:t>路灯</w:t>
            </w:r>
          </w:p>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高压管段</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55021001</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弯头</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55032101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中压管段</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55021002</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分支</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55032102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低压管段</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55021003</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电力沟</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55032103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其他管段</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55021004</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预留口</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55032104</w:t>
            </w:r>
          </w:p>
        </w:tc>
      </w:tr>
    </w:tbl>
    <w:p>
      <w:pPr>
        <w:jc w:val="center"/>
      </w:pPr>
    </w:p>
    <w:p>
      <w:pPr>
        <w:pStyle w:val="2"/>
        <w:jc w:val="center"/>
      </w:pPr>
    </w:p>
    <w:tbl>
      <w:tblPr>
        <w:tblStyle w:val="26"/>
        <w:tblW w:w="8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1687"/>
        <w:gridCol w:w="1231"/>
        <w:gridCol w:w="1381"/>
        <w:gridCol w:w="1381"/>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25"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管线小类</w:t>
            </w:r>
          </w:p>
        </w:tc>
        <w:tc>
          <w:tcPr>
            <w:tcW w:w="1687"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要素名称</w:t>
            </w:r>
          </w:p>
        </w:tc>
        <w:tc>
          <w:tcPr>
            <w:tcW w:w="1231" w:type="dxa"/>
            <w:vAlign w:val="center"/>
          </w:tcPr>
          <w:p>
            <w:pPr>
              <w:tabs>
                <w:tab w:val="left" w:pos="794"/>
                <w:tab w:val="clear" w:pos="0"/>
              </w:tabs>
              <w:jc w:val="center"/>
              <w:rPr>
                <w:rFonts w:ascii="仿宋" w:hAnsi="仿宋" w:eastAsia="仿宋" w:cs="仿宋"/>
              </w:rPr>
            </w:pPr>
            <w:r>
              <w:rPr>
                <w:rFonts w:hint="eastAsia" w:ascii="仿宋" w:hAnsi="仿宋" w:eastAsia="仿宋" w:cs="仿宋"/>
                <w:b/>
                <w:szCs w:val="21"/>
              </w:rPr>
              <w:t>代码</w:t>
            </w:r>
          </w:p>
        </w:tc>
        <w:tc>
          <w:tcPr>
            <w:tcW w:w="1381" w:type="dxa"/>
            <w:vAlign w:val="center"/>
          </w:tcPr>
          <w:p>
            <w:pPr>
              <w:widowControl/>
              <w:jc w:val="center"/>
              <w:rPr>
                <w:rFonts w:ascii="仿宋" w:hAnsi="仿宋" w:eastAsia="仿宋" w:cs="仿宋"/>
              </w:rPr>
            </w:pPr>
            <w:r>
              <w:rPr>
                <w:rFonts w:hint="eastAsia" w:ascii="仿宋" w:hAnsi="仿宋" w:eastAsia="仿宋" w:cs="仿宋"/>
                <w:b/>
                <w:szCs w:val="21"/>
              </w:rPr>
              <w:t>管线小类</w:t>
            </w:r>
          </w:p>
        </w:tc>
        <w:tc>
          <w:tcPr>
            <w:tcW w:w="1381" w:type="dxa"/>
            <w:vAlign w:val="center"/>
          </w:tcPr>
          <w:p>
            <w:pPr>
              <w:widowControl/>
              <w:jc w:val="center"/>
              <w:rPr>
                <w:rFonts w:ascii="仿宋" w:hAnsi="仿宋" w:eastAsia="仿宋" w:cs="仿宋"/>
              </w:rPr>
            </w:pPr>
            <w:r>
              <w:rPr>
                <w:rFonts w:hint="eastAsia" w:ascii="仿宋" w:hAnsi="仿宋" w:eastAsia="仿宋" w:cs="仿宋"/>
                <w:b/>
                <w:szCs w:val="21"/>
              </w:rPr>
              <w:t>要素名称</w:t>
            </w:r>
          </w:p>
        </w:tc>
        <w:tc>
          <w:tcPr>
            <w:tcW w:w="1383" w:type="dxa"/>
            <w:vAlign w:val="center"/>
          </w:tcPr>
          <w:p>
            <w:pPr>
              <w:widowControl/>
              <w:jc w:val="center"/>
              <w:rPr>
                <w:rFonts w:ascii="仿宋" w:hAnsi="仿宋" w:eastAsia="仿宋" w:cs="仿宋"/>
              </w:rPr>
            </w:pPr>
            <w:r>
              <w:rPr>
                <w:rFonts w:hint="eastAsia" w:ascii="仿宋" w:hAnsi="仿宋" w:eastAsia="仿宋" w:cs="仿宋"/>
                <w:b/>
                <w:szCs w:val="21"/>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restart"/>
            <w:shd w:val="clear" w:color="auto" w:fill="auto"/>
            <w:vAlign w:val="center"/>
          </w:tcPr>
          <w:p>
            <w:pPr>
              <w:jc w:val="center"/>
              <w:rPr>
                <w:rFonts w:ascii="仿宋" w:hAnsi="仿宋" w:eastAsia="仿宋" w:cs="仿宋"/>
                <w:b/>
                <w:kern w:val="0"/>
                <w:sz w:val="18"/>
                <w:szCs w:val="18"/>
              </w:rPr>
            </w:pPr>
            <w:r>
              <w:rPr>
                <w:rFonts w:hint="eastAsia" w:ascii="仿宋" w:hAnsi="仿宋" w:eastAsia="仿宋" w:cs="仿宋"/>
                <w:b/>
                <w:kern w:val="0"/>
                <w:sz w:val="18"/>
                <w:szCs w:val="18"/>
              </w:rPr>
              <w:t>交通信号</w:t>
            </w:r>
          </w:p>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55032105</w:t>
            </w:r>
          </w:p>
        </w:tc>
        <w:tc>
          <w:tcPr>
            <w:tcW w:w="1381" w:type="dxa"/>
            <w:vMerge w:val="restart"/>
            <w:shd w:val="clear" w:color="auto" w:fill="auto"/>
            <w:vAlign w:val="center"/>
          </w:tcPr>
          <w:p>
            <w:pPr>
              <w:jc w:val="center"/>
              <w:rPr>
                <w:rFonts w:ascii="仿宋" w:hAnsi="仿宋" w:eastAsia="仿宋" w:cs="仿宋"/>
                <w:b/>
                <w:kern w:val="0"/>
                <w:sz w:val="18"/>
                <w:szCs w:val="18"/>
              </w:rPr>
            </w:pPr>
            <w:r>
              <w:rPr>
                <w:rFonts w:hint="eastAsia" w:ascii="仿宋" w:hAnsi="仿宋" w:eastAsia="仿宋" w:cs="仿宋"/>
                <w:b/>
                <w:kern w:val="0"/>
                <w:sz w:val="18"/>
                <w:szCs w:val="18"/>
              </w:rPr>
              <w:t>电车</w:t>
            </w:r>
          </w:p>
          <w:p>
            <w:pPr>
              <w:jc w:val="center"/>
              <w:rPr>
                <w:rFonts w:ascii="仿宋" w:hAnsi="仿宋" w:eastAsia="仿宋" w:cs="仿宋"/>
              </w:rPr>
            </w:pPr>
          </w:p>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手孔</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55042209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变压器</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55032201</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变电所</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55042210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检修井</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55032202</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配电房</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55042211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接线箱</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55032203</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变电站</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55042212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通风井</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55032204</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箱式开关站</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55042213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控制柜</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55032205</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电线杆</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55042214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环网柜</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55032206</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灯杆</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55042215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开关器</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55032207</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铁塔</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55042216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人孔井</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55032208</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钢管杆</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55042217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手孔</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55032209</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电缆终端塔</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55042218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变电所</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55032210</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沟槽</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55042219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配电房</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55032211</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地下井室</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55042220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变电站</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55032212</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上杆</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eastAsia="en-US"/>
              </w:rPr>
              <w:t>55042221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箱式开关站</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55032213</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电车面状要素</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55043000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225" w:type="dxa"/>
            <w:vMerge w:val="continue"/>
            <w:shd w:val="clear" w:color="auto" w:fill="auto"/>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电线杆</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55032214</w:t>
            </w:r>
          </w:p>
        </w:tc>
        <w:tc>
          <w:tcPr>
            <w:tcW w:w="1381" w:type="dxa"/>
            <w:vMerge w:val="restart"/>
            <w:shd w:val="clear" w:color="auto" w:fill="auto"/>
            <w:vAlign w:val="center"/>
          </w:tcPr>
          <w:p>
            <w:pPr>
              <w:jc w:val="center"/>
              <w:rPr>
                <w:rFonts w:ascii="仿宋" w:hAnsi="仿宋" w:eastAsia="仿宋" w:cs="仿宋"/>
                <w:b/>
                <w:kern w:val="0"/>
                <w:sz w:val="18"/>
                <w:szCs w:val="18"/>
              </w:rPr>
            </w:pPr>
            <w:r>
              <w:rPr>
                <w:rFonts w:hint="eastAsia" w:ascii="仿宋" w:hAnsi="仿宋" w:eastAsia="仿宋" w:cs="仿宋"/>
                <w:b/>
                <w:kern w:val="0"/>
                <w:sz w:val="18"/>
                <w:szCs w:val="18"/>
              </w:rPr>
              <w:t>广告</w:t>
            </w:r>
          </w:p>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高压管段</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55051001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灯杆</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55032215</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中压管段</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55051002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铁塔</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55032216</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低压管段</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55051003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钢管杆</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55032217</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其他管段</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55051004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电缆终端塔</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55032218</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弯头</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55052101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沟槽</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55032219</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分支</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55052102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地下井室</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55032220</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电力沟</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55052103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vAlign w:val="center"/>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上杆</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55032221</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预留口</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55052104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交通信号灯</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55032222</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55052105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交通信号面状要素</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55033000</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变压器</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55052201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restart"/>
            <w:shd w:val="clear" w:color="auto" w:fill="auto"/>
            <w:vAlign w:val="center"/>
          </w:tcPr>
          <w:p>
            <w:pPr>
              <w:jc w:val="center"/>
              <w:rPr>
                <w:rFonts w:ascii="仿宋" w:hAnsi="仿宋" w:eastAsia="仿宋" w:cs="仿宋"/>
                <w:b/>
                <w:kern w:val="0"/>
                <w:sz w:val="18"/>
                <w:szCs w:val="18"/>
              </w:rPr>
            </w:pPr>
            <w:r>
              <w:rPr>
                <w:rFonts w:hint="eastAsia" w:ascii="仿宋" w:hAnsi="仿宋" w:eastAsia="仿宋" w:cs="仿宋"/>
                <w:b/>
                <w:kern w:val="0"/>
                <w:sz w:val="18"/>
                <w:szCs w:val="18"/>
              </w:rPr>
              <w:t>电车</w:t>
            </w:r>
          </w:p>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电车管段</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55041000</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检修井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55052202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弯头</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55042101</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接线箱</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55052203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分支</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55042102</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通风井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55052204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电力沟</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55042103</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控制柜</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55052205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预留口</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55042104</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环网柜</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55052206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55042105</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开关器</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55052207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变压器</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55042201</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人孔井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55052208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检修井</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55042202</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手孔</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55052209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vAlign w:val="center"/>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接线箱</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55042203</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变电所</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55052210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通风井</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55042204</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配电房</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55052211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控制柜</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55042205</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变电站</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55052212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环网柜</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55042206</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箱式开关站</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55052213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开关器</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55042207</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电线杆</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55052214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tcPr>
          <w:p>
            <w:pPr>
              <w:jc w:val="center"/>
              <w:rPr>
                <w:rFonts w:ascii="仿宋" w:hAnsi="仿宋" w:eastAsia="仿宋" w:cs="仿宋"/>
              </w:rPr>
            </w:pPr>
          </w:p>
        </w:tc>
        <w:tc>
          <w:tcPr>
            <w:tcW w:w="168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人孔井</w:t>
            </w:r>
          </w:p>
        </w:tc>
        <w:tc>
          <w:tcPr>
            <w:tcW w:w="123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55042208</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灯杆</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55052215</w:t>
            </w:r>
          </w:p>
        </w:tc>
      </w:tr>
    </w:tbl>
    <w:p>
      <w:pPr>
        <w:jc w:val="center"/>
      </w:pPr>
    </w:p>
    <w:p>
      <w:pPr>
        <w:jc w:val="center"/>
      </w:pPr>
    </w:p>
    <w:p>
      <w:pPr>
        <w:pStyle w:val="2"/>
        <w:jc w:val="center"/>
      </w:pPr>
    </w:p>
    <w:p>
      <w:pPr>
        <w:pStyle w:val="2"/>
        <w:jc w:val="center"/>
      </w:pPr>
    </w:p>
    <w:tbl>
      <w:tblPr>
        <w:tblStyle w:val="2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381"/>
        <w:gridCol w:w="1381"/>
        <w:gridCol w:w="1381"/>
        <w:gridCol w:w="1894"/>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381"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管线小类</w:t>
            </w:r>
          </w:p>
        </w:tc>
        <w:tc>
          <w:tcPr>
            <w:tcW w:w="1381"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要素名称</w:t>
            </w:r>
          </w:p>
        </w:tc>
        <w:tc>
          <w:tcPr>
            <w:tcW w:w="1381" w:type="dxa"/>
            <w:vAlign w:val="center"/>
          </w:tcPr>
          <w:p>
            <w:pPr>
              <w:tabs>
                <w:tab w:val="left" w:pos="794"/>
                <w:tab w:val="clear" w:pos="0"/>
              </w:tabs>
              <w:jc w:val="center"/>
              <w:rPr>
                <w:rFonts w:ascii="仿宋" w:hAnsi="仿宋" w:eastAsia="仿宋" w:cs="仿宋"/>
              </w:rPr>
            </w:pPr>
            <w:r>
              <w:rPr>
                <w:rFonts w:hint="eastAsia" w:ascii="仿宋" w:hAnsi="仿宋" w:eastAsia="仿宋" w:cs="仿宋"/>
                <w:b/>
                <w:szCs w:val="21"/>
              </w:rPr>
              <w:t>代码</w:t>
            </w:r>
          </w:p>
        </w:tc>
        <w:tc>
          <w:tcPr>
            <w:tcW w:w="1381" w:type="dxa"/>
            <w:vAlign w:val="center"/>
          </w:tcPr>
          <w:p>
            <w:pPr>
              <w:widowControl/>
              <w:jc w:val="center"/>
              <w:rPr>
                <w:rFonts w:ascii="仿宋" w:hAnsi="仿宋" w:eastAsia="仿宋" w:cs="仿宋"/>
              </w:rPr>
            </w:pPr>
            <w:r>
              <w:rPr>
                <w:rFonts w:hint="eastAsia" w:ascii="仿宋" w:hAnsi="仿宋" w:eastAsia="仿宋" w:cs="仿宋"/>
                <w:b/>
                <w:szCs w:val="21"/>
              </w:rPr>
              <w:t>管线小类</w:t>
            </w:r>
          </w:p>
        </w:tc>
        <w:tc>
          <w:tcPr>
            <w:tcW w:w="1894" w:type="dxa"/>
            <w:vAlign w:val="center"/>
          </w:tcPr>
          <w:p>
            <w:pPr>
              <w:widowControl/>
              <w:jc w:val="center"/>
              <w:rPr>
                <w:rFonts w:ascii="仿宋" w:hAnsi="仿宋" w:eastAsia="仿宋" w:cs="仿宋"/>
              </w:rPr>
            </w:pPr>
            <w:r>
              <w:rPr>
                <w:rFonts w:hint="eastAsia" w:ascii="仿宋" w:hAnsi="仿宋" w:eastAsia="仿宋" w:cs="仿宋"/>
                <w:b/>
                <w:szCs w:val="21"/>
              </w:rPr>
              <w:t>要素名称</w:t>
            </w:r>
          </w:p>
        </w:tc>
        <w:tc>
          <w:tcPr>
            <w:tcW w:w="1235" w:type="dxa"/>
            <w:vAlign w:val="center"/>
          </w:tcPr>
          <w:p>
            <w:pPr>
              <w:widowControl/>
              <w:jc w:val="center"/>
              <w:rPr>
                <w:rFonts w:ascii="仿宋" w:hAnsi="仿宋" w:eastAsia="仿宋" w:cs="仿宋"/>
              </w:rPr>
            </w:pPr>
            <w:r>
              <w:rPr>
                <w:rFonts w:hint="eastAsia" w:ascii="仿宋" w:hAnsi="仿宋" w:eastAsia="仿宋" w:cs="仿宋"/>
                <w:b/>
                <w:szCs w:val="21"/>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restart"/>
            <w:shd w:val="clear" w:color="auto" w:fill="auto"/>
            <w:vAlign w:val="center"/>
          </w:tcPr>
          <w:p>
            <w:pPr>
              <w:jc w:val="center"/>
              <w:rPr>
                <w:rFonts w:ascii="仿宋" w:hAnsi="仿宋" w:eastAsia="仿宋" w:cs="仿宋"/>
                <w:b/>
                <w:kern w:val="0"/>
                <w:sz w:val="18"/>
                <w:szCs w:val="18"/>
              </w:rPr>
            </w:pPr>
            <w:r>
              <w:rPr>
                <w:rFonts w:hint="eastAsia" w:ascii="仿宋" w:hAnsi="仿宋" w:eastAsia="仿宋" w:cs="仿宋"/>
                <w:b/>
                <w:kern w:val="0"/>
                <w:sz w:val="18"/>
                <w:szCs w:val="18"/>
              </w:rPr>
              <w:t>广告</w:t>
            </w:r>
          </w:p>
          <w:p>
            <w:pPr>
              <w:jc w:val="center"/>
              <w:rPr>
                <w:rFonts w:ascii="仿宋" w:hAnsi="仿宋" w:eastAsia="仿宋" w:cs="仿宋"/>
              </w:rPr>
            </w:pPr>
          </w:p>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铁塔</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55052216</w:t>
            </w:r>
          </w:p>
        </w:tc>
        <w:tc>
          <w:tcPr>
            <w:tcW w:w="1381" w:type="dxa"/>
            <w:vMerge w:val="restart"/>
            <w:shd w:val="clear" w:color="auto" w:fill="auto"/>
            <w:vAlign w:val="center"/>
          </w:tcPr>
          <w:p>
            <w:pPr>
              <w:jc w:val="center"/>
              <w:rPr>
                <w:rFonts w:ascii="仿宋" w:hAnsi="仿宋" w:eastAsia="仿宋" w:cs="仿宋"/>
                <w:b/>
                <w:kern w:val="0"/>
                <w:sz w:val="18"/>
                <w:szCs w:val="18"/>
              </w:rPr>
            </w:pPr>
            <w:r>
              <w:rPr>
                <w:rFonts w:hint="eastAsia" w:ascii="仿宋" w:hAnsi="仿宋" w:eastAsia="仿宋" w:cs="仿宋"/>
                <w:b/>
                <w:kern w:val="0"/>
                <w:sz w:val="18"/>
                <w:szCs w:val="18"/>
              </w:rPr>
              <w:t>高压输电</w:t>
            </w:r>
          </w:p>
          <w:p>
            <w:pPr>
              <w:jc w:val="center"/>
              <w:rPr>
                <w:rFonts w:ascii="仿宋" w:hAnsi="仿宋" w:eastAsia="仿宋" w:cs="仿宋"/>
              </w:rPr>
            </w:pPr>
          </w:p>
        </w:tc>
        <w:tc>
          <w:tcPr>
            <w:tcW w:w="189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通风井</w:t>
            </w:r>
          </w:p>
        </w:tc>
        <w:tc>
          <w:tcPr>
            <w:tcW w:w="123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55062204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钢管杆</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55052217</w:t>
            </w:r>
          </w:p>
        </w:tc>
        <w:tc>
          <w:tcPr>
            <w:tcW w:w="1381" w:type="dxa"/>
            <w:vMerge w:val="continue"/>
            <w:shd w:val="clear" w:color="auto" w:fill="auto"/>
          </w:tcPr>
          <w:p>
            <w:pPr>
              <w:jc w:val="center"/>
              <w:rPr>
                <w:rFonts w:ascii="仿宋" w:hAnsi="仿宋" w:eastAsia="仿宋" w:cs="仿宋"/>
              </w:rPr>
            </w:pPr>
          </w:p>
        </w:tc>
        <w:tc>
          <w:tcPr>
            <w:tcW w:w="189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控制柜</w:t>
            </w:r>
          </w:p>
        </w:tc>
        <w:tc>
          <w:tcPr>
            <w:tcW w:w="123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55062205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电缆终端塔</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55052218</w:t>
            </w:r>
          </w:p>
        </w:tc>
        <w:tc>
          <w:tcPr>
            <w:tcW w:w="1381" w:type="dxa"/>
            <w:vMerge w:val="continue"/>
            <w:shd w:val="clear" w:color="auto" w:fill="auto"/>
          </w:tcPr>
          <w:p>
            <w:pPr>
              <w:jc w:val="center"/>
              <w:rPr>
                <w:rFonts w:ascii="仿宋" w:hAnsi="仿宋" w:eastAsia="仿宋" w:cs="仿宋"/>
              </w:rPr>
            </w:pPr>
          </w:p>
        </w:tc>
        <w:tc>
          <w:tcPr>
            <w:tcW w:w="189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环网柜</w:t>
            </w:r>
          </w:p>
        </w:tc>
        <w:tc>
          <w:tcPr>
            <w:tcW w:w="123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55062206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沟槽</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55052219</w:t>
            </w:r>
          </w:p>
        </w:tc>
        <w:tc>
          <w:tcPr>
            <w:tcW w:w="1381" w:type="dxa"/>
            <w:vMerge w:val="continue"/>
            <w:shd w:val="clear" w:color="auto" w:fill="auto"/>
          </w:tcPr>
          <w:p>
            <w:pPr>
              <w:jc w:val="center"/>
              <w:rPr>
                <w:rFonts w:ascii="仿宋" w:hAnsi="仿宋" w:eastAsia="仿宋" w:cs="仿宋"/>
              </w:rPr>
            </w:pPr>
          </w:p>
        </w:tc>
        <w:tc>
          <w:tcPr>
            <w:tcW w:w="189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开关器</w:t>
            </w:r>
          </w:p>
        </w:tc>
        <w:tc>
          <w:tcPr>
            <w:tcW w:w="123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55062207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地下井室</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55052220</w:t>
            </w:r>
          </w:p>
        </w:tc>
        <w:tc>
          <w:tcPr>
            <w:tcW w:w="1381" w:type="dxa"/>
            <w:vMerge w:val="continue"/>
            <w:shd w:val="clear" w:color="auto" w:fill="auto"/>
          </w:tcPr>
          <w:p>
            <w:pPr>
              <w:jc w:val="center"/>
              <w:rPr>
                <w:rFonts w:ascii="仿宋" w:hAnsi="仿宋" w:eastAsia="仿宋" w:cs="仿宋"/>
              </w:rPr>
            </w:pPr>
          </w:p>
        </w:tc>
        <w:tc>
          <w:tcPr>
            <w:tcW w:w="189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人孔井</w:t>
            </w:r>
          </w:p>
        </w:tc>
        <w:tc>
          <w:tcPr>
            <w:tcW w:w="123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55062208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上杆</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55052221</w:t>
            </w:r>
          </w:p>
        </w:tc>
        <w:tc>
          <w:tcPr>
            <w:tcW w:w="1381" w:type="dxa"/>
            <w:vMerge w:val="continue"/>
            <w:shd w:val="clear" w:color="auto" w:fill="auto"/>
          </w:tcPr>
          <w:p>
            <w:pPr>
              <w:jc w:val="center"/>
              <w:rPr>
                <w:rFonts w:ascii="仿宋" w:hAnsi="仿宋" w:eastAsia="仿宋" w:cs="仿宋"/>
              </w:rPr>
            </w:pPr>
          </w:p>
        </w:tc>
        <w:tc>
          <w:tcPr>
            <w:tcW w:w="189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手孔</w:t>
            </w:r>
          </w:p>
        </w:tc>
        <w:tc>
          <w:tcPr>
            <w:tcW w:w="123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55062209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广告牌</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55052222</w:t>
            </w:r>
          </w:p>
        </w:tc>
        <w:tc>
          <w:tcPr>
            <w:tcW w:w="1381" w:type="dxa"/>
            <w:vMerge w:val="continue"/>
            <w:shd w:val="clear" w:color="auto" w:fill="auto"/>
          </w:tcPr>
          <w:p>
            <w:pPr>
              <w:jc w:val="center"/>
              <w:rPr>
                <w:rFonts w:ascii="仿宋" w:hAnsi="仿宋" w:eastAsia="仿宋" w:cs="仿宋"/>
              </w:rPr>
            </w:pPr>
          </w:p>
        </w:tc>
        <w:tc>
          <w:tcPr>
            <w:tcW w:w="189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变电所</w:t>
            </w:r>
          </w:p>
        </w:tc>
        <w:tc>
          <w:tcPr>
            <w:tcW w:w="123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55062210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广告面状要素</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55053000</w:t>
            </w:r>
          </w:p>
        </w:tc>
        <w:tc>
          <w:tcPr>
            <w:tcW w:w="1381" w:type="dxa"/>
            <w:vMerge w:val="continue"/>
            <w:shd w:val="clear" w:color="auto" w:fill="auto"/>
          </w:tcPr>
          <w:p>
            <w:pPr>
              <w:jc w:val="center"/>
              <w:rPr>
                <w:rFonts w:ascii="仿宋" w:hAnsi="仿宋" w:eastAsia="仿宋" w:cs="仿宋"/>
              </w:rPr>
            </w:pPr>
          </w:p>
        </w:tc>
        <w:tc>
          <w:tcPr>
            <w:tcW w:w="189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配电房</w:t>
            </w:r>
          </w:p>
        </w:tc>
        <w:tc>
          <w:tcPr>
            <w:tcW w:w="123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55062211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restart"/>
            <w:shd w:val="clear" w:color="auto" w:fill="auto"/>
            <w:vAlign w:val="center"/>
          </w:tcPr>
          <w:p>
            <w:pPr>
              <w:jc w:val="center"/>
              <w:rPr>
                <w:rFonts w:ascii="仿宋" w:hAnsi="仿宋" w:eastAsia="仿宋" w:cs="仿宋"/>
                <w:b/>
                <w:kern w:val="0"/>
                <w:sz w:val="18"/>
                <w:szCs w:val="18"/>
              </w:rPr>
            </w:pPr>
            <w:r>
              <w:rPr>
                <w:rFonts w:hint="eastAsia" w:ascii="仿宋" w:hAnsi="仿宋" w:eastAsia="仿宋" w:cs="仿宋"/>
                <w:b/>
                <w:kern w:val="0"/>
                <w:sz w:val="18"/>
                <w:szCs w:val="18"/>
              </w:rPr>
              <w:t>高压输电</w:t>
            </w:r>
          </w:p>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高压管段</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55061001</w:t>
            </w:r>
          </w:p>
        </w:tc>
        <w:tc>
          <w:tcPr>
            <w:tcW w:w="1381" w:type="dxa"/>
            <w:vMerge w:val="continue"/>
            <w:shd w:val="clear" w:color="auto" w:fill="auto"/>
          </w:tcPr>
          <w:p>
            <w:pPr>
              <w:jc w:val="center"/>
              <w:rPr>
                <w:rFonts w:ascii="仿宋" w:hAnsi="仿宋" w:eastAsia="仿宋" w:cs="仿宋"/>
              </w:rPr>
            </w:pPr>
          </w:p>
        </w:tc>
        <w:tc>
          <w:tcPr>
            <w:tcW w:w="189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变电站</w:t>
            </w:r>
          </w:p>
        </w:tc>
        <w:tc>
          <w:tcPr>
            <w:tcW w:w="123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55062212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中压管段</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55061002</w:t>
            </w:r>
          </w:p>
        </w:tc>
        <w:tc>
          <w:tcPr>
            <w:tcW w:w="1381" w:type="dxa"/>
            <w:vMerge w:val="continue"/>
            <w:shd w:val="clear" w:color="auto" w:fill="auto"/>
          </w:tcPr>
          <w:p>
            <w:pPr>
              <w:jc w:val="center"/>
              <w:rPr>
                <w:rFonts w:ascii="仿宋" w:hAnsi="仿宋" w:eastAsia="仿宋" w:cs="仿宋"/>
              </w:rPr>
            </w:pPr>
          </w:p>
        </w:tc>
        <w:tc>
          <w:tcPr>
            <w:tcW w:w="189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箱式开关站</w:t>
            </w:r>
          </w:p>
        </w:tc>
        <w:tc>
          <w:tcPr>
            <w:tcW w:w="123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55062213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低压管段</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55061003</w:t>
            </w:r>
          </w:p>
        </w:tc>
        <w:tc>
          <w:tcPr>
            <w:tcW w:w="1381" w:type="dxa"/>
            <w:vMerge w:val="continue"/>
            <w:shd w:val="clear" w:color="auto" w:fill="auto"/>
          </w:tcPr>
          <w:p>
            <w:pPr>
              <w:jc w:val="center"/>
              <w:rPr>
                <w:rFonts w:ascii="仿宋" w:hAnsi="仿宋" w:eastAsia="仿宋" w:cs="仿宋"/>
              </w:rPr>
            </w:pPr>
          </w:p>
        </w:tc>
        <w:tc>
          <w:tcPr>
            <w:tcW w:w="189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电线杆</w:t>
            </w:r>
          </w:p>
        </w:tc>
        <w:tc>
          <w:tcPr>
            <w:tcW w:w="123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55062214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其他管段</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55061004</w:t>
            </w:r>
          </w:p>
        </w:tc>
        <w:tc>
          <w:tcPr>
            <w:tcW w:w="1381" w:type="dxa"/>
            <w:vMerge w:val="continue"/>
            <w:shd w:val="clear" w:color="auto" w:fill="auto"/>
          </w:tcPr>
          <w:p>
            <w:pPr>
              <w:jc w:val="center"/>
              <w:rPr>
                <w:rFonts w:ascii="仿宋" w:hAnsi="仿宋" w:eastAsia="仿宋" w:cs="仿宋"/>
              </w:rPr>
            </w:pPr>
          </w:p>
        </w:tc>
        <w:tc>
          <w:tcPr>
            <w:tcW w:w="189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灯杆</w:t>
            </w:r>
          </w:p>
        </w:tc>
        <w:tc>
          <w:tcPr>
            <w:tcW w:w="123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55062215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弯头</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55062101</w:t>
            </w:r>
          </w:p>
        </w:tc>
        <w:tc>
          <w:tcPr>
            <w:tcW w:w="1381" w:type="dxa"/>
            <w:vMerge w:val="continue"/>
            <w:shd w:val="clear" w:color="auto" w:fill="auto"/>
          </w:tcPr>
          <w:p>
            <w:pPr>
              <w:jc w:val="center"/>
              <w:rPr>
                <w:rFonts w:ascii="仿宋" w:hAnsi="仿宋" w:eastAsia="仿宋" w:cs="仿宋"/>
              </w:rPr>
            </w:pPr>
          </w:p>
        </w:tc>
        <w:tc>
          <w:tcPr>
            <w:tcW w:w="189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铁塔</w:t>
            </w:r>
          </w:p>
        </w:tc>
        <w:tc>
          <w:tcPr>
            <w:tcW w:w="123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55062216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分支</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55062102</w:t>
            </w:r>
          </w:p>
        </w:tc>
        <w:tc>
          <w:tcPr>
            <w:tcW w:w="1381" w:type="dxa"/>
            <w:vMerge w:val="continue"/>
            <w:shd w:val="clear" w:color="auto" w:fill="auto"/>
          </w:tcPr>
          <w:p>
            <w:pPr>
              <w:jc w:val="center"/>
              <w:rPr>
                <w:rFonts w:ascii="仿宋" w:hAnsi="仿宋" w:eastAsia="仿宋" w:cs="仿宋"/>
              </w:rPr>
            </w:pPr>
          </w:p>
        </w:tc>
        <w:tc>
          <w:tcPr>
            <w:tcW w:w="189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钢管杆</w:t>
            </w:r>
          </w:p>
        </w:tc>
        <w:tc>
          <w:tcPr>
            <w:tcW w:w="123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55062217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电力沟</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55062103</w:t>
            </w:r>
          </w:p>
        </w:tc>
        <w:tc>
          <w:tcPr>
            <w:tcW w:w="1381" w:type="dxa"/>
            <w:vMerge w:val="continue"/>
            <w:shd w:val="clear" w:color="auto" w:fill="auto"/>
          </w:tcPr>
          <w:p>
            <w:pPr>
              <w:jc w:val="center"/>
              <w:rPr>
                <w:rFonts w:ascii="仿宋" w:hAnsi="仿宋" w:eastAsia="仿宋" w:cs="仿宋"/>
              </w:rPr>
            </w:pPr>
          </w:p>
        </w:tc>
        <w:tc>
          <w:tcPr>
            <w:tcW w:w="189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电缆终端塔</w:t>
            </w:r>
          </w:p>
        </w:tc>
        <w:tc>
          <w:tcPr>
            <w:tcW w:w="123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55062218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预留口</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55062104</w:t>
            </w:r>
          </w:p>
        </w:tc>
        <w:tc>
          <w:tcPr>
            <w:tcW w:w="1381" w:type="dxa"/>
            <w:vMerge w:val="continue"/>
            <w:shd w:val="clear" w:color="auto" w:fill="auto"/>
          </w:tcPr>
          <w:p>
            <w:pPr>
              <w:jc w:val="center"/>
              <w:rPr>
                <w:rFonts w:ascii="仿宋" w:hAnsi="仿宋" w:eastAsia="仿宋" w:cs="仿宋"/>
              </w:rPr>
            </w:pPr>
          </w:p>
        </w:tc>
        <w:tc>
          <w:tcPr>
            <w:tcW w:w="189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沟槽</w:t>
            </w:r>
          </w:p>
        </w:tc>
        <w:tc>
          <w:tcPr>
            <w:tcW w:w="123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55062219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55062105</w:t>
            </w:r>
          </w:p>
        </w:tc>
        <w:tc>
          <w:tcPr>
            <w:tcW w:w="1381" w:type="dxa"/>
            <w:vMerge w:val="continue"/>
            <w:shd w:val="clear" w:color="auto" w:fill="auto"/>
          </w:tcPr>
          <w:p>
            <w:pPr>
              <w:jc w:val="center"/>
              <w:rPr>
                <w:rFonts w:ascii="仿宋" w:hAnsi="仿宋" w:eastAsia="仿宋" w:cs="仿宋"/>
              </w:rPr>
            </w:pPr>
          </w:p>
        </w:tc>
        <w:tc>
          <w:tcPr>
            <w:tcW w:w="189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地下井室</w:t>
            </w:r>
          </w:p>
        </w:tc>
        <w:tc>
          <w:tcPr>
            <w:tcW w:w="123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55062220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变压器</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55062201</w:t>
            </w:r>
          </w:p>
        </w:tc>
        <w:tc>
          <w:tcPr>
            <w:tcW w:w="1381" w:type="dxa"/>
            <w:vMerge w:val="continue"/>
            <w:shd w:val="clear" w:color="auto" w:fill="auto"/>
          </w:tcPr>
          <w:p>
            <w:pPr>
              <w:jc w:val="center"/>
              <w:rPr>
                <w:rFonts w:ascii="仿宋" w:hAnsi="仿宋" w:eastAsia="仿宋" w:cs="仿宋"/>
              </w:rPr>
            </w:pPr>
          </w:p>
        </w:tc>
        <w:tc>
          <w:tcPr>
            <w:tcW w:w="189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上杆</w:t>
            </w:r>
          </w:p>
        </w:tc>
        <w:tc>
          <w:tcPr>
            <w:tcW w:w="123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55062221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检修井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55062202</w:t>
            </w:r>
          </w:p>
        </w:tc>
        <w:tc>
          <w:tcPr>
            <w:tcW w:w="1381" w:type="dxa"/>
            <w:vMerge w:val="continue"/>
            <w:shd w:val="clear" w:color="auto" w:fill="auto"/>
          </w:tcPr>
          <w:p>
            <w:pPr>
              <w:jc w:val="center"/>
              <w:rPr>
                <w:rFonts w:ascii="仿宋" w:hAnsi="仿宋" w:eastAsia="仿宋" w:cs="仿宋"/>
              </w:rPr>
            </w:pPr>
          </w:p>
        </w:tc>
        <w:tc>
          <w:tcPr>
            <w:tcW w:w="189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高压输电面状要素</w:t>
            </w:r>
          </w:p>
        </w:tc>
        <w:tc>
          <w:tcPr>
            <w:tcW w:w="123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55063000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接线箱</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55062203</w:t>
            </w:r>
          </w:p>
        </w:tc>
        <w:tc>
          <w:tcPr>
            <w:tcW w:w="1381" w:type="dxa"/>
            <w:shd w:val="clear" w:color="auto" w:fill="auto"/>
          </w:tcPr>
          <w:p>
            <w:pPr>
              <w:jc w:val="center"/>
              <w:rPr>
                <w:rFonts w:ascii="仿宋" w:hAnsi="仿宋" w:eastAsia="仿宋" w:cs="仿宋"/>
              </w:rPr>
            </w:pPr>
            <w:r>
              <w:rPr>
                <w:rFonts w:hint="eastAsia" w:ascii="仿宋" w:hAnsi="仿宋" w:eastAsia="仿宋" w:cs="仿宋"/>
                <w:b/>
                <w:kern w:val="0"/>
                <w:sz w:val="18"/>
                <w:szCs w:val="18"/>
              </w:rPr>
              <w:t>其他</w:t>
            </w:r>
          </w:p>
        </w:tc>
        <w:tc>
          <w:tcPr>
            <w:tcW w:w="189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sz w:val="18"/>
                <w:szCs w:val="18"/>
              </w:rPr>
              <w:t>其他</w:t>
            </w:r>
          </w:p>
        </w:tc>
        <w:tc>
          <w:tcPr>
            <w:tcW w:w="1235"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55990000</w:t>
            </w:r>
          </w:p>
        </w:tc>
      </w:tr>
    </w:tbl>
    <w:p>
      <w:pPr>
        <w:jc w:val="center"/>
      </w:pPr>
    </w:p>
    <w:p>
      <w:pPr>
        <w:spacing w:line="560" w:lineRule="exact"/>
        <w:ind w:firstLine="360" w:firstLineChars="150"/>
        <w:jc w:val="center"/>
        <w:rPr>
          <w:rFonts w:ascii="仿宋" w:hAnsi="仿宋" w:eastAsia="仿宋" w:cs="仿宋"/>
          <w:b/>
        </w:rPr>
      </w:pPr>
      <w:r>
        <w:br w:type="page"/>
      </w:r>
      <w:r>
        <w:rPr>
          <w:rFonts w:hint="eastAsia" w:ascii="仿宋" w:hAnsi="仿宋" w:eastAsia="仿宋" w:cs="仿宋"/>
          <w:b/>
        </w:rPr>
        <w:t>附表A.</w:t>
      </w:r>
      <w:r>
        <w:rPr>
          <w:rFonts w:ascii="仿宋" w:hAnsi="仿宋" w:eastAsia="仿宋" w:cs="仿宋"/>
          <w:b/>
        </w:rPr>
        <w:t>1</w:t>
      </w:r>
      <w:r>
        <w:rPr>
          <w:rFonts w:hint="eastAsia" w:ascii="仿宋" w:hAnsi="仿宋" w:eastAsia="仿宋" w:cs="仿宋"/>
          <w:b/>
        </w:rPr>
        <w:t>2.6 通信管线要素代码表</w:t>
      </w:r>
    </w:p>
    <w:tbl>
      <w:tblPr>
        <w:tblStyle w:val="26"/>
        <w:tblW w:w="81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1413"/>
        <w:gridCol w:w="1350"/>
        <w:gridCol w:w="1194"/>
        <w:gridCol w:w="1750"/>
        <w:gridCol w:w="1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93"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管线小类</w:t>
            </w:r>
          </w:p>
        </w:tc>
        <w:tc>
          <w:tcPr>
            <w:tcW w:w="1413"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要素名称</w:t>
            </w:r>
          </w:p>
        </w:tc>
        <w:tc>
          <w:tcPr>
            <w:tcW w:w="1350" w:type="dxa"/>
            <w:vAlign w:val="center"/>
          </w:tcPr>
          <w:p>
            <w:pPr>
              <w:tabs>
                <w:tab w:val="left" w:pos="794"/>
                <w:tab w:val="clear" w:pos="0"/>
              </w:tabs>
              <w:jc w:val="center"/>
              <w:rPr>
                <w:rFonts w:ascii="仿宋" w:hAnsi="仿宋" w:eastAsia="仿宋" w:cs="仿宋"/>
              </w:rPr>
            </w:pPr>
            <w:r>
              <w:rPr>
                <w:rFonts w:hint="eastAsia" w:ascii="仿宋" w:hAnsi="仿宋" w:eastAsia="仿宋" w:cs="仿宋"/>
                <w:b/>
                <w:szCs w:val="21"/>
              </w:rPr>
              <w:t>代码</w:t>
            </w:r>
          </w:p>
        </w:tc>
        <w:tc>
          <w:tcPr>
            <w:tcW w:w="1194" w:type="dxa"/>
            <w:vAlign w:val="center"/>
          </w:tcPr>
          <w:p>
            <w:pPr>
              <w:widowControl/>
              <w:jc w:val="center"/>
              <w:rPr>
                <w:rFonts w:ascii="仿宋" w:hAnsi="仿宋" w:eastAsia="仿宋" w:cs="仿宋"/>
              </w:rPr>
            </w:pPr>
            <w:r>
              <w:rPr>
                <w:rFonts w:hint="eastAsia" w:ascii="仿宋" w:hAnsi="仿宋" w:eastAsia="仿宋" w:cs="仿宋"/>
                <w:b/>
                <w:szCs w:val="21"/>
              </w:rPr>
              <w:t>管线小类</w:t>
            </w:r>
          </w:p>
        </w:tc>
        <w:tc>
          <w:tcPr>
            <w:tcW w:w="1750" w:type="dxa"/>
            <w:vAlign w:val="center"/>
          </w:tcPr>
          <w:p>
            <w:pPr>
              <w:widowControl/>
              <w:jc w:val="center"/>
              <w:rPr>
                <w:rFonts w:ascii="仿宋" w:hAnsi="仿宋" w:eastAsia="仿宋" w:cs="仿宋"/>
              </w:rPr>
            </w:pPr>
            <w:r>
              <w:rPr>
                <w:rFonts w:hint="eastAsia" w:ascii="仿宋" w:hAnsi="仿宋" w:eastAsia="仿宋" w:cs="仿宋"/>
                <w:b/>
                <w:szCs w:val="21"/>
              </w:rPr>
              <w:t>要素名称</w:t>
            </w:r>
          </w:p>
        </w:tc>
        <w:tc>
          <w:tcPr>
            <w:tcW w:w="1250" w:type="dxa"/>
            <w:vAlign w:val="center"/>
          </w:tcPr>
          <w:p>
            <w:pPr>
              <w:widowControl/>
              <w:jc w:val="center"/>
              <w:rPr>
                <w:rFonts w:ascii="仿宋" w:hAnsi="仿宋" w:eastAsia="仿宋" w:cs="仿宋"/>
              </w:rPr>
            </w:pPr>
            <w:r>
              <w:rPr>
                <w:rFonts w:hint="eastAsia" w:ascii="仿宋" w:hAnsi="仿宋" w:eastAsia="仿宋" w:cs="仿宋"/>
                <w:b/>
                <w:szCs w:val="21"/>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restart"/>
            <w:shd w:val="clear" w:color="auto" w:fill="auto"/>
            <w:vAlign w:val="center"/>
          </w:tcPr>
          <w:p>
            <w:pPr>
              <w:jc w:val="center"/>
              <w:rPr>
                <w:rFonts w:ascii="仿宋" w:hAnsi="仿宋" w:eastAsia="仿宋" w:cs="仿宋"/>
                <w:b/>
                <w:kern w:val="0"/>
                <w:sz w:val="18"/>
                <w:szCs w:val="18"/>
              </w:rPr>
            </w:pPr>
            <w:r>
              <w:rPr>
                <w:rFonts w:hint="eastAsia" w:ascii="仿宋" w:hAnsi="仿宋" w:eastAsia="仿宋" w:cs="仿宋"/>
                <w:b/>
                <w:kern w:val="0"/>
                <w:sz w:val="18"/>
                <w:szCs w:val="18"/>
              </w:rPr>
              <w:t>电话</w:t>
            </w:r>
          </w:p>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电话管段</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56011000</w:t>
            </w:r>
          </w:p>
        </w:tc>
        <w:tc>
          <w:tcPr>
            <w:tcW w:w="1194" w:type="dxa"/>
            <w:vMerge w:val="restart"/>
            <w:shd w:val="clear" w:color="auto" w:fill="auto"/>
            <w:vAlign w:val="center"/>
          </w:tcPr>
          <w:p>
            <w:pPr>
              <w:jc w:val="center"/>
              <w:rPr>
                <w:rFonts w:ascii="仿宋" w:hAnsi="仿宋" w:eastAsia="仿宋" w:cs="仿宋"/>
                <w:b/>
                <w:kern w:val="0"/>
                <w:sz w:val="18"/>
                <w:szCs w:val="18"/>
              </w:rPr>
            </w:pPr>
            <w:r>
              <w:rPr>
                <w:rFonts w:hint="eastAsia" w:ascii="仿宋" w:hAnsi="仿宋" w:eastAsia="仿宋" w:cs="仿宋"/>
                <w:b/>
                <w:kern w:val="0"/>
                <w:sz w:val="18"/>
                <w:szCs w:val="18"/>
              </w:rPr>
              <w:t>有电线视</w:t>
            </w:r>
          </w:p>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放大器</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56022212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直通</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56012101</w:t>
            </w:r>
          </w:p>
        </w:tc>
        <w:tc>
          <w:tcPr>
            <w:tcW w:w="1194" w:type="dxa"/>
            <w:vMerge w:val="continue"/>
            <w:shd w:val="clear" w:color="auto" w:fill="auto"/>
          </w:tcPr>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交换站</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56022213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分支</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56012102</w:t>
            </w:r>
          </w:p>
        </w:tc>
        <w:tc>
          <w:tcPr>
            <w:tcW w:w="1194" w:type="dxa"/>
            <w:vMerge w:val="continue"/>
            <w:shd w:val="clear" w:color="auto" w:fill="auto"/>
          </w:tcPr>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基站</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56022214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预留口</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56012103</w:t>
            </w:r>
          </w:p>
        </w:tc>
        <w:tc>
          <w:tcPr>
            <w:tcW w:w="1194" w:type="dxa"/>
            <w:vMerge w:val="continue"/>
            <w:shd w:val="clear" w:color="auto" w:fill="auto"/>
          </w:tcPr>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地下井室</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56022215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56012104</w:t>
            </w:r>
          </w:p>
        </w:tc>
        <w:tc>
          <w:tcPr>
            <w:tcW w:w="1194" w:type="dxa"/>
            <w:vMerge w:val="continue"/>
            <w:shd w:val="clear" w:color="auto" w:fill="auto"/>
            <w:vAlign w:val="center"/>
          </w:tcPr>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上杆</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56022216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人孔</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56012201</w:t>
            </w:r>
          </w:p>
        </w:tc>
        <w:tc>
          <w:tcPr>
            <w:tcW w:w="1194" w:type="dxa"/>
            <w:vMerge w:val="continue"/>
            <w:shd w:val="clear" w:color="auto" w:fill="auto"/>
          </w:tcPr>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有线电视面状要素</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56023000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手孔</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56012202</w:t>
            </w:r>
          </w:p>
        </w:tc>
        <w:tc>
          <w:tcPr>
            <w:tcW w:w="1194" w:type="dxa"/>
            <w:vMerge w:val="restart"/>
            <w:shd w:val="clear" w:color="auto" w:fill="auto"/>
            <w:vAlign w:val="center"/>
          </w:tcPr>
          <w:p>
            <w:pPr>
              <w:jc w:val="center"/>
              <w:rPr>
                <w:rFonts w:ascii="仿宋" w:hAnsi="仿宋" w:eastAsia="仿宋" w:cs="仿宋"/>
                <w:b/>
                <w:kern w:val="0"/>
                <w:sz w:val="18"/>
                <w:szCs w:val="18"/>
              </w:rPr>
            </w:pPr>
            <w:r>
              <w:rPr>
                <w:rFonts w:hint="eastAsia" w:ascii="仿宋" w:hAnsi="仿宋" w:eastAsia="仿宋" w:cs="仿宋"/>
                <w:b/>
                <w:kern w:val="0"/>
                <w:sz w:val="18"/>
                <w:szCs w:val="18"/>
                <w:lang w:val="zh-CN"/>
              </w:rPr>
              <w:t>信息网络</w:t>
            </w:r>
          </w:p>
          <w:p>
            <w:pPr>
              <w:jc w:val="center"/>
              <w:rPr>
                <w:rFonts w:ascii="仿宋" w:hAnsi="仿宋" w:eastAsia="仿宋" w:cs="仿宋"/>
              </w:rPr>
            </w:pPr>
          </w:p>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信息网络管段</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56031000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分线箱</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56012203</w:t>
            </w:r>
          </w:p>
        </w:tc>
        <w:tc>
          <w:tcPr>
            <w:tcW w:w="1194" w:type="dxa"/>
            <w:vMerge w:val="continue"/>
            <w:shd w:val="clear" w:color="auto" w:fill="auto"/>
          </w:tcPr>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直通</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56032101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接线箱</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56012204</w:t>
            </w:r>
          </w:p>
        </w:tc>
        <w:tc>
          <w:tcPr>
            <w:tcW w:w="1194" w:type="dxa"/>
            <w:vMerge w:val="continue"/>
            <w:shd w:val="clear" w:color="auto" w:fill="auto"/>
          </w:tcPr>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分支</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56032102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交接箱</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56012205</w:t>
            </w:r>
          </w:p>
        </w:tc>
        <w:tc>
          <w:tcPr>
            <w:tcW w:w="1194" w:type="dxa"/>
            <w:vMerge w:val="continue"/>
            <w:shd w:val="clear" w:color="auto" w:fill="auto"/>
          </w:tcPr>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预留口</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56032103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机楼</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56012206</w:t>
            </w:r>
          </w:p>
        </w:tc>
        <w:tc>
          <w:tcPr>
            <w:tcW w:w="1194" w:type="dxa"/>
            <w:vMerge w:val="continue"/>
            <w:shd w:val="clear" w:color="auto" w:fill="auto"/>
          </w:tcPr>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56032104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线杆</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56012207</w:t>
            </w:r>
          </w:p>
        </w:tc>
        <w:tc>
          <w:tcPr>
            <w:tcW w:w="1194" w:type="dxa"/>
            <w:vMerge w:val="continue"/>
            <w:shd w:val="clear" w:color="auto" w:fill="auto"/>
          </w:tcPr>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人孔</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56032201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控制室</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56012208</w:t>
            </w:r>
          </w:p>
        </w:tc>
        <w:tc>
          <w:tcPr>
            <w:tcW w:w="1194" w:type="dxa"/>
            <w:vMerge w:val="continue"/>
            <w:shd w:val="clear" w:color="auto" w:fill="auto"/>
          </w:tcPr>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手孔</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56032202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差转台</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56012209</w:t>
            </w:r>
          </w:p>
        </w:tc>
        <w:tc>
          <w:tcPr>
            <w:tcW w:w="1194" w:type="dxa"/>
            <w:vMerge w:val="continue"/>
            <w:shd w:val="clear" w:color="auto" w:fill="auto"/>
          </w:tcPr>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分线箱</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56032203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发射塔</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56012210</w:t>
            </w:r>
          </w:p>
        </w:tc>
        <w:tc>
          <w:tcPr>
            <w:tcW w:w="1194" w:type="dxa"/>
            <w:vMerge w:val="continue"/>
            <w:shd w:val="clear" w:color="auto" w:fill="auto"/>
          </w:tcPr>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接线箱</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56032204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放大器</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56012211</w:t>
            </w:r>
          </w:p>
        </w:tc>
        <w:tc>
          <w:tcPr>
            <w:tcW w:w="1194" w:type="dxa"/>
            <w:vMerge w:val="continue"/>
            <w:shd w:val="clear" w:color="auto" w:fill="auto"/>
          </w:tcPr>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交接箱</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56032205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交换站</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56012212</w:t>
            </w:r>
          </w:p>
        </w:tc>
        <w:tc>
          <w:tcPr>
            <w:tcW w:w="1194" w:type="dxa"/>
            <w:vMerge w:val="continue"/>
            <w:shd w:val="clear" w:color="auto" w:fill="auto"/>
          </w:tcPr>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机楼</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56032206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基站</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56012213</w:t>
            </w:r>
          </w:p>
        </w:tc>
        <w:tc>
          <w:tcPr>
            <w:tcW w:w="1194" w:type="dxa"/>
            <w:vMerge w:val="continue"/>
            <w:shd w:val="clear" w:color="auto" w:fill="auto"/>
          </w:tcPr>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线杆</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56032207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地下井室</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56012214</w:t>
            </w:r>
          </w:p>
        </w:tc>
        <w:tc>
          <w:tcPr>
            <w:tcW w:w="1194" w:type="dxa"/>
            <w:vMerge w:val="continue"/>
            <w:shd w:val="clear" w:color="auto" w:fill="auto"/>
          </w:tcPr>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控制室</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56032208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上杆</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56012215</w:t>
            </w:r>
          </w:p>
        </w:tc>
        <w:tc>
          <w:tcPr>
            <w:tcW w:w="1194" w:type="dxa"/>
            <w:vMerge w:val="continue"/>
            <w:shd w:val="clear" w:color="auto" w:fill="auto"/>
          </w:tcPr>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差转台</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56032209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电话亭</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56012216</w:t>
            </w:r>
          </w:p>
        </w:tc>
        <w:tc>
          <w:tcPr>
            <w:tcW w:w="1194" w:type="dxa"/>
            <w:vMerge w:val="continue"/>
            <w:shd w:val="clear" w:color="auto" w:fill="auto"/>
          </w:tcPr>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发射塔</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56032210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电话面状要素</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56013000</w:t>
            </w:r>
          </w:p>
        </w:tc>
        <w:tc>
          <w:tcPr>
            <w:tcW w:w="1194" w:type="dxa"/>
            <w:vMerge w:val="continue"/>
            <w:shd w:val="clear" w:color="auto" w:fill="auto"/>
          </w:tcPr>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放大器</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56032211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restart"/>
            <w:shd w:val="clear" w:color="auto" w:fill="auto"/>
            <w:vAlign w:val="center"/>
          </w:tcPr>
          <w:p>
            <w:pPr>
              <w:jc w:val="center"/>
              <w:rPr>
                <w:rFonts w:ascii="仿宋" w:hAnsi="仿宋" w:eastAsia="仿宋" w:cs="仿宋"/>
                <w:b/>
                <w:kern w:val="0"/>
                <w:sz w:val="18"/>
                <w:szCs w:val="18"/>
              </w:rPr>
            </w:pPr>
            <w:r>
              <w:rPr>
                <w:rFonts w:hint="eastAsia" w:ascii="仿宋" w:hAnsi="仿宋" w:eastAsia="仿宋" w:cs="仿宋"/>
                <w:b/>
                <w:kern w:val="0"/>
                <w:sz w:val="18"/>
                <w:szCs w:val="18"/>
              </w:rPr>
              <w:t>有线电视</w:t>
            </w:r>
          </w:p>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有线电视管段</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56021000</w:t>
            </w:r>
          </w:p>
        </w:tc>
        <w:tc>
          <w:tcPr>
            <w:tcW w:w="1194" w:type="dxa"/>
            <w:vMerge w:val="continue"/>
            <w:shd w:val="clear" w:color="auto" w:fill="auto"/>
          </w:tcPr>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交换站</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56032212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直通</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56022101</w:t>
            </w:r>
          </w:p>
        </w:tc>
        <w:tc>
          <w:tcPr>
            <w:tcW w:w="1194" w:type="dxa"/>
            <w:vMerge w:val="continue"/>
            <w:shd w:val="clear" w:color="auto" w:fill="auto"/>
          </w:tcPr>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基站</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56032213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分支</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56022102</w:t>
            </w:r>
          </w:p>
        </w:tc>
        <w:tc>
          <w:tcPr>
            <w:tcW w:w="1194" w:type="dxa"/>
            <w:vMerge w:val="continue"/>
            <w:shd w:val="clear" w:color="auto" w:fill="auto"/>
          </w:tcPr>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地下井室</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56032214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预留口</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56022103</w:t>
            </w:r>
          </w:p>
        </w:tc>
        <w:tc>
          <w:tcPr>
            <w:tcW w:w="1194" w:type="dxa"/>
            <w:vMerge w:val="continue"/>
            <w:shd w:val="clear" w:color="auto" w:fill="auto"/>
          </w:tcPr>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上杆</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56032215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56022104</w:t>
            </w:r>
          </w:p>
        </w:tc>
        <w:tc>
          <w:tcPr>
            <w:tcW w:w="1194" w:type="dxa"/>
            <w:vMerge w:val="continue"/>
            <w:shd w:val="clear" w:color="auto" w:fill="auto"/>
            <w:vAlign w:val="center"/>
          </w:tcPr>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电话亭</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56032216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人孔</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56022201</w:t>
            </w:r>
          </w:p>
        </w:tc>
        <w:tc>
          <w:tcPr>
            <w:tcW w:w="1194" w:type="dxa"/>
            <w:vMerge w:val="continue"/>
            <w:shd w:val="clear" w:color="auto" w:fill="auto"/>
            <w:vAlign w:val="center"/>
          </w:tcPr>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信息网络面状要素</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56033000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手孔</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56022202</w:t>
            </w:r>
          </w:p>
        </w:tc>
        <w:tc>
          <w:tcPr>
            <w:tcW w:w="1194" w:type="dxa"/>
            <w:vMerge w:val="restart"/>
            <w:shd w:val="clear" w:color="auto" w:fill="auto"/>
            <w:vAlign w:val="center"/>
          </w:tcPr>
          <w:p>
            <w:pPr>
              <w:jc w:val="center"/>
              <w:rPr>
                <w:rFonts w:ascii="仿宋" w:hAnsi="仿宋" w:eastAsia="仿宋" w:cs="仿宋"/>
              </w:rPr>
            </w:pPr>
            <w:r>
              <w:rPr>
                <w:rFonts w:hint="eastAsia" w:ascii="仿宋" w:hAnsi="仿宋" w:eastAsia="仿宋" w:cs="仿宋"/>
                <w:b/>
                <w:kern w:val="0"/>
                <w:sz w:val="18"/>
                <w:szCs w:val="18"/>
                <w:lang w:val="zh-CN"/>
              </w:rPr>
              <w:t>广播</w:t>
            </w: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广播管段</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56041000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分线箱</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56022203</w:t>
            </w:r>
          </w:p>
        </w:tc>
        <w:tc>
          <w:tcPr>
            <w:tcW w:w="1194" w:type="dxa"/>
            <w:vMerge w:val="continue"/>
            <w:shd w:val="clear" w:color="auto" w:fill="auto"/>
            <w:vAlign w:val="center"/>
          </w:tcPr>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直通</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56042101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接线箱</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56022204</w:t>
            </w:r>
          </w:p>
        </w:tc>
        <w:tc>
          <w:tcPr>
            <w:tcW w:w="1194" w:type="dxa"/>
            <w:vMerge w:val="continue"/>
            <w:shd w:val="clear" w:color="auto" w:fill="auto"/>
            <w:vAlign w:val="center"/>
          </w:tcPr>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分支</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56042102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vAlign w:val="center"/>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交接箱</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56022205</w:t>
            </w:r>
          </w:p>
        </w:tc>
        <w:tc>
          <w:tcPr>
            <w:tcW w:w="1194" w:type="dxa"/>
            <w:vMerge w:val="continue"/>
            <w:shd w:val="clear" w:color="auto" w:fill="auto"/>
            <w:vAlign w:val="center"/>
          </w:tcPr>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预留口</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56042103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井</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56022206</w:t>
            </w:r>
          </w:p>
        </w:tc>
        <w:tc>
          <w:tcPr>
            <w:tcW w:w="1194" w:type="dxa"/>
            <w:vMerge w:val="continue"/>
            <w:shd w:val="clear" w:color="auto" w:fill="auto"/>
            <w:vAlign w:val="center"/>
          </w:tcPr>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56042104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机楼</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56022207</w:t>
            </w:r>
          </w:p>
        </w:tc>
        <w:tc>
          <w:tcPr>
            <w:tcW w:w="1194" w:type="dxa"/>
            <w:vMerge w:val="continue"/>
            <w:shd w:val="clear" w:color="auto" w:fill="auto"/>
            <w:vAlign w:val="center"/>
          </w:tcPr>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人孔</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56042201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线杆</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56022208</w:t>
            </w:r>
          </w:p>
        </w:tc>
        <w:tc>
          <w:tcPr>
            <w:tcW w:w="1194" w:type="dxa"/>
            <w:vMerge w:val="continue"/>
            <w:shd w:val="clear" w:color="auto" w:fill="auto"/>
          </w:tcPr>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分线箱</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56042203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控制室</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56022209</w:t>
            </w:r>
          </w:p>
        </w:tc>
        <w:tc>
          <w:tcPr>
            <w:tcW w:w="1194" w:type="dxa"/>
            <w:vMerge w:val="continue"/>
            <w:shd w:val="clear" w:color="auto" w:fill="auto"/>
          </w:tcPr>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接线箱</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56042204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差转台</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56022210</w:t>
            </w:r>
          </w:p>
        </w:tc>
        <w:tc>
          <w:tcPr>
            <w:tcW w:w="1194" w:type="dxa"/>
            <w:vMerge w:val="continue"/>
            <w:shd w:val="clear" w:color="auto" w:fill="auto"/>
          </w:tcPr>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交接箱</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56042205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tcPr>
          <w:p>
            <w:pPr>
              <w:jc w:val="center"/>
              <w:rPr>
                <w:rFonts w:ascii="仿宋" w:hAnsi="仿宋" w:eastAsia="仿宋" w:cs="仿宋"/>
              </w:rPr>
            </w:pPr>
          </w:p>
        </w:tc>
        <w:tc>
          <w:tcPr>
            <w:tcW w:w="14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发射塔</w:t>
            </w:r>
          </w:p>
        </w:tc>
        <w:tc>
          <w:tcPr>
            <w:tcW w:w="13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56022211</w:t>
            </w:r>
          </w:p>
        </w:tc>
        <w:tc>
          <w:tcPr>
            <w:tcW w:w="1194" w:type="dxa"/>
            <w:vMerge w:val="continue"/>
            <w:shd w:val="clear" w:color="auto" w:fill="auto"/>
          </w:tcPr>
          <w:p>
            <w:pPr>
              <w:jc w:val="center"/>
              <w:rPr>
                <w:rFonts w:ascii="仿宋" w:hAnsi="仿宋" w:eastAsia="仿宋" w:cs="仿宋"/>
              </w:rPr>
            </w:pPr>
          </w:p>
        </w:tc>
        <w:tc>
          <w:tcPr>
            <w:tcW w:w="17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井</w:t>
            </w:r>
          </w:p>
        </w:tc>
        <w:tc>
          <w:tcPr>
            <w:tcW w:w="1250"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56042206</w:t>
            </w:r>
          </w:p>
        </w:tc>
      </w:tr>
    </w:tbl>
    <w:p>
      <w:pPr>
        <w:jc w:val="center"/>
      </w:pPr>
    </w:p>
    <w:p>
      <w:pPr>
        <w:pStyle w:val="2"/>
        <w:ind w:right="420"/>
        <w:jc w:val="center"/>
      </w:pPr>
    </w:p>
    <w:p>
      <w:pPr>
        <w:pStyle w:val="2"/>
        <w:ind w:right="420"/>
        <w:jc w:val="center"/>
      </w:pPr>
    </w:p>
    <w:tbl>
      <w:tblPr>
        <w:tblStyle w:val="26"/>
        <w:tblW w:w="84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381"/>
        <w:gridCol w:w="1381"/>
        <w:gridCol w:w="1381"/>
        <w:gridCol w:w="1884"/>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69"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管线小类</w:t>
            </w:r>
          </w:p>
        </w:tc>
        <w:tc>
          <w:tcPr>
            <w:tcW w:w="1381"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要素名称</w:t>
            </w:r>
          </w:p>
        </w:tc>
        <w:tc>
          <w:tcPr>
            <w:tcW w:w="1381" w:type="dxa"/>
            <w:vAlign w:val="center"/>
          </w:tcPr>
          <w:p>
            <w:pPr>
              <w:tabs>
                <w:tab w:val="left" w:pos="794"/>
                <w:tab w:val="clear" w:pos="0"/>
              </w:tabs>
              <w:jc w:val="center"/>
              <w:rPr>
                <w:rFonts w:ascii="仿宋" w:hAnsi="仿宋" w:eastAsia="仿宋" w:cs="仿宋"/>
              </w:rPr>
            </w:pPr>
            <w:r>
              <w:rPr>
                <w:rFonts w:hint="eastAsia" w:ascii="仿宋" w:hAnsi="仿宋" w:eastAsia="仿宋" w:cs="仿宋"/>
                <w:b/>
                <w:szCs w:val="21"/>
              </w:rPr>
              <w:t>代码</w:t>
            </w:r>
          </w:p>
        </w:tc>
        <w:tc>
          <w:tcPr>
            <w:tcW w:w="1381" w:type="dxa"/>
            <w:vAlign w:val="center"/>
          </w:tcPr>
          <w:p>
            <w:pPr>
              <w:widowControl/>
              <w:jc w:val="center"/>
              <w:rPr>
                <w:rFonts w:ascii="仿宋" w:hAnsi="仿宋" w:eastAsia="仿宋" w:cs="仿宋"/>
              </w:rPr>
            </w:pPr>
            <w:r>
              <w:rPr>
                <w:rFonts w:hint="eastAsia" w:ascii="仿宋" w:hAnsi="仿宋" w:eastAsia="仿宋" w:cs="仿宋"/>
                <w:b/>
                <w:szCs w:val="21"/>
              </w:rPr>
              <w:t>管线小类</w:t>
            </w:r>
          </w:p>
        </w:tc>
        <w:tc>
          <w:tcPr>
            <w:tcW w:w="1884" w:type="dxa"/>
            <w:vAlign w:val="center"/>
          </w:tcPr>
          <w:p>
            <w:pPr>
              <w:widowControl/>
              <w:jc w:val="center"/>
              <w:rPr>
                <w:rFonts w:ascii="仿宋" w:hAnsi="仿宋" w:eastAsia="仿宋" w:cs="仿宋"/>
              </w:rPr>
            </w:pPr>
            <w:r>
              <w:rPr>
                <w:rFonts w:hint="eastAsia" w:ascii="仿宋" w:hAnsi="仿宋" w:eastAsia="仿宋" w:cs="仿宋"/>
                <w:b/>
                <w:szCs w:val="21"/>
              </w:rPr>
              <w:t>要素名称</w:t>
            </w:r>
          </w:p>
        </w:tc>
        <w:tc>
          <w:tcPr>
            <w:tcW w:w="1276" w:type="dxa"/>
            <w:vAlign w:val="center"/>
          </w:tcPr>
          <w:p>
            <w:pPr>
              <w:widowControl/>
              <w:jc w:val="center"/>
              <w:rPr>
                <w:rFonts w:ascii="仿宋" w:hAnsi="仿宋" w:eastAsia="仿宋" w:cs="仿宋"/>
              </w:rPr>
            </w:pPr>
            <w:r>
              <w:rPr>
                <w:rFonts w:hint="eastAsia" w:ascii="仿宋" w:hAnsi="仿宋" w:eastAsia="仿宋" w:cs="仿宋"/>
                <w:b/>
                <w:szCs w:val="21"/>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restart"/>
            <w:shd w:val="clear" w:color="auto" w:fill="auto"/>
            <w:vAlign w:val="center"/>
          </w:tcPr>
          <w:p>
            <w:pPr>
              <w:jc w:val="center"/>
              <w:rPr>
                <w:rFonts w:ascii="仿宋" w:hAnsi="仿宋" w:eastAsia="仿宋" w:cs="仿宋"/>
                <w:b/>
                <w:kern w:val="0"/>
                <w:sz w:val="18"/>
                <w:szCs w:val="18"/>
              </w:rPr>
            </w:pPr>
            <w:r>
              <w:rPr>
                <w:rFonts w:hint="eastAsia" w:ascii="仿宋" w:hAnsi="仿宋" w:eastAsia="仿宋" w:cs="仿宋"/>
                <w:b/>
                <w:kern w:val="0"/>
                <w:sz w:val="18"/>
                <w:szCs w:val="18"/>
                <w:lang w:val="zh-CN"/>
              </w:rPr>
              <w:t>广播</w:t>
            </w:r>
          </w:p>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机楼</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56042207</w:t>
            </w:r>
          </w:p>
        </w:tc>
        <w:tc>
          <w:tcPr>
            <w:tcW w:w="1381" w:type="dxa"/>
            <w:vMerge w:val="restart"/>
            <w:shd w:val="clear" w:color="auto" w:fill="auto"/>
            <w:vAlign w:val="center"/>
          </w:tcPr>
          <w:p>
            <w:pPr>
              <w:jc w:val="center"/>
              <w:rPr>
                <w:rFonts w:ascii="仿宋" w:hAnsi="仿宋" w:eastAsia="仿宋" w:cs="仿宋"/>
                <w:b/>
                <w:kern w:val="0"/>
                <w:sz w:val="18"/>
                <w:szCs w:val="18"/>
                <w:lang w:val="zh-CN"/>
              </w:rPr>
            </w:pPr>
            <w:r>
              <w:rPr>
                <w:rFonts w:hint="eastAsia" w:ascii="仿宋" w:hAnsi="仿宋" w:eastAsia="仿宋" w:cs="仿宋"/>
                <w:b/>
                <w:kern w:val="0"/>
                <w:sz w:val="18"/>
                <w:szCs w:val="18"/>
                <w:lang w:val="zh-CN"/>
              </w:rPr>
              <w:t>陆地通信</w:t>
            </w:r>
          </w:p>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交换站</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56052212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线杆</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56042208</w:t>
            </w:r>
          </w:p>
        </w:tc>
        <w:tc>
          <w:tcPr>
            <w:tcW w:w="1381"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基站</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56052213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控制室</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56042209</w:t>
            </w:r>
          </w:p>
        </w:tc>
        <w:tc>
          <w:tcPr>
            <w:tcW w:w="1381"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地下井室</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56052214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差转台</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56042210</w:t>
            </w:r>
          </w:p>
        </w:tc>
        <w:tc>
          <w:tcPr>
            <w:tcW w:w="1381" w:type="dxa"/>
            <w:vMerge w:val="continue"/>
            <w:shd w:val="clear" w:color="auto" w:fill="auto"/>
            <w:vAlign w:val="center"/>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上杆</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56052215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发射塔</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56042211</w:t>
            </w:r>
          </w:p>
        </w:tc>
        <w:tc>
          <w:tcPr>
            <w:tcW w:w="1381"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rPr>
            </w:pPr>
            <w:r>
              <w:rPr>
                <w:rStyle w:val="100"/>
                <w:rFonts w:hint="default" w:ascii="仿宋" w:hAnsi="仿宋" w:eastAsia="仿宋" w:cs="仿宋"/>
                <w:color w:val="000000"/>
                <w:sz w:val="18"/>
              </w:rPr>
              <w:t>陆地通信</w:t>
            </w:r>
            <w:r>
              <w:rPr>
                <w:rStyle w:val="100"/>
                <w:rFonts w:hint="default" w:ascii="仿宋" w:hAnsi="仿宋" w:eastAsia="仿宋" w:cs="仿宋"/>
                <w:color w:val="000000"/>
                <w:sz w:val="18"/>
                <w:szCs w:val="18"/>
                <w:lang w:val="zh-CN"/>
              </w:rPr>
              <w:t>面状要素</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56053000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放大器</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56042212</w:t>
            </w:r>
          </w:p>
        </w:tc>
        <w:tc>
          <w:tcPr>
            <w:tcW w:w="1381" w:type="dxa"/>
            <w:vMerge w:val="restart"/>
            <w:shd w:val="clear" w:color="auto" w:fill="auto"/>
            <w:vAlign w:val="center"/>
          </w:tcPr>
          <w:p>
            <w:pPr>
              <w:jc w:val="center"/>
              <w:rPr>
                <w:rFonts w:ascii="仿宋" w:hAnsi="仿宋" w:eastAsia="仿宋" w:cs="仿宋"/>
                <w:b/>
                <w:kern w:val="0"/>
                <w:sz w:val="18"/>
                <w:szCs w:val="18"/>
                <w:lang w:val="zh-CN"/>
              </w:rPr>
            </w:pPr>
            <w:r>
              <w:rPr>
                <w:rFonts w:hint="eastAsia" w:ascii="仿宋" w:hAnsi="仿宋" w:eastAsia="仿宋" w:cs="仿宋"/>
                <w:b/>
                <w:kern w:val="0"/>
                <w:sz w:val="18"/>
                <w:szCs w:val="18"/>
                <w:lang w:val="zh-CN"/>
              </w:rPr>
              <w:t>水下光缆</w:t>
            </w:r>
          </w:p>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rPr>
            </w:pPr>
            <w:r>
              <w:rPr>
                <w:rStyle w:val="100"/>
                <w:rFonts w:hint="default" w:ascii="仿宋" w:hAnsi="仿宋" w:eastAsia="仿宋" w:cs="仿宋"/>
                <w:color w:val="000000"/>
                <w:sz w:val="18"/>
              </w:rPr>
              <w:t>水下光缆</w:t>
            </w:r>
            <w:r>
              <w:rPr>
                <w:rStyle w:val="100"/>
                <w:rFonts w:hint="default" w:ascii="仿宋" w:hAnsi="仿宋" w:eastAsia="仿宋" w:cs="仿宋"/>
                <w:color w:val="000000"/>
                <w:sz w:val="18"/>
                <w:szCs w:val="18"/>
                <w:lang w:val="zh-CN"/>
              </w:rPr>
              <w:t>管段</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56061000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交换站</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56042213</w:t>
            </w:r>
          </w:p>
        </w:tc>
        <w:tc>
          <w:tcPr>
            <w:tcW w:w="1381"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直通</w:t>
            </w:r>
          </w:p>
        </w:tc>
        <w:tc>
          <w:tcPr>
            <w:tcW w:w="127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56062101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基站</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56042214</w:t>
            </w:r>
          </w:p>
        </w:tc>
        <w:tc>
          <w:tcPr>
            <w:tcW w:w="1381"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分支</w:t>
            </w:r>
          </w:p>
        </w:tc>
        <w:tc>
          <w:tcPr>
            <w:tcW w:w="127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56062102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地下井室</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56042215</w:t>
            </w:r>
          </w:p>
        </w:tc>
        <w:tc>
          <w:tcPr>
            <w:tcW w:w="1381"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预留口</w:t>
            </w:r>
          </w:p>
        </w:tc>
        <w:tc>
          <w:tcPr>
            <w:tcW w:w="127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56062103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上杆</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56042216</w:t>
            </w:r>
          </w:p>
        </w:tc>
        <w:tc>
          <w:tcPr>
            <w:tcW w:w="1381"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非普查</w:t>
            </w:r>
          </w:p>
        </w:tc>
        <w:tc>
          <w:tcPr>
            <w:tcW w:w="1276" w:type="dxa"/>
            <w:shd w:val="clear" w:color="auto" w:fill="FFFFFF"/>
            <w:vAlign w:val="center"/>
          </w:tcPr>
          <w:p>
            <w:pPr>
              <w:pStyle w:val="99"/>
              <w:spacing w:before="0" w:line="240" w:lineRule="auto"/>
              <w:ind w:firstLine="0"/>
              <w:jc w:val="center"/>
              <w:rPr>
                <w:rFonts w:ascii="仿宋" w:hAnsi="仿宋" w:eastAsia="仿宋" w:cs="仿宋"/>
                <w:sz w:val="18"/>
                <w:szCs w:val="18"/>
              </w:rPr>
            </w:pPr>
            <w:r>
              <w:rPr>
                <w:rFonts w:hint="eastAsia" w:ascii="仿宋" w:hAnsi="仿宋" w:eastAsia="仿宋" w:cs="仿宋"/>
                <w:sz w:val="18"/>
                <w:szCs w:val="18"/>
              </w:rPr>
              <w:t>56062104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广播面状要素</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56043000</w:t>
            </w:r>
          </w:p>
        </w:tc>
        <w:tc>
          <w:tcPr>
            <w:tcW w:w="1381"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人孔</w:t>
            </w:r>
          </w:p>
        </w:tc>
        <w:tc>
          <w:tcPr>
            <w:tcW w:w="127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56062201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restart"/>
            <w:shd w:val="clear" w:color="auto" w:fill="auto"/>
            <w:vAlign w:val="center"/>
          </w:tcPr>
          <w:p>
            <w:pPr>
              <w:jc w:val="center"/>
              <w:rPr>
                <w:rFonts w:ascii="仿宋" w:hAnsi="仿宋" w:eastAsia="仿宋" w:cs="仿宋"/>
                <w:b/>
                <w:kern w:val="0"/>
                <w:sz w:val="18"/>
                <w:szCs w:val="18"/>
                <w:lang w:val="zh-CN"/>
              </w:rPr>
            </w:pPr>
            <w:r>
              <w:rPr>
                <w:rFonts w:hint="eastAsia" w:ascii="仿宋" w:hAnsi="仿宋" w:eastAsia="仿宋" w:cs="仿宋"/>
                <w:b/>
                <w:kern w:val="0"/>
                <w:sz w:val="18"/>
                <w:szCs w:val="18"/>
                <w:lang w:val="zh-CN"/>
              </w:rPr>
              <w:t>陆地通信</w:t>
            </w:r>
          </w:p>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rPr>
              <w:t>陆地通信</w:t>
            </w:r>
            <w:r>
              <w:rPr>
                <w:rStyle w:val="100"/>
                <w:rFonts w:hint="default" w:ascii="仿宋" w:hAnsi="仿宋" w:eastAsia="仿宋" w:cs="仿宋"/>
                <w:color w:val="000000"/>
                <w:sz w:val="18"/>
                <w:szCs w:val="18"/>
                <w:lang w:val="zh-CN"/>
              </w:rPr>
              <w:t>管段</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56051000</w:t>
            </w:r>
          </w:p>
        </w:tc>
        <w:tc>
          <w:tcPr>
            <w:tcW w:w="1381"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手孔</w:t>
            </w:r>
          </w:p>
        </w:tc>
        <w:tc>
          <w:tcPr>
            <w:tcW w:w="127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56062202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直通</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56052101</w:t>
            </w:r>
          </w:p>
        </w:tc>
        <w:tc>
          <w:tcPr>
            <w:tcW w:w="1381"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分线箱</w:t>
            </w:r>
          </w:p>
        </w:tc>
        <w:tc>
          <w:tcPr>
            <w:tcW w:w="127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56062203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分支</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56052102</w:t>
            </w:r>
          </w:p>
        </w:tc>
        <w:tc>
          <w:tcPr>
            <w:tcW w:w="1381"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接线箱</w:t>
            </w:r>
          </w:p>
        </w:tc>
        <w:tc>
          <w:tcPr>
            <w:tcW w:w="127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56062204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预留口</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56052103</w:t>
            </w:r>
          </w:p>
        </w:tc>
        <w:tc>
          <w:tcPr>
            <w:tcW w:w="1381"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交接箱</w:t>
            </w:r>
          </w:p>
        </w:tc>
        <w:tc>
          <w:tcPr>
            <w:tcW w:w="127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56062205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56052104</w:t>
            </w:r>
          </w:p>
        </w:tc>
        <w:tc>
          <w:tcPr>
            <w:tcW w:w="1381"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机楼</w:t>
            </w:r>
          </w:p>
        </w:tc>
        <w:tc>
          <w:tcPr>
            <w:tcW w:w="127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56062206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人孔</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56052201</w:t>
            </w:r>
          </w:p>
        </w:tc>
        <w:tc>
          <w:tcPr>
            <w:tcW w:w="1381"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线杆</w:t>
            </w:r>
          </w:p>
        </w:tc>
        <w:tc>
          <w:tcPr>
            <w:tcW w:w="127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56062207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手孔</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56052202</w:t>
            </w:r>
          </w:p>
        </w:tc>
        <w:tc>
          <w:tcPr>
            <w:tcW w:w="1381"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控制室</w:t>
            </w:r>
          </w:p>
        </w:tc>
        <w:tc>
          <w:tcPr>
            <w:tcW w:w="127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56062208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分线箱</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56052203</w:t>
            </w:r>
          </w:p>
        </w:tc>
        <w:tc>
          <w:tcPr>
            <w:tcW w:w="1381"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差转台</w:t>
            </w:r>
          </w:p>
        </w:tc>
        <w:tc>
          <w:tcPr>
            <w:tcW w:w="127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56062209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接线箱</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56052204</w:t>
            </w:r>
          </w:p>
        </w:tc>
        <w:tc>
          <w:tcPr>
            <w:tcW w:w="1381"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发射塔</w:t>
            </w:r>
          </w:p>
        </w:tc>
        <w:tc>
          <w:tcPr>
            <w:tcW w:w="127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56062210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交接箱</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56052205</w:t>
            </w:r>
          </w:p>
        </w:tc>
        <w:tc>
          <w:tcPr>
            <w:tcW w:w="1381"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放大器</w:t>
            </w:r>
          </w:p>
        </w:tc>
        <w:tc>
          <w:tcPr>
            <w:tcW w:w="127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56062211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机楼</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56052206</w:t>
            </w:r>
          </w:p>
        </w:tc>
        <w:tc>
          <w:tcPr>
            <w:tcW w:w="1381"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交换站</w:t>
            </w:r>
          </w:p>
        </w:tc>
        <w:tc>
          <w:tcPr>
            <w:tcW w:w="127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56062212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线杆</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56052207</w:t>
            </w:r>
          </w:p>
        </w:tc>
        <w:tc>
          <w:tcPr>
            <w:tcW w:w="1381" w:type="dxa"/>
            <w:vMerge w:val="continue"/>
            <w:shd w:val="clear" w:color="auto" w:fill="auto"/>
            <w:vAlign w:val="center"/>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基站</w:t>
            </w:r>
          </w:p>
        </w:tc>
        <w:tc>
          <w:tcPr>
            <w:tcW w:w="127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56062213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控制室</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56052208</w:t>
            </w:r>
          </w:p>
        </w:tc>
        <w:tc>
          <w:tcPr>
            <w:tcW w:w="1381"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地下井室</w:t>
            </w:r>
          </w:p>
        </w:tc>
        <w:tc>
          <w:tcPr>
            <w:tcW w:w="127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56062214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差转台</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56052209</w:t>
            </w:r>
          </w:p>
        </w:tc>
        <w:tc>
          <w:tcPr>
            <w:tcW w:w="1381"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上杆</w:t>
            </w:r>
          </w:p>
        </w:tc>
        <w:tc>
          <w:tcPr>
            <w:tcW w:w="127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56062215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发射塔</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56052210</w:t>
            </w:r>
          </w:p>
        </w:tc>
        <w:tc>
          <w:tcPr>
            <w:tcW w:w="1381" w:type="dxa"/>
            <w:vMerge w:val="continue"/>
            <w:shd w:val="clear" w:color="auto" w:fill="auto"/>
          </w:tcPr>
          <w:p>
            <w:pPr>
              <w:jc w:val="center"/>
              <w:rPr>
                <w:rFonts w:ascii="仿宋" w:hAnsi="仿宋" w:eastAsia="仿宋" w:cs="仿宋"/>
              </w:rPr>
            </w:pPr>
          </w:p>
        </w:tc>
        <w:tc>
          <w:tcPr>
            <w:tcW w:w="1884"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rPr>
              <w:t>水下光缆</w:t>
            </w:r>
            <w:r>
              <w:rPr>
                <w:rStyle w:val="100"/>
                <w:rFonts w:hint="default" w:ascii="仿宋" w:hAnsi="仿宋" w:eastAsia="仿宋" w:cs="仿宋"/>
                <w:color w:val="000000"/>
                <w:sz w:val="18"/>
                <w:szCs w:val="18"/>
                <w:lang w:val="zh-CN"/>
              </w:rPr>
              <w:t>面状要素</w:t>
            </w:r>
          </w:p>
        </w:tc>
        <w:tc>
          <w:tcPr>
            <w:tcW w:w="127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56063000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放大器</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56052211</w:t>
            </w:r>
          </w:p>
        </w:tc>
        <w:tc>
          <w:tcPr>
            <w:tcW w:w="1381" w:type="dxa"/>
            <w:shd w:val="clear" w:color="auto" w:fill="auto"/>
          </w:tcPr>
          <w:p>
            <w:pPr>
              <w:jc w:val="center"/>
              <w:rPr>
                <w:rFonts w:ascii="仿宋" w:hAnsi="仿宋" w:eastAsia="仿宋" w:cs="仿宋"/>
              </w:rPr>
            </w:pPr>
            <w:r>
              <w:rPr>
                <w:rFonts w:hint="eastAsia" w:ascii="仿宋" w:hAnsi="仿宋" w:eastAsia="仿宋" w:cs="仿宋"/>
                <w:b/>
                <w:kern w:val="0"/>
                <w:sz w:val="18"/>
                <w:szCs w:val="18"/>
              </w:rPr>
              <w:t>其他</w:t>
            </w:r>
          </w:p>
        </w:tc>
        <w:tc>
          <w:tcPr>
            <w:tcW w:w="1884"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Fonts w:hint="eastAsia" w:ascii="仿宋" w:hAnsi="仿宋" w:eastAsia="仿宋" w:cs="仿宋"/>
                <w:sz w:val="18"/>
                <w:szCs w:val="18"/>
              </w:rPr>
              <w:t>其他</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5699000</w:t>
            </w:r>
          </w:p>
        </w:tc>
      </w:tr>
    </w:tbl>
    <w:p>
      <w:pPr>
        <w:jc w:val="center"/>
        <w:rPr>
          <w:rFonts w:ascii="仿宋" w:hAnsi="仿宋" w:eastAsia="仿宋" w:cs="仿宋"/>
          <w:b/>
        </w:rPr>
      </w:pPr>
      <w:r>
        <w:rPr>
          <w:rFonts w:hint="eastAsia" w:ascii="仿宋" w:hAnsi="仿宋" w:eastAsia="仿宋" w:cs="仿宋"/>
          <w:b/>
        </w:rPr>
        <w:br w:type="page"/>
      </w:r>
    </w:p>
    <w:p>
      <w:pPr>
        <w:pStyle w:val="2"/>
        <w:spacing w:line="560" w:lineRule="exact"/>
        <w:jc w:val="center"/>
        <w:rPr>
          <w:rFonts w:ascii="仿宋" w:hAnsi="仿宋" w:eastAsia="仿宋" w:cs="仿宋"/>
          <w:b/>
        </w:rPr>
      </w:pPr>
      <w:r>
        <w:rPr>
          <w:rFonts w:hint="eastAsia" w:ascii="仿宋" w:hAnsi="仿宋" w:eastAsia="仿宋" w:cs="仿宋"/>
          <w:b/>
        </w:rPr>
        <w:t>附表A.</w:t>
      </w:r>
      <w:r>
        <w:rPr>
          <w:rFonts w:ascii="仿宋" w:hAnsi="仿宋" w:eastAsia="仿宋" w:cs="仿宋"/>
          <w:b/>
        </w:rPr>
        <w:t>1</w:t>
      </w:r>
      <w:r>
        <w:rPr>
          <w:rFonts w:hint="eastAsia" w:ascii="仿宋" w:hAnsi="仿宋" w:eastAsia="仿宋" w:cs="仿宋"/>
          <w:b/>
        </w:rPr>
        <w:t>2.7工业管线要素代码表</w:t>
      </w:r>
    </w:p>
    <w:tbl>
      <w:tblPr>
        <w:tblStyle w:val="26"/>
        <w:tblW w:w="8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1382"/>
        <w:gridCol w:w="1381"/>
        <w:gridCol w:w="1381"/>
        <w:gridCol w:w="1381"/>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380"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管线小类</w:t>
            </w:r>
          </w:p>
        </w:tc>
        <w:tc>
          <w:tcPr>
            <w:tcW w:w="1382"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要素名称</w:t>
            </w:r>
          </w:p>
        </w:tc>
        <w:tc>
          <w:tcPr>
            <w:tcW w:w="1381" w:type="dxa"/>
            <w:vAlign w:val="center"/>
          </w:tcPr>
          <w:p>
            <w:pPr>
              <w:tabs>
                <w:tab w:val="left" w:pos="794"/>
                <w:tab w:val="clear" w:pos="0"/>
              </w:tabs>
              <w:jc w:val="center"/>
              <w:rPr>
                <w:rFonts w:ascii="仿宋" w:hAnsi="仿宋" w:eastAsia="仿宋" w:cs="仿宋"/>
              </w:rPr>
            </w:pPr>
            <w:r>
              <w:rPr>
                <w:rFonts w:hint="eastAsia" w:ascii="仿宋" w:hAnsi="仿宋" w:eastAsia="仿宋" w:cs="仿宋"/>
                <w:b/>
                <w:szCs w:val="21"/>
              </w:rPr>
              <w:t>代码</w:t>
            </w:r>
          </w:p>
        </w:tc>
        <w:tc>
          <w:tcPr>
            <w:tcW w:w="1381" w:type="dxa"/>
            <w:vAlign w:val="center"/>
          </w:tcPr>
          <w:p>
            <w:pPr>
              <w:widowControl/>
              <w:jc w:val="center"/>
              <w:rPr>
                <w:rFonts w:ascii="仿宋" w:hAnsi="仿宋" w:eastAsia="仿宋" w:cs="仿宋"/>
              </w:rPr>
            </w:pPr>
            <w:r>
              <w:rPr>
                <w:rFonts w:hint="eastAsia" w:ascii="仿宋" w:hAnsi="仿宋" w:eastAsia="仿宋" w:cs="仿宋"/>
                <w:b/>
                <w:szCs w:val="21"/>
              </w:rPr>
              <w:t>管线小类</w:t>
            </w:r>
          </w:p>
        </w:tc>
        <w:tc>
          <w:tcPr>
            <w:tcW w:w="1381" w:type="dxa"/>
            <w:vAlign w:val="center"/>
          </w:tcPr>
          <w:p>
            <w:pPr>
              <w:widowControl/>
              <w:jc w:val="center"/>
              <w:rPr>
                <w:rFonts w:ascii="仿宋" w:hAnsi="仿宋" w:eastAsia="仿宋" w:cs="仿宋"/>
              </w:rPr>
            </w:pPr>
            <w:r>
              <w:rPr>
                <w:rFonts w:hint="eastAsia" w:ascii="仿宋" w:hAnsi="仿宋" w:eastAsia="仿宋" w:cs="仿宋"/>
                <w:b/>
                <w:szCs w:val="21"/>
              </w:rPr>
              <w:t>要素名称</w:t>
            </w:r>
          </w:p>
        </w:tc>
        <w:tc>
          <w:tcPr>
            <w:tcW w:w="1383" w:type="dxa"/>
            <w:vAlign w:val="center"/>
          </w:tcPr>
          <w:p>
            <w:pPr>
              <w:widowControl/>
              <w:jc w:val="center"/>
              <w:rPr>
                <w:rFonts w:ascii="仿宋" w:hAnsi="仿宋" w:eastAsia="仿宋" w:cs="仿宋"/>
              </w:rPr>
            </w:pPr>
            <w:r>
              <w:rPr>
                <w:rFonts w:hint="eastAsia" w:ascii="仿宋" w:hAnsi="仿宋" w:eastAsia="仿宋" w:cs="仿宋"/>
                <w:b/>
                <w:szCs w:val="21"/>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restart"/>
            <w:shd w:val="clear" w:color="auto" w:fill="auto"/>
            <w:vAlign w:val="center"/>
          </w:tcPr>
          <w:p>
            <w:pPr>
              <w:widowControl/>
              <w:jc w:val="center"/>
              <w:rPr>
                <w:rFonts w:ascii="仿宋" w:hAnsi="仿宋" w:eastAsia="仿宋" w:cs="仿宋"/>
                <w:b/>
                <w:kern w:val="0"/>
                <w:sz w:val="18"/>
                <w:szCs w:val="18"/>
              </w:rPr>
            </w:pPr>
            <w:r>
              <w:rPr>
                <w:rFonts w:hint="eastAsia" w:ascii="仿宋" w:hAnsi="仿宋" w:eastAsia="仿宋" w:cs="仿宋"/>
                <w:b/>
                <w:kern w:val="0"/>
                <w:sz w:val="18"/>
                <w:szCs w:val="18"/>
              </w:rPr>
              <w:t>氢气</w:t>
            </w:r>
          </w:p>
          <w:p>
            <w:pPr>
              <w:jc w:val="center"/>
              <w:rPr>
                <w:rFonts w:ascii="仿宋" w:hAnsi="仿宋" w:eastAsia="仿宋" w:cs="仿宋"/>
                <w:b/>
                <w:kern w:val="0"/>
                <w:sz w:val="18"/>
                <w:szCs w:val="18"/>
              </w:rPr>
            </w:pPr>
          </w:p>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氢气管段</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57011000</w:t>
            </w:r>
          </w:p>
        </w:tc>
        <w:tc>
          <w:tcPr>
            <w:tcW w:w="1381" w:type="dxa"/>
            <w:vMerge w:val="restart"/>
            <w:shd w:val="clear" w:color="auto" w:fill="auto"/>
            <w:vAlign w:val="center"/>
          </w:tcPr>
          <w:p>
            <w:pPr>
              <w:jc w:val="center"/>
              <w:rPr>
                <w:rFonts w:ascii="仿宋" w:hAnsi="仿宋" w:eastAsia="仿宋" w:cs="仿宋"/>
                <w:b/>
                <w:kern w:val="0"/>
                <w:sz w:val="18"/>
                <w:szCs w:val="18"/>
                <w:lang w:val="zh-CN"/>
              </w:rPr>
            </w:pPr>
            <w:r>
              <w:rPr>
                <w:rFonts w:hint="eastAsia" w:ascii="仿宋" w:hAnsi="仿宋" w:eastAsia="仿宋" w:cs="仿宋"/>
                <w:b/>
                <w:kern w:val="0"/>
                <w:sz w:val="18"/>
                <w:szCs w:val="18"/>
                <w:lang w:val="zh-CN"/>
              </w:rPr>
              <w:t>乙炔</w:t>
            </w:r>
          </w:p>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乙炔管段</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57031000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冷却塔</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57012101</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冷却塔</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57032101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动力站</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57012102</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动力站</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57032102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弯头</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57012103</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弯头</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57032103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三通</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57012104</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三通</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57032104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四通</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57012105</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变径</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57032106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变径</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57012106</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预留口</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57032107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预留口</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57012107</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出地点</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57032108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出地点</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57012108</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管堵</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57032109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管堵</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57012109</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57032110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57012110</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检修井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57032201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检修井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57012201</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57032202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57012202</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57032203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57012203</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流量计</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57032204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流量计</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57012204</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补偿器</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57032205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补偿器</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57012205</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锅炉房</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57032206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锅炉房</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57012206</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泵站</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57032207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泵站</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57012207</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乙炔面状要素</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57033000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氢气面状要素</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57013000</w:t>
            </w:r>
          </w:p>
        </w:tc>
        <w:tc>
          <w:tcPr>
            <w:tcW w:w="1381" w:type="dxa"/>
            <w:vMerge w:val="restart"/>
            <w:shd w:val="clear" w:color="auto" w:fill="auto"/>
            <w:vAlign w:val="center"/>
          </w:tcPr>
          <w:p>
            <w:pPr>
              <w:jc w:val="center"/>
              <w:rPr>
                <w:rFonts w:ascii="仿宋" w:hAnsi="仿宋" w:eastAsia="仿宋" w:cs="仿宋"/>
                <w:b/>
                <w:kern w:val="0"/>
                <w:sz w:val="18"/>
                <w:szCs w:val="18"/>
                <w:lang w:val="zh-CN"/>
              </w:rPr>
            </w:pPr>
            <w:r>
              <w:rPr>
                <w:rFonts w:hint="eastAsia" w:ascii="仿宋" w:hAnsi="仿宋" w:eastAsia="仿宋" w:cs="仿宋"/>
                <w:b/>
                <w:kern w:val="0"/>
                <w:sz w:val="18"/>
                <w:szCs w:val="18"/>
                <w:lang w:val="zh-CN"/>
              </w:rPr>
              <w:t>乙烯</w:t>
            </w:r>
          </w:p>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乙烯管段</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57041000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restart"/>
            <w:shd w:val="clear" w:color="auto" w:fill="auto"/>
            <w:vAlign w:val="center"/>
          </w:tcPr>
          <w:p>
            <w:pPr>
              <w:widowControl/>
              <w:jc w:val="center"/>
              <w:rPr>
                <w:rFonts w:ascii="仿宋" w:hAnsi="仿宋" w:eastAsia="仿宋" w:cs="仿宋"/>
                <w:b/>
                <w:kern w:val="0"/>
                <w:sz w:val="18"/>
                <w:szCs w:val="18"/>
              </w:rPr>
            </w:pPr>
            <w:r>
              <w:rPr>
                <w:rFonts w:hint="eastAsia" w:ascii="仿宋" w:hAnsi="仿宋" w:eastAsia="仿宋" w:cs="仿宋"/>
                <w:b/>
                <w:kern w:val="0"/>
                <w:sz w:val="18"/>
                <w:szCs w:val="18"/>
                <w:lang w:val="zh-CN"/>
              </w:rPr>
              <w:t>氧气</w:t>
            </w:r>
          </w:p>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氧气管段</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57021000</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冷却塔</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57042101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冷却塔</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57022101</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动力站</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57042102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动力站</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57022102</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弯头</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57042103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弯头</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57022103</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三通</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57042104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三通</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57022104</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四通</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57042105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四通</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57022105</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变径</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57042106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变径</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57022106</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预留口</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57042107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预留口</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57022107</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出地点</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57042108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出地点</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57022108</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管堵</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57042109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管堵</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57022109</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57042110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57022110</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检修井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57042201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检修井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57022201</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阀门井</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57042202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vAlign w:val="center"/>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57022202</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57042203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57022203</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流量计</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57042204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流量计</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57022204</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补偿器</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57042205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补偿器</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57022205</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锅炉房</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57042206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锅炉房</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57022206</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泵站</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57042207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泵站</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57022207</w:t>
            </w:r>
          </w:p>
        </w:tc>
        <w:tc>
          <w:tcPr>
            <w:tcW w:w="1381" w:type="dxa"/>
            <w:vMerge w:val="continue"/>
            <w:shd w:val="clear" w:color="auto" w:fill="auto"/>
            <w:vAlign w:val="center"/>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乙烯面状要素</w:t>
            </w: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57043000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tcPr>
          <w:p>
            <w:pPr>
              <w:jc w:val="center"/>
              <w:rPr>
                <w:rFonts w:ascii="仿宋" w:hAnsi="仿宋" w:eastAsia="仿宋" w:cs="仿宋"/>
              </w:rPr>
            </w:pPr>
          </w:p>
        </w:tc>
        <w:tc>
          <w:tcPr>
            <w:tcW w:w="1382"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氧气面状要素</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57023000</w:t>
            </w:r>
          </w:p>
        </w:tc>
        <w:tc>
          <w:tcPr>
            <w:tcW w:w="1381" w:type="dxa"/>
            <w:vMerge w:val="continue"/>
            <w:shd w:val="clear" w:color="auto" w:fill="auto"/>
          </w:tcPr>
          <w:p>
            <w:pPr>
              <w:jc w:val="center"/>
              <w:rPr>
                <w:rFonts w:ascii="仿宋" w:hAnsi="仿宋" w:eastAsia="仿宋" w:cs="仿宋"/>
              </w:rPr>
            </w:pP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p>
        </w:tc>
        <w:tc>
          <w:tcPr>
            <w:tcW w:w="138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p>
        </w:tc>
      </w:tr>
    </w:tbl>
    <w:p>
      <w:pPr>
        <w:jc w:val="center"/>
      </w:pPr>
    </w:p>
    <w:tbl>
      <w:tblPr>
        <w:tblStyle w:val="26"/>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417"/>
        <w:gridCol w:w="1113"/>
        <w:gridCol w:w="1439"/>
        <w:gridCol w:w="1701"/>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413" w:type="dxa"/>
            <w:vAlign w:val="center"/>
          </w:tcPr>
          <w:p>
            <w:pPr>
              <w:pStyle w:val="98"/>
              <w:ind w:firstLine="0" w:firstLineChars="0"/>
              <w:jc w:val="center"/>
              <w:rPr>
                <w:rFonts w:ascii="仿宋" w:hAnsi="仿宋" w:eastAsia="仿宋" w:cs="仿宋"/>
                <w:szCs w:val="21"/>
              </w:rPr>
            </w:pPr>
            <w:r>
              <w:rPr>
                <w:rFonts w:hint="eastAsia" w:ascii="仿宋" w:hAnsi="仿宋" w:eastAsia="仿宋" w:cs="仿宋"/>
                <w:b/>
                <w:szCs w:val="21"/>
              </w:rPr>
              <w:t>管线小类</w:t>
            </w:r>
          </w:p>
        </w:tc>
        <w:tc>
          <w:tcPr>
            <w:tcW w:w="1417" w:type="dxa"/>
            <w:vAlign w:val="center"/>
          </w:tcPr>
          <w:p>
            <w:pPr>
              <w:pStyle w:val="98"/>
              <w:ind w:firstLine="0" w:firstLineChars="0"/>
              <w:jc w:val="center"/>
              <w:rPr>
                <w:rFonts w:ascii="仿宋" w:hAnsi="仿宋" w:eastAsia="仿宋" w:cs="仿宋"/>
                <w:szCs w:val="21"/>
              </w:rPr>
            </w:pPr>
            <w:r>
              <w:rPr>
                <w:rFonts w:hint="eastAsia" w:ascii="仿宋" w:hAnsi="仿宋" w:eastAsia="仿宋" w:cs="仿宋"/>
                <w:b/>
                <w:szCs w:val="21"/>
              </w:rPr>
              <w:t>要素名称</w:t>
            </w:r>
          </w:p>
        </w:tc>
        <w:tc>
          <w:tcPr>
            <w:tcW w:w="1113" w:type="dxa"/>
            <w:vAlign w:val="center"/>
          </w:tcPr>
          <w:p>
            <w:pPr>
              <w:tabs>
                <w:tab w:val="left" w:pos="794"/>
                <w:tab w:val="clear" w:pos="0"/>
              </w:tabs>
              <w:jc w:val="center"/>
              <w:rPr>
                <w:rFonts w:ascii="仿宋" w:hAnsi="仿宋" w:eastAsia="仿宋" w:cs="仿宋"/>
                <w:szCs w:val="21"/>
              </w:rPr>
            </w:pPr>
            <w:r>
              <w:rPr>
                <w:rFonts w:hint="eastAsia" w:ascii="仿宋" w:hAnsi="仿宋" w:eastAsia="仿宋" w:cs="仿宋"/>
                <w:b/>
                <w:szCs w:val="21"/>
              </w:rPr>
              <w:t>代码</w:t>
            </w:r>
          </w:p>
        </w:tc>
        <w:tc>
          <w:tcPr>
            <w:tcW w:w="1439" w:type="dxa"/>
            <w:vAlign w:val="center"/>
          </w:tcPr>
          <w:p>
            <w:pPr>
              <w:widowControl/>
              <w:jc w:val="center"/>
              <w:rPr>
                <w:rFonts w:ascii="仿宋" w:hAnsi="仿宋" w:eastAsia="仿宋" w:cs="仿宋"/>
                <w:szCs w:val="21"/>
              </w:rPr>
            </w:pPr>
            <w:r>
              <w:rPr>
                <w:rFonts w:hint="eastAsia" w:ascii="仿宋" w:hAnsi="仿宋" w:eastAsia="仿宋" w:cs="仿宋"/>
                <w:b/>
                <w:szCs w:val="21"/>
              </w:rPr>
              <w:t>管线小类</w:t>
            </w:r>
          </w:p>
        </w:tc>
        <w:tc>
          <w:tcPr>
            <w:tcW w:w="1701" w:type="dxa"/>
            <w:vAlign w:val="center"/>
          </w:tcPr>
          <w:p>
            <w:pPr>
              <w:widowControl/>
              <w:jc w:val="center"/>
              <w:rPr>
                <w:rFonts w:ascii="仿宋" w:hAnsi="仿宋" w:eastAsia="仿宋" w:cs="仿宋"/>
                <w:szCs w:val="21"/>
              </w:rPr>
            </w:pPr>
            <w:r>
              <w:rPr>
                <w:rFonts w:hint="eastAsia" w:ascii="仿宋" w:hAnsi="仿宋" w:eastAsia="仿宋" w:cs="仿宋"/>
                <w:b/>
                <w:szCs w:val="21"/>
              </w:rPr>
              <w:t>要素名称</w:t>
            </w:r>
          </w:p>
        </w:tc>
        <w:tc>
          <w:tcPr>
            <w:tcW w:w="1276" w:type="dxa"/>
            <w:vAlign w:val="center"/>
          </w:tcPr>
          <w:p>
            <w:pPr>
              <w:widowControl/>
              <w:jc w:val="center"/>
              <w:rPr>
                <w:rFonts w:ascii="仿宋" w:hAnsi="仿宋" w:eastAsia="仿宋" w:cs="仿宋"/>
                <w:szCs w:val="21"/>
              </w:rPr>
            </w:pPr>
            <w:r>
              <w:rPr>
                <w:rFonts w:hint="eastAsia" w:ascii="仿宋" w:hAnsi="仿宋" w:eastAsia="仿宋" w:cs="仿宋"/>
                <w:b/>
                <w:szCs w:val="21"/>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restart"/>
            <w:shd w:val="clear" w:color="auto" w:fill="auto"/>
            <w:vAlign w:val="center"/>
          </w:tcPr>
          <w:p>
            <w:pPr>
              <w:jc w:val="center"/>
              <w:rPr>
                <w:rFonts w:ascii="仿宋" w:hAnsi="仿宋" w:eastAsia="仿宋" w:cs="仿宋"/>
                <w:b/>
                <w:kern w:val="0"/>
                <w:sz w:val="18"/>
                <w:szCs w:val="18"/>
                <w:lang w:val="zh-CN"/>
              </w:rPr>
            </w:pPr>
            <w:r>
              <w:rPr>
                <w:rFonts w:hint="eastAsia" w:ascii="仿宋" w:hAnsi="仿宋" w:eastAsia="仿宋" w:cs="仿宋"/>
                <w:b/>
                <w:kern w:val="0"/>
                <w:sz w:val="18"/>
                <w:szCs w:val="18"/>
                <w:lang w:val="zh-CN"/>
              </w:rPr>
              <w:t>苯</w:t>
            </w:r>
          </w:p>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苯管段</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57051000</w:t>
            </w:r>
          </w:p>
        </w:tc>
        <w:tc>
          <w:tcPr>
            <w:tcW w:w="1439" w:type="dxa"/>
            <w:vMerge w:val="restart"/>
            <w:shd w:val="clear" w:color="auto" w:fill="auto"/>
            <w:vAlign w:val="center"/>
          </w:tcPr>
          <w:p>
            <w:pPr>
              <w:jc w:val="center"/>
              <w:rPr>
                <w:rFonts w:ascii="仿宋" w:hAnsi="仿宋" w:eastAsia="仿宋" w:cs="仿宋"/>
                <w:b/>
                <w:kern w:val="0"/>
                <w:sz w:val="18"/>
                <w:szCs w:val="18"/>
                <w:lang w:val="zh-CN"/>
              </w:rPr>
            </w:pPr>
            <w:r>
              <w:rPr>
                <w:rFonts w:hint="eastAsia" w:ascii="仿宋" w:hAnsi="仿宋" w:eastAsia="仿宋" w:cs="仿宋"/>
                <w:b/>
                <w:kern w:val="0"/>
                <w:sz w:val="18"/>
                <w:szCs w:val="18"/>
                <w:lang w:val="zh-CN"/>
              </w:rPr>
              <w:t>氮气</w:t>
            </w:r>
          </w:p>
          <w:p>
            <w:pPr>
              <w:jc w:val="center"/>
              <w:rPr>
                <w:rFonts w:ascii="仿宋" w:hAnsi="仿宋" w:eastAsia="仿宋" w:cs="仿宋"/>
              </w:rPr>
            </w:pPr>
          </w:p>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氮气管段</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57071000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冷却塔</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570552101</w:t>
            </w:r>
          </w:p>
        </w:tc>
        <w:tc>
          <w:tcPr>
            <w:tcW w:w="1439" w:type="dxa"/>
            <w:vMerge w:val="continue"/>
            <w:shd w:val="clear" w:color="auto" w:fill="auto"/>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冷却塔</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57072101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动力站</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570552102</w:t>
            </w:r>
          </w:p>
        </w:tc>
        <w:tc>
          <w:tcPr>
            <w:tcW w:w="1439" w:type="dxa"/>
            <w:vMerge w:val="continue"/>
            <w:shd w:val="clear" w:color="auto" w:fill="auto"/>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动力站</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57072102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弯头</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570552103</w:t>
            </w:r>
          </w:p>
        </w:tc>
        <w:tc>
          <w:tcPr>
            <w:tcW w:w="1439" w:type="dxa"/>
            <w:vMerge w:val="continue"/>
            <w:shd w:val="clear" w:color="auto" w:fill="auto"/>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弯头</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57072103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三通</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57052104</w:t>
            </w:r>
          </w:p>
        </w:tc>
        <w:tc>
          <w:tcPr>
            <w:tcW w:w="1439" w:type="dxa"/>
            <w:vMerge w:val="continue"/>
            <w:shd w:val="clear" w:color="auto" w:fill="auto"/>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三通</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57072104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四通</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57052105</w:t>
            </w:r>
          </w:p>
        </w:tc>
        <w:tc>
          <w:tcPr>
            <w:tcW w:w="1439" w:type="dxa"/>
            <w:vMerge w:val="continue"/>
            <w:shd w:val="clear" w:color="auto" w:fill="auto"/>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四通</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57072105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变径</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57052106</w:t>
            </w:r>
          </w:p>
        </w:tc>
        <w:tc>
          <w:tcPr>
            <w:tcW w:w="1439" w:type="dxa"/>
            <w:vMerge w:val="continue"/>
            <w:shd w:val="clear" w:color="auto" w:fill="auto"/>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变径</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57072106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预留口</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57052107</w:t>
            </w:r>
          </w:p>
        </w:tc>
        <w:tc>
          <w:tcPr>
            <w:tcW w:w="1439" w:type="dxa"/>
            <w:vMerge w:val="continue"/>
            <w:shd w:val="clear" w:color="auto" w:fill="auto"/>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预留口</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57072107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出地点</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57052108</w:t>
            </w:r>
          </w:p>
        </w:tc>
        <w:tc>
          <w:tcPr>
            <w:tcW w:w="1439" w:type="dxa"/>
            <w:vMerge w:val="continue"/>
            <w:shd w:val="clear" w:color="auto" w:fill="auto"/>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出地点</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57072108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管堵</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57052109</w:t>
            </w:r>
          </w:p>
        </w:tc>
        <w:tc>
          <w:tcPr>
            <w:tcW w:w="1439" w:type="dxa"/>
            <w:vMerge w:val="continue"/>
            <w:shd w:val="clear" w:color="auto" w:fill="auto"/>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管堵</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57072109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570552110</w:t>
            </w:r>
          </w:p>
        </w:tc>
        <w:tc>
          <w:tcPr>
            <w:tcW w:w="1439" w:type="dxa"/>
            <w:vMerge w:val="continue"/>
            <w:shd w:val="clear" w:color="auto" w:fill="auto"/>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57072110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检修井</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57052201</w:t>
            </w:r>
          </w:p>
        </w:tc>
        <w:tc>
          <w:tcPr>
            <w:tcW w:w="1439" w:type="dxa"/>
            <w:vMerge w:val="continue"/>
            <w:shd w:val="clear" w:color="auto" w:fill="auto"/>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检修井</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57072201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阀门井</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57052202</w:t>
            </w:r>
          </w:p>
        </w:tc>
        <w:tc>
          <w:tcPr>
            <w:tcW w:w="1439" w:type="dxa"/>
            <w:vMerge w:val="continue"/>
            <w:shd w:val="clear" w:color="auto" w:fill="auto"/>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阀门井</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57072202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57052203</w:t>
            </w:r>
          </w:p>
        </w:tc>
        <w:tc>
          <w:tcPr>
            <w:tcW w:w="1439" w:type="dxa"/>
            <w:vMerge w:val="continue"/>
            <w:shd w:val="clear" w:color="auto" w:fill="auto"/>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57072203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流量计</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57052204</w:t>
            </w:r>
          </w:p>
        </w:tc>
        <w:tc>
          <w:tcPr>
            <w:tcW w:w="1439" w:type="dxa"/>
            <w:vMerge w:val="continue"/>
            <w:shd w:val="clear" w:color="auto" w:fill="auto"/>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流量计</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57072204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补偿器</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57052205</w:t>
            </w:r>
          </w:p>
        </w:tc>
        <w:tc>
          <w:tcPr>
            <w:tcW w:w="1439" w:type="dxa"/>
            <w:vMerge w:val="continue"/>
            <w:shd w:val="clear" w:color="auto" w:fill="auto"/>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补偿器</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57072205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锅炉房</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57052206</w:t>
            </w:r>
          </w:p>
        </w:tc>
        <w:tc>
          <w:tcPr>
            <w:tcW w:w="1439" w:type="dxa"/>
            <w:vMerge w:val="continue"/>
            <w:shd w:val="clear" w:color="auto" w:fill="auto"/>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锅炉房</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57072206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泵站</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57052207</w:t>
            </w:r>
          </w:p>
        </w:tc>
        <w:tc>
          <w:tcPr>
            <w:tcW w:w="1439" w:type="dxa"/>
            <w:vMerge w:val="continue"/>
            <w:shd w:val="clear" w:color="auto" w:fill="auto"/>
            <w:vAlign w:val="center"/>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泵站</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57072207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苯面状要素</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57053000</w:t>
            </w:r>
          </w:p>
        </w:tc>
        <w:tc>
          <w:tcPr>
            <w:tcW w:w="1439" w:type="dxa"/>
            <w:vMerge w:val="continue"/>
            <w:shd w:val="clear" w:color="auto" w:fill="auto"/>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氮气面状要素</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57073000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restart"/>
            <w:shd w:val="clear" w:color="auto" w:fill="auto"/>
            <w:vAlign w:val="center"/>
          </w:tcPr>
          <w:p>
            <w:pPr>
              <w:jc w:val="center"/>
              <w:rPr>
                <w:rFonts w:ascii="仿宋" w:hAnsi="仿宋" w:eastAsia="仿宋" w:cs="仿宋"/>
                <w:b/>
                <w:kern w:val="0"/>
                <w:sz w:val="18"/>
                <w:szCs w:val="18"/>
                <w:lang w:val="zh-CN"/>
              </w:rPr>
            </w:pPr>
            <w:r>
              <w:rPr>
                <w:rFonts w:hint="eastAsia" w:ascii="仿宋" w:hAnsi="仿宋" w:eastAsia="仿宋" w:cs="仿宋"/>
                <w:b/>
                <w:kern w:val="0"/>
                <w:sz w:val="18"/>
                <w:szCs w:val="18"/>
                <w:lang w:val="zh-CN"/>
              </w:rPr>
              <w:t>氯气</w:t>
            </w:r>
          </w:p>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氯气管段</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57061000</w:t>
            </w:r>
          </w:p>
        </w:tc>
        <w:tc>
          <w:tcPr>
            <w:tcW w:w="1439" w:type="dxa"/>
            <w:vMerge w:val="restart"/>
            <w:shd w:val="clear" w:color="auto" w:fill="auto"/>
            <w:vAlign w:val="center"/>
          </w:tcPr>
          <w:p>
            <w:pPr>
              <w:jc w:val="center"/>
              <w:rPr>
                <w:rFonts w:ascii="仿宋" w:hAnsi="仿宋" w:eastAsia="仿宋" w:cs="仿宋"/>
                <w:b/>
                <w:kern w:val="0"/>
                <w:sz w:val="18"/>
                <w:szCs w:val="18"/>
              </w:rPr>
            </w:pPr>
            <w:r>
              <w:rPr>
                <w:rFonts w:hint="eastAsia" w:ascii="仿宋" w:hAnsi="仿宋" w:eastAsia="仿宋" w:cs="仿宋"/>
                <w:b/>
                <w:kern w:val="0"/>
                <w:sz w:val="18"/>
                <w:szCs w:val="18"/>
                <w:lang w:val="zh-CN"/>
              </w:rPr>
              <w:t>二氧化碳</w:t>
            </w:r>
          </w:p>
          <w:p>
            <w:pPr>
              <w:jc w:val="center"/>
              <w:rPr>
                <w:rFonts w:ascii="仿宋" w:hAnsi="仿宋" w:eastAsia="仿宋" w:cs="仿宋"/>
              </w:rPr>
            </w:pPr>
          </w:p>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二氧化碳管段</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57081000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冷却塔</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57062101</w:t>
            </w:r>
          </w:p>
        </w:tc>
        <w:tc>
          <w:tcPr>
            <w:tcW w:w="1439" w:type="dxa"/>
            <w:vMerge w:val="continue"/>
            <w:shd w:val="clear" w:color="auto" w:fill="auto"/>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冷却塔</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57082101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动力站</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57062102</w:t>
            </w:r>
          </w:p>
        </w:tc>
        <w:tc>
          <w:tcPr>
            <w:tcW w:w="1439" w:type="dxa"/>
            <w:vMerge w:val="continue"/>
            <w:shd w:val="clear" w:color="auto" w:fill="auto"/>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动力站</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57082102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弯头</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57062103</w:t>
            </w:r>
          </w:p>
        </w:tc>
        <w:tc>
          <w:tcPr>
            <w:tcW w:w="1439" w:type="dxa"/>
            <w:vMerge w:val="continue"/>
            <w:shd w:val="clear" w:color="auto" w:fill="auto"/>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弯头</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57082103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三通</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57062104</w:t>
            </w:r>
          </w:p>
        </w:tc>
        <w:tc>
          <w:tcPr>
            <w:tcW w:w="1439" w:type="dxa"/>
            <w:vMerge w:val="continue"/>
            <w:shd w:val="clear" w:color="auto" w:fill="auto"/>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三通</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57082104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四通</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57062105</w:t>
            </w:r>
          </w:p>
        </w:tc>
        <w:tc>
          <w:tcPr>
            <w:tcW w:w="1439" w:type="dxa"/>
            <w:vMerge w:val="continue"/>
            <w:shd w:val="clear" w:color="auto" w:fill="auto"/>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四通</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57082105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变径</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57062106</w:t>
            </w:r>
          </w:p>
        </w:tc>
        <w:tc>
          <w:tcPr>
            <w:tcW w:w="1439" w:type="dxa"/>
            <w:vMerge w:val="continue"/>
            <w:shd w:val="clear" w:color="auto" w:fill="auto"/>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变径</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57082106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预留口</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57062107</w:t>
            </w:r>
          </w:p>
        </w:tc>
        <w:tc>
          <w:tcPr>
            <w:tcW w:w="1439" w:type="dxa"/>
            <w:vMerge w:val="continue"/>
            <w:shd w:val="clear" w:color="auto" w:fill="auto"/>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预留口</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57082107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出地点</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57062108</w:t>
            </w:r>
          </w:p>
        </w:tc>
        <w:tc>
          <w:tcPr>
            <w:tcW w:w="1439" w:type="dxa"/>
            <w:vMerge w:val="continue"/>
            <w:shd w:val="clear" w:color="auto" w:fill="auto"/>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出地点</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57082108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管堵</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57062109</w:t>
            </w:r>
          </w:p>
        </w:tc>
        <w:tc>
          <w:tcPr>
            <w:tcW w:w="1439" w:type="dxa"/>
            <w:vMerge w:val="continue"/>
            <w:shd w:val="clear" w:color="auto" w:fill="auto"/>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管堵</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57082109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57062110</w:t>
            </w:r>
          </w:p>
        </w:tc>
        <w:tc>
          <w:tcPr>
            <w:tcW w:w="1439" w:type="dxa"/>
            <w:vMerge w:val="continue"/>
            <w:shd w:val="clear" w:color="auto" w:fill="auto"/>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57082110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检修井</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57062201</w:t>
            </w:r>
          </w:p>
        </w:tc>
        <w:tc>
          <w:tcPr>
            <w:tcW w:w="1439" w:type="dxa"/>
            <w:vMerge w:val="continue"/>
            <w:shd w:val="clear" w:color="auto" w:fill="auto"/>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检修井</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57082201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阀门井</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57062202</w:t>
            </w:r>
          </w:p>
        </w:tc>
        <w:tc>
          <w:tcPr>
            <w:tcW w:w="1439" w:type="dxa"/>
            <w:vMerge w:val="continue"/>
            <w:shd w:val="clear" w:color="auto" w:fill="auto"/>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阀门井</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57082202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57062203</w:t>
            </w:r>
          </w:p>
        </w:tc>
        <w:tc>
          <w:tcPr>
            <w:tcW w:w="1439" w:type="dxa"/>
            <w:vMerge w:val="continue"/>
            <w:shd w:val="clear" w:color="auto" w:fill="auto"/>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57082203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流量计</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57062204</w:t>
            </w:r>
          </w:p>
        </w:tc>
        <w:tc>
          <w:tcPr>
            <w:tcW w:w="1439" w:type="dxa"/>
            <w:vMerge w:val="continue"/>
            <w:shd w:val="clear" w:color="auto" w:fill="auto"/>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流量计</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57082204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补偿器</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57062205</w:t>
            </w:r>
          </w:p>
        </w:tc>
        <w:tc>
          <w:tcPr>
            <w:tcW w:w="1439" w:type="dxa"/>
            <w:vMerge w:val="continue"/>
            <w:shd w:val="clear" w:color="auto" w:fill="auto"/>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补偿器</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57082205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vAlign w:val="center"/>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锅炉房</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57062206</w:t>
            </w:r>
          </w:p>
        </w:tc>
        <w:tc>
          <w:tcPr>
            <w:tcW w:w="1439" w:type="dxa"/>
            <w:vMerge w:val="continue"/>
            <w:shd w:val="clear" w:color="auto" w:fill="auto"/>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锅炉房</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57082206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泵站</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57062207</w:t>
            </w:r>
          </w:p>
        </w:tc>
        <w:tc>
          <w:tcPr>
            <w:tcW w:w="1439" w:type="dxa"/>
            <w:vMerge w:val="continue"/>
            <w:shd w:val="clear" w:color="auto" w:fill="auto"/>
            <w:vAlign w:val="center"/>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泵站</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57082207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氯气面状要素</w:t>
            </w:r>
          </w:p>
        </w:tc>
        <w:tc>
          <w:tcPr>
            <w:tcW w:w="1113"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57063000</w:t>
            </w:r>
          </w:p>
        </w:tc>
        <w:tc>
          <w:tcPr>
            <w:tcW w:w="1439" w:type="dxa"/>
            <w:vMerge w:val="continue"/>
            <w:shd w:val="clear" w:color="auto" w:fill="auto"/>
            <w:vAlign w:val="center"/>
          </w:tcPr>
          <w:p>
            <w:pPr>
              <w:jc w:val="center"/>
              <w:rPr>
                <w:rFonts w:ascii="仿宋" w:hAnsi="仿宋" w:eastAsia="仿宋" w:cs="仿宋"/>
              </w:rPr>
            </w:pPr>
          </w:p>
        </w:tc>
        <w:tc>
          <w:tcPr>
            <w:tcW w:w="170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二氧化碳面状要素</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57083000</w:t>
            </w:r>
          </w:p>
        </w:tc>
      </w:tr>
    </w:tbl>
    <w:p>
      <w:pPr>
        <w:jc w:val="center"/>
      </w:pPr>
    </w:p>
    <w:p>
      <w:pPr>
        <w:pStyle w:val="2"/>
        <w:jc w:val="center"/>
      </w:pPr>
    </w:p>
    <w:p>
      <w:pPr>
        <w:pStyle w:val="2"/>
        <w:jc w:val="center"/>
      </w:pPr>
    </w:p>
    <w:tbl>
      <w:tblPr>
        <w:tblStyle w:val="26"/>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417"/>
        <w:gridCol w:w="1276"/>
        <w:gridCol w:w="1417"/>
        <w:gridCol w:w="1596"/>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555"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管线小类</w:t>
            </w:r>
          </w:p>
        </w:tc>
        <w:tc>
          <w:tcPr>
            <w:tcW w:w="1417"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要素名称</w:t>
            </w:r>
          </w:p>
        </w:tc>
        <w:tc>
          <w:tcPr>
            <w:tcW w:w="1276" w:type="dxa"/>
            <w:vAlign w:val="center"/>
          </w:tcPr>
          <w:p>
            <w:pPr>
              <w:tabs>
                <w:tab w:val="left" w:pos="794"/>
                <w:tab w:val="clear" w:pos="0"/>
              </w:tabs>
              <w:jc w:val="center"/>
              <w:rPr>
                <w:rFonts w:ascii="仿宋" w:hAnsi="仿宋" w:eastAsia="仿宋" w:cs="仿宋"/>
              </w:rPr>
            </w:pPr>
            <w:r>
              <w:rPr>
                <w:rFonts w:hint="eastAsia" w:ascii="仿宋" w:hAnsi="仿宋" w:eastAsia="仿宋" w:cs="仿宋"/>
                <w:b/>
                <w:szCs w:val="21"/>
              </w:rPr>
              <w:t>代码</w:t>
            </w:r>
          </w:p>
        </w:tc>
        <w:tc>
          <w:tcPr>
            <w:tcW w:w="1417" w:type="dxa"/>
            <w:vAlign w:val="center"/>
          </w:tcPr>
          <w:p>
            <w:pPr>
              <w:widowControl/>
              <w:jc w:val="center"/>
              <w:rPr>
                <w:rFonts w:ascii="仿宋" w:hAnsi="仿宋" w:eastAsia="仿宋" w:cs="仿宋"/>
              </w:rPr>
            </w:pPr>
            <w:r>
              <w:rPr>
                <w:rFonts w:hint="eastAsia" w:ascii="仿宋" w:hAnsi="仿宋" w:eastAsia="仿宋" w:cs="仿宋"/>
                <w:b/>
                <w:szCs w:val="21"/>
              </w:rPr>
              <w:t>管线小类</w:t>
            </w:r>
          </w:p>
        </w:tc>
        <w:tc>
          <w:tcPr>
            <w:tcW w:w="1596" w:type="dxa"/>
            <w:vAlign w:val="center"/>
          </w:tcPr>
          <w:p>
            <w:pPr>
              <w:widowControl/>
              <w:jc w:val="center"/>
              <w:rPr>
                <w:rFonts w:ascii="仿宋" w:hAnsi="仿宋" w:eastAsia="仿宋" w:cs="仿宋"/>
              </w:rPr>
            </w:pPr>
            <w:r>
              <w:rPr>
                <w:rFonts w:hint="eastAsia" w:ascii="仿宋" w:hAnsi="仿宋" w:eastAsia="仿宋" w:cs="仿宋"/>
                <w:b/>
                <w:szCs w:val="21"/>
              </w:rPr>
              <w:t>要素名称</w:t>
            </w:r>
          </w:p>
        </w:tc>
        <w:tc>
          <w:tcPr>
            <w:tcW w:w="1381" w:type="dxa"/>
            <w:vAlign w:val="center"/>
          </w:tcPr>
          <w:p>
            <w:pPr>
              <w:widowControl/>
              <w:jc w:val="center"/>
              <w:rPr>
                <w:rFonts w:ascii="仿宋" w:hAnsi="仿宋" w:eastAsia="仿宋" w:cs="仿宋"/>
              </w:rPr>
            </w:pPr>
            <w:r>
              <w:rPr>
                <w:rFonts w:hint="eastAsia" w:ascii="仿宋" w:hAnsi="仿宋" w:eastAsia="仿宋" w:cs="仿宋"/>
                <w:b/>
                <w:szCs w:val="21"/>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restart"/>
            <w:shd w:val="clear" w:color="auto" w:fill="auto"/>
            <w:vAlign w:val="center"/>
          </w:tcPr>
          <w:p>
            <w:pPr>
              <w:jc w:val="center"/>
              <w:rPr>
                <w:rFonts w:ascii="仿宋" w:hAnsi="仿宋" w:eastAsia="仿宋" w:cs="仿宋"/>
                <w:b/>
                <w:kern w:val="0"/>
                <w:sz w:val="18"/>
                <w:szCs w:val="18"/>
                <w:lang w:val="zh-CN"/>
              </w:rPr>
            </w:pPr>
            <w:r>
              <w:rPr>
                <w:rFonts w:hint="eastAsia" w:ascii="仿宋" w:hAnsi="仿宋" w:eastAsia="仿宋" w:cs="仿宋"/>
                <w:b/>
                <w:kern w:val="0"/>
                <w:sz w:val="18"/>
                <w:szCs w:val="18"/>
                <w:lang w:val="zh-CN"/>
              </w:rPr>
              <w:t>氨气</w:t>
            </w:r>
          </w:p>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氨气管段</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57091000</w:t>
            </w:r>
          </w:p>
        </w:tc>
        <w:tc>
          <w:tcPr>
            <w:tcW w:w="1417" w:type="dxa"/>
            <w:vMerge w:val="restart"/>
            <w:shd w:val="clear" w:color="auto" w:fill="auto"/>
            <w:vAlign w:val="center"/>
          </w:tcPr>
          <w:p>
            <w:pPr>
              <w:jc w:val="center"/>
              <w:rPr>
                <w:rFonts w:ascii="仿宋" w:hAnsi="仿宋" w:eastAsia="仿宋" w:cs="仿宋"/>
                <w:b/>
                <w:kern w:val="0"/>
                <w:sz w:val="18"/>
                <w:szCs w:val="18"/>
                <w:lang w:val="zh-CN"/>
              </w:rPr>
            </w:pPr>
            <w:r>
              <w:rPr>
                <w:rFonts w:hint="eastAsia" w:ascii="仿宋" w:hAnsi="仿宋" w:eastAsia="仿宋" w:cs="仿宋"/>
                <w:b/>
                <w:kern w:val="0"/>
                <w:sz w:val="18"/>
                <w:szCs w:val="18"/>
                <w:lang w:val="zh-CN"/>
              </w:rPr>
              <w:t>长途输油</w:t>
            </w:r>
          </w:p>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高压管段</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57111000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冷却塔</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57092101</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变径</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57112101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动力站</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57092102</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变材</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57112102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弯头</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57092103</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弯头</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57112103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三通</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57092104</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预留口</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57112104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四通</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57092105</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盲板</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57112105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变径</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57092106</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立管</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57112106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预留口</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57092107</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登高</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57112107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出地点</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57092108</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沉降箱</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57112108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管堵</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57092109</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计量箱</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57112109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57092110</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信息球</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57112110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检修井</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57092201</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阴极保护</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57112111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阀门井</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57092202</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牺牲阳极</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57112112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57092203</w:t>
            </w:r>
          </w:p>
        </w:tc>
        <w:tc>
          <w:tcPr>
            <w:tcW w:w="1417" w:type="dxa"/>
            <w:vMerge w:val="continue"/>
            <w:shd w:val="clear" w:color="auto" w:fill="auto"/>
            <w:vAlign w:val="center"/>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三通</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57112113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流量计</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57092204</w:t>
            </w:r>
          </w:p>
        </w:tc>
        <w:tc>
          <w:tcPr>
            <w:tcW w:w="1417" w:type="dxa"/>
            <w:vMerge w:val="continue"/>
            <w:shd w:val="clear" w:color="auto" w:fill="auto"/>
            <w:vAlign w:val="center"/>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四通</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57112114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补偿器</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57092205</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盖堵</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57112115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锅炉房</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57092206</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540" w:firstLineChars="30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57112116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泵站</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57092207</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检测井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57112201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氨气面状要素</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57093000</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57112202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restart"/>
            <w:shd w:val="clear" w:color="auto" w:fill="auto"/>
            <w:vAlign w:val="center"/>
          </w:tcPr>
          <w:p>
            <w:pPr>
              <w:jc w:val="center"/>
              <w:rPr>
                <w:rFonts w:ascii="仿宋" w:hAnsi="仿宋" w:eastAsia="仿宋" w:cs="仿宋"/>
                <w:b/>
                <w:kern w:val="0"/>
                <w:sz w:val="18"/>
                <w:szCs w:val="18"/>
                <w:lang w:val="zh-CN"/>
              </w:rPr>
            </w:pPr>
            <w:r>
              <w:rPr>
                <w:rFonts w:hint="eastAsia" w:ascii="仿宋" w:hAnsi="仿宋" w:eastAsia="仿宋" w:cs="仿宋"/>
                <w:b/>
                <w:kern w:val="0"/>
                <w:sz w:val="18"/>
                <w:szCs w:val="18"/>
                <w:lang w:val="zh-CN"/>
              </w:rPr>
              <w:t>甲苯</w:t>
            </w:r>
          </w:p>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甲苯管段</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57101000</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阀门</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57112203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冷却塔</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57102101</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凝水缸</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57112204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动力站</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57102102</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调压箱</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57112205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弯头</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57102103</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调压器</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57112206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三通</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57102104</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压力表</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57112207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四通</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57102105</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阴极测试桩</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57112208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变径</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57102106</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波形管</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57112209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预留口</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57102107</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调压柜</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57112210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出地点</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57102108</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计量站</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57112211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管堵</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57102109</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加气站</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57112212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非普查</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57102110</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LNG应急油源站</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57112213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检修井</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57102201</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CNG加油站</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57112214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阀门井</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57102202</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补偿器</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57112215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57102203</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调压站</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57112216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流量计</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57102204</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气源</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57112217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补偿器</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57102205</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储备站</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57112218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锅炉房</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57102206</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门站</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57112219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泵站</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57102207</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地下井室</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57112220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甲苯面状要素</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57103000</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燃气桩</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57112223</w:t>
            </w:r>
          </w:p>
        </w:tc>
      </w:tr>
    </w:tbl>
    <w:p>
      <w:pPr>
        <w:spacing w:after="162" w:afterLines="50"/>
        <w:jc w:val="center"/>
      </w:pPr>
    </w:p>
    <w:p>
      <w:pPr>
        <w:pStyle w:val="2"/>
        <w:jc w:val="center"/>
      </w:pPr>
    </w:p>
    <w:p>
      <w:pPr>
        <w:pStyle w:val="2"/>
        <w:jc w:val="center"/>
      </w:pPr>
    </w:p>
    <w:tbl>
      <w:tblPr>
        <w:tblStyle w:val="26"/>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417"/>
        <w:gridCol w:w="1276"/>
        <w:gridCol w:w="1417"/>
        <w:gridCol w:w="1596"/>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555"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管线小类</w:t>
            </w:r>
          </w:p>
        </w:tc>
        <w:tc>
          <w:tcPr>
            <w:tcW w:w="1417" w:type="dxa"/>
            <w:vAlign w:val="center"/>
          </w:tcPr>
          <w:p>
            <w:pPr>
              <w:pStyle w:val="98"/>
              <w:ind w:firstLine="0" w:firstLineChars="0"/>
              <w:jc w:val="center"/>
              <w:rPr>
                <w:rFonts w:ascii="仿宋" w:hAnsi="仿宋" w:eastAsia="仿宋" w:cs="仿宋"/>
                <w:sz w:val="24"/>
                <w:szCs w:val="24"/>
              </w:rPr>
            </w:pPr>
            <w:r>
              <w:rPr>
                <w:rFonts w:hint="eastAsia" w:ascii="仿宋" w:hAnsi="仿宋" w:eastAsia="仿宋" w:cs="仿宋"/>
                <w:b/>
                <w:szCs w:val="21"/>
              </w:rPr>
              <w:t>要素名称</w:t>
            </w:r>
          </w:p>
        </w:tc>
        <w:tc>
          <w:tcPr>
            <w:tcW w:w="1276" w:type="dxa"/>
            <w:vAlign w:val="center"/>
          </w:tcPr>
          <w:p>
            <w:pPr>
              <w:tabs>
                <w:tab w:val="left" w:pos="794"/>
                <w:tab w:val="clear" w:pos="0"/>
              </w:tabs>
              <w:jc w:val="center"/>
              <w:rPr>
                <w:rFonts w:ascii="仿宋" w:hAnsi="仿宋" w:eastAsia="仿宋" w:cs="仿宋"/>
              </w:rPr>
            </w:pPr>
            <w:r>
              <w:rPr>
                <w:rFonts w:hint="eastAsia" w:ascii="仿宋" w:hAnsi="仿宋" w:eastAsia="仿宋" w:cs="仿宋"/>
                <w:b/>
                <w:szCs w:val="21"/>
              </w:rPr>
              <w:t>代码</w:t>
            </w:r>
          </w:p>
        </w:tc>
        <w:tc>
          <w:tcPr>
            <w:tcW w:w="1417" w:type="dxa"/>
            <w:vAlign w:val="center"/>
          </w:tcPr>
          <w:p>
            <w:pPr>
              <w:widowControl/>
              <w:jc w:val="center"/>
              <w:rPr>
                <w:rFonts w:ascii="仿宋" w:hAnsi="仿宋" w:eastAsia="仿宋" w:cs="仿宋"/>
              </w:rPr>
            </w:pPr>
            <w:r>
              <w:rPr>
                <w:rFonts w:hint="eastAsia" w:ascii="仿宋" w:hAnsi="仿宋" w:eastAsia="仿宋" w:cs="仿宋"/>
                <w:b/>
                <w:szCs w:val="21"/>
              </w:rPr>
              <w:t>管线小类</w:t>
            </w:r>
          </w:p>
        </w:tc>
        <w:tc>
          <w:tcPr>
            <w:tcW w:w="1596" w:type="dxa"/>
            <w:vAlign w:val="center"/>
          </w:tcPr>
          <w:p>
            <w:pPr>
              <w:widowControl/>
              <w:jc w:val="center"/>
              <w:rPr>
                <w:rFonts w:ascii="仿宋" w:hAnsi="仿宋" w:eastAsia="仿宋" w:cs="仿宋"/>
              </w:rPr>
            </w:pPr>
            <w:r>
              <w:rPr>
                <w:rFonts w:hint="eastAsia" w:ascii="仿宋" w:hAnsi="仿宋" w:eastAsia="仿宋" w:cs="仿宋"/>
                <w:b/>
                <w:szCs w:val="21"/>
              </w:rPr>
              <w:t>要素名称</w:t>
            </w:r>
          </w:p>
        </w:tc>
        <w:tc>
          <w:tcPr>
            <w:tcW w:w="1381" w:type="dxa"/>
            <w:vAlign w:val="center"/>
          </w:tcPr>
          <w:p>
            <w:pPr>
              <w:widowControl/>
              <w:jc w:val="center"/>
              <w:rPr>
                <w:rFonts w:ascii="仿宋" w:hAnsi="仿宋" w:eastAsia="仿宋" w:cs="仿宋"/>
              </w:rPr>
            </w:pPr>
            <w:r>
              <w:rPr>
                <w:rFonts w:hint="eastAsia" w:ascii="仿宋" w:hAnsi="仿宋" w:eastAsia="仿宋" w:cs="仿宋"/>
                <w:b/>
                <w:szCs w:val="21"/>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shd w:val="clear" w:color="auto" w:fill="auto"/>
            <w:vAlign w:val="center"/>
          </w:tcPr>
          <w:p>
            <w:pPr>
              <w:jc w:val="center"/>
              <w:rPr>
                <w:rFonts w:ascii="仿宋" w:hAnsi="仿宋" w:eastAsia="仿宋" w:cs="仿宋"/>
                <w:b/>
                <w:kern w:val="0"/>
                <w:sz w:val="18"/>
                <w:szCs w:val="18"/>
                <w:lang w:val="zh-CN"/>
              </w:rPr>
            </w:pPr>
            <w:r>
              <w:rPr>
                <w:rFonts w:hint="eastAsia" w:ascii="仿宋" w:hAnsi="仿宋" w:eastAsia="仿宋" w:cs="仿宋"/>
                <w:b/>
                <w:kern w:val="0"/>
                <w:sz w:val="18"/>
                <w:szCs w:val="18"/>
                <w:lang w:val="zh-CN"/>
              </w:rPr>
              <w:t>长途输油</w:t>
            </w: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rPr>
              <w:t>长途输油</w:t>
            </w:r>
            <w:r>
              <w:rPr>
                <w:rStyle w:val="100"/>
                <w:rFonts w:hint="default" w:ascii="仿宋" w:hAnsi="仿宋" w:eastAsia="仿宋" w:cs="仿宋"/>
                <w:color w:val="000000"/>
                <w:sz w:val="18"/>
                <w:szCs w:val="18"/>
                <w:lang w:val="zh-CN"/>
              </w:rPr>
              <w:t>面状要素</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57113000</w:t>
            </w:r>
          </w:p>
        </w:tc>
        <w:tc>
          <w:tcPr>
            <w:tcW w:w="1417" w:type="dxa"/>
            <w:vMerge w:val="restart"/>
            <w:shd w:val="clear" w:color="auto" w:fill="auto"/>
            <w:vAlign w:val="center"/>
          </w:tcPr>
          <w:p>
            <w:pPr>
              <w:jc w:val="center"/>
              <w:rPr>
                <w:rFonts w:ascii="仿宋" w:hAnsi="仿宋" w:eastAsia="仿宋" w:cs="仿宋"/>
              </w:rPr>
            </w:pPr>
            <w:r>
              <w:rPr>
                <w:rFonts w:hint="eastAsia" w:ascii="仿宋" w:hAnsi="仿宋" w:eastAsia="仿宋" w:cs="仿宋"/>
                <w:b/>
                <w:kern w:val="0"/>
                <w:sz w:val="18"/>
                <w:szCs w:val="18"/>
                <w:lang w:val="zh-CN"/>
              </w:rPr>
              <w:t>其他</w:t>
            </w:r>
          </w:p>
        </w:tc>
        <w:tc>
          <w:tcPr>
            <w:tcW w:w="159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管堵</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57992109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restart"/>
            <w:shd w:val="clear" w:color="auto" w:fill="auto"/>
            <w:vAlign w:val="center"/>
          </w:tcPr>
          <w:p>
            <w:pPr>
              <w:ind w:firstLine="542" w:firstLineChars="300"/>
              <w:jc w:val="center"/>
              <w:rPr>
                <w:rFonts w:ascii="仿宋" w:hAnsi="仿宋" w:eastAsia="仿宋" w:cs="仿宋"/>
              </w:rPr>
            </w:pPr>
            <w:r>
              <w:rPr>
                <w:rFonts w:hint="eastAsia" w:ascii="仿宋" w:hAnsi="仿宋" w:eastAsia="仿宋" w:cs="仿宋"/>
                <w:b/>
                <w:kern w:val="0"/>
                <w:sz w:val="18"/>
                <w:szCs w:val="18"/>
                <w:lang w:val="zh-CN"/>
              </w:rPr>
              <w:t>其他</w:t>
            </w: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其他管段</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57991000</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Fonts w:ascii="仿宋" w:hAnsi="仿宋" w:eastAsia="仿宋" w:cs="仿宋"/>
                <w:sz w:val="18"/>
                <w:szCs w:val="18"/>
              </w:rPr>
            </w:pPr>
            <w:r>
              <w:rPr>
                <w:rStyle w:val="100"/>
                <w:rFonts w:hint="default" w:ascii="仿宋" w:hAnsi="仿宋" w:eastAsia="仿宋" w:cs="仿宋"/>
                <w:color w:val="000000"/>
                <w:sz w:val="18"/>
                <w:szCs w:val="18"/>
                <w:lang w:val="zh-CN"/>
              </w:rPr>
              <w:t>非普查</w:t>
            </w:r>
          </w:p>
        </w:tc>
        <w:tc>
          <w:tcPr>
            <w:tcW w:w="1381" w:type="dxa"/>
            <w:shd w:val="clear" w:color="auto" w:fill="FFFFFF"/>
            <w:vAlign w:val="center"/>
          </w:tcPr>
          <w:p>
            <w:pPr>
              <w:pStyle w:val="99"/>
              <w:spacing w:before="0" w:line="240" w:lineRule="auto"/>
              <w:ind w:firstLine="0"/>
              <w:jc w:val="center"/>
              <w:rPr>
                <w:rFonts w:ascii="仿宋" w:hAnsi="仿宋" w:eastAsia="仿宋" w:cs="仿宋"/>
                <w:sz w:val="18"/>
                <w:szCs w:val="18"/>
              </w:rPr>
            </w:pPr>
            <w:r>
              <w:rPr>
                <w:rFonts w:hint="eastAsia" w:ascii="仿宋" w:hAnsi="仿宋" w:eastAsia="仿宋" w:cs="仿宋"/>
                <w:sz w:val="18"/>
                <w:szCs w:val="18"/>
              </w:rPr>
              <w:t>57992110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冷却塔</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57992101</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检修井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57992201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动力站</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57992102</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阀门井</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57992202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弯头</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57992103</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阀门</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57992203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三通</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57992104</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流量计</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57992204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四通</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57992105</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补偿器</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57992205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变径</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57992106</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锅炉房</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57992206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预留口</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57992107</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泵站</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57992207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tcPr>
          <w:p>
            <w:pPr>
              <w:jc w:val="center"/>
              <w:rPr>
                <w:rFonts w:ascii="仿宋" w:hAnsi="仿宋" w:eastAsia="仿宋" w:cs="仿宋"/>
              </w:rPr>
            </w:pPr>
          </w:p>
        </w:tc>
        <w:tc>
          <w:tcPr>
            <w:tcW w:w="1417"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出地点</w:t>
            </w:r>
          </w:p>
        </w:tc>
        <w:tc>
          <w:tcPr>
            <w:tcW w:w="127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57992108</w:t>
            </w:r>
          </w:p>
        </w:tc>
        <w:tc>
          <w:tcPr>
            <w:tcW w:w="1417" w:type="dxa"/>
            <w:vMerge w:val="continue"/>
            <w:shd w:val="clear" w:color="auto" w:fill="auto"/>
          </w:tcPr>
          <w:p>
            <w:pPr>
              <w:jc w:val="center"/>
              <w:rPr>
                <w:rFonts w:ascii="仿宋" w:hAnsi="仿宋" w:eastAsia="仿宋" w:cs="仿宋"/>
              </w:rPr>
            </w:pPr>
          </w:p>
        </w:tc>
        <w:tc>
          <w:tcPr>
            <w:tcW w:w="1596"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其他面状要素</w:t>
            </w:r>
          </w:p>
        </w:tc>
        <w:tc>
          <w:tcPr>
            <w:tcW w:w="1381" w:type="dxa"/>
            <w:shd w:val="clear" w:color="auto" w:fill="FFFFFF"/>
            <w:vAlign w:val="center"/>
          </w:tcPr>
          <w:p>
            <w:pPr>
              <w:pStyle w:val="99"/>
              <w:spacing w:before="0" w:line="240" w:lineRule="auto"/>
              <w:ind w:firstLine="0"/>
              <w:jc w:val="center"/>
              <w:rPr>
                <w:rStyle w:val="100"/>
                <w:rFonts w:hint="default" w:ascii="仿宋" w:hAnsi="仿宋" w:eastAsia="仿宋" w:cs="仿宋"/>
                <w:color w:val="000000"/>
                <w:sz w:val="18"/>
                <w:szCs w:val="18"/>
                <w:lang w:val="zh-CN"/>
              </w:rPr>
            </w:pPr>
            <w:r>
              <w:rPr>
                <w:rStyle w:val="100"/>
                <w:rFonts w:hint="default" w:ascii="仿宋" w:hAnsi="仿宋" w:eastAsia="仿宋" w:cs="仿宋"/>
                <w:color w:val="000000"/>
                <w:sz w:val="18"/>
                <w:szCs w:val="18"/>
                <w:lang w:val="zh-CN"/>
              </w:rPr>
              <w:t>57993000</w:t>
            </w:r>
          </w:p>
        </w:tc>
      </w:tr>
    </w:tbl>
    <w:p>
      <w:pPr>
        <w:spacing w:after="162" w:afterLines="50"/>
        <w:jc w:val="center"/>
      </w:pPr>
    </w:p>
    <w:p>
      <w:pPr>
        <w:spacing w:after="162" w:afterLines="50"/>
        <w:ind w:firstLine="360" w:firstLineChars="150"/>
        <w:jc w:val="center"/>
      </w:pPr>
    </w:p>
    <w:p>
      <w:pPr>
        <w:spacing w:after="162" w:afterLines="50"/>
        <w:ind w:firstLine="360" w:firstLineChars="150"/>
        <w:jc w:val="center"/>
      </w:pPr>
    </w:p>
    <w:p>
      <w:pPr>
        <w:spacing w:after="162" w:afterLines="50"/>
        <w:ind w:firstLine="360" w:firstLineChars="150"/>
        <w:jc w:val="center"/>
      </w:pPr>
    </w:p>
    <w:p>
      <w:pPr>
        <w:spacing w:after="162" w:afterLines="50"/>
        <w:ind w:firstLine="360" w:firstLineChars="150"/>
        <w:jc w:val="center"/>
      </w:pPr>
    </w:p>
    <w:p>
      <w:pPr>
        <w:spacing w:after="162" w:afterLines="50"/>
        <w:ind w:firstLine="360" w:firstLineChars="150"/>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5"/>
        <w:spacing w:line="360" w:lineRule="auto"/>
        <w:jc w:val="center"/>
        <w:rPr>
          <w:rFonts w:ascii="仿宋" w:hAnsi="仿宋" w:eastAsia="仿宋" w:cs="仿宋"/>
          <w:sz w:val="24"/>
          <w:szCs w:val="24"/>
        </w:rPr>
      </w:pPr>
      <w:bookmarkStart w:id="1745" w:name="_Toc510971795"/>
      <w:bookmarkStart w:id="1746" w:name="_Toc48835707"/>
      <w:bookmarkStart w:id="1747" w:name="_Toc418092303"/>
      <w:bookmarkStart w:id="1748" w:name="_Toc3584"/>
      <w:bookmarkStart w:id="1749" w:name="_Toc6783"/>
      <w:bookmarkStart w:id="1750" w:name="_Toc17112"/>
      <w:bookmarkStart w:id="1751" w:name="_Toc29256"/>
      <w:bookmarkStart w:id="1752" w:name="_Toc26957"/>
      <w:bookmarkStart w:id="1753" w:name="_Toc13167"/>
      <w:bookmarkStart w:id="1754" w:name="_Toc19814"/>
      <w:bookmarkStart w:id="1755" w:name="_Toc12654"/>
      <w:r>
        <w:rPr>
          <w:rFonts w:hint="eastAsia" w:ascii="仿宋" w:hAnsi="仿宋" w:eastAsia="仿宋" w:cs="仿宋"/>
          <w:sz w:val="24"/>
          <w:szCs w:val="24"/>
        </w:rPr>
        <w:t>附表A.13 管线属性</w:t>
      </w:r>
      <w:bookmarkEnd w:id="1745"/>
      <w:bookmarkEnd w:id="1746"/>
      <w:bookmarkEnd w:id="1747"/>
      <w:r>
        <w:rPr>
          <w:rFonts w:hint="eastAsia" w:ascii="仿宋" w:hAnsi="仿宋" w:eastAsia="仿宋" w:cs="仿宋"/>
          <w:sz w:val="24"/>
          <w:szCs w:val="24"/>
        </w:rPr>
        <w:t>值域表</w:t>
      </w:r>
      <w:bookmarkEnd w:id="1748"/>
      <w:bookmarkEnd w:id="1749"/>
      <w:bookmarkEnd w:id="1750"/>
      <w:bookmarkEnd w:id="1751"/>
      <w:bookmarkEnd w:id="1752"/>
      <w:bookmarkEnd w:id="1753"/>
      <w:bookmarkEnd w:id="1754"/>
      <w:bookmarkEnd w:id="1755"/>
    </w:p>
    <w:p>
      <w:pPr>
        <w:jc w:val="center"/>
        <w:rPr>
          <w:rFonts w:ascii="仿宋" w:hAnsi="仿宋" w:eastAsia="仿宋" w:cs="仿宋"/>
          <w:b/>
        </w:rPr>
      </w:pPr>
      <w:r>
        <w:rPr>
          <w:rFonts w:hint="eastAsia" w:ascii="仿宋" w:hAnsi="仿宋" w:eastAsia="仿宋" w:cs="仿宋"/>
          <w:b/>
        </w:rPr>
        <w:t>附表A.13.1  材质值域表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4"/>
        <w:gridCol w:w="6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4" w:type="dxa"/>
            <w:vAlign w:val="center"/>
          </w:tcPr>
          <w:p>
            <w:pPr>
              <w:jc w:val="center"/>
              <w:rPr>
                <w:rFonts w:ascii="仿宋" w:hAnsi="仿宋" w:eastAsia="仿宋" w:cs="仿宋"/>
                <w:b/>
                <w:szCs w:val="21"/>
              </w:rPr>
            </w:pPr>
            <w:r>
              <w:rPr>
                <w:rFonts w:hint="eastAsia" w:ascii="仿宋" w:hAnsi="仿宋" w:eastAsia="仿宋" w:cs="仿宋"/>
                <w:b/>
                <w:szCs w:val="21"/>
              </w:rPr>
              <w:t>材质</w:t>
            </w:r>
          </w:p>
        </w:tc>
        <w:tc>
          <w:tcPr>
            <w:tcW w:w="6327" w:type="dxa"/>
            <w:vAlign w:val="center"/>
          </w:tcPr>
          <w:p>
            <w:pPr>
              <w:jc w:val="center"/>
              <w:rPr>
                <w:rFonts w:ascii="仿宋" w:hAnsi="仿宋" w:eastAsia="仿宋" w:cs="仿宋"/>
                <w:b/>
                <w:szCs w:val="21"/>
              </w:rPr>
            </w:pPr>
            <w:r>
              <w:rPr>
                <w:rFonts w:hint="eastAsia" w:ascii="仿宋" w:hAnsi="仿宋" w:eastAsia="仿宋" w:cs="仿宋"/>
                <w:b/>
                <w:szCs w:val="21"/>
              </w:rPr>
              <w:t>适用管线类型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4" w:type="dxa"/>
            <w:vAlign w:val="center"/>
          </w:tcPr>
          <w:p>
            <w:pPr>
              <w:jc w:val="center"/>
              <w:rPr>
                <w:rFonts w:ascii="仿宋" w:hAnsi="仿宋" w:eastAsia="仿宋" w:cs="仿宋"/>
                <w:szCs w:val="21"/>
              </w:rPr>
            </w:pPr>
            <w:r>
              <w:rPr>
                <w:rFonts w:hint="eastAsia" w:ascii="仿宋" w:hAnsi="仿宋" w:eastAsia="仿宋" w:cs="仿宋"/>
                <w:szCs w:val="21"/>
              </w:rPr>
              <w:t>铸铁</w:t>
            </w:r>
          </w:p>
        </w:tc>
        <w:tc>
          <w:tcPr>
            <w:tcW w:w="6327" w:type="dxa"/>
            <w:vAlign w:val="center"/>
          </w:tcPr>
          <w:p>
            <w:pPr>
              <w:jc w:val="center"/>
              <w:rPr>
                <w:rFonts w:ascii="仿宋" w:hAnsi="仿宋" w:eastAsia="仿宋" w:cs="仿宋"/>
                <w:szCs w:val="21"/>
              </w:rPr>
            </w:pPr>
            <w:r>
              <w:rPr>
                <w:rFonts w:hint="eastAsia" w:ascii="仿宋" w:hAnsi="仿宋" w:eastAsia="仿宋" w:cs="仿宋"/>
                <w:szCs w:val="21"/>
              </w:rPr>
              <w:t>给水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4" w:type="dxa"/>
            <w:vAlign w:val="center"/>
          </w:tcPr>
          <w:p>
            <w:pPr>
              <w:ind w:firstLine="1200" w:firstLineChars="500"/>
              <w:rPr>
                <w:rFonts w:ascii="仿宋" w:hAnsi="仿宋" w:eastAsia="仿宋" w:cs="仿宋"/>
                <w:szCs w:val="21"/>
              </w:rPr>
            </w:pPr>
            <w:r>
              <w:rPr>
                <w:rFonts w:hint="eastAsia" w:ascii="仿宋" w:hAnsi="仿宋" w:eastAsia="仿宋" w:cs="仿宋"/>
                <w:szCs w:val="21"/>
              </w:rPr>
              <w:t>钢</w:t>
            </w:r>
          </w:p>
        </w:tc>
        <w:tc>
          <w:tcPr>
            <w:tcW w:w="6327" w:type="dxa"/>
            <w:vAlign w:val="center"/>
          </w:tcPr>
          <w:p>
            <w:pPr>
              <w:jc w:val="center"/>
              <w:rPr>
                <w:rFonts w:ascii="仿宋" w:hAnsi="仿宋" w:eastAsia="仿宋" w:cs="仿宋"/>
                <w:szCs w:val="21"/>
              </w:rPr>
            </w:pPr>
            <w:r>
              <w:rPr>
                <w:rFonts w:hint="eastAsia" w:ascii="仿宋" w:hAnsi="仿宋" w:eastAsia="仿宋" w:cs="仿宋"/>
                <w:szCs w:val="21"/>
              </w:rPr>
              <w:t>给水、燃气、热力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4" w:type="dxa"/>
            <w:vAlign w:val="center"/>
          </w:tcPr>
          <w:p>
            <w:pPr>
              <w:jc w:val="center"/>
              <w:rPr>
                <w:rFonts w:ascii="仿宋" w:hAnsi="仿宋" w:eastAsia="仿宋" w:cs="仿宋"/>
                <w:szCs w:val="21"/>
              </w:rPr>
            </w:pPr>
            <w:r>
              <w:rPr>
                <w:rFonts w:hint="eastAsia" w:ascii="仿宋" w:hAnsi="仿宋" w:eastAsia="仿宋" w:cs="仿宋"/>
                <w:szCs w:val="21"/>
              </w:rPr>
              <w:t>混凝土</w:t>
            </w:r>
          </w:p>
        </w:tc>
        <w:tc>
          <w:tcPr>
            <w:tcW w:w="6327" w:type="dxa"/>
            <w:vAlign w:val="center"/>
          </w:tcPr>
          <w:p>
            <w:pPr>
              <w:jc w:val="center"/>
              <w:rPr>
                <w:rFonts w:ascii="仿宋" w:hAnsi="仿宋" w:eastAsia="仿宋" w:cs="仿宋"/>
                <w:szCs w:val="21"/>
              </w:rPr>
            </w:pPr>
            <w:r>
              <w:rPr>
                <w:rFonts w:hint="eastAsia" w:ascii="仿宋" w:hAnsi="仿宋" w:eastAsia="仿宋" w:cs="仿宋"/>
                <w:szCs w:val="21"/>
              </w:rPr>
              <w:t>排水、给水、电力、通信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4" w:type="dxa"/>
            <w:vAlign w:val="center"/>
          </w:tcPr>
          <w:p>
            <w:pPr>
              <w:jc w:val="center"/>
              <w:rPr>
                <w:rFonts w:ascii="仿宋" w:hAnsi="仿宋" w:eastAsia="仿宋" w:cs="仿宋"/>
                <w:szCs w:val="21"/>
              </w:rPr>
            </w:pPr>
            <w:r>
              <w:rPr>
                <w:rFonts w:hint="eastAsia" w:ascii="仿宋" w:hAnsi="仿宋" w:eastAsia="仿宋" w:cs="仿宋"/>
                <w:szCs w:val="21"/>
              </w:rPr>
              <w:t>聚乙烯塑料（PE）</w:t>
            </w:r>
          </w:p>
        </w:tc>
        <w:tc>
          <w:tcPr>
            <w:tcW w:w="6327" w:type="dxa"/>
            <w:vMerge w:val="restart"/>
            <w:vAlign w:val="center"/>
          </w:tcPr>
          <w:p>
            <w:pPr>
              <w:jc w:val="center"/>
              <w:rPr>
                <w:rFonts w:ascii="仿宋" w:hAnsi="仿宋" w:eastAsia="仿宋" w:cs="仿宋"/>
                <w:szCs w:val="21"/>
              </w:rPr>
            </w:pPr>
            <w:r>
              <w:rPr>
                <w:rFonts w:hint="eastAsia" w:ascii="仿宋" w:hAnsi="仿宋" w:eastAsia="仿宋" w:cs="仿宋"/>
                <w:szCs w:val="21"/>
              </w:rPr>
              <w:t>除热力、工业外的各类管线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4" w:type="dxa"/>
            <w:vAlign w:val="center"/>
          </w:tcPr>
          <w:p>
            <w:pPr>
              <w:jc w:val="center"/>
              <w:rPr>
                <w:rFonts w:ascii="仿宋" w:hAnsi="仿宋" w:eastAsia="仿宋" w:cs="仿宋"/>
                <w:szCs w:val="21"/>
              </w:rPr>
            </w:pPr>
            <w:r>
              <w:rPr>
                <w:rFonts w:hint="eastAsia" w:ascii="仿宋" w:hAnsi="仿宋" w:eastAsia="仿宋" w:cs="仿宋"/>
                <w:szCs w:val="21"/>
              </w:rPr>
              <w:t>聚氯乙烯塑料（PVC）</w:t>
            </w:r>
          </w:p>
        </w:tc>
        <w:tc>
          <w:tcPr>
            <w:tcW w:w="6327" w:type="dxa"/>
            <w:vMerge w:val="continue"/>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4" w:type="dxa"/>
            <w:vAlign w:val="center"/>
          </w:tcPr>
          <w:p>
            <w:pPr>
              <w:jc w:val="center"/>
              <w:rPr>
                <w:rFonts w:ascii="仿宋" w:hAnsi="仿宋" w:eastAsia="仿宋" w:cs="仿宋"/>
                <w:szCs w:val="21"/>
              </w:rPr>
            </w:pPr>
            <w:r>
              <w:rPr>
                <w:rFonts w:hint="eastAsia" w:ascii="仿宋" w:hAnsi="仿宋" w:eastAsia="仿宋" w:cs="仿宋"/>
                <w:szCs w:val="21"/>
              </w:rPr>
              <w:t>玻璃钢</w:t>
            </w:r>
          </w:p>
        </w:tc>
        <w:tc>
          <w:tcPr>
            <w:tcW w:w="6327" w:type="dxa"/>
            <w:vAlign w:val="center"/>
          </w:tcPr>
          <w:p>
            <w:pPr>
              <w:jc w:val="center"/>
              <w:rPr>
                <w:rFonts w:ascii="仿宋" w:hAnsi="仿宋" w:eastAsia="仿宋" w:cs="仿宋"/>
                <w:szCs w:val="21"/>
              </w:rPr>
            </w:pPr>
            <w:r>
              <w:rPr>
                <w:rFonts w:hint="eastAsia" w:ascii="仿宋" w:hAnsi="仿宋" w:eastAsia="仿宋" w:cs="仿宋"/>
                <w:szCs w:val="21"/>
              </w:rPr>
              <w:t>电力、给水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4" w:type="dxa"/>
            <w:vAlign w:val="center"/>
          </w:tcPr>
          <w:p>
            <w:pPr>
              <w:jc w:val="center"/>
              <w:rPr>
                <w:rFonts w:ascii="仿宋" w:hAnsi="仿宋" w:eastAsia="仿宋" w:cs="仿宋"/>
                <w:szCs w:val="21"/>
              </w:rPr>
            </w:pPr>
            <w:r>
              <w:rPr>
                <w:rFonts w:hint="eastAsia" w:ascii="仿宋" w:hAnsi="仿宋" w:eastAsia="仿宋" w:cs="仿宋"/>
                <w:szCs w:val="21"/>
              </w:rPr>
              <w:t>球墨铸铁</w:t>
            </w:r>
          </w:p>
        </w:tc>
        <w:tc>
          <w:tcPr>
            <w:tcW w:w="6327" w:type="dxa"/>
            <w:vAlign w:val="center"/>
          </w:tcPr>
          <w:p>
            <w:pPr>
              <w:jc w:val="center"/>
              <w:rPr>
                <w:rFonts w:ascii="仿宋" w:hAnsi="仿宋" w:eastAsia="仿宋" w:cs="仿宋"/>
                <w:szCs w:val="21"/>
              </w:rPr>
            </w:pPr>
            <w:r>
              <w:rPr>
                <w:rFonts w:hint="eastAsia" w:ascii="仿宋" w:hAnsi="仿宋" w:eastAsia="仿宋" w:cs="仿宋"/>
                <w:szCs w:val="21"/>
              </w:rPr>
              <w:t>给水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4" w:type="dxa"/>
            <w:vAlign w:val="center"/>
          </w:tcPr>
          <w:p>
            <w:pPr>
              <w:jc w:val="center"/>
              <w:rPr>
                <w:rFonts w:ascii="仿宋" w:hAnsi="仿宋" w:eastAsia="仿宋" w:cs="仿宋"/>
                <w:szCs w:val="21"/>
              </w:rPr>
            </w:pPr>
            <w:r>
              <w:rPr>
                <w:rFonts w:hint="eastAsia" w:ascii="仿宋" w:hAnsi="仿宋" w:eastAsia="仿宋" w:cs="仿宋"/>
                <w:szCs w:val="21"/>
              </w:rPr>
              <w:t>砖石</w:t>
            </w:r>
          </w:p>
        </w:tc>
        <w:tc>
          <w:tcPr>
            <w:tcW w:w="6327" w:type="dxa"/>
            <w:vMerge w:val="restart"/>
            <w:vAlign w:val="center"/>
          </w:tcPr>
          <w:p>
            <w:pPr>
              <w:jc w:val="center"/>
              <w:rPr>
                <w:rFonts w:ascii="仿宋" w:hAnsi="仿宋" w:eastAsia="仿宋" w:cs="仿宋"/>
                <w:szCs w:val="21"/>
              </w:rPr>
            </w:pPr>
            <w:r>
              <w:rPr>
                <w:rFonts w:hint="eastAsia" w:ascii="仿宋" w:hAnsi="仿宋" w:eastAsia="仿宋" w:cs="仿宋"/>
                <w:szCs w:val="21"/>
              </w:rPr>
              <w:t>排水、电力、通信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4" w:type="dxa"/>
            <w:vAlign w:val="center"/>
          </w:tcPr>
          <w:p>
            <w:pPr>
              <w:jc w:val="center"/>
              <w:rPr>
                <w:rFonts w:ascii="仿宋" w:hAnsi="仿宋" w:eastAsia="仿宋" w:cs="仿宋"/>
                <w:szCs w:val="21"/>
              </w:rPr>
            </w:pPr>
            <w:r>
              <w:rPr>
                <w:rFonts w:hint="eastAsia" w:ascii="仿宋" w:hAnsi="仿宋" w:eastAsia="仿宋" w:cs="仿宋"/>
                <w:szCs w:val="21"/>
              </w:rPr>
              <w:t>砖</w:t>
            </w:r>
          </w:p>
        </w:tc>
        <w:tc>
          <w:tcPr>
            <w:tcW w:w="6327" w:type="dxa"/>
            <w:vMerge w:val="continue"/>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4" w:type="dxa"/>
            <w:vAlign w:val="center"/>
          </w:tcPr>
          <w:p>
            <w:pPr>
              <w:jc w:val="center"/>
              <w:rPr>
                <w:rFonts w:ascii="仿宋" w:hAnsi="仿宋" w:eastAsia="仿宋" w:cs="仿宋"/>
                <w:szCs w:val="21"/>
              </w:rPr>
            </w:pPr>
            <w:r>
              <w:rPr>
                <w:rFonts w:hint="eastAsia" w:ascii="仿宋" w:hAnsi="仿宋" w:eastAsia="仿宋" w:cs="仿宋"/>
                <w:szCs w:val="21"/>
              </w:rPr>
              <w:t>石</w:t>
            </w:r>
          </w:p>
        </w:tc>
        <w:tc>
          <w:tcPr>
            <w:tcW w:w="6327" w:type="dxa"/>
            <w:vMerge w:val="restart"/>
            <w:vAlign w:val="center"/>
          </w:tcPr>
          <w:p>
            <w:pPr>
              <w:jc w:val="center"/>
              <w:rPr>
                <w:rFonts w:ascii="仿宋" w:hAnsi="仿宋" w:eastAsia="仿宋" w:cs="仿宋"/>
                <w:szCs w:val="21"/>
              </w:rPr>
            </w:pPr>
            <w:r>
              <w:rPr>
                <w:rFonts w:hint="eastAsia" w:ascii="仿宋" w:hAnsi="仿宋" w:eastAsia="仿宋" w:cs="仿宋"/>
                <w:szCs w:val="21"/>
              </w:rPr>
              <w:t>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4" w:type="dxa"/>
            <w:vAlign w:val="center"/>
          </w:tcPr>
          <w:p>
            <w:pPr>
              <w:jc w:val="center"/>
              <w:rPr>
                <w:rFonts w:ascii="仿宋" w:hAnsi="仿宋" w:eastAsia="仿宋" w:cs="仿宋"/>
                <w:szCs w:val="21"/>
              </w:rPr>
            </w:pPr>
            <w:r>
              <w:rPr>
                <w:rFonts w:hint="eastAsia" w:ascii="仿宋" w:hAnsi="仿宋" w:eastAsia="仿宋" w:cs="仿宋"/>
                <w:szCs w:val="21"/>
              </w:rPr>
              <w:t>石棉</w:t>
            </w:r>
          </w:p>
        </w:tc>
        <w:tc>
          <w:tcPr>
            <w:tcW w:w="6327" w:type="dxa"/>
            <w:vMerge w:val="continue"/>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4" w:type="dxa"/>
            <w:vAlign w:val="center"/>
          </w:tcPr>
          <w:p>
            <w:pPr>
              <w:jc w:val="center"/>
              <w:rPr>
                <w:rFonts w:ascii="仿宋" w:hAnsi="仿宋" w:eastAsia="仿宋" w:cs="仿宋"/>
                <w:szCs w:val="21"/>
              </w:rPr>
            </w:pPr>
            <w:r>
              <w:rPr>
                <w:rFonts w:hint="eastAsia" w:ascii="仿宋" w:hAnsi="仿宋" w:eastAsia="仿宋" w:cs="仿宋"/>
                <w:szCs w:val="21"/>
              </w:rPr>
              <w:t>陶瓷</w:t>
            </w:r>
          </w:p>
        </w:tc>
        <w:tc>
          <w:tcPr>
            <w:tcW w:w="6327" w:type="dxa"/>
            <w:vMerge w:val="continue"/>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4" w:type="dxa"/>
            <w:vAlign w:val="center"/>
          </w:tcPr>
          <w:p>
            <w:pPr>
              <w:jc w:val="center"/>
              <w:rPr>
                <w:rFonts w:ascii="仿宋" w:hAnsi="仿宋" w:eastAsia="仿宋" w:cs="仿宋"/>
                <w:szCs w:val="21"/>
              </w:rPr>
            </w:pPr>
            <w:r>
              <w:rPr>
                <w:rFonts w:hint="eastAsia" w:ascii="仿宋" w:hAnsi="仿宋" w:eastAsia="仿宋" w:cs="仿宋"/>
                <w:szCs w:val="21"/>
              </w:rPr>
              <w:t>铜</w:t>
            </w:r>
          </w:p>
        </w:tc>
        <w:tc>
          <w:tcPr>
            <w:tcW w:w="6327" w:type="dxa"/>
            <w:vAlign w:val="center"/>
          </w:tcPr>
          <w:p>
            <w:pPr>
              <w:jc w:val="center"/>
              <w:rPr>
                <w:rFonts w:ascii="仿宋" w:hAnsi="仿宋" w:eastAsia="仿宋" w:cs="仿宋"/>
                <w:szCs w:val="21"/>
              </w:rPr>
            </w:pPr>
            <w:r>
              <w:rPr>
                <w:rFonts w:hint="eastAsia" w:ascii="仿宋" w:hAnsi="仿宋" w:eastAsia="仿宋" w:cs="仿宋"/>
                <w:szCs w:val="21"/>
              </w:rPr>
              <w:t>电力、通信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4" w:type="dxa"/>
            <w:vAlign w:val="center"/>
          </w:tcPr>
          <w:p>
            <w:pPr>
              <w:jc w:val="center"/>
              <w:rPr>
                <w:rFonts w:ascii="仿宋" w:hAnsi="仿宋" w:eastAsia="仿宋" w:cs="仿宋"/>
                <w:szCs w:val="21"/>
              </w:rPr>
            </w:pPr>
            <w:r>
              <w:rPr>
                <w:rFonts w:hint="eastAsia" w:ascii="仿宋" w:hAnsi="仿宋" w:eastAsia="仿宋" w:cs="仿宋"/>
                <w:szCs w:val="21"/>
              </w:rPr>
              <w:t>钢芯铝绞线</w:t>
            </w:r>
          </w:p>
        </w:tc>
        <w:tc>
          <w:tcPr>
            <w:tcW w:w="6327" w:type="dxa"/>
            <w:vAlign w:val="center"/>
          </w:tcPr>
          <w:p>
            <w:pPr>
              <w:jc w:val="center"/>
              <w:rPr>
                <w:rFonts w:ascii="仿宋" w:hAnsi="仿宋" w:eastAsia="仿宋" w:cs="仿宋"/>
                <w:szCs w:val="21"/>
              </w:rPr>
            </w:pPr>
            <w:r>
              <w:rPr>
                <w:rFonts w:hint="eastAsia" w:ascii="仿宋" w:hAnsi="仿宋" w:eastAsia="仿宋" w:cs="仿宋"/>
                <w:szCs w:val="21"/>
              </w:rPr>
              <w:t>电力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4" w:type="dxa"/>
            <w:vAlign w:val="center"/>
          </w:tcPr>
          <w:p>
            <w:pPr>
              <w:jc w:val="center"/>
              <w:rPr>
                <w:rFonts w:ascii="仿宋" w:hAnsi="仿宋" w:eastAsia="仿宋" w:cs="仿宋"/>
                <w:szCs w:val="21"/>
              </w:rPr>
            </w:pPr>
            <w:r>
              <w:rPr>
                <w:rFonts w:hint="eastAsia" w:ascii="仿宋" w:hAnsi="仿宋" w:eastAsia="仿宋" w:cs="仿宋"/>
                <w:szCs w:val="21"/>
              </w:rPr>
              <w:t>橡胶</w:t>
            </w:r>
          </w:p>
        </w:tc>
        <w:tc>
          <w:tcPr>
            <w:tcW w:w="6327" w:type="dxa"/>
            <w:vAlign w:val="center"/>
          </w:tcPr>
          <w:p>
            <w:pPr>
              <w:jc w:val="center"/>
              <w:rPr>
                <w:rFonts w:ascii="仿宋" w:hAnsi="仿宋" w:eastAsia="仿宋" w:cs="仿宋"/>
                <w:szCs w:val="21"/>
              </w:rPr>
            </w:pPr>
            <w:r>
              <w:rPr>
                <w:rFonts w:hint="eastAsia" w:ascii="仿宋" w:hAnsi="仿宋" w:eastAsia="仿宋" w:cs="仿宋"/>
                <w:szCs w:val="21"/>
              </w:rPr>
              <w:t>电力、通信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4" w:type="dxa"/>
            <w:vAlign w:val="center"/>
          </w:tcPr>
          <w:p>
            <w:pPr>
              <w:jc w:val="center"/>
              <w:rPr>
                <w:rFonts w:ascii="仿宋" w:hAnsi="仿宋" w:eastAsia="仿宋" w:cs="仿宋"/>
                <w:szCs w:val="21"/>
              </w:rPr>
            </w:pPr>
            <w:r>
              <w:rPr>
                <w:rFonts w:hint="eastAsia" w:ascii="仿宋" w:hAnsi="仿宋" w:eastAsia="仿宋" w:cs="仿宋"/>
                <w:szCs w:val="21"/>
              </w:rPr>
              <w:t>光纤</w:t>
            </w:r>
          </w:p>
        </w:tc>
        <w:tc>
          <w:tcPr>
            <w:tcW w:w="6327" w:type="dxa"/>
            <w:vAlign w:val="center"/>
          </w:tcPr>
          <w:p>
            <w:pPr>
              <w:jc w:val="center"/>
              <w:rPr>
                <w:rFonts w:ascii="仿宋" w:hAnsi="仿宋" w:eastAsia="仿宋" w:cs="仿宋"/>
                <w:szCs w:val="21"/>
              </w:rPr>
            </w:pPr>
            <w:r>
              <w:rPr>
                <w:rFonts w:hint="eastAsia" w:ascii="仿宋" w:hAnsi="仿宋" w:eastAsia="仿宋" w:cs="仿宋"/>
                <w:szCs w:val="21"/>
              </w:rPr>
              <w:t>通信</w:t>
            </w:r>
          </w:p>
        </w:tc>
      </w:tr>
    </w:tbl>
    <w:p>
      <w:pPr>
        <w:spacing w:line="560" w:lineRule="exact"/>
        <w:jc w:val="center"/>
        <w:rPr>
          <w:rFonts w:ascii="仿宋" w:hAnsi="仿宋" w:eastAsia="仿宋" w:cs="仿宋"/>
          <w:b/>
        </w:rPr>
      </w:pPr>
      <w:r>
        <w:rPr>
          <w:rFonts w:hint="eastAsia" w:ascii="仿宋" w:hAnsi="仿宋" w:eastAsia="仿宋" w:cs="仿宋"/>
          <w:b/>
        </w:rPr>
        <w:t>附表A.13.2 埋设方式值域表</w:t>
      </w:r>
    </w:p>
    <w:tbl>
      <w:tblPr>
        <w:tblStyle w:val="26"/>
        <w:tblW w:w="8933"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559"/>
        <w:gridCol w:w="737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4" w:hRule="atLeast"/>
          <w:jc w:val="center"/>
        </w:trPr>
        <w:tc>
          <w:tcPr>
            <w:tcW w:w="1559" w:type="dxa"/>
            <w:vAlign w:val="center"/>
          </w:tcPr>
          <w:p>
            <w:pPr>
              <w:widowControl/>
              <w:jc w:val="center"/>
              <w:rPr>
                <w:rFonts w:ascii="仿宋" w:hAnsi="仿宋" w:eastAsia="仿宋" w:cs="仿宋"/>
                <w:b/>
                <w:color w:val="000000"/>
                <w:szCs w:val="21"/>
              </w:rPr>
            </w:pPr>
            <w:r>
              <w:rPr>
                <w:rFonts w:hint="eastAsia" w:ascii="仿宋" w:hAnsi="仿宋" w:eastAsia="仿宋" w:cs="仿宋"/>
                <w:b/>
                <w:color w:val="000000"/>
                <w:szCs w:val="21"/>
              </w:rPr>
              <w:t>埋设方式</w:t>
            </w:r>
          </w:p>
        </w:tc>
        <w:tc>
          <w:tcPr>
            <w:tcW w:w="7374" w:type="dxa"/>
            <w:vAlign w:val="center"/>
          </w:tcPr>
          <w:p>
            <w:pPr>
              <w:widowControl/>
              <w:jc w:val="center"/>
              <w:rPr>
                <w:rFonts w:ascii="仿宋" w:hAnsi="仿宋" w:eastAsia="仿宋" w:cs="仿宋"/>
                <w:b/>
                <w:color w:val="000000"/>
                <w:szCs w:val="21"/>
              </w:rPr>
            </w:pPr>
            <w:r>
              <w:rPr>
                <w:rFonts w:hint="eastAsia" w:ascii="仿宋" w:hAnsi="仿宋" w:eastAsia="仿宋" w:cs="仿宋"/>
                <w:b/>
                <w:color w:val="000000"/>
                <w:szCs w:val="21"/>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1559"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直埋</w:t>
            </w:r>
          </w:p>
        </w:tc>
        <w:tc>
          <w:tcPr>
            <w:tcW w:w="7374"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管线直接埋设于地下的埋设方式，常用于给水、燃气、排水等管道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1559"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管埋</w:t>
            </w:r>
          </w:p>
        </w:tc>
        <w:tc>
          <w:tcPr>
            <w:tcW w:w="7374"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管线通过保护套管埋设于地下的埋设方式，套管以单管或管组的形式预先埋设于地下，常用于电力、通信电缆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1559"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管块</w:t>
            </w:r>
          </w:p>
        </w:tc>
        <w:tc>
          <w:tcPr>
            <w:tcW w:w="7374"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管线通过预制水泥标准管块的形式埋设于地下，常用于电力、通信电缆。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1559"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管沟</w:t>
            </w:r>
          </w:p>
        </w:tc>
        <w:tc>
          <w:tcPr>
            <w:tcW w:w="7374"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管线形态为方沟或管线埋设于沟道中，常用于排水方沟及热力管道、电力、通信电缆等的埋设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1559"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地面</w:t>
            </w:r>
          </w:p>
        </w:tc>
        <w:tc>
          <w:tcPr>
            <w:tcW w:w="7374"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管线铺设于地表，管线点标志只能设置于管线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1559"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上架</w:t>
            </w:r>
          </w:p>
        </w:tc>
        <w:tc>
          <w:tcPr>
            <w:tcW w:w="7374"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地下电缆上杆、管道出地垂直管线段部分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1559"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小通道</w:t>
            </w:r>
          </w:p>
        </w:tc>
        <w:tc>
          <w:tcPr>
            <w:tcW w:w="7374"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其它管线借用排水管（沟）埋设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9" w:hRule="atLeast"/>
          <w:jc w:val="center"/>
        </w:trPr>
        <w:tc>
          <w:tcPr>
            <w:tcW w:w="1559"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借用</w:t>
            </w:r>
          </w:p>
        </w:tc>
        <w:tc>
          <w:tcPr>
            <w:tcW w:w="7374"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不同电压值电力线共沟情况，主电力线按正常埋设方式填写，其他电力线为借用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9" w:hRule="atLeast"/>
          <w:jc w:val="center"/>
        </w:trPr>
        <w:tc>
          <w:tcPr>
            <w:tcW w:w="1559"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综合管廊（沟）</w:t>
            </w:r>
          </w:p>
        </w:tc>
        <w:tc>
          <w:tcPr>
            <w:tcW w:w="7374"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不同种类管线集中敷设的通道或地下隧道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1559"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顶管</w:t>
            </w:r>
          </w:p>
        </w:tc>
        <w:tc>
          <w:tcPr>
            <w:tcW w:w="7374"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按预先设定的地下铺管轨迹靠钻头挤压形成一个小口径先导孔，随后在先导孔出口端的钻杆头部安装扩孔器回拉扩孔，当扩孔至尺寸要求后，在扩孔器的后端连接旋转接头、拉管头和管线，回拉铺设地下管线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1559"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井内连线</w:t>
            </w:r>
          </w:p>
        </w:tc>
        <w:tc>
          <w:tcPr>
            <w:tcW w:w="7374"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检查井内的连接管线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1559"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水下</w:t>
            </w:r>
          </w:p>
        </w:tc>
        <w:tc>
          <w:tcPr>
            <w:tcW w:w="7374"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敷设于水面以下的管线</w:t>
            </w:r>
          </w:p>
        </w:tc>
      </w:tr>
    </w:tbl>
    <w:p>
      <w:pPr>
        <w:spacing w:line="560" w:lineRule="exact"/>
        <w:jc w:val="center"/>
        <w:rPr>
          <w:rFonts w:ascii="仿宋" w:hAnsi="仿宋" w:eastAsia="仿宋" w:cs="仿宋"/>
          <w:szCs w:val="21"/>
        </w:rPr>
      </w:pPr>
      <w:r>
        <w:rPr>
          <w:rFonts w:hint="eastAsia" w:ascii="仿宋" w:hAnsi="仿宋" w:eastAsia="仿宋" w:cs="仿宋"/>
          <w:b/>
        </w:rPr>
        <w:t>附表</w:t>
      </w:r>
      <w:r>
        <w:rPr>
          <w:rFonts w:hint="eastAsia" w:ascii="仿宋" w:hAnsi="仿宋" w:eastAsia="仿宋" w:cs="仿宋"/>
          <w:b/>
          <w:color w:val="000000"/>
          <w:kern w:val="0"/>
        </w:rPr>
        <w:t xml:space="preserve">A.13.3 </w:t>
      </w:r>
      <w:r>
        <w:rPr>
          <w:rFonts w:hint="eastAsia" w:ascii="仿宋" w:hAnsi="仿宋" w:eastAsia="仿宋" w:cs="仿宋"/>
          <w:b/>
        </w:rPr>
        <w:t>电压值域表</w:t>
      </w:r>
    </w:p>
    <w:tbl>
      <w:tblPr>
        <w:tblStyle w:val="26"/>
        <w:tblW w:w="4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2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82" w:type="dxa"/>
            <w:vAlign w:val="center"/>
          </w:tcPr>
          <w:p>
            <w:pPr>
              <w:widowControl/>
              <w:jc w:val="center"/>
              <w:rPr>
                <w:rFonts w:ascii="仿宋" w:hAnsi="仿宋" w:eastAsia="仿宋" w:cs="仿宋"/>
                <w:b/>
                <w:color w:val="000000"/>
                <w:szCs w:val="21"/>
              </w:rPr>
            </w:pPr>
            <w:r>
              <w:rPr>
                <w:rFonts w:hint="eastAsia" w:ascii="仿宋" w:hAnsi="仿宋" w:eastAsia="仿宋" w:cs="仿宋"/>
                <w:b/>
                <w:color w:val="000000"/>
                <w:szCs w:val="21"/>
              </w:rPr>
              <w:t>电压</w:t>
            </w:r>
          </w:p>
        </w:tc>
        <w:tc>
          <w:tcPr>
            <w:tcW w:w="2167" w:type="dxa"/>
            <w:vAlign w:val="center"/>
          </w:tcPr>
          <w:p>
            <w:pPr>
              <w:widowControl/>
              <w:jc w:val="center"/>
              <w:rPr>
                <w:rFonts w:ascii="仿宋" w:hAnsi="仿宋" w:eastAsia="仿宋" w:cs="仿宋"/>
                <w:b/>
                <w:color w:val="000000"/>
                <w:szCs w:val="21"/>
              </w:rPr>
            </w:pPr>
            <w:r>
              <w:rPr>
                <w:rFonts w:hint="eastAsia" w:ascii="仿宋" w:hAnsi="仿宋" w:eastAsia="仿宋" w:cs="仿宋"/>
                <w:b/>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82"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220V</w:t>
            </w:r>
          </w:p>
        </w:tc>
        <w:tc>
          <w:tcPr>
            <w:tcW w:w="2167" w:type="dxa"/>
            <w:vAlign w:val="center"/>
          </w:tcPr>
          <w:p>
            <w:pPr>
              <w:jc w:val="center"/>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82"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380V</w:t>
            </w:r>
          </w:p>
        </w:tc>
        <w:tc>
          <w:tcPr>
            <w:tcW w:w="2167" w:type="dxa"/>
            <w:vAlign w:val="center"/>
          </w:tcPr>
          <w:p>
            <w:pPr>
              <w:jc w:val="center"/>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82"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10kV</w:t>
            </w:r>
          </w:p>
        </w:tc>
        <w:tc>
          <w:tcPr>
            <w:tcW w:w="2167" w:type="dxa"/>
            <w:vAlign w:val="center"/>
          </w:tcPr>
          <w:p>
            <w:pPr>
              <w:jc w:val="center"/>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82"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35kV</w:t>
            </w:r>
          </w:p>
        </w:tc>
        <w:tc>
          <w:tcPr>
            <w:tcW w:w="2167" w:type="dxa"/>
            <w:vAlign w:val="center"/>
          </w:tcPr>
          <w:p>
            <w:pPr>
              <w:jc w:val="center"/>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82"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110kV</w:t>
            </w:r>
          </w:p>
        </w:tc>
        <w:tc>
          <w:tcPr>
            <w:tcW w:w="2167" w:type="dxa"/>
            <w:vAlign w:val="center"/>
          </w:tcPr>
          <w:p>
            <w:pPr>
              <w:jc w:val="center"/>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82"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220kV</w:t>
            </w:r>
          </w:p>
        </w:tc>
        <w:tc>
          <w:tcPr>
            <w:tcW w:w="2167" w:type="dxa"/>
            <w:vAlign w:val="center"/>
          </w:tcPr>
          <w:p>
            <w:pPr>
              <w:jc w:val="center"/>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82"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500kV</w:t>
            </w:r>
          </w:p>
        </w:tc>
        <w:tc>
          <w:tcPr>
            <w:tcW w:w="2167" w:type="dxa"/>
            <w:vAlign w:val="center"/>
          </w:tcPr>
          <w:p>
            <w:pPr>
              <w:jc w:val="center"/>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82"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750kV</w:t>
            </w:r>
          </w:p>
        </w:tc>
        <w:tc>
          <w:tcPr>
            <w:tcW w:w="2167" w:type="dxa"/>
            <w:vAlign w:val="center"/>
          </w:tcPr>
          <w:p>
            <w:pPr>
              <w:jc w:val="center"/>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82"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1000kV</w:t>
            </w:r>
          </w:p>
        </w:tc>
        <w:tc>
          <w:tcPr>
            <w:tcW w:w="2167" w:type="dxa"/>
            <w:vAlign w:val="center"/>
          </w:tcPr>
          <w:p>
            <w:pPr>
              <w:jc w:val="center"/>
              <w:rPr>
                <w:rFonts w:ascii="仿宋" w:hAnsi="仿宋" w:eastAsia="仿宋" w:cs="仿宋"/>
                <w:color w:val="000000"/>
                <w:szCs w:val="21"/>
              </w:rPr>
            </w:pPr>
          </w:p>
        </w:tc>
      </w:tr>
    </w:tbl>
    <w:p>
      <w:pPr>
        <w:spacing w:line="560" w:lineRule="exact"/>
        <w:jc w:val="center"/>
        <w:rPr>
          <w:rFonts w:ascii="仿宋" w:hAnsi="仿宋" w:eastAsia="仿宋" w:cs="仿宋"/>
          <w:b/>
        </w:rPr>
      </w:pPr>
      <w:r>
        <w:rPr>
          <w:rFonts w:hint="eastAsia" w:ascii="仿宋" w:hAnsi="仿宋" w:eastAsia="仿宋" w:cs="仿宋"/>
          <w:b/>
        </w:rPr>
        <w:t>附表A.13.4流向值域表</w:t>
      </w:r>
    </w:p>
    <w:tbl>
      <w:tblPr>
        <w:tblStyle w:val="26"/>
        <w:tblW w:w="46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2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696" w:type="dxa"/>
            <w:vAlign w:val="center"/>
          </w:tcPr>
          <w:p>
            <w:pPr>
              <w:widowControl/>
              <w:jc w:val="center"/>
              <w:rPr>
                <w:rFonts w:ascii="仿宋" w:hAnsi="仿宋" w:eastAsia="仿宋" w:cs="仿宋"/>
                <w:b/>
                <w:color w:val="000000"/>
                <w:szCs w:val="21"/>
              </w:rPr>
            </w:pPr>
            <w:r>
              <w:rPr>
                <w:rFonts w:hint="eastAsia" w:ascii="仿宋" w:hAnsi="仿宋" w:eastAsia="仿宋" w:cs="仿宋"/>
                <w:b/>
                <w:color w:val="000000"/>
                <w:szCs w:val="21"/>
              </w:rPr>
              <w:t>流向</w:t>
            </w:r>
          </w:p>
        </w:tc>
        <w:tc>
          <w:tcPr>
            <w:tcW w:w="2945" w:type="dxa"/>
            <w:vAlign w:val="center"/>
          </w:tcPr>
          <w:p>
            <w:pPr>
              <w:widowControl/>
              <w:jc w:val="center"/>
              <w:rPr>
                <w:rFonts w:ascii="仿宋" w:hAnsi="仿宋" w:eastAsia="仿宋" w:cs="仿宋"/>
                <w:b/>
                <w:color w:val="000000"/>
                <w:szCs w:val="21"/>
              </w:rPr>
            </w:pPr>
            <w:r>
              <w:rPr>
                <w:rFonts w:hint="eastAsia" w:ascii="仿宋" w:hAnsi="仿宋" w:eastAsia="仿宋" w:cs="仿宋"/>
                <w:b/>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696"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0</w:t>
            </w:r>
          </w:p>
        </w:tc>
        <w:tc>
          <w:tcPr>
            <w:tcW w:w="2945"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正向（流向从起点到终点）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696"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1</w:t>
            </w:r>
          </w:p>
        </w:tc>
        <w:tc>
          <w:tcPr>
            <w:tcW w:w="2945"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逆向（流向从终点到起点）</w:t>
            </w:r>
          </w:p>
        </w:tc>
      </w:tr>
    </w:tbl>
    <w:p>
      <w:pPr>
        <w:spacing w:line="560" w:lineRule="exact"/>
        <w:jc w:val="center"/>
        <w:rPr>
          <w:rFonts w:ascii="仿宋" w:hAnsi="仿宋" w:eastAsia="仿宋" w:cs="仿宋"/>
          <w:b/>
        </w:rPr>
      </w:pPr>
      <w:r>
        <w:rPr>
          <w:rFonts w:hint="eastAsia" w:ascii="仿宋" w:hAnsi="仿宋" w:eastAsia="仿宋" w:cs="仿宋"/>
          <w:b/>
        </w:rPr>
        <w:t>附表A.13.5压力值值域表</w:t>
      </w:r>
    </w:p>
    <w:tbl>
      <w:tblPr>
        <w:tblStyle w:val="26"/>
        <w:tblW w:w="4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127" w:type="dxa"/>
            <w:vAlign w:val="center"/>
          </w:tcPr>
          <w:p>
            <w:pPr>
              <w:widowControl/>
              <w:jc w:val="center"/>
              <w:rPr>
                <w:rFonts w:ascii="仿宋" w:hAnsi="仿宋" w:eastAsia="仿宋" w:cs="仿宋"/>
                <w:b/>
                <w:color w:val="000000"/>
                <w:szCs w:val="21"/>
              </w:rPr>
            </w:pPr>
            <w:r>
              <w:rPr>
                <w:rFonts w:hint="eastAsia" w:ascii="仿宋" w:hAnsi="仿宋" w:eastAsia="仿宋" w:cs="仿宋"/>
                <w:b/>
                <w:color w:val="000000"/>
                <w:szCs w:val="21"/>
              </w:rPr>
              <w:t>压力</w:t>
            </w:r>
          </w:p>
        </w:tc>
        <w:tc>
          <w:tcPr>
            <w:tcW w:w="1995" w:type="dxa"/>
            <w:vAlign w:val="center"/>
          </w:tcPr>
          <w:p>
            <w:pPr>
              <w:widowControl/>
              <w:jc w:val="center"/>
              <w:rPr>
                <w:rFonts w:ascii="仿宋" w:hAnsi="仿宋" w:eastAsia="仿宋" w:cs="仿宋"/>
                <w:b/>
                <w:color w:val="000000"/>
                <w:szCs w:val="21"/>
              </w:rPr>
            </w:pPr>
            <w:r>
              <w:rPr>
                <w:rFonts w:hint="eastAsia" w:ascii="仿宋" w:hAnsi="仿宋" w:eastAsia="仿宋" w:cs="仿宋"/>
                <w:b/>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7"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高压</w:t>
            </w:r>
          </w:p>
        </w:tc>
        <w:tc>
          <w:tcPr>
            <w:tcW w:w="1995" w:type="dxa"/>
            <w:vAlign w:val="center"/>
          </w:tcPr>
          <w:p>
            <w:pPr>
              <w:jc w:val="center"/>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7"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次高压</w:t>
            </w:r>
          </w:p>
        </w:tc>
        <w:tc>
          <w:tcPr>
            <w:tcW w:w="1995" w:type="dxa"/>
            <w:vAlign w:val="center"/>
          </w:tcPr>
          <w:p>
            <w:pPr>
              <w:jc w:val="center"/>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7"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中压</w:t>
            </w:r>
          </w:p>
        </w:tc>
        <w:tc>
          <w:tcPr>
            <w:tcW w:w="1995" w:type="dxa"/>
            <w:vAlign w:val="center"/>
          </w:tcPr>
          <w:p>
            <w:pPr>
              <w:jc w:val="center"/>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7"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低压</w:t>
            </w:r>
          </w:p>
        </w:tc>
        <w:tc>
          <w:tcPr>
            <w:tcW w:w="1995" w:type="dxa"/>
            <w:vAlign w:val="center"/>
          </w:tcPr>
          <w:p>
            <w:pPr>
              <w:jc w:val="center"/>
              <w:rPr>
                <w:rFonts w:ascii="仿宋" w:hAnsi="仿宋" w:eastAsia="仿宋" w:cs="仿宋"/>
                <w:color w:val="000000"/>
                <w:szCs w:val="21"/>
              </w:rPr>
            </w:pPr>
          </w:p>
        </w:tc>
      </w:tr>
    </w:tbl>
    <w:p>
      <w:pPr>
        <w:spacing w:line="560" w:lineRule="exact"/>
        <w:jc w:val="center"/>
        <w:rPr>
          <w:rFonts w:ascii="仿宋" w:hAnsi="仿宋" w:eastAsia="仿宋" w:cs="仿宋"/>
          <w:b/>
        </w:rPr>
      </w:pPr>
      <w:r>
        <w:rPr>
          <w:rFonts w:hint="eastAsia" w:ascii="仿宋" w:hAnsi="仿宋" w:eastAsia="仿宋" w:cs="仿宋"/>
          <w:b/>
        </w:rPr>
        <w:t>附表A.13.6 数据来源值域表</w:t>
      </w:r>
    </w:p>
    <w:tbl>
      <w:tblPr>
        <w:tblStyle w:val="26"/>
        <w:tblW w:w="6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4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2" w:type="dxa"/>
            <w:vAlign w:val="center"/>
          </w:tcPr>
          <w:p>
            <w:pPr>
              <w:jc w:val="center"/>
              <w:rPr>
                <w:rFonts w:ascii="仿宋" w:hAnsi="仿宋" w:eastAsia="仿宋" w:cs="仿宋"/>
                <w:b/>
                <w:color w:val="000000"/>
                <w:szCs w:val="21"/>
              </w:rPr>
            </w:pPr>
            <w:r>
              <w:rPr>
                <w:rFonts w:hint="eastAsia" w:ascii="仿宋" w:hAnsi="仿宋" w:eastAsia="仿宋" w:cs="仿宋"/>
                <w:b/>
                <w:color w:val="000000"/>
                <w:kern w:val="0"/>
                <w:szCs w:val="21"/>
              </w:rPr>
              <w:t>数据来源</w:t>
            </w:r>
          </w:p>
        </w:tc>
        <w:tc>
          <w:tcPr>
            <w:tcW w:w="4160" w:type="dxa"/>
            <w:vAlign w:val="center"/>
          </w:tcPr>
          <w:p>
            <w:pPr>
              <w:jc w:val="center"/>
              <w:rPr>
                <w:rFonts w:ascii="仿宋" w:hAnsi="仿宋" w:eastAsia="仿宋" w:cs="仿宋"/>
                <w:b/>
                <w:color w:val="000000"/>
                <w:szCs w:val="21"/>
              </w:rPr>
            </w:pPr>
            <w:r>
              <w:rPr>
                <w:rFonts w:hint="eastAsia" w:ascii="仿宋" w:hAnsi="仿宋" w:eastAsia="仿宋" w:cs="仿宋"/>
                <w:b/>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2"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全野外探测</w:t>
            </w:r>
          </w:p>
        </w:tc>
        <w:tc>
          <w:tcPr>
            <w:tcW w:w="4160" w:type="dxa"/>
            <w:vMerge w:val="restart"/>
            <w:vAlign w:val="center"/>
          </w:tcPr>
          <w:p>
            <w:pPr>
              <w:jc w:val="center"/>
              <w:rPr>
                <w:rFonts w:ascii="仿宋" w:hAnsi="仿宋" w:eastAsia="仿宋" w:cs="仿宋"/>
                <w:color w:val="000000"/>
                <w:szCs w:val="21"/>
              </w:rPr>
            </w:pPr>
            <w:r>
              <w:rPr>
                <w:rFonts w:hint="eastAsia" w:ascii="仿宋" w:hAnsi="仿宋" w:eastAsia="仿宋" w:cs="仿宋"/>
                <w:color w:val="000000"/>
                <w:szCs w:val="21"/>
              </w:rPr>
              <w:t>普查成果更新集中实施阶段数据来源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2"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内业外结合核实探测</w:t>
            </w:r>
          </w:p>
        </w:tc>
        <w:tc>
          <w:tcPr>
            <w:tcW w:w="4160" w:type="dxa"/>
            <w:vMerge w:val="continue"/>
            <w:vAlign w:val="center"/>
          </w:tcPr>
          <w:p>
            <w:pPr>
              <w:jc w:val="center"/>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2"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可直接利用</w:t>
            </w:r>
          </w:p>
        </w:tc>
        <w:tc>
          <w:tcPr>
            <w:tcW w:w="4160" w:type="dxa"/>
            <w:vMerge w:val="continue"/>
            <w:vAlign w:val="center"/>
          </w:tcPr>
          <w:p>
            <w:pPr>
              <w:jc w:val="center"/>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2"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见管实测</w:t>
            </w:r>
          </w:p>
        </w:tc>
        <w:tc>
          <w:tcPr>
            <w:tcW w:w="4160"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普查后日常竣工测量采集的管线数据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2"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收集</w:t>
            </w:r>
          </w:p>
        </w:tc>
        <w:tc>
          <w:tcPr>
            <w:tcW w:w="4160"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其他更新数据</w:t>
            </w:r>
          </w:p>
        </w:tc>
      </w:tr>
    </w:tbl>
    <w:p>
      <w:pPr>
        <w:spacing w:line="560" w:lineRule="exact"/>
        <w:jc w:val="center"/>
        <w:rPr>
          <w:rFonts w:ascii="仿宋" w:hAnsi="仿宋" w:eastAsia="仿宋" w:cs="仿宋"/>
          <w:b/>
        </w:rPr>
      </w:pPr>
      <w:r>
        <w:rPr>
          <w:rFonts w:hint="eastAsia" w:ascii="仿宋" w:hAnsi="仿宋" w:eastAsia="仿宋" w:cs="仿宋"/>
          <w:b/>
        </w:rPr>
        <w:br w:type="page"/>
      </w:r>
      <w:r>
        <w:rPr>
          <w:rFonts w:hint="eastAsia" w:ascii="仿宋" w:hAnsi="仿宋" w:eastAsia="仿宋" w:cs="仿宋"/>
          <w:b/>
        </w:rPr>
        <w:t>附表A.13.7使用状况值域表</w:t>
      </w:r>
    </w:p>
    <w:tbl>
      <w:tblPr>
        <w:tblStyle w:val="26"/>
        <w:tblW w:w="40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1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2" w:type="dxa"/>
            <w:vAlign w:val="center"/>
          </w:tcPr>
          <w:p>
            <w:pPr>
              <w:widowControl/>
              <w:jc w:val="center"/>
              <w:rPr>
                <w:rFonts w:ascii="仿宋" w:hAnsi="仿宋" w:eastAsia="仿宋" w:cs="仿宋"/>
                <w:b/>
                <w:color w:val="000000"/>
                <w:szCs w:val="21"/>
              </w:rPr>
            </w:pPr>
            <w:r>
              <w:rPr>
                <w:rFonts w:hint="eastAsia" w:ascii="仿宋" w:hAnsi="仿宋" w:eastAsia="仿宋" w:cs="仿宋"/>
                <w:b/>
                <w:color w:val="000000"/>
                <w:szCs w:val="21"/>
              </w:rPr>
              <w:t>使用状况</w:t>
            </w:r>
          </w:p>
        </w:tc>
        <w:tc>
          <w:tcPr>
            <w:tcW w:w="1948" w:type="dxa"/>
            <w:vAlign w:val="center"/>
          </w:tcPr>
          <w:p>
            <w:pPr>
              <w:widowControl/>
              <w:jc w:val="center"/>
              <w:rPr>
                <w:rFonts w:ascii="仿宋" w:hAnsi="仿宋" w:eastAsia="仿宋" w:cs="仿宋"/>
                <w:b/>
                <w:color w:val="000000"/>
                <w:szCs w:val="21"/>
              </w:rPr>
            </w:pPr>
            <w:r>
              <w:rPr>
                <w:rFonts w:hint="eastAsia" w:ascii="仿宋" w:hAnsi="仿宋" w:eastAsia="仿宋" w:cs="仿宋"/>
                <w:b/>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2"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使用</w:t>
            </w:r>
          </w:p>
        </w:tc>
        <w:tc>
          <w:tcPr>
            <w:tcW w:w="1948" w:type="dxa"/>
            <w:vAlign w:val="center"/>
          </w:tcPr>
          <w:p>
            <w:pPr>
              <w:jc w:val="center"/>
              <w:rPr>
                <w:rFonts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2"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废弃</w:t>
            </w:r>
          </w:p>
        </w:tc>
        <w:tc>
          <w:tcPr>
            <w:tcW w:w="1948" w:type="dxa"/>
            <w:vAlign w:val="center"/>
          </w:tcPr>
          <w:p>
            <w:pPr>
              <w:jc w:val="center"/>
              <w:rPr>
                <w:rFonts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2"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空管</w:t>
            </w:r>
          </w:p>
        </w:tc>
        <w:tc>
          <w:tcPr>
            <w:tcW w:w="1948" w:type="dxa"/>
            <w:vAlign w:val="center"/>
          </w:tcPr>
          <w:p>
            <w:pPr>
              <w:jc w:val="center"/>
              <w:rPr>
                <w:rFonts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2"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其它</w:t>
            </w:r>
          </w:p>
        </w:tc>
        <w:tc>
          <w:tcPr>
            <w:tcW w:w="1948" w:type="dxa"/>
            <w:vAlign w:val="center"/>
          </w:tcPr>
          <w:p>
            <w:pPr>
              <w:jc w:val="center"/>
              <w:rPr>
                <w:rFonts w:ascii="仿宋" w:hAnsi="仿宋" w:eastAsia="仿宋" w:cs="仿宋"/>
                <w:color w:val="000000"/>
                <w:sz w:val="18"/>
                <w:szCs w:val="18"/>
              </w:rPr>
            </w:pPr>
          </w:p>
        </w:tc>
      </w:tr>
    </w:tbl>
    <w:p>
      <w:pPr>
        <w:spacing w:line="560" w:lineRule="exact"/>
        <w:jc w:val="center"/>
        <w:rPr>
          <w:rFonts w:ascii="仿宋" w:hAnsi="仿宋" w:eastAsia="仿宋" w:cs="仿宋"/>
          <w:b/>
        </w:rPr>
      </w:pPr>
      <w:r>
        <w:rPr>
          <w:rFonts w:hint="eastAsia" w:ascii="仿宋" w:hAnsi="仿宋" w:eastAsia="仿宋" w:cs="仿宋"/>
          <w:b/>
        </w:rPr>
        <w:t>附表A.13.8 井室类型值域表</w:t>
      </w:r>
    </w:p>
    <w:tbl>
      <w:tblPr>
        <w:tblStyle w:val="26"/>
        <w:tblW w:w="4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85" w:type="dxa"/>
            <w:vAlign w:val="center"/>
          </w:tcPr>
          <w:p>
            <w:pPr>
              <w:widowControl/>
              <w:jc w:val="center"/>
              <w:rPr>
                <w:rFonts w:ascii="仿宋" w:hAnsi="仿宋" w:eastAsia="仿宋" w:cs="仿宋"/>
                <w:b/>
                <w:color w:val="000000"/>
                <w:szCs w:val="21"/>
              </w:rPr>
            </w:pPr>
            <w:r>
              <w:rPr>
                <w:rFonts w:hint="eastAsia" w:ascii="仿宋" w:hAnsi="仿宋" w:eastAsia="仿宋" w:cs="仿宋"/>
                <w:b/>
                <w:color w:val="000000"/>
                <w:szCs w:val="21"/>
              </w:rPr>
              <w:t>井室类型</w:t>
            </w:r>
          </w:p>
        </w:tc>
        <w:tc>
          <w:tcPr>
            <w:tcW w:w="2268" w:type="dxa"/>
            <w:vAlign w:val="center"/>
          </w:tcPr>
          <w:p>
            <w:pPr>
              <w:widowControl/>
              <w:jc w:val="center"/>
              <w:rPr>
                <w:rFonts w:ascii="仿宋" w:hAnsi="仿宋" w:eastAsia="仿宋" w:cs="仿宋"/>
                <w:b/>
                <w:color w:val="000000"/>
                <w:szCs w:val="21"/>
              </w:rPr>
            </w:pPr>
            <w:r>
              <w:rPr>
                <w:rFonts w:hint="eastAsia" w:ascii="仿宋" w:hAnsi="仿宋" w:eastAsia="仿宋" w:cs="仿宋"/>
                <w:b/>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85"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圆形</w:t>
            </w:r>
          </w:p>
        </w:tc>
        <w:tc>
          <w:tcPr>
            <w:tcW w:w="2268" w:type="dxa"/>
            <w:vAlign w:val="center"/>
          </w:tcPr>
          <w:p>
            <w:pPr>
              <w:jc w:val="center"/>
              <w:rPr>
                <w:rFonts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85"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方形</w:t>
            </w:r>
          </w:p>
        </w:tc>
        <w:tc>
          <w:tcPr>
            <w:tcW w:w="2268" w:type="dxa"/>
            <w:vAlign w:val="center"/>
          </w:tcPr>
          <w:p>
            <w:pPr>
              <w:jc w:val="center"/>
              <w:rPr>
                <w:rFonts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85"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特殊井室</w:t>
            </w:r>
          </w:p>
        </w:tc>
        <w:tc>
          <w:tcPr>
            <w:tcW w:w="2268" w:type="dxa"/>
            <w:vAlign w:val="center"/>
          </w:tcPr>
          <w:p>
            <w:pPr>
              <w:jc w:val="center"/>
              <w:rPr>
                <w:rFonts w:ascii="仿宋" w:hAnsi="仿宋" w:eastAsia="仿宋" w:cs="仿宋"/>
                <w:color w:val="000000"/>
                <w:sz w:val="18"/>
                <w:szCs w:val="18"/>
              </w:rPr>
            </w:pPr>
          </w:p>
        </w:tc>
      </w:tr>
    </w:tbl>
    <w:p>
      <w:pPr>
        <w:spacing w:line="560" w:lineRule="exact"/>
        <w:jc w:val="center"/>
        <w:rPr>
          <w:rFonts w:ascii="仿宋" w:hAnsi="仿宋" w:eastAsia="仿宋" w:cs="仿宋"/>
          <w:b/>
        </w:rPr>
      </w:pPr>
      <w:r>
        <w:rPr>
          <w:rFonts w:hint="eastAsia" w:ascii="仿宋" w:hAnsi="仿宋" w:eastAsia="仿宋" w:cs="仿宋"/>
          <w:b/>
        </w:rPr>
        <w:t>附表A.13.9井盖形状值域表</w:t>
      </w:r>
    </w:p>
    <w:tbl>
      <w:tblPr>
        <w:tblStyle w:val="26"/>
        <w:tblW w:w="4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85" w:type="dxa"/>
            <w:vAlign w:val="center"/>
          </w:tcPr>
          <w:p>
            <w:pPr>
              <w:widowControl/>
              <w:jc w:val="center"/>
              <w:rPr>
                <w:rFonts w:ascii="仿宋" w:hAnsi="仿宋" w:eastAsia="仿宋" w:cs="仿宋"/>
                <w:b/>
                <w:color w:val="000000"/>
                <w:szCs w:val="21"/>
              </w:rPr>
            </w:pPr>
            <w:r>
              <w:rPr>
                <w:rFonts w:hint="eastAsia" w:ascii="仿宋" w:hAnsi="仿宋" w:eastAsia="仿宋" w:cs="仿宋"/>
                <w:b/>
                <w:color w:val="000000"/>
                <w:szCs w:val="21"/>
              </w:rPr>
              <w:t>井盖类型</w:t>
            </w:r>
          </w:p>
        </w:tc>
        <w:tc>
          <w:tcPr>
            <w:tcW w:w="2268" w:type="dxa"/>
            <w:vAlign w:val="center"/>
          </w:tcPr>
          <w:p>
            <w:pPr>
              <w:widowControl/>
              <w:jc w:val="center"/>
              <w:rPr>
                <w:rFonts w:ascii="仿宋" w:hAnsi="仿宋" w:eastAsia="仿宋" w:cs="仿宋"/>
                <w:b/>
                <w:color w:val="000000"/>
                <w:szCs w:val="21"/>
              </w:rPr>
            </w:pPr>
            <w:r>
              <w:rPr>
                <w:rFonts w:hint="eastAsia" w:ascii="仿宋" w:hAnsi="仿宋" w:eastAsia="仿宋" w:cs="仿宋"/>
                <w:b/>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85"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圆形</w:t>
            </w:r>
          </w:p>
        </w:tc>
        <w:tc>
          <w:tcPr>
            <w:tcW w:w="2268" w:type="dxa"/>
            <w:vAlign w:val="center"/>
          </w:tcPr>
          <w:p>
            <w:pPr>
              <w:jc w:val="center"/>
              <w:rPr>
                <w:rFonts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85"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方形</w:t>
            </w:r>
          </w:p>
        </w:tc>
        <w:tc>
          <w:tcPr>
            <w:tcW w:w="2268" w:type="dxa"/>
            <w:vAlign w:val="center"/>
          </w:tcPr>
          <w:p>
            <w:pPr>
              <w:jc w:val="center"/>
              <w:rPr>
                <w:rFonts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85"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其他类型</w:t>
            </w:r>
          </w:p>
        </w:tc>
        <w:tc>
          <w:tcPr>
            <w:tcW w:w="2268" w:type="dxa"/>
            <w:vAlign w:val="center"/>
          </w:tcPr>
          <w:p>
            <w:pPr>
              <w:jc w:val="center"/>
              <w:rPr>
                <w:rFonts w:ascii="仿宋" w:hAnsi="仿宋" w:eastAsia="仿宋" w:cs="仿宋"/>
                <w:color w:val="000000"/>
                <w:sz w:val="18"/>
                <w:szCs w:val="18"/>
              </w:rPr>
            </w:pPr>
          </w:p>
        </w:tc>
      </w:tr>
    </w:tbl>
    <w:p>
      <w:pPr>
        <w:pStyle w:val="2"/>
        <w:jc w:val="center"/>
        <w:rPr>
          <w:rFonts w:ascii="仿宋" w:hAnsi="仿宋" w:eastAsia="仿宋" w:cs="仿宋"/>
        </w:rPr>
      </w:pPr>
    </w:p>
    <w:p>
      <w:pPr>
        <w:pStyle w:val="2"/>
        <w:jc w:val="center"/>
        <w:sectPr>
          <w:footerReference r:id="rId16" w:type="default"/>
          <w:pgSz w:w="11906" w:h="16838"/>
          <w:pgMar w:top="851" w:right="1021" w:bottom="851" w:left="1021" w:header="851" w:footer="992" w:gutter="0"/>
          <w:cols w:space="720" w:num="1"/>
          <w:docGrid w:type="lines" w:linePitch="325" w:charSpace="0"/>
        </w:sectPr>
      </w:pPr>
    </w:p>
    <w:bookmarkEnd w:id="1744"/>
    <w:p>
      <w:pPr>
        <w:jc w:val="center"/>
        <w:outlineLvl w:val="1"/>
        <w:rPr>
          <w:rFonts w:eastAsia="仿宋"/>
          <w:b/>
          <w:bCs/>
          <w:sz w:val="28"/>
          <w:szCs w:val="28"/>
        </w:rPr>
      </w:pPr>
      <w:bookmarkStart w:id="1756" w:name="_Toc7150"/>
      <w:bookmarkStart w:id="1757" w:name="_Toc20697"/>
      <w:bookmarkStart w:id="1758" w:name="_Toc9586"/>
      <w:bookmarkStart w:id="1759" w:name="_Toc20198"/>
      <w:bookmarkStart w:id="1760" w:name="_Toc11098"/>
      <w:bookmarkStart w:id="1761" w:name="_Toc26110"/>
      <w:bookmarkStart w:id="1762" w:name="_Toc30874"/>
      <w:bookmarkStart w:id="1763" w:name="_Toc48835697"/>
      <w:bookmarkStart w:id="1764" w:name="_Toc12488"/>
      <w:r>
        <w:rPr>
          <w:rFonts w:hint="eastAsia" w:eastAsia="仿宋"/>
          <w:b/>
          <w:bCs/>
          <w:sz w:val="28"/>
          <w:szCs w:val="28"/>
        </w:rPr>
        <w:t>附录B 地下管线探查记录表</w:t>
      </w:r>
      <w:bookmarkEnd w:id="1756"/>
      <w:bookmarkEnd w:id="1757"/>
      <w:bookmarkEnd w:id="1758"/>
      <w:bookmarkEnd w:id="1759"/>
      <w:bookmarkEnd w:id="1760"/>
      <w:bookmarkEnd w:id="1761"/>
      <w:bookmarkEnd w:id="1762"/>
      <w:bookmarkEnd w:id="1763"/>
      <w:bookmarkEnd w:id="1764"/>
    </w:p>
    <w:p>
      <w:pPr>
        <w:jc w:val="center"/>
        <w:rPr>
          <w:sz w:val="18"/>
          <w:szCs w:val="18"/>
        </w:rPr>
      </w:pPr>
      <w:r>
        <w:rPr>
          <w:rFonts w:hint="eastAsia"/>
          <w:sz w:val="18"/>
          <w:szCs w:val="18"/>
        </w:rPr>
        <w:t>管类：测区：图幅编号：</w:t>
      </w:r>
      <w:r>
        <w:rPr>
          <w:rFonts w:hint="eastAsia"/>
          <w:kern w:val="0"/>
          <w:sz w:val="18"/>
          <w:szCs w:val="18"/>
        </w:rPr>
        <w:t>探测仪器型号：</w:t>
      </w:r>
    </w:p>
    <w:tbl>
      <w:tblPr>
        <w:tblStyle w:val="26"/>
        <w:tblW w:w="15641" w:type="dxa"/>
        <w:jc w:val="center"/>
        <w:tblLayout w:type="fixed"/>
        <w:tblCellMar>
          <w:top w:w="15" w:type="dxa"/>
          <w:left w:w="15" w:type="dxa"/>
          <w:bottom w:w="15" w:type="dxa"/>
          <w:right w:w="15" w:type="dxa"/>
        </w:tblCellMar>
      </w:tblPr>
      <w:tblGrid>
        <w:gridCol w:w="992"/>
        <w:gridCol w:w="851"/>
        <w:gridCol w:w="708"/>
        <w:gridCol w:w="709"/>
        <w:gridCol w:w="709"/>
        <w:gridCol w:w="850"/>
        <w:gridCol w:w="709"/>
        <w:gridCol w:w="576"/>
        <w:gridCol w:w="567"/>
        <w:gridCol w:w="709"/>
        <w:gridCol w:w="567"/>
        <w:gridCol w:w="567"/>
        <w:gridCol w:w="567"/>
        <w:gridCol w:w="572"/>
        <w:gridCol w:w="851"/>
        <w:gridCol w:w="552"/>
        <w:gridCol w:w="865"/>
        <w:gridCol w:w="425"/>
        <w:gridCol w:w="709"/>
        <w:gridCol w:w="567"/>
        <w:gridCol w:w="709"/>
        <w:gridCol w:w="709"/>
        <w:gridCol w:w="601"/>
      </w:tblGrid>
      <w:tr>
        <w:tblPrEx>
          <w:tblCellMar>
            <w:top w:w="15" w:type="dxa"/>
            <w:left w:w="15" w:type="dxa"/>
            <w:bottom w:w="15" w:type="dxa"/>
            <w:right w:w="15" w:type="dxa"/>
          </w:tblCellMar>
        </w:tblPrEx>
        <w:trPr>
          <w:trHeight w:val="431" w:hRule="atLeast"/>
          <w:jc w:val="center"/>
        </w:trPr>
        <w:tc>
          <w:tcPr>
            <w:tcW w:w="99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18"/>
                <w:szCs w:val="18"/>
              </w:rPr>
            </w:pPr>
            <w:r>
              <w:rPr>
                <w:kern w:val="0"/>
                <w:sz w:val="18"/>
                <w:szCs w:val="18"/>
              </w:rPr>
              <w:t>管线点号</w:t>
            </w:r>
          </w:p>
        </w:tc>
        <w:tc>
          <w:tcPr>
            <w:tcW w:w="85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18"/>
                <w:szCs w:val="18"/>
              </w:rPr>
            </w:pPr>
            <w:r>
              <w:rPr>
                <w:kern w:val="0"/>
                <w:sz w:val="18"/>
                <w:szCs w:val="18"/>
              </w:rPr>
              <w:t>连接点号</w:t>
            </w:r>
          </w:p>
        </w:tc>
        <w:tc>
          <w:tcPr>
            <w:tcW w:w="1417" w:type="dxa"/>
            <w:gridSpan w:val="2"/>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kern w:val="0"/>
                <w:sz w:val="18"/>
                <w:szCs w:val="18"/>
              </w:rPr>
            </w:pPr>
            <w:r>
              <w:rPr>
                <w:rFonts w:hint="eastAsia"/>
                <w:kern w:val="0"/>
                <w:sz w:val="18"/>
                <w:szCs w:val="18"/>
              </w:rPr>
              <w:t>管线点</w:t>
            </w:r>
            <w:r>
              <w:rPr>
                <w:kern w:val="0"/>
                <w:sz w:val="18"/>
                <w:szCs w:val="18"/>
              </w:rPr>
              <w:t>类型</w:t>
            </w:r>
          </w:p>
        </w:tc>
        <w:tc>
          <w:tcPr>
            <w:tcW w:w="709" w:type="dxa"/>
            <w:vMerge w:val="restart"/>
            <w:tcBorders>
              <w:top w:val="single" w:color="000000" w:sz="4" w:space="0"/>
              <w:left w:val="single" w:color="000000" w:sz="4" w:space="0"/>
              <w:right w:val="single" w:color="000000" w:sz="4" w:space="0"/>
            </w:tcBorders>
            <w:vAlign w:val="center"/>
          </w:tcPr>
          <w:p>
            <w:pPr>
              <w:widowControl/>
              <w:jc w:val="center"/>
              <w:textAlignment w:val="center"/>
              <w:rPr>
                <w:color w:val="FF0000"/>
                <w:kern w:val="0"/>
                <w:sz w:val="18"/>
                <w:szCs w:val="18"/>
              </w:rPr>
            </w:pPr>
            <w:r>
              <w:rPr>
                <w:rFonts w:hint="eastAsia"/>
                <w:kern w:val="0"/>
                <w:sz w:val="18"/>
                <w:szCs w:val="18"/>
              </w:rPr>
              <w:t>井底深</w:t>
            </w:r>
            <w:r>
              <w:rPr>
                <w:kern w:val="0"/>
                <w:sz w:val="18"/>
                <w:szCs w:val="18"/>
              </w:rPr>
              <w:t>（</w:t>
            </w:r>
            <w:r>
              <w:rPr>
                <w:rFonts w:hint="eastAsia"/>
                <w:kern w:val="0"/>
                <w:sz w:val="18"/>
                <w:szCs w:val="18"/>
              </w:rPr>
              <w:t>m</w:t>
            </w:r>
            <w:r>
              <w:rPr>
                <w:kern w:val="0"/>
                <w:sz w:val="18"/>
                <w:szCs w:val="18"/>
              </w:rPr>
              <w:t>）</w:t>
            </w:r>
          </w:p>
        </w:tc>
        <w:tc>
          <w:tcPr>
            <w:tcW w:w="850" w:type="dxa"/>
            <w:vMerge w:val="restart"/>
            <w:tcBorders>
              <w:top w:val="single" w:color="000000" w:sz="4" w:space="0"/>
              <w:left w:val="single" w:color="000000" w:sz="4" w:space="0"/>
              <w:right w:val="single" w:color="000000" w:sz="4" w:space="0"/>
            </w:tcBorders>
            <w:vAlign w:val="center"/>
          </w:tcPr>
          <w:p>
            <w:pPr>
              <w:widowControl/>
              <w:jc w:val="center"/>
              <w:textAlignment w:val="center"/>
              <w:rPr>
                <w:kern w:val="0"/>
                <w:sz w:val="18"/>
                <w:szCs w:val="18"/>
              </w:rPr>
            </w:pPr>
            <w:r>
              <w:rPr>
                <w:rFonts w:hint="eastAsia"/>
                <w:kern w:val="0"/>
                <w:sz w:val="18"/>
                <w:szCs w:val="18"/>
              </w:rPr>
              <w:t>井盖</w:t>
            </w:r>
            <w:r>
              <w:rPr>
                <w:kern w:val="0"/>
                <w:sz w:val="18"/>
                <w:szCs w:val="18"/>
              </w:rPr>
              <w:t>尺</w:t>
            </w:r>
            <w:r>
              <w:rPr>
                <w:rFonts w:hint="eastAsia"/>
                <w:kern w:val="0"/>
                <w:sz w:val="18"/>
                <w:szCs w:val="18"/>
              </w:rPr>
              <w:t>寸/井室</w:t>
            </w:r>
            <w:r>
              <w:rPr>
                <w:kern w:val="0"/>
                <w:sz w:val="18"/>
                <w:szCs w:val="18"/>
              </w:rPr>
              <w:t>规格</w:t>
            </w:r>
          </w:p>
        </w:tc>
        <w:tc>
          <w:tcPr>
            <w:tcW w:w="709" w:type="dxa"/>
            <w:vMerge w:val="restart"/>
            <w:tcBorders>
              <w:top w:val="single" w:color="000000" w:sz="4" w:space="0"/>
              <w:left w:val="single" w:color="000000" w:sz="4" w:space="0"/>
              <w:right w:val="single" w:color="000000" w:sz="4" w:space="0"/>
            </w:tcBorders>
            <w:vAlign w:val="center"/>
          </w:tcPr>
          <w:p>
            <w:pPr>
              <w:widowControl/>
              <w:jc w:val="center"/>
              <w:textAlignment w:val="center"/>
              <w:rPr>
                <w:kern w:val="0"/>
                <w:sz w:val="18"/>
                <w:szCs w:val="18"/>
              </w:rPr>
            </w:pPr>
            <w:r>
              <w:rPr>
                <w:rFonts w:hint="eastAsia"/>
                <w:kern w:val="0"/>
                <w:sz w:val="18"/>
                <w:szCs w:val="18"/>
              </w:rPr>
              <w:t>井</w:t>
            </w:r>
            <w:r>
              <w:rPr>
                <w:kern w:val="0"/>
                <w:sz w:val="18"/>
                <w:szCs w:val="18"/>
              </w:rPr>
              <w:t>脖</w:t>
            </w:r>
            <w:r>
              <w:rPr>
                <w:rFonts w:hint="eastAsia"/>
                <w:kern w:val="0"/>
                <w:sz w:val="18"/>
                <w:szCs w:val="18"/>
              </w:rPr>
              <w:t>深</w:t>
            </w:r>
          </w:p>
          <w:p>
            <w:pPr>
              <w:widowControl/>
              <w:jc w:val="center"/>
              <w:textAlignment w:val="center"/>
              <w:rPr>
                <w:kern w:val="0"/>
                <w:sz w:val="18"/>
                <w:szCs w:val="18"/>
              </w:rPr>
            </w:pPr>
            <w:r>
              <w:rPr>
                <w:rFonts w:hint="eastAsia"/>
                <w:kern w:val="0"/>
                <w:sz w:val="18"/>
                <w:szCs w:val="18"/>
              </w:rPr>
              <w:t>（m）</w:t>
            </w:r>
          </w:p>
        </w:tc>
        <w:tc>
          <w:tcPr>
            <w:tcW w:w="576" w:type="dxa"/>
            <w:vMerge w:val="restart"/>
            <w:tcBorders>
              <w:top w:val="single" w:color="000000" w:sz="4" w:space="0"/>
              <w:left w:val="single" w:color="000000" w:sz="4" w:space="0"/>
              <w:right w:val="single" w:color="000000" w:sz="4" w:space="0"/>
            </w:tcBorders>
            <w:vAlign w:val="center"/>
          </w:tcPr>
          <w:p>
            <w:pPr>
              <w:widowControl/>
              <w:jc w:val="center"/>
              <w:textAlignment w:val="center"/>
              <w:rPr>
                <w:kern w:val="0"/>
                <w:sz w:val="18"/>
                <w:szCs w:val="18"/>
              </w:rPr>
            </w:pPr>
            <w:r>
              <w:rPr>
                <w:kern w:val="0"/>
                <w:sz w:val="18"/>
                <w:szCs w:val="18"/>
              </w:rPr>
              <w:t>材质</w:t>
            </w:r>
          </w:p>
        </w:tc>
        <w:tc>
          <w:tcPr>
            <w:tcW w:w="567" w:type="dxa"/>
            <w:vMerge w:val="restart"/>
            <w:tcBorders>
              <w:top w:val="single" w:color="000000" w:sz="4" w:space="0"/>
              <w:left w:val="single" w:color="000000" w:sz="4" w:space="0"/>
              <w:right w:val="single" w:color="000000" w:sz="4" w:space="0"/>
            </w:tcBorders>
            <w:vAlign w:val="center"/>
          </w:tcPr>
          <w:p>
            <w:pPr>
              <w:widowControl/>
              <w:jc w:val="center"/>
              <w:textAlignment w:val="center"/>
              <w:rPr>
                <w:kern w:val="0"/>
                <w:sz w:val="18"/>
                <w:szCs w:val="18"/>
              </w:rPr>
            </w:pPr>
            <w:r>
              <w:rPr>
                <w:kern w:val="0"/>
                <w:sz w:val="18"/>
                <w:szCs w:val="18"/>
              </w:rPr>
              <w:t>保护</w:t>
            </w:r>
          </w:p>
          <w:p>
            <w:pPr>
              <w:widowControl/>
              <w:jc w:val="center"/>
              <w:textAlignment w:val="center"/>
              <w:rPr>
                <w:kern w:val="0"/>
                <w:sz w:val="18"/>
                <w:szCs w:val="18"/>
              </w:rPr>
            </w:pPr>
            <w:r>
              <w:rPr>
                <w:kern w:val="0"/>
                <w:sz w:val="18"/>
                <w:szCs w:val="18"/>
              </w:rPr>
              <w:t>材质</w:t>
            </w:r>
          </w:p>
        </w:tc>
        <w:tc>
          <w:tcPr>
            <w:tcW w:w="709" w:type="dxa"/>
            <w:vMerge w:val="restart"/>
            <w:tcBorders>
              <w:top w:val="single" w:color="000000" w:sz="4" w:space="0"/>
              <w:left w:val="single" w:color="000000" w:sz="4" w:space="0"/>
              <w:right w:val="single" w:color="000000" w:sz="4" w:space="0"/>
            </w:tcBorders>
            <w:vAlign w:val="center"/>
          </w:tcPr>
          <w:p>
            <w:pPr>
              <w:widowControl/>
              <w:jc w:val="center"/>
              <w:textAlignment w:val="center"/>
              <w:rPr>
                <w:kern w:val="0"/>
                <w:sz w:val="18"/>
                <w:szCs w:val="18"/>
              </w:rPr>
            </w:pPr>
            <w:r>
              <w:rPr>
                <w:kern w:val="0"/>
                <w:sz w:val="18"/>
                <w:szCs w:val="18"/>
              </w:rPr>
              <w:t>管径/断面尺寸（mm）</w:t>
            </w: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r>
              <w:rPr>
                <w:rFonts w:hint="eastAsia"/>
                <w:kern w:val="0"/>
                <w:sz w:val="18"/>
                <w:szCs w:val="18"/>
              </w:rPr>
              <w:t>探查方法</w:t>
            </w:r>
          </w:p>
        </w:tc>
        <w:tc>
          <w:tcPr>
            <w:tcW w:w="1139"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r>
              <w:rPr>
                <w:rFonts w:hint="eastAsia"/>
                <w:kern w:val="0"/>
                <w:sz w:val="18"/>
                <w:szCs w:val="18"/>
              </w:rPr>
              <w:t>埋深</w:t>
            </w:r>
          </w:p>
        </w:tc>
        <w:tc>
          <w:tcPr>
            <w:tcW w:w="851" w:type="dxa"/>
            <w:vMerge w:val="restart"/>
            <w:tcBorders>
              <w:top w:val="single" w:color="000000" w:sz="4" w:space="0"/>
              <w:left w:val="single" w:color="000000" w:sz="4" w:space="0"/>
              <w:right w:val="single" w:color="000000" w:sz="4" w:space="0"/>
            </w:tcBorders>
            <w:vAlign w:val="center"/>
          </w:tcPr>
          <w:p>
            <w:pPr>
              <w:widowControl/>
              <w:jc w:val="center"/>
              <w:textAlignment w:val="center"/>
              <w:rPr>
                <w:bCs/>
                <w:kern w:val="0"/>
                <w:sz w:val="18"/>
                <w:szCs w:val="18"/>
              </w:rPr>
            </w:pPr>
            <w:r>
              <w:rPr>
                <w:rFonts w:hint="eastAsia"/>
                <w:bCs/>
                <w:kern w:val="0"/>
                <w:sz w:val="18"/>
                <w:szCs w:val="18"/>
              </w:rPr>
              <w:t>已用孔数/总孔数</w:t>
            </w:r>
          </w:p>
        </w:tc>
        <w:tc>
          <w:tcPr>
            <w:tcW w:w="552" w:type="dxa"/>
            <w:vMerge w:val="restart"/>
            <w:tcBorders>
              <w:top w:val="single" w:color="000000" w:sz="4" w:space="0"/>
              <w:left w:val="single" w:color="000000" w:sz="4" w:space="0"/>
              <w:right w:val="single" w:color="000000" w:sz="4" w:space="0"/>
            </w:tcBorders>
            <w:vAlign w:val="center"/>
          </w:tcPr>
          <w:p>
            <w:pPr>
              <w:widowControl/>
              <w:jc w:val="center"/>
              <w:textAlignment w:val="center"/>
              <w:rPr>
                <w:bCs/>
                <w:kern w:val="0"/>
                <w:sz w:val="18"/>
                <w:szCs w:val="18"/>
              </w:rPr>
            </w:pPr>
            <w:r>
              <w:rPr>
                <w:bCs/>
                <w:kern w:val="0"/>
                <w:sz w:val="18"/>
                <w:szCs w:val="18"/>
              </w:rPr>
              <w:t>电缆</w:t>
            </w:r>
          </w:p>
          <w:p>
            <w:pPr>
              <w:widowControl/>
              <w:jc w:val="center"/>
              <w:textAlignment w:val="center"/>
              <w:rPr>
                <w:bCs/>
                <w:sz w:val="18"/>
                <w:szCs w:val="18"/>
              </w:rPr>
            </w:pPr>
            <w:r>
              <w:rPr>
                <w:bCs/>
                <w:kern w:val="0"/>
                <w:sz w:val="18"/>
                <w:szCs w:val="18"/>
              </w:rPr>
              <w:t>条数</w:t>
            </w:r>
          </w:p>
        </w:tc>
        <w:tc>
          <w:tcPr>
            <w:tcW w:w="865" w:type="dxa"/>
            <w:vMerge w:val="restart"/>
            <w:tcBorders>
              <w:top w:val="single" w:color="000000" w:sz="4" w:space="0"/>
              <w:left w:val="single" w:color="000000" w:sz="4" w:space="0"/>
              <w:right w:val="single" w:color="000000" w:sz="4" w:space="0"/>
            </w:tcBorders>
            <w:vAlign w:val="center"/>
          </w:tcPr>
          <w:p>
            <w:pPr>
              <w:widowControl/>
              <w:jc w:val="center"/>
              <w:textAlignment w:val="center"/>
              <w:rPr>
                <w:bCs/>
                <w:kern w:val="0"/>
                <w:sz w:val="18"/>
                <w:szCs w:val="18"/>
              </w:rPr>
            </w:pPr>
            <w:r>
              <w:rPr>
                <w:bCs/>
                <w:kern w:val="0"/>
                <w:sz w:val="18"/>
                <w:szCs w:val="18"/>
              </w:rPr>
              <w:t>压力</w:t>
            </w:r>
          </w:p>
          <w:p>
            <w:pPr>
              <w:widowControl/>
              <w:jc w:val="center"/>
              <w:textAlignment w:val="center"/>
              <w:rPr>
                <w:bCs/>
                <w:sz w:val="18"/>
                <w:szCs w:val="18"/>
              </w:rPr>
            </w:pPr>
            <w:r>
              <w:rPr>
                <w:rFonts w:hint="eastAsia"/>
                <w:bCs/>
                <w:kern w:val="0"/>
                <w:sz w:val="18"/>
                <w:szCs w:val="18"/>
              </w:rPr>
              <w:t>（</w:t>
            </w:r>
            <w:r>
              <w:rPr>
                <w:bCs/>
                <w:kern w:val="0"/>
                <w:sz w:val="18"/>
                <w:szCs w:val="18"/>
              </w:rPr>
              <w:t>电压</w:t>
            </w:r>
            <w:r>
              <w:rPr>
                <w:rFonts w:hint="eastAsia"/>
                <w:bCs/>
                <w:kern w:val="0"/>
                <w:sz w:val="18"/>
                <w:szCs w:val="18"/>
              </w:rPr>
              <w:t>）</w:t>
            </w:r>
          </w:p>
        </w:tc>
        <w:tc>
          <w:tcPr>
            <w:tcW w:w="425" w:type="dxa"/>
            <w:vMerge w:val="restart"/>
            <w:tcBorders>
              <w:top w:val="single" w:color="000000" w:sz="4" w:space="0"/>
              <w:left w:val="single" w:color="000000" w:sz="4" w:space="0"/>
              <w:right w:val="single" w:color="000000" w:sz="4" w:space="0"/>
            </w:tcBorders>
            <w:vAlign w:val="center"/>
          </w:tcPr>
          <w:p>
            <w:pPr>
              <w:widowControl/>
              <w:jc w:val="center"/>
              <w:textAlignment w:val="center"/>
              <w:rPr>
                <w:kern w:val="0"/>
                <w:sz w:val="18"/>
                <w:szCs w:val="18"/>
              </w:rPr>
            </w:pPr>
            <w:r>
              <w:rPr>
                <w:kern w:val="0"/>
                <w:sz w:val="18"/>
                <w:szCs w:val="18"/>
              </w:rPr>
              <w:t>流向</w:t>
            </w:r>
          </w:p>
        </w:tc>
        <w:tc>
          <w:tcPr>
            <w:tcW w:w="709" w:type="dxa"/>
            <w:vMerge w:val="restart"/>
            <w:tcBorders>
              <w:top w:val="single" w:color="000000" w:sz="4" w:space="0"/>
              <w:left w:val="single" w:color="000000" w:sz="4" w:space="0"/>
              <w:right w:val="single" w:color="000000" w:sz="4" w:space="0"/>
            </w:tcBorders>
            <w:vAlign w:val="center"/>
          </w:tcPr>
          <w:p>
            <w:pPr>
              <w:widowControl/>
              <w:jc w:val="center"/>
              <w:textAlignment w:val="center"/>
              <w:rPr>
                <w:kern w:val="0"/>
                <w:sz w:val="18"/>
                <w:szCs w:val="18"/>
              </w:rPr>
            </w:pPr>
            <w:r>
              <w:rPr>
                <w:kern w:val="0"/>
                <w:sz w:val="18"/>
                <w:szCs w:val="18"/>
              </w:rPr>
              <w:t>埋设</w:t>
            </w:r>
          </w:p>
          <w:p>
            <w:pPr>
              <w:widowControl/>
              <w:jc w:val="center"/>
              <w:textAlignment w:val="center"/>
              <w:rPr>
                <w:sz w:val="18"/>
                <w:szCs w:val="18"/>
              </w:rPr>
            </w:pPr>
            <w:r>
              <w:rPr>
                <w:kern w:val="0"/>
                <w:sz w:val="18"/>
                <w:szCs w:val="18"/>
              </w:rPr>
              <w:t>方式</w:t>
            </w:r>
          </w:p>
        </w:tc>
        <w:tc>
          <w:tcPr>
            <w:tcW w:w="567" w:type="dxa"/>
            <w:vMerge w:val="restart"/>
            <w:tcBorders>
              <w:top w:val="single" w:color="000000" w:sz="4" w:space="0"/>
              <w:left w:val="single" w:color="000000" w:sz="4" w:space="0"/>
              <w:right w:val="single" w:color="000000" w:sz="4" w:space="0"/>
            </w:tcBorders>
            <w:vAlign w:val="center"/>
          </w:tcPr>
          <w:p>
            <w:pPr>
              <w:widowControl/>
              <w:jc w:val="center"/>
              <w:textAlignment w:val="center"/>
              <w:rPr>
                <w:kern w:val="0"/>
                <w:sz w:val="18"/>
                <w:szCs w:val="18"/>
              </w:rPr>
            </w:pPr>
            <w:r>
              <w:rPr>
                <w:kern w:val="0"/>
                <w:sz w:val="18"/>
                <w:szCs w:val="18"/>
              </w:rPr>
              <w:t>埋设</w:t>
            </w:r>
          </w:p>
          <w:p>
            <w:pPr>
              <w:widowControl/>
              <w:jc w:val="center"/>
              <w:textAlignment w:val="center"/>
              <w:rPr>
                <w:kern w:val="0"/>
                <w:sz w:val="18"/>
                <w:szCs w:val="18"/>
              </w:rPr>
            </w:pPr>
            <w:r>
              <w:rPr>
                <w:rFonts w:hint="eastAsia"/>
                <w:kern w:val="0"/>
                <w:sz w:val="18"/>
                <w:szCs w:val="18"/>
              </w:rPr>
              <w:t>年代</w:t>
            </w:r>
          </w:p>
        </w:tc>
        <w:tc>
          <w:tcPr>
            <w:tcW w:w="709" w:type="dxa"/>
            <w:vMerge w:val="restart"/>
            <w:tcBorders>
              <w:top w:val="single" w:color="000000" w:sz="4" w:space="0"/>
              <w:left w:val="single" w:color="000000" w:sz="4" w:space="0"/>
              <w:right w:val="single" w:color="000000" w:sz="4" w:space="0"/>
            </w:tcBorders>
            <w:vAlign w:val="center"/>
          </w:tcPr>
          <w:p>
            <w:pPr>
              <w:widowControl/>
              <w:jc w:val="center"/>
              <w:textAlignment w:val="center"/>
              <w:rPr>
                <w:kern w:val="0"/>
                <w:sz w:val="18"/>
                <w:szCs w:val="18"/>
              </w:rPr>
            </w:pPr>
            <w:r>
              <w:rPr>
                <w:kern w:val="0"/>
                <w:sz w:val="18"/>
                <w:szCs w:val="18"/>
              </w:rPr>
              <w:t>权属</w:t>
            </w:r>
          </w:p>
          <w:p>
            <w:pPr>
              <w:widowControl/>
              <w:jc w:val="center"/>
              <w:textAlignment w:val="center"/>
              <w:rPr>
                <w:kern w:val="0"/>
                <w:sz w:val="18"/>
                <w:szCs w:val="18"/>
              </w:rPr>
            </w:pPr>
            <w:r>
              <w:rPr>
                <w:kern w:val="0"/>
                <w:sz w:val="18"/>
                <w:szCs w:val="18"/>
              </w:rPr>
              <w:t>单位</w:t>
            </w:r>
          </w:p>
        </w:tc>
        <w:tc>
          <w:tcPr>
            <w:tcW w:w="709" w:type="dxa"/>
            <w:vMerge w:val="restart"/>
            <w:tcBorders>
              <w:top w:val="single" w:color="000000" w:sz="4" w:space="0"/>
              <w:left w:val="single" w:color="000000" w:sz="4" w:space="0"/>
              <w:right w:val="single" w:color="000000" w:sz="4" w:space="0"/>
            </w:tcBorders>
            <w:vAlign w:val="center"/>
          </w:tcPr>
          <w:p>
            <w:pPr>
              <w:widowControl/>
              <w:jc w:val="center"/>
              <w:textAlignment w:val="center"/>
              <w:rPr>
                <w:kern w:val="0"/>
                <w:sz w:val="18"/>
                <w:szCs w:val="18"/>
              </w:rPr>
            </w:pPr>
            <w:r>
              <w:rPr>
                <w:kern w:val="0"/>
                <w:sz w:val="18"/>
                <w:szCs w:val="18"/>
              </w:rPr>
              <w:t>道路</w:t>
            </w:r>
          </w:p>
          <w:p>
            <w:pPr>
              <w:widowControl/>
              <w:jc w:val="center"/>
              <w:textAlignment w:val="center"/>
              <w:rPr>
                <w:sz w:val="18"/>
                <w:szCs w:val="18"/>
              </w:rPr>
            </w:pPr>
            <w:r>
              <w:rPr>
                <w:kern w:val="0"/>
                <w:sz w:val="18"/>
                <w:szCs w:val="18"/>
              </w:rPr>
              <w:t>名称</w:t>
            </w:r>
          </w:p>
        </w:tc>
        <w:tc>
          <w:tcPr>
            <w:tcW w:w="601" w:type="dxa"/>
            <w:vMerge w:val="restart"/>
            <w:tcBorders>
              <w:top w:val="single" w:color="000000" w:sz="4" w:space="0"/>
              <w:left w:val="single" w:color="000000" w:sz="4" w:space="0"/>
              <w:right w:val="single" w:color="000000" w:sz="4" w:space="0"/>
            </w:tcBorders>
            <w:vAlign w:val="center"/>
          </w:tcPr>
          <w:p>
            <w:pPr>
              <w:widowControl/>
              <w:jc w:val="center"/>
              <w:textAlignment w:val="center"/>
              <w:rPr>
                <w:sz w:val="18"/>
                <w:szCs w:val="18"/>
              </w:rPr>
            </w:pPr>
            <w:r>
              <w:rPr>
                <w:kern w:val="0"/>
                <w:sz w:val="18"/>
                <w:szCs w:val="18"/>
              </w:rPr>
              <w:t>备注</w:t>
            </w:r>
          </w:p>
        </w:tc>
      </w:tr>
      <w:tr>
        <w:tblPrEx>
          <w:tblCellMar>
            <w:top w:w="15" w:type="dxa"/>
            <w:left w:w="15" w:type="dxa"/>
            <w:bottom w:w="15" w:type="dxa"/>
            <w:right w:w="15" w:type="dxa"/>
          </w:tblCellMar>
        </w:tblPrEx>
        <w:trPr>
          <w:trHeight w:val="678" w:hRule="atLeast"/>
          <w:jc w:val="center"/>
        </w:trPr>
        <w:tc>
          <w:tcPr>
            <w:tcW w:w="9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8" w:type="dxa"/>
            <w:tcBorders>
              <w:top w:val="single" w:color="auto" w:sz="4" w:space="0"/>
              <w:left w:val="single" w:color="000000" w:sz="4" w:space="0"/>
              <w:bottom w:val="single" w:color="000000" w:sz="4" w:space="0"/>
              <w:right w:val="single" w:color="000000" w:sz="4" w:space="0"/>
            </w:tcBorders>
            <w:vAlign w:val="center"/>
          </w:tcPr>
          <w:p>
            <w:pPr>
              <w:jc w:val="center"/>
              <w:rPr>
                <w:sz w:val="18"/>
                <w:szCs w:val="18"/>
              </w:rPr>
            </w:pPr>
            <w:r>
              <w:rPr>
                <w:kern w:val="0"/>
                <w:sz w:val="18"/>
                <w:szCs w:val="18"/>
              </w:rPr>
              <w:t>特征点</w:t>
            </w:r>
          </w:p>
        </w:tc>
        <w:tc>
          <w:tcPr>
            <w:tcW w:w="709" w:type="dxa"/>
            <w:tcBorders>
              <w:top w:val="single" w:color="auto" w:sz="4" w:space="0"/>
              <w:left w:val="single" w:color="000000" w:sz="4" w:space="0"/>
              <w:bottom w:val="single" w:color="000000" w:sz="4" w:space="0"/>
              <w:right w:val="single" w:color="000000" w:sz="4" w:space="0"/>
            </w:tcBorders>
            <w:vAlign w:val="center"/>
          </w:tcPr>
          <w:p>
            <w:pPr>
              <w:jc w:val="center"/>
              <w:rPr>
                <w:sz w:val="18"/>
                <w:szCs w:val="18"/>
              </w:rPr>
            </w:pPr>
            <w:r>
              <w:rPr>
                <w:rFonts w:hint="eastAsia"/>
                <w:sz w:val="18"/>
                <w:szCs w:val="18"/>
              </w:rPr>
              <w:t>附属设施</w:t>
            </w:r>
          </w:p>
        </w:tc>
        <w:tc>
          <w:tcPr>
            <w:tcW w:w="709" w:type="dxa"/>
            <w:vMerge w:val="continue"/>
            <w:tcBorders>
              <w:left w:val="single" w:color="000000" w:sz="4" w:space="0"/>
              <w:bottom w:val="single" w:color="000000" w:sz="4" w:space="0"/>
              <w:right w:val="single" w:color="000000" w:sz="4" w:space="0"/>
            </w:tcBorders>
            <w:vAlign w:val="center"/>
          </w:tcPr>
          <w:p>
            <w:pPr>
              <w:jc w:val="center"/>
              <w:rPr>
                <w:sz w:val="18"/>
                <w:szCs w:val="18"/>
              </w:rPr>
            </w:pPr>
          </w:p>
        </w:tc>
        <w:tc>
          <w:tcPr>
            <w:tcW w:w="850" w:type="dxa"/>
            <w:vMerge w:val="continue"/>
            <w:tcBorders>
              <w:left w:val="single" w:color="000000" w:sz="4" w:space="0"/>
              <w:bottom w:val="single" w:color="000000" w:sz="4" w:space="0"/>
              <w:right w:val="single" w:color="000000" w:sz="4" w:space="0"/>
            </w:tcBorders>
          </w:tcPr>
          <w:p>
            <w:pPr>
              <w:jc w:val="center"/>
              <w:rPr>
                <w:sz w:val="18"/>
                <w:szCs w:val="18"/>
              </w:rPr>
            </w:pPr>
          </w:p>
        </w:tc>
        <w:tc>
          <w:tcPr>
            <w:tcW w:w="709" w:type="dxa"/>
            <w:vMerge w:val="continue"/>
            <w:tcBorders>
              <w:left w:val="single" w:color="000000" w:sz="4" w:space="0"/>
              <w:bottom w:val="single" w:color="000000" w:sz="4" w:space="0"/>
              <w:right w:val="single" w:color="000000" w:sz="4" w:space="0"/>
            </w:tcBorders>
          </w:tcPr>
          <w:p>
            <w:pPr>
              <w:jc w:val="center"/>
              <w:rPr>
                <w:sz w:val="18"/>
                <w:szCs w:val="18"/>
              </w:rPr>
            </w:pPr>
          </w:p>
        </w:tc>
        <w:tc>
          <w:tcPr>
            <w:tcW w:w="576" w:type="dxa"/>
            <w:vMerge w:val="continue"/>
            <w:tcBorders>
              <w:left w:val="single" w:color="000000" w:sz="4" w:space="0"/>
              <w:bottom w:val="single" w:color="000000" w:sz="4" w:space="0"/>
              <w:right w:val="single" w:color="000000" w:sz="4" w:space="0"/>
            </w:tcBorders>
          </w:tcPr>
          <w:p>
            <w:pPr>
              <w:jc w:val="center"/>
              <w:rPr>
                <w:sz w:val="18"/>
                <w:szCs w:val="18"/>
              </w:rPr>
            </w:pPr>
          </w:p>
        </w:tc>
        <w:tc>
          <w:tcPr>
            <w:tcW w:w="567" w:type="dxa"/>
            <w:vMerge w:val="continue"/>
            <w:tcBorders>
              <w:left w:val="single" w:color="000000" w:sz="4" w:space="0"/>
              <w:bottom w:val="single" w:color="000000" w:sz="4" w:space="0"/>
              <w:right w:val="single" w:color="000000" w:sz="4" w:space="0"/>
            </w:tcBorders>
            <w:vAlign w:val="center"/>
          </w:tcPr>
          <w:p>
            <w:pPr>
              <w:jc w:val="center"/>
              <w:rPr>
                <w:sz w:val="18"/>
                <w:szCs w:val="18"/>
              </w:rPr>
            </w:pPr>
          </w:p>
        </w:tc>
        <w:tc>
          <w:tcPr>
            <w:tcW w:w="709" w:type="dxa"/>
            <w:vMerge w:val="continue"/>
            <w:tcBorders>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r>
              <w:rPr>
                <w:rFonts w:hint="eastAsia"/>
                <w:kern w:val="0"/>
                <w:sz w:val="18"/>
                <w:szCs w:val="18"/>
              </w:rPr>
              <w:t>定位</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r>
              <w:rPr>
                <w:rFonts w:hint="eastAsia"/>
                <w:sz w:val="18"/>
                <w:szCs w:val="18"/>
              </w:rPr>
              <w:t>定深</w:t>
            </w:r>
            <w:r>
              <w:rPr>
                <w:kern w:val="0"/>
                <w:sz w:val="18"/>
                <w:szCs w:val="18"/>
              </w:rPr>
              <w:t>（m）</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18"/>
                <w:szCs w:val="18"/>
              </w:rPr>
            </w:pPr>
            <w:r>
              <w:rPr>
                <w:rFonts w:hint="eastAsia"/>
                <w:sz w:val="18"/>
                <w:szCs w:val="18"/>
              </w:rPr>
              <w:t>外顶(内底)</w:t>
            </w:r>
          </w:p>
        </w:tc>
        <w:tc>
          <w:tcPr>
            <w:tcW w:w="57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shd w:val="clear" w:color="FFFFFF" w:fill="D9D9D9"/>
              </w:rPr>
            </w:pPr>
            <w:r>
              <w:rPr>
                <w:rFonts w:hint="eastAsia"/>
                <w:sz w:val="18"/>
                <w:szCs w:val="18"/>
              </w:rPr>
              <w:t>中心</w:t>
            </w:r>
          </w:p>
        </w:tc>
        <w:tc>
          <w:tcPr>
            <w:tcW w:w="851" w:type="dxa"/>
            <w:vMerge w:val="continue"/>
            <w:tcBorders>
              <w:left w:val="single" w:color="000000" w:sz="4" w:space="0"/>
              <w:bottom w:val="single" w:color="000000" w:sz="4" w:space="0"/>
              <w:right w:val="single" w:color="000000" w:sz="4" w:space="0"/>
            </w:tcBorders>
            <w:vAlign w:val="center"/>
          </w:tcPr>
          <w:p>
            <w:pPr>
              <w:jc w:val="center"/>
              <w:rPr>
                <w:sz w:val="18"/>
                <w:szCs w:val="18"/>
              </w:rPr>
            </w:pPr>
          </w:p>
        </w:tc>
        <w:tc>
          <w:tcPr>
            <w:tcW w:w="552" w:type="dxa"/>
            <w:vMerge w:val="continue"/>
            <w:tcBorders>
              <w:left w:val="single" w:color="000000" w:sz="4" w:space="0"/>
              <w:bottom w:val="single" w:color="000000" w:sz="4" w:space="0"/>
              <w:right w:val="single" w:color="000000" w:sz="4" w:space="0"/>
            </w:tcBorders>
            <w:vAlign w:val="center"/>
          </w:tcPr>
          <w:p>
            <w:pPr>
              <w:jc w:val="center"/>
              <w:rPr>
                <w:sz w:val="18"/>
                <w:szCs w:val="18"/>
              </w:rPr>
            </w:pPr>
          </w:p>
        </w:tc>
        <w:tc>
          <w:tcPr>
            <w:tcW w:w="865" w:type="dxa"/>
            <w:vMerge w:val="continue"/>
            <w:tcBorders>
              <w:left w:val="single" w:color="000000" w:sz="4" w:space="0"/>
              <w:bottom w:val="single" w:color="000000" w:sz="4" w:space="0"/>
              <w:right w:val="single" w:color="000000" w:sz="4" w:space="0"/>
            </w:tcBorders>
            <w:vAlign w:val="center"/>
          </w:tcPr>
          <w:p>
            <w:pPr>
              <w:jc w:val="center"/>
              <w:rPr>
                <w:sz w:val="18"/>
                <w:szCs w:val="18"/>
              </w:rPr>
            </w:pPr>
          </w:p>
        </w:tc>
        <w:tc>
          <w:tcPr>
            <w:tcW w:w="425" w:type="dxa"/>
            <w:vMerge w:val="continue"/>
            <w:tcBorders>
              <w:left w:val="single" w:color="000000" w:sz="4" w:space="0"/>
              <w:bottom w:val="single" w:color="000000" w:sz="4" w:space="0"/>
              <w:right w:val="single" w:color="000000" w:sz="4" w:space="0"/>
            </w:tcBorders>
            <w:vAlign w:val="center"/>
          </w:tcPr>
          <w:p>
            <w:pPr>
              <w:jc w:val="center"/>
              <w:rPr>
                <w:sz w:val="18"/>
                <w:szCs w:val="18"/>
              </w:rPr>
            </w:pPr>
          </w:p>
        </w:tc>
        <w:tc>
          <w:tcPr>
            <w:tcW w:w="709" w:type="dxa"/>
            <w:vMerge w:val="continue"/>
            <w:tcBorders>
              <w:left w:val="single" w:color="000000" w:sz="4" w:space="0"/>
              <w:bottom w:val="single" w:color="000000" w:sz="4" w:space="0"/>
              <w:right w:val="single" w:color="000000" w:sz="4" w:space="0"/>
            </w:tcBorders>
            <w:vAlign w:val="center"/>
          </w:tcPr>
          <w:p>
            <w:pPr>
              <w:jc w:val="center"/>
              <w:rPr>
                <w:sz w:val="18"/>
                <w:szCs w:val="18"/>
              </w:rPr>
            </w:pPr>
          </w:p>
        </w:tc>
        <w:tc>
          <w:tcPr>
            <w:tcW w:w="567" w:type="dxa"/>
            <w:vMerge w:val="continue"/>
            <w:tcBorders>
              <w:left w:val="single" w:color="000000" w:sz="4" w:space="0"/>
              <w:bottom w:val="single" w:color="000000" w:sz="4" w:space="0"/>
              <w:right w:val="single" w:color="000000" w:sz="4" w:space="0"/>
            </w:tcBorders>
          </w:tcPr>
          <w:p>
            <w:pPr>
              <w:jc w:val="center"/>
              <w:rPr>
                <w:sz w:val="18"/>
                <w:szCs w:val="18"/>
              </w:rPr>
            </w:pPr>
          </w:p>
        </w:tc>
        <w:tc>
          <w:tcPr>
            <w:tcW w:w="709" w:type="dxa"/>
            <w:vMerge w:val="continue"/>
            <w:tcBorders>
              <w:left w:val="single" w:color="000000" w:sz="4" w:space="0"/>
              <w:bottom w:val="single" w:color="000000" w:sz="4" w:space="0"/>
              <w:right w:val="single" w:color="000000" w:sz="4" w:space="0"/>
            </w:tcBorders>
            <w:vAlign w:val="center"/>
          </w:tcPr>
          <w:p>
            <w:pPr>
              <w:jc w:val="center"/>
              <w:rPr>
                <w:sz w:val="18"/>
                <w:szCs w:val="18"/>
              </w:rPr>
            </w:pPr>
          </w:p>
        </w:tc>
        <w:tc>
          <w:tcPr>
            <w:tcW w:w="709" w:type="dxa"/>
            <w:vMerge w:val="continue"/>
            <w:tcBorders>
              <w:left w:val="single" w:color="000000" w:sz="4" w:space="0"/>
              <w:bottom w:val="single" w:color="000000" w:sz="4" w:space="0"/>
              <w:right w:val="single" w:color="000000" w:sz="4" w:space="0"/>
            </w:tcBorders>
            <w:vAlign w:val="center"/>
          </w:tcPr>
          <w:p>
            <w:pPr>
              <w:jc w:val="center"/>
              <w:rPr>
                <w:sz w:val="18"/>
                <w:szCs w:val="18"/>
              </w:rPr>
            </w:pPr>
          </w:p>
        </w:tc>
        <w:tc>
          <w:tcPr>
            <w:tcW w:w="601" w:type="dxa"/>
            <w:vMerge w:val="continue"/>
            <w:tcBorders>
              <w:left w:val="single" w:color="000000" w:sz="4" w:space="0"/>
              <w:bottom w:val="single" w:color="000000" w:sz="4" w:space="0"/>
              <w:right w:val="single" w:color="000000" w:sz="4" w:space="0"/>
            </w:tcBorders>
            <w:vAlign w:val="center"/>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76"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7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5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65"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60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76"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7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5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65"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60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r>
      <w:tr>
        <w:tblPrEx>
          <w:tblCellMar>
            <w:top w:w="15" w:type="dxa"/>
            <w:left w:w="15" w:type="dxa"/>
            <w:bottom w:w="15" w:type="dxa"/>
            <w:right w:w="15" w:type="dxa"/>
          </w:tblCellMar>
        </w:tblPrEx>
        <w:trPr>
          <w:trHeight w:val="493"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76"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7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5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65"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60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76"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7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5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65"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60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76"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7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5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65"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60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76"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7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5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65"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60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76"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7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5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65"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60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76"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7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5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65"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60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76"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7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5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65"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60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76"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7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5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65"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60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76"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7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5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65"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60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76"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7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5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65"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60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76"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7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5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65"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60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76"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7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5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65"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60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76"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7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5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65"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60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r>
    </w:tbl>
    <w:p>
      <w:pPr>
        <w:tabs>
          <w:tab w:val="left" w:pos="1365"/>
          <w:tab w:val="clear" w:pos="0"/>
        </w:tabs>
        <w:jc w:val="center"/>
        <w:rPr>
          <w:sz w:val="18"/>
          <w:szCs w:val="18"/>
        </w:rPr>
      </w:pPr>
      <w:r>
        <w:rPr>
          <w:rFonts w:hint="eastAsia"/>
          <w:sz w:val="18"/>
          <w:szCs w:val="18"/>
        </w:rPr>
        <w:t>普作业查单位：                  调查者：                               调查日期：                 第  页  共  页</w:t>
      </w:r>
    </w:p>
    <w:p>
      <w:pPr>
        <w:pStyle w:val="2"/>
        <w:ind w:right="1260"/>
        <w:jc w:val="center"/>
        <w:rPr>
          <w:sz w:val="18"/>
          <w:szCs w:val="18"/>
        </w:rPr>
        <w:sectPr>
          <w:pgSz w:w="16838" w:h="11906" w:orient="landscape"/>
          <w:pgMar w:top="1417" w:right="851" w:bottom="1134" w:left="851" w:header="851" w:footer="992" w:gutter="0"/>
          <w:cols w:space="720" w:num="1"/>
          <w:docGrid w:type="lines" w:linePitch="325" w:charSpace="0"/>
        </w:sectPr>
      </w:pPr>
    </w:p>
    <w:p>
      <w:pPr>
        <w:jc w:val="center"/>
        <w:outlineLvl w:val="1"/>
        <w:rPr>
          <w:rFonts w:eastAsia="仿宋"/>
          <w:b/>
          <w:bCs/>
          <w:sz w:val="28"/>
          <w:szCs w:val="28"/>
        </w:rPr>
      </w:pPr>
      <w:bookmarkStart w:id="1765" w:name="_Toc28680"/>
      <w:bookmarkStart w:id="1766" w:name="_Toc20152"/>
      <w:bookmarkStart w:id="1767" w:name="_Toc28072"/>
      <w:bookmarkStart w:id="1768" w:name="_Toc31054"/>
      <w:bookmarkStart w:id="1769" w:name="_Toc4339"/>
      <w:bookmarkStart w:id="1770" w:name="_Toc19659"/>
      <w:bookmarkStart w:id="1771" w:name="_Toc48835698"/>
      <w:bookmarkStart w:id="1772" w:name="_Toc16953"/>
      <w:bookmarkStart w:id="1773" w:name="_Toc48732577"/>
      <w:bookmarkStart w:id="1774" w:name="_Toc18603"/>
      <w:r>
        <w:rPr>
          <w:rFonts w:hint="eastAsia" w:eastAsia="仿宋"/>
          <w:b/>
          <w:bCs/>
          <w:sz w:val="28"/>
          <w:szCs w:val="28"/>
        </w:rPr>
        <w:t>附录C 地下管线探查检查记录表</w:t>
      </w:r>
      <w:bookmarkEnd w:id="1765"/>
      <w:bookmarkEnd w:id="1766"/>
      <w:bookmarkEnd w:id="1767"/>
      <w:bookmarkEnd w:id="1768"/>
      <w:bookmarkEnd w:id="1769"/>
      <w:bookmarkEnd w:id="1770"/>
      <w:bookmarkEnd w:id="1771"/>
      <w:bookmarkEnd w:id="1772"/>
      <w:bookmarkEnd w:id="1773"/>
      <w:bookmarkEnd w:id="1774"/>
    </w:p>
    <w:p>
      <w:pPr>
        <w:ind w:firstLine="720" w:firstLineChars="400"/>
        <w:jc w:val="center"/>
        <w:rPr>
          <w:szCs w:val="21"/>
        </w:rPr>
      </w:pPr>
      <w:r>
        <w:rPr>
          <w:rFonts w:hint="eastAsia"/>
          <w:kern w:val="0"/>
          <w:sz w:val="18"/>
          <w:szCs w:val="18"/>
        </w:rPr>
        <w:t>测区：</w:t>
      </w:r>
      <w:r>
        <w:rPr>
          <w:kern w:val="0"/>
          <w:sz w:val="18"/>
          <w:szCs w:val="18"/>
        </w:rPr>
        <w:tab/>
      </w:r>
      <w:r>
        <w:rPr>
          <w:kern w:val="0"/>
          <w:sz w:val="18"/>
          <w:szCs w:val="18"/>
        </w:rPr>
        <w:tab/>
      </w:r>
      <w:r>
        <w:rPr>
          <w:kern w:val="0"/>
          <w:sz w:val="18"/>
          <w:szCs w:val="18"/>
        </w:rPr>
        <w:tab/>
      </w:r>
      <w:r>
        <w:rPr>
          <w:kern w:val="0"/>
          <w:sz w:val="18"/>
          <w:szCs w:val="18"/>
        </w:rPr>
        <w:tab/>
      </w:r>
      <w:r>
        <w:rPr>
          <w:kern w:val="0"/>
          <w:sz w:val="18"/>
          <w:szCs w:val="18"/>
        </w:rPr>
        <w:tab/>
      </w:r>
      <w:r>
        <w:rPr>
          <w:kern w:val="0"/>
          <w:sz w:val="18"/>
          <w:szCs w:val="18"/>
        </w:rPr>
        <w:tab/>
      </w:r>
      <w:r>
        <w:rPr>
          <w:kern w:val="0"/>
          <w:sz w:val="18"/>
          <w:szCs w:val="18"/>
        </w:rPr>
        <w:tab/>
      </w:r>
      <w:r>
        <w:rPr>
          <w:kern w:val="0"/>
          <w:sz w:val="18"/>
          <w:szCs w:val="18"/>
        </w:rPr>
        <w:tab/>
      </w:r>
      <w:r>
        <w:rPr>
          <w:kern w:val="0"/>
          <w:sz w:val="18"/>
          <w:szCs w:val="18"/>
        </w:rPr>
        <w:tab/>
      </w:r>
      <w:r>
        <w:rPr>
          <w:kern w:val="0"/>
          <w:sz w:val="18"/>
          <w:szCs w:val="18"/>
        </w:rPr>
        <w:tab/>
      </w:r>
      <w:r>
        <w:rPr>
          <w:kern w:val="0"/>
          <w:sz w:val="18"/>
          <w:szCs w:val="18"/>
        </w:rPr>
        <w:tab/>
      </w:r>
      <w:r>
        <w:rPr>
          <w:kern w:val="0"/>
          <w:sz w:val="18"/>
          <w:szCs w:val="18"/>
        </w:rPr>
        <w:tab/>
      </w:r>
      <w:r>
        <w:rPr>
          <w:kern w:val="0"/>
          <w:sz w:val="18"/>
          <w:szCs w:val="18"/>
        </w:rPr>
        <w:tab/>
      </w:r>
      <w:r>
        <w:rPr>
          <w:kern w:val="0"/>
          <w:sz w:val="18"/>
          <w:szCs w:val="18"/>
        </w:rPr>
        <w:tab/>
      </w:r>
      <w:r>
        <w:rPr>
          <w:kern w:val="0"/>
          <w:sz w:val="18"/>
          <w:szCs w:val="18"/>
        </w:rPr>
        <w:tab/>
      </w:r>
      <w:r>
        <w:rPr>
          <w:kern w:val="0"/>
          <w:sz w:val="18"/>
          <w:szCs w:val="18"/>
        </w:rPr>
        <w:tab/>
      </w:r>
      <w:r>
        <w:rPr>
          <w:kern w:val="0"/>
          <w:sz w:val="18"/>
          <w:szCs w:val="18"/>
        </w:rPr>
        <w:tab/>
      </w:r>
      <w:r>
        <w:rPr>
          <w:kern w:val="0"/>
          <w:sz w:val="18"/>
          <w:szCs w:val="18"/>
        </w:rPr>
        <w:tab/>
      </w:r>
      <w:r>
        <w:rPr>
          <w:kern w:val="0"/>
          <w:sz w:val="18"/>
          <w:szCs w:val="18"/>
        </w:rPr>
        <w:tab/>
      </w:r>
      <w:r>
        <w:rPr>
          <w:kern w:val="0"/>
          <w:sz w:val="18"/>
          <w:szCs w:val="18"/>
        </w:rPr>
        <w:tab/>
      </w:r>
      <w:r>
        <w:rPr>
          <w:kern w:val="0"/>
          <w:sz w:val="18"/>
          <w:szCs w:val="18"/>
        </w:rPr>
        <w:tab/>
      </w:r>
      <w:r>
        <w:rPr>
          <w:kern w:val="0"/>
          <w:sz w:val="18"/>
          <w:szCs w:val="18"/>
        </w:rPr>
        <w:tab/>
      </w:r>
      <w:r>
        <w:rPr>
          <w:rFonts w:hint="eastAsia"/>
          <w:kern w:val="0"/>
          <w:sz w:val="18"/>
          <w:szCs w:val="18"/>
        </w:rPr>
        <w:t>普查</w:t>
      </w:r>
      <w:r>
        <w:rPr>
          <w:kern w:val="0"/>
          <w:sz w:val="18"/>
          <w:szCs w:val="18"/>
        </w:rPr>
        <w:t>作业</w:t>
      </w:r>
      <w:r>
        <w:rPr>
          <w:rFonts w:hint="eastAsia"/>
          <w:kern w:val="0"/>
          <w:sz w:val="18"/>
          <w:szCs w:val="18"/>
        </w:rPr>
        <w:t>单位：</w:t>
      </w:r>
    </w:p>
    <w:tbl>
      <w:tblPr>
        <w:tblStyle w:val="26"/>
        <w:tblW w:w="14707" w:type="dxa"/>
        <w:jc w:val="center"/>
        <w:tblLayout w:type="fixed"/>
        <w:tblCellMar>
          <w:top w:w="15" w:type="dxa"/>
          <w:left w:w="15" w:type="dxa"/>
          <w:bottom w:w="15" w:type="dxa"/>
          <w:right w:w="15" w:type="dxa"/>
        </w:tblCellMar>
      </w:tblPr>
      <w:tblGrid>
        <w:gridCol w:w="1513"/>
        <w:gridCol w:w="1358"/>
        <w:gridCol w:w="1712"/>
        <w:gridCol w:w="982"/>
        <w:gridCol w:w="982"/>
        <w:gridCol w:w="850"/>
        <w:gridCol w:w="1283"/>
        <w:gridCol w:w="1134"/>
        <w:gridCol w:w="1134"/>
        <w:gridCol w:w="992"/>
        <w:gridCol w:w="1408"/>
        <w:gridCol w:w="1359"/>
      </w:tblGrid>
      <w:tr>
        <w:tblPrEx>
          <w:tblCellMar>
            <w:top w:w="15" w:type="dxa"/>
            <w:left w:w="15" w:type="dxa"/>
            <w:bottom w:w="15" w:type="dxa"/>
            <w:right w:w="15" w:type="dxa"/>
          </w:tblCellMar>
        </w:tblPrEx>
        <w:trPr>
          <w:trHeight w:val="407" w:hRule="atLeast"/>
          <w:jc w:val="center"/>
        </w:trPr>
        <w:tc>
          <w:tcPr>
            <w:tcW w:w="1513"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18"/>
                <w:szCs w:val="18"/>
              </w:rPr>
            </w:pPr>
            <w:r>
              <w:rPr>
                <w:rFonts w:hint="eastAsia"/>
                <w:sz w:val="18"/>
                <w:szCs w:val="18"/>
              </w:rPr>
              <w:t>检查点序号</w:t>
            </w:r>
          </w:p>
        </w:tc>
        <w:tc>
          <w:tcPr>
            <w:tcW w:w="1358"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18"/>
                <w:szCs w:val="18"/>
              </w:rPr>
            </w:pPr>
            <w:r>
              <w:rPr>
                <w:rFonts w:hint="eastAsia"/>
                <w:kern w:val="0"/>
                <w:sz w:val="18"/>
                <w:szCs w:val="18"/>
              </w:rPr>
              <w:t>图幅号</w:t>
            </w:r>
          </w:p>
        </w:tc>
        <w:tc>
          <w:tcPr>
            <w:tcW w:w="1712" w:type="dxa"/>
            <w:vMerge w:val="restart"/>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sz w:val="18"/>
                <w:szCs w:val="18"/>
              </w:rPr>
            </w:pPr>
            <w:r>
              <w:rPr>
                <w:rFonts w:hint="eastAsia"/>
                <w:kern w:val="0"/>
                <w:sz w:val="18"/>
                <w:szCs w:val="18"/>
              </w:rPr>
              <w:t>管线点号</w:t>
            </w:r>
          </w:p>
        </w:tc>
        <w:tc>
          <w:tcPr>
            <w:tcW w:w="1964" w:type="dxa"/>
            <w:gridSpan w:val="2"/>
            <w:tcBorders>
              <w:top w:val="single" w:color="auto" w:sz="4" w:space="0"/>
              <w:left w:val="single" w:color="auto" w:sz="4" w:space="0"/>
              <w:bottom w:val="single" w:color="auto" w:sz="4" w:space="0"/>
              <w:right w:val="single" w:color="auto" w:sz="4" w:space="0"/>
            </w:tcBorders>
          </w:tcPr>
          <w:p>
            <w:pPr>
              <w:jc w:val="center"/>
              <w:rPr>
                <w:kern w:val="0"/>
                <w:sz w:val="18"/>
                <w:szCs w:val="18"/>
              </w:rPr>
            </w:pPr>
            <w:r>
              <w:rPr>
                <w:rFonts w:hint="eastAsia"/>
                <w:kern w:val="0"/>
                <w:sz w:val="18"/>
                <w:szCs w:val="18"/>
              </w:rPr>
              <w:t>管线点</w:t>
            </w:r>
            <w:r>
              <w:rPr>
                <w:kern w:val="0"/>
                <w:sz w:val="18"/>
                <w:szCs w:val="18"/>
              </w:rPr>
              <w:t>类型</w:t>
            </w:r>
          </w:p>
        </w:tc>
        <w:tc>
          <w:tcPr>
            <w:tcW w:w="850" w:type="dxa"/>
            <w:vMerge w:val="restart"/>
            <w:tcBorders>
              <w:top w:val="single" w:color="auto" w:sz="4" w:space="0"/>
              <w:left w:val="single" w:color="auto" w:sz="4" w:space="0"/>
              <w:right w:val="single" w:color="auto" w:sz="4" w:space="0"/>
            </w:tcBorders>
            <w:vAlign w:val="center"/>
          </w:tcPr>
          <w:p>
            <w:pPr>
              <w:widowControl/>
              <w:jc w:val="center"/>
              <w:textAlignment w:val="center"/>
              <w:rPr>
                <w:sz w:val="18"/>
                <w:szCs w:val="18"/>
              </w:rPr>
            </w:pPr>
            <w:r>
              <w:rPr>
                <w:rFonts w:hint="eastAsia"/>
                <w:kern w:val="0"/>
                <w:sz w:val="18"/>
                <w:szCs w:val="18"/>
              </w:rPr>
              <w:t>材质</w:t>
            </w:r>
          </w:p>
        </w:tc>
        <w:tc>
          <w:tcPr>
            <w:tcW w:w="1283" w:type="dxa"/>
            <w:vMerge w:val="restart"/>
            <w:tcBorders>
              <w:top w:val="single" w:color="auto" w:sz="4" w:space="0"/>
              <w:left w:val="single" w:color="auto" w:sz="4" w:space="0"/>
              <w:right w:val="single" w:color="auto" w:sz="4" w:space="0"/>
            </w:tcBorders>
            <w:vAlign w:val="center"/>
          </w:tcPr>
          <w:p>
            <w:pPr>
              <w:jc w:val="center"/>
              <w:rPr>
                <w:sz w:val="18"/>
                <w:szCs w:val="18"/>
              </w:rPr>
            </w:pPr>
            <w:r>
              <w:rPr>
                <w:rFonts w:hint="eastAsia"/>
                <w:sz w:val="18"/>
                <w:szCs w:val="18"/>
              </w:rPr>
              <w:t>平面定位偏距</w:t>
            </w:r>
          </w:p>
          <w:p>
            <w:pPr>
              <w:jc w:val="center"/>
              <w:rPr>
                <w:kern w:val="0"/>
                <w:sz w:val="18"/>
                <w:szCs w:val="18"/>
              </w:rPr>
            </w:pPr>
            <w:r>
              <w:rPr>
                <w:rFonts w:hint="eastAsia"/>
                <w:sz w:val="18"/>
                <w:szCs w:val="18"/>
              </w:rPr>
              <w:t>（cm）</w:t>
            </w:r>
          </w:p>
        </w:tc>
        <w:tc>
          <w:tcPr>
            <w:tcW w:w="3260" w:type="dxa"/>
            <w:gridSpan w:val="3"/>
            <w:tcBorders>
              <w:top w:val="single" w:color="000000" w:sz="4" w:space="0"/>
              <w:left w:val="single" w:color="auto" w:sz="4" w:space="0"/>
              <w:right w:val="single" w:color="000000" w:sz="4" w:space="0"/>
            </w:tcBorders>
            <w:vAlign w:val="center"/>
          </w:tcPr>
          <w:p>
            <w:pPr>
              <w:widowControl/>
              <w:jc w:val="center"/>
              <w:textAlignment w:val="center"/>
              <w:rPr>
                <w:bCs/>
                <w:sz w:val="18"/>
                <w:szCs w:val="18"/>
              </w:rPr>
            </w:pPr>
            <w:r>
              <w:rPr>
                <w:rFonts w:hint="eastAsia"/>
                <w:bCs/>
                <w:sz w:val="18"/>
                <w:szCs w:val="18"/>
              </w:rPr>
              <w:t>深度（m）</w:t>
            </w:r>
          </w:p>
        </w:tc>
        <w:tc>
          <w:tcPr>
            <w:tcW w:w="1408" w:type="dxa"/>
            <w:vMerge w:val="restart"/>
            <w:tcBorders>
              <w:top w:val="single" w:color="000000" w:sz="4" w:space="0"/>
              <w:left w:val="single" w:color="000000" w:sz="4" w:space="0"/>
              <w:right w:val="single" w:color="000000" w:sz="4" w:space="0"/>
            </w:tcBorders>
            <w:vAlign w:val="center"/>
          </w:tcPr>
          <w:p>
            <w:pPr>
              <w:widowControl/>
              <w:jc w:val="center"/>
              <w:textAlignment w:val="center"/>
              <w:rPr>
                <w:sz w:val="18"/>
                <w:szCs w:val="18"/>
              </w:rPr>
            </w:pPr>
            <w:r>
              <w:rPr>
                <w:rFonts w:hint="eastAsia"/>
                <w:sz w:val="18"/>
                <w:szCs w:val="18"/>
              </w:rPr>
              <w:t>评定</w:t>
            </w:r>
          </w:p>
        </w:tc>
        <w:tc>
          <w:tcPr>
            <w:tcW w:w="1359" w:type="dxa"/>
            <w:vMerge w:val="restart"/>
            <w:tcBorders>
              <w:top w:val="single" w:color="000000" w:sz="4" w:space="0"/>
              <w:left w:val="single" w:color="000000" w:sz="4" w:space="0"/>
              <w:right w:val="single" w:color="000000" w:sz="4" w:space="0"/>
            </w:tcBorders>
            <w:vAlign w:val="center"/>
          </w:tcPr>
          <w:p>
            <w:pPr>
              <w:widowControl/>
              <w:jc w:val="center"/>
              <w:textAlignment w:val="center"/>
              <w:rPr>
                <w:kern w:val="0"/>
                <w:sz w:val="18"/>
                <w:szCs w:val="18"/>
              </w:rPr>
            </w:pPr>
            <w:r>
              <w:rPr>
                <w:kern w:val="0"/>
                <w:sz w:val="18"/>
                <w:szCs w:val="18"/>
              </w:rPr>
              <w:t>备注</w:t>
            </w:r>
          </w:p>
        </w:tc>
      </w:tr>
      <w:tr>
        <w:tblPrEx>
          <w:tblCellMar>
            <w:top w:w="15" w:type="dxa"/>
            <w:left w:w="15" w:type="dxa"/>
            <w:bottom w:w="15" w:type="dxa"/>
            <w:right w:w="15" w:type="dxa"/>
          </w:tblCellMar>
        </w:tblPrEx>
        <w:trPr>
          <w:trHeight w:val="203" w:hRule="atLeast"/>
          <w:jc w:val="center"/>
        </w:trPr>
        <w:tc>
          <w:tcPr>
            <w:tcW w:w="151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35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712" w:type="dxa"/>
            <w:vMerge w:val="continue"/>
            <w:tcBorders>
              <w:top w:val="single" w:color="000000" w:sz="4" w:space="0"/>
              <w:left w:val="single" w:color="000000" w:sz="4" w:space="0"/>
              <w:bottom w:val="single" w:color="000000" w:sz="4" w:space="0"/>
              <w:right w:val="single" w:color="auto" w:sz="4" w:space="0"/>
            </w:tcBorders>
            <w:vAlign w:val="center"/>
          </w:tcPr>
          <w:p>
            <w:pPr>
              <w:jc w:val="center"/>
              <w:rPr>
                <w:sz w:val="18"/>
                <w:szCs w:val="18"/>
              </w:rPr>
            </w:pPr>
          </w:p>
        </w:tc>
        <w:tc>
          <w:tcPr>
            <w:tcW w:w="982" w:type="dxa"/>
            <w:tcBorders>
              <w:top w:val="single" w:color="auto" w:sz="4" w:space="0"/>
              <w:left w:val="single" w:color="auto" w:sz="4" w:space="0"/>
              <w:bottom w:val="single" w:color="auto" w:sz="4" w:space="0"/>
              <w:right w:val="single" w:color="auto" w:sz="4" w:space="0"/>
            </w:tcBorders>
            <w:vAlign w:val="center"/>
          </w:tcPr>
          <w:p>
            <w:pPr>
              <w:jc w:val="center"/>
              <w:rPr>
                <w:sz w:val="18"/>
                <w:szCs w:val="18"/>
                <w:shd w:val="clear" w:color="FFFFFF" w:fill="D9D9D9"/>
              </w:rPr>
            </w:pPr>
            <w:r>
              <w:rPr>
                <w:rFonts w:hint="eastAsia"/>
                <w:sz w:val="18"/>
                <w:szCs w:val="18"/>
              </w:rPr>
              <w:t>特征点</w:t>
            </w:r>
          </w:p>
        </w:tc>
        <w:tc>
          <w:tcPr>
            <w:tcW w:w="982" w:type="dxa"/>
            <w:tcBorders>
              <w:top w:val="single" w:color="auto" w:sz="4" w:space="0"/>
              <w:left w:val="single" w:color="auto" w:sz="4" w:space="0"/>
              <w:bottom w:val="single" w:color="auto" w:sz="4" w:space="0"/>
              <w:right w:val="single" w:color="auto" w:sz="4" w:space="0"/>
            </w:tcBorders>
            <w:vAlign w:val="center"/>
          </w:tcPr>
          <w:p>
            <w:pPr>
              <w:jc w:val="center"/>
              <w:rPr>
                <w:sz w:val="18"/>
                <w:szCs w:val="18"/>
                <w:shd w:val="clear" w:color="FFFFFF" w:fill="D9D9D9"/>
              </w:rPr>
            </w:pPr>
            <w:r>
              <w:rPr>
                <w:rFonts w:hint="eastAsia"/>
                <w:sz w:val="18"/>
                <w:szCs w:val="18"/>
              </w:rPr>
              <w:t>附属设施</w:t>
            </w:r>
          </w:p>
        </w:tc>
        <w:tc>
          <w:tcPr>
            <w:tcW w:w="850" w:type="dxa"/>
            <w:vMerge w:val="continue"/>
            <w:tcBorders>
              <w:left w:val="single" w:color="auto" w:sz="4" w:space="0"/>
              <w:bottom w:val="single" w:color="auto" w:sz="4" w:space="0"/>
              <w:right w:val="single" w:color="auto" w:sz="4" w:space="0"/>
            </w:tcBorders>
            <w:vAlign w:val="center"/>
          </w:tcPr>
          <w:p>
            <w:pPr>
              <w:jc w:val="center"/>
              <w:rPr>
                <w:sz w:val="18"/>
                <w:szCs w:val="18"/>
                <w:shd w:val="clear" w:color="FFFFFF" w:fill="D9D9D9"/>
              </w:rPr>
            </w:pPr>
          </w:p>
        </w:tc>
        <w:tc>
          <w:tcPr>
            <w:tcW w:w="1283" w:type="dxa"/>
            <w:vMerge w:val="continue"/>
            <w:tcBorders>
              <w:left w:val="single" w:color="auto" w:sz="4" w:space="0"/>
              <w:bottom w:val="single" w:color="auto" w:sz="4" w:space="0"/>
              <w:right w:val="single" w:color="auto" w:sz="4" w:space="0"/>
            </w:tcBorders>
            <w:vAlign w:val="center"/>
          </w:tcPr>
          <w:p>
            <w:pPr>
              <w:jc w:val="center"/>
              <w:rPr>
                <w:sz w:val="18"/>
                <w:szCs w:val="18"/>
                <w:shd w:val="clear" w:color="FFFFFF" w:fill="D9D9D9"/>
              </w:rPr>
            </w:pPr>
          </w:p>
        </w:tc>
        <w:tc>
          <w:tcPr>
            <w:tcW w:w="1134" w:type="dxa"/>
            <w:tcBorders>
              <w:top w:val="single" w:color="000000" w:sz="4" w:space="0"/>
              <w:left w:val="single" w:color="auto" w:sz="4" w:space="0"/>
              <w:bottom w:val="single" w:color="000000" w:sz="4" w:space="0"/>
              <w:right w:val="single" w:color="000000" w:sz="4" w:space="0"/>
            </w:tcBorders>
            <w:vAlign w:val="center"/>
          </w:tcPr>
          <w:p>
            <w:pPr>
              <w:jc w:val="center"/>
              <w:rPr>
                <w:sz w:val="18"/>
                <w:szCs w:val="18"/>
              </w:rPr>
            </w:pPr>
            <w:r>
              <w:rPr>
                <w:rFonts w:hint="eastAsia"/>
                <w:sz w:val="18"/>
                <w:szCs w:val="18"/>
              </w:rPr>
              <w:t>探查</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r>
              <w:rPr>
                <w:rFonts w:hint="eastAsia"/>
                <w:sz w:val="18"/>
                <w:szCs w:val="18"/>
              </w:rPr>
              <w:t>检查</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r>
              <w:rPr>
                <w:rFonts w:hint="eastAsia"/>
                <w:sz w:val="18"/>
                <w:szCs w:val="18"/>
              </w:rPr>
              <w:t>差值</w:t>
            </w:r>
          </w:p>
        </w:tc>
        <w:tc>
          <w:tcPr>
            <w:tcW w:w="1408" w:type="dxa"/>
            <w:vMerge w:val="continue"/>
            <w:tcBorders>
              <w:left w:val="single" w:color="000000" w:sz="4" w:space="0"/>
              <w:bottom w:val="single" w:color="000000" w:sz="4" w:space="0"/>
              <w:right w:val="single" w:color="000000" w:sz="4" w:space="0"/>
            </w:tcBorders>
            <w:vAlign w:val="center"/>
          </w:tcPr>
          <w:p>
            <w:pPr>
              <w:jc w:val="center"/>
              <w:rPr>
                <w:sz w:val="18"/>
                <w:szCs w:val="18"/>
              </w:rPr>
            </w:pPr>
          </w:p>
        </w:tc>
        <w:tc>
          <w:tcPr>
            <w:tcW w:w="1359" w:type="dxa"/>
            <w:vMerge w:val="continue"/>
            <w:tcBorders>
              <w:left w:val="single" w:color="000000" w:sz="4" w:space="0"/>
              <w:bottom w:val="single" w:color="000000" w:sz="4" w:space="0"/>
              <w:right w:val="single" w:color="000000" w:sz="4" w:space="0"/>
            </w:tcBorders>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35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712" w:type="dxa"/>
            <w:tcBorders>
              <w:top w:val="single" w:color="000000" w:sz="4" w:space="0"/>
              <w:left w:val="single" w:color="000000" w:sz="4" w:space="0"/>
              <w:bottom w:val="single" w:color="000000" w:sz="4" w:space="0"/>
              <w:right w:val="single" w:color="auto" w:sz="4" w:space="0"/>
            </w:tcBorders>
            <w:vAlign w:val="center"/>
          </w:tcPr>
          <w:p>
            <w:pPr>
              <w:jc w:val="center"/>
              <w:rPr>
                <w:sz w:val="18"/>
                <w:szCs w:val="18"/>
              </w:rPr>
            </w:pPr>
          </w:p>
        </w:tc>
        <w:tc>
          <w:tcPr>
            <w:tcW w:w="982" w:type="dxa"/>
            <w:tcBorders>
              <w:top w:val="single" w:color="auto" w:sz="4" w:space="0"/>
              <w:left w:val="single" w:color="auto" w:sz="4" w:space="0"/>
              <w:bottom w:val="single" w:color="auto" w:sz="4" w:space="0"/>
              <w:right w:val="single" w:color="auto" w:sz="4" w:space="0"/>
            </w:tcBorders>
          </w:tcPr>
          <w:p>
            <w:pPr>
              <w:jc w:val="center"/>
              <w:rPr>
                <w:sz w:val="18"/>
                <w:szCs w:val="18"/>
              </w:rPr>
            </w:pPr>
          </w:p>
        </w:tc>
        <w:tc>
          <w:tcPr>
            <w:tcW w:w="982" w:type="dxa"/>
            <w:tcBorders>
              <w:top w:val="single" w:color="auto" w:sz="4" w:space="0"/>
              <w:left w:val="single" w:color="auto" w:sz="4" w:space="0"/>
              <w:bottom w:val="single" w:color="auto" w:sz="4" w:space="0"/>
              <w:right w:val="single" w:color="auto" w:sz="4" w:space="0"/>
            </w:tcBorders>
          </w:tcPr>
          <w:p>
            <w:pPr>
              <w:jc w:val="center"/>
              <w:rPr>
                <w:sz w:val="18"/>
                <w:szCs w:val="1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1283"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134"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4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35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35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712" w:type="dxa"/>
            <w:tcBorders>
              <w:top w:val="single" w:color="000000" w:sz="4" w:space="0"/>
              <w:left w:val="single" w:color="000000" w:sz="4" w:space="0"/>
              <w:bottom w:val="single" w:color="000000" w:sz="4" w:space="0"/>
              <w:right w:val="single" w:color="auto" w:sz="4" w:space="0"/>
            </w:tcBorders>
            <w:vAlign w:val="center"/>
          </w:tcPr>
          <w:p>
            <w:pPr>
              <w:jc w:val="center"/>
              <w:rPr>
                <w:sz w:val="18"/>
                <w:szCs w:val="18"/>
              </w:rPr>
            </w:pPr>
          </w:p>
        </w:tc>
        <w:tc>
          <w:tcPr>
            <w:tcW w:w="982" w:type="dxa"/>
            <w:tcBorders>
              <w:top w:val="single" w:color="auto" w:sz="4" w:space="0"/>
              <w:left w:val="single" w:color="auto" w:sz="4" w:space="0"/>
              <w:bottom w:val="single" w:color="auto" w:sz="4" w:space="0"/>
              <w:right w:val="single" w:color="auto" w:sz="4" w:space="0"/>
            </w:tcBorders>
          </w:tcPr>
          <w:p>
            <w:pPr>
              <w:jc w:val="center"/>
              <w:rPr>
                <w:sz w:val="18"/>
                <w:szCs w:val="18"/>
              </w:rPr>
            </w:pPr>
          </w:p>
        </w:tc>
        <w:tc>
          <w:tcPr>
            <w:tcW w:w="982" w:type="dxa"/>
            <w:tcBorders>
              <w:top w:val="single" w:color="auto" w:sz="4" w:space="0"/>
              <w:left w:val="single" w:color="auto" w:sz="4" w:space="0"/>
              <w:bottom w:val="single" w:color="auto" w:sz="4" w:space="0"/>
              <w:right w:val="single" w:color="auto" w:sz="4" w:space="0"/>
            </w:tcBorders>
          </w:tcPr>
          <w:p>
            <w:pPr>
              <w:jc w:val="center"/>
              <w:rPr>
                <w:sz w:val="18"/>
                <w:szCs w:val="1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1283"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134"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4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35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35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712" w:type="dxa"/>
            <w:tcBorders>
              <w:top w:val="single" w:color="000000" w:sz="4" w:space="0"/>
              <w:left w:val="single" w:color="000000" w:sz="4" w:space="0"/>
              <w:bottom w:val="single" w:color="000000" w:sz="4" w:space="0"/>
              <w:right w:val="single" w:color="auto" w:sz="4" w:space="0"/>
            </w:tcBorders>
            <w:vAlign w:val="center"/>
          </w:tcPr>
          <w:p>
            <w:pPr>
              <w:jc w:val="center"/>
              <w:rPr>
                <w:sz w:val="18"/>
                <w:szCs w:val="18"/>
              </w:rPr>
            </w:pPr>
          </w:p>
        </w:tc>
        <w:tc>
          <w:tcPr>
            <w:tcW w:w="982" w:type="dxa"/>
            <w:tcBorders>
              <w:top w:val="single" w:color="auto" w:sz="4" w:space="0"/>
              <w:left w:val="single" w:color="auto" w:sz="4" w:space="0"/>
              <w:bottom w:val="single" w:color="auto" w:sz="4" w:space="0"/>
              <w:right w:val="single" w:color="auto" w:sz="4" w:space="0"/>
            </w:tcBorders>
          </w:tcPr>
          <w:p>
            <w:pPr>
              <w:jc w:val="center"/>
              <w:rPr>
                <w:sz w:val="18"/>
                <w:szCs w:val="18"/>
              </w:rPr>
            </w:pPr>
          </w:p>
        </w:tc>
        <w:tc>
          <w:tcPr>
            <w:tcW w:w="982" w:type="dxa"/>
            <w:tcBorders>
              <w:top w:val="single" w:color="auto" w:sz="4" w:space="0"/>
              <w:left w:val="single" w:color="auto" w:sz="4" w:space="0"/>
              <w:bottom w:val="single" w:color="auto" w:sz="4" w:space="0"/>
              <w:right w:val="single" w:color="auto" w:sz="4" w:space="0"/>
            </w:tcBorders>
          </w:tcPr>
          <w:p>
            <w:pPr>
              <w:jc w:val="center"/>
              <w:rPr>
                <w:sz w:val="18"/>
                <w:szCs w:val="1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1283"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134"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4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35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35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712" w:type="dxa"/>
            <w:tcBorders>
              <w:top w:val="single" w:color="000000" w:sz="4" w:space="0"/>
              <w:left w:val="single" w:color="000000" w:sz="4" w:space="0"/>
              <w:bottom w:val="single" w:color="000000" w:sz="4" w:space="0"/>
              <w:right w:val="single" w:color="auto" w:sz="4" w:space="0"/>
            </w:tcBorders>
            <w:vAlign w:val="center"/>
          </w:tcPr>
          <w:p>
            <w:pPr>
              <w:jc w:val="center"/>
              <w:rPr>
                <w:sz w:val="18"/>
                <w:szCs w:val="18"/>
              </w:rPr>
            </w:pPr>
          </w:p>
        </w:tc>
        <w:tc>
          <w:tcPr>
            <w:tcW w:w="982" w:type="dxa"/>
            <w:tcBorders>
              <w:top w:val="single" w:color="auto" w:sz="4" w:space="0"/>
              <w:left w:val="single" w:color="auto" w:sz="4" w:space="0"/>
              <w:bottom w:val="single" w:color="auto" w:sz="4" w:space="0"/>
              <w:right w:val="single" w:color="auto" w:sz="4" w:space="0"/>
            </w:tcBorders>
          </w:tcPr>
          <w:p>
            <w:pPr>
              <w:jc w:val="center"/>
              <w:rPr>
                <w:sz w:val="18"/>
                <w:szCs w:val="18"/>
              </w:rPr>
            </w:pPr>
          </w:p>
        </w:tc>
        <w:tc>
          <w:tcPr>
            <w:tcW w:w="982" w:type="dxa"/>
            <w:tcBorders>
              <w:top w:val="single" w:color="auto" w:sz="4" w:space="0"/>
              <w:left w:val="single" w:color="auto" w:sz="4" w:space="0"/>
              <w:bottom w:val="single" w:color="auto" w:sz="4" w:space="0"/>
              <w:right w:val="single" w:color="auto" w:sz="4" w:space="0"/>
            </w:tcBorders>
          </w:tcPr>
          <w:p>
            <w:pPr>
              <w:jc w:val="center"/>
              <w:rPr>
                <w:sz w:val="18"/>
                <w:szCs w:val="1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1283"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134"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4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35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35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712" w:type="dxa"/>
            <w:tcBorders>
              <w:top w:val="single" w:color="000000" w:sz="4" w:space="0"/>
              <w:left w:val="single" w:color="000000" w:sz="4" w:space="0"/>
              <w:bottom w:val="single" w:color="000000" w:sz="4" w:space="0"/>
              <w:right w:val="single" w:color="auto" w:sz="4" w:space="0"/>
            </w:tcBorders>
            <w:vAlign w:val="center"/>
          </w:tcPr>
          <w:p>
            <w:pPr>
              <w:jc w:val="center"/>
              <w:rPr>
                <w:sz w:val="18"/>
                <w:szCs w:val="18"/>
              </w:rPr>
            </w:pPr>
          </w:p>
        </w:tc>
        <w:tc>
          <w:tcPr>
            <w:tcW w:w="982" w:type="dxa"/>
            <w:tcBorders>
              <w:top w:val="single" w:color="auto" w:sz="4" w:space="0"/>
              <w:left w:val="single" w:color="auto" w:sz="4" w:space="0"/>
              <w:bottom w:val="single" w:color="auto" w:sz="4" w:space="0"/>
              <w:right w:val="single" w:color="auto" w:sz="4" w:space="0"/>
            </w:tcBorders>
          </w:tcPr>
          <w:p>
            <w:pPr>
              <w:jc w:val="center"/>
              <w:rPr>
                <w:sz w:val="18"/>
                <w:szCs w:val="18"/>
              </w:rPr>
            </w:pPr>
          </w:p>
        </w:tc>
        <w:tc>
          <w:tcPr>
            <w:tcW w:w="982" w:type="dxa"/>
            <w:tcBorders>
              <w:top w:val="single" w:color="auto" w:sz="4" w:space="0"/>
              <w:left w:val="single" w:color="auto" w:sz="4" w:space="0"/>
              <w:bottom w:val="single" w:color="auto" w:sz="4" w:space="0"/>
              <w:right w:val="single" w:color="auto" w:sz="4" w:space="0"/>
            </w:tcBorders>
          </w:tcPr>
          <w:p>
            <w:pPr>
              <w:jc w:val="center"/>
              <w:rPr>
                <w:sz w:val="18"/>
                <w:szCs w:val="1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1283"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134"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4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35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35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712" w:type="dxa"/>
            <w:tcBorders>
              <w:top w:val="single" w:color="000000" w:sz="4" w:space="0"/>
              <w:left w:val="single" w:color="000000" w:sz="4" w:space="0"/>
              <w:bottom w:val="single" w:color="000000" w:sz="4" w:space="0"/>
              <w:right w:val="single" w:color="auto" w:sz="4" w:space="0"/>
            </w:tcBorders>
            <w:vAlign w:val="center"/>
          </w:tcPr>
          <w:p>
            <w:pPr>
              <w:jc w:val="center"/>
              <w:rPr>
                <w:sz w:val="18"/>
                <w:szCs w:val="18"/>
              </w:rPr>
            </w:pPr>
          </w:p>
        </w:tc>
        <w:tc>
          <w:tcPr>
            <w:tcW w:w="982" w:type="dxa"/>
            <w:tcBorders>
              <w:top w:val="single" w:color="auto" w:sz="4" w:space="0"/>
              <w:left w:val="single" w:color="auto" w:sz="4" w:space="0"/>
              <w:bottom w:val="single" w:color="auto" w:sz="4" w:space="0"/>
              <w:right w:val="single" w:color="auto" w:sz="4" w:space="0"/>
            </w:tcBorders>
          </w:tcPr>
          <w:p>
            <w:pPr>
              <w:jc w:val="center"/>
              <w:rPr>
                <w:sz w:val="18"/>
                <w:szCs w:val="18"/>
              </w:rPr>
            </w:pPr>
          </w:p>
        </w:tc>
        <w:tc>
          <w:tcPr>
            <w:tcW w:w="982" w:type="dxa"/>
            <w:tcBorders>
              <w:top w:val="single" w:color="auto" w:sz="4" w:space="0"/>
              <w:left w:val="single" w:color="auto" w:sz="4" w:space="0"/>
              <w:bottom w:val="single" w:color="auto" w:sz="4" w:space="0"/>
              <w:right w:val="single" w:color="auto" w:sz="4" w:space="0"/>
            </w:tcBorders>
          </w:tcPr>
          <w:p>
            <w:pPr>
              <w:jc w:val="center"/>
              <w:rPr>
                <w:sz w:val="18"/>
                <w:szCs w:val="1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1283"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134"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4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35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35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712" w:type="dxa"/>
            <w:tcBorders>
              <w:top w:val="single" w:color="000000" w:sz="4" w:space="0"/>
              <w:left w:val="single" w:color="000000" w:sz="4" w:space="0"/>
              <w:bottom w:val="single" w:color="000000" w:sz="4" w:space="0"/>
              <w:right w:val="single" w:color="auto" w:sz="4" w:space="0"/>
            </w:tcBorders>
            <w:vAlign w:val="center"/>
          </w:tcPr>
          <w:p>
            <w:pPr>
              <w:jc w:val="center"/>
              <w:rPr>
                <w:sz w:val="18"/>
                <w:szCs w:val="18"/>
              </w:rPr>
            </w:pPr>
          </w:p>
        </w:tc>
        <w:tc>
          <w:tcPr>
            <w:tcW w:w="982" w:type="dxa"/>
            <w:tcBorders>
              <w:top w:val="single" w:color="auto" w:sz="4" w:space="0"/>
              <w:left w:val="single" w:color="auto" w:sz="4" w:space="0"/>
              <w:bottom w:val="single" w:color="auto" w:sz="4" w:space="0"/>
              <w:right w:val="single" w:color="auto" w:sz="4" w:space="0"/>
            </w:tcBorders>
          </w:tcPr>
          <w:p>
            <w:pPr>
              <w:jc w:val="center"/>
              <w:rPr>
                <w:sz w:val="18"/>
                <w:szCs w:val="18"/>
              </w:rPr>
            </w:pPr>
          </w:p>
        </w:tc>
        <w:tc>
          <w:tcPr>
            <w:tcW w:w="982" w:type="dxa"/>
            <w:tcBorders>
              <w:top w:val="single" w:color="auto" w:sz="4" w:space="0"/>
              <w:left w:val="single" w:color="auto" w:sz="4" w:space="0"/>
              <w:bottom w:val="single" w:color="auto" w:sz="4" w:space="0"/>
              <w:right w:val="single" w:color="auto" w:sz="4" w:space="0"/>
            </w:tcBorders>
          </w:tcPr>
          <w:p>
            <w:pPr>
              <w:jc w:val="center"/>
              <w:rPr>
                <w:sz w:val="18"/>
                <w:szCs w:val="1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1283"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134"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4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35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35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712" w:type="dxa"/>
            <w:tcBorders>
              <w:top w:val="single" w:color="000000" w:sz="4" w:space="0"/>
              <w:left w:val="single" w:color="000000" w:sz="4" w:space="0"/>
              <w:bottom w:val="single" w:color="000000" w:sz="4" w:space="0"/>
              <w:right w:val="single" w:color="auto" w:sz="4" w:space="0"/>
            </w:tcBorders>
            <w:vAlign w:val="center"/>
          </w:tcPr>
          <w:p>
            <w:pPr>
              <w:jc w:val="center"/>
              <w:rPr>
                <w:sz w:val="18"/>
                <w:szCs w:val="18"/>
              </w:rPr>
            </w:pPr>
          </w:p>
        </w:tc>
        <w:tc>
          <w:tcPr>
            <w:tcW w:w="982" w:type="dxa"/>
            <w:tcBorders>
              <w:top w:val="single" w:color="auto" w:sz="4" w:space="0"/>
              <w:left w:val="single" w:color="auto" w:sz="4" w:space="0"/>
              <w:bottom w:val="single" w:color="auto" w:sz="4" w:space="0"/>
              <w:right w:val="single" w:color="auto" w:sz="4" w:space="0"/>
            </w:tcBorders>
          </w:tcPr>
          <w:p>
            <w:pPr>
              <w:jc w:val="center"/>
              <w:rPr>
                <w:sz w:val="18"/>
                <w:szCs w:val="18"/>
              </w:rPr>
            </w:pPr>
          </w:p>
        </w:tc>
        <w:tc>
          <w:tcPr>
            <w:tcW w:w="982" w:type="dxa"/>
            <w:tcBorders>
              <w:top w:val="single" w:color="auto" w:sz="4" w:space="0"/>
              <w:left w:val="single" w:color="auto" w:sz="4" w:space="0"/>
              <w:bottom w:val="single" w:color="auto" w:sz="4" w:space="0"/>
              <w:right w:val="single" w:color="auto" w:sz="4" w:space="0"/>
            </w:tcBorders>
          </w:tcPr>
          <w:p>
            <w:pPr>
              <w:jc w:val="center"/>
              <w:rPr>
                <w:sz w:val="18"/>
                <w:szCs w:val="1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1283"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134"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4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35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35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712" w:type="dxa"/>
            <w:tcBorders>
              <w:top w:val="single" w:color="000000" w:sz="4" w:space="0"/>
              <w:left w:val="single" w:color="000000" w:sz="4" w:space="0"/>
              <w:bottom w:val="single" w:color="000000" w:sz="4" w:space="0"/>
              <w:right w:val="single" w:color="auto" w:sz="4" w:space="0"/>
            </w:tcBorders>
            <w:vAlign w:val="center"/>
          </w:tcPr>
          <w:p>
            <w:pPr>
              <w:jc w:val="center"/>
              <w:rPr>
                <w:sz w:val="18"/>
                <w:szCs w:val="18"/>
              </w:rPr>
            </w:pPr>
          </w:p>
        </w:tc>
        <w:tc>
          <w:tcPr>
            <w:tcW w:w="982" w:type="dxa"/>
            <w:tcBorders>
              <w:top w:val="single" w:color="auto" w:sz="4" w:space="0"/>
              <w:left w:val="single" w:color="auto" w:sz="4" w:space="0"/>
              <w:bottom w:val="single" w:color="auto" w:sz="4" w:space="0"/>
              <w:right w:val="single" w:color="auto" w:sz="4" w:space="0"/>
            </w:tcBorders>
          </w:tcPr>
          <w:p>
            <w:pPr>
              <w:jc w:val="center"/>
              <w:rPr>
                <w:sz w:val="18"/>
                <w:szCs w:val="18"/>
              </w:rPr>
            </w:pPr>
          </w:p>
        </w:tc>
        <w:tc>
          <w:tcPr>
            <w:tcW w:w="982" w:type="dxa"/>
            <w:tcBorders>
              <w:top w:val="single" w:color="auto" w:sz="4" w:space="0"/>
              <w:left w:val="single" w:color="auto" w:sz="4" w:space="0"/>
              <w:bottom w:val="single" w:color="auto" w:sz="4" w:space="0"/>
              <w:right w:val="single" w:color="auto" w:sz="4" w:space="0"/>
            </w:tcBorders>
          </w:tcPr>
          <w:p>
            <w:pPr>
              <w:jc w:val="center"/>
              <w:rPr>
                <w:sz w:val="18"/>
                <w:szCs w:val="1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1283"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134"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4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35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35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712" w:type="dxa"/>
            <w:tcBorders>
              <w:top w:val="single" w:color="000000" w:sz="4" w:space="0"/>
              <w:left w:val="single" w:color="000000" w:sz="4" w:space="0"/>
              <w:bottom w:val="single" w:color="000000" w:sz="4" w:space="0"/>
              <w:right w:val="single" w:color="auto" w:sz="4" w:space="0"/>
            </w:tcBorders>
            <w:vAlign w:val="center"/>
          </w:tcPr>
          <w:p>
            <w:pPr>
              <w:jc w:val="center"/>
              <w:rPr>
                <w:sz w:val="18"/>
                <w:szCs w:val="18"/>
              </w:rPr>
            </w:pPr>
          </w:p>
        </w:tc>
        <w:tc>
          <w:tcPr>
            <w:tcW w:w="982" w:type="dxa"/>
            <w:tcBorders>
              <w:top w:val="single" w:color="auto" w:sz="4" w:space="0"/>
              <w:left w:val="single" w:color="auto" w:sz="4" w:space="0"/>
              <w:bottom w:val="single" w:color="auto" w:sz="4" w:space="0"/>
              <w:right w:val="single" w:color="auto" w:sz="4" w:space="0"/>
            </w:tcBorders>
          </w:tcPr>
          <w:p>
            <w:pPr>
              <w:jc w:val="center"/>
              <w:rPr>
                <w:sz w:val="18"/>
                <w:szCs w:val="18"/>
              </w:rPr>
            </w:pPr>
          </w:p>
        </w:tc>
        <w:tc>
          <w:tcPr>
            <w:tcW w:w="982" w:type="dxa"/>
            <w:tcBorders>
              <w:top w:val="single" w:color="auto" w:sz="4" w:space="0"/>
              <w:left w:val="single" w:color="auto" w:sz="4" w:space="0"/>
              <w:bottom w:val="single" w:color="auto" w:sz="4" w:space="0"/>
              <w:right w:val="single" w:color="auto" w:sz="4" w:space="0"/>
            </w:tcBorders>
          </w:tcPr>
          <w:p>
            <w:pPr>
              <w:jc w:val="center"/>
              <w:rPr>
                <w:sz w:val="18"/>
                <w:szCs w:val="1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1283"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134"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4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35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35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712" w:type="dxa"/>
            <w:tcBorders>
              <w:top w:val="single" w:color="000000" w:sz="4" w:space="0"/>
              <w:left w:val="single" w:color="000000" w:sz="4" w:space="0"/>
              <w:bottom w:val="single" w:color="000000" w:sz="4" w:space="0"/>
              <w:right w:val="single" w:color="auto" w:sz="4" w:space="0"/>
            </w:tcBorders>
            <w:vAlign w:val="center"/>
          </w:tcPr>
          <w:p>
            <w:pPr>
              <w:jc w:val="center"/>
              <w:rPr>
                <w:sz w:val="18"/>
                <w:szCs w:val="18"/>
              </w:rPr>
            </w:pPr>
          </w:p>
        </w:tc>
        <w:tc>
          <w:tcPr>
            <w:tcW w:w="982" w:type="dxa"/>
            <w:tcBorders>
              <w:top w:val="single" w:color="auto" w:sz="4" w:space="0"/>
              <w:left w:val="single" w:color="auto" w:sz="4" w:space="0"/>
              <w:bottom w:val="single" w:color="auto" w:sz="4" w:space="0"/>
              <w:right w:val="single" w:color="auto" w:sz="4" w:space="0"/>
            </w:tcBorders>
          </w:tcPr>
          <w:p>
            <w:pPr>
              <w:jc w:val="center"/>
              <w:rPr>
                <w:sz w:val="18"/>
                <w:szCs w:val="18"/>
              </w:rPr>
            </w:pPr>
          </w:p>
        </w:tc>
        <w:tc>
          <w:tcPr>
            <w:tcW w:w="982" w:type="dxa"/>
            <w:tcBorders>
              <w:top w:val="single" w:color="auto" w:sz="4" w:space="0"/>
              <w:left w:val="single" w:color="auto" w:sz="4" w:space="0"/>
              <w:bottom w:val="single" w:color="auto" w:sz="4" w:space="0"/>
              <w:right w:val="single" w:color="auto" w:sz="4" w:space="0"/>
            </w:tcBorders>
          </w:tcPr>
          <w:p>
            <w:pPr>
              <w:jc w:val="center"/>
              <w:rPr>
                <w:sz w:val="18"/>
                <w:szCs w:val="1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1283"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134"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4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35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35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712" w:type="dxa"/>
            <w:tcBorders>
              <w:top w:val="single" w:color="000000" w:sz="4" w:space="0"/>
              <w:left w:val="single" w:color="000000" w:sz="4" w:space="0"/>
              <w:bottom w:val="single" w:color="000000" w:sz="4" w:space="0"/>
              <w:right w:val="single" w:color="auto" w:sz="4" w:space="0"/>
            </w:tcBorders>
            <w:vAlign w:val="center"/>
          </w:tcPr>
          <w:p>
            <w:pPr>
              <w:jc w:val="center"/>
              <w:rPr>
                <w:sz w:val="18"/>
                <w:szCs w:val="18"/>
              </w:rPr>
            </w:pPr>
          </w:p>
        </w:tc>
        <w:tc>
          <w:tcPr>
            <w:tcW w:w="982" w:type="dxa"/>
            <w:tcBorders>
              <w:top w:val="single" w:color="auto" w:sz="4" w:space="0"/>
              <w:left w:val="single" w:color="auto" w:sz="4" w:space="0"/>
              <w:bottom w:val="single" w:color="auto" w:sz="4" w:space="0"/>
              <w:right w:val="single" w:color="auto" w:sz="4" w:space="0"/>
            </w:tcBorders>
          </w:tcPr>
          <w:p>
            <w:pPr>
              <w:jc w:val="center"/>
              <w:rPr>
                <w:sz w:val="18"/>
                <w:szCs w:val="18"/>
              </w:rPr>
            </w:pPr>
          </w:p>
        </w:tc>
        <w:tc>
          <w:tcPr>
            <w:tcW w:w="982" w:type="dxa"/>
            <w:tcBorders>
              <w:top w:val="single" w:color="auto" w:sz="4" w:space="0"/>
              <w:left w:val="single" w:color="auto" w:sz="4" w:space="0"/>
              <w:bottom w:val="single" w:color="auto" w:sz="4" w:space="0"/>
              <w:right w:val="single" w:color="auto" w:sz="4" w:space="0"/>
            </w:tcBorders>
          </w:tcPr>
          <w:p>
            <w:pPr>
              <w:jc w:val="center"/>
              <w:rPr>
                <w:sz w:val="18"/>
                <w:szCs w:val="1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1283"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134"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4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35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35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712" w:type="dxa"/>
            <w:tcBorders>
              <w:top w:val="single" w:color="000000" w:sz="4" w:space="0"/>
              <w:left w:val="single" w:color="000000" w:sz="4" w:space="0"/>
              <w:bottom w:val="single" w:color="000000" w:sz="4" w:space="0"/>
              <w:right w:val="single" w:color="auto" w:sz="4" w:space="0"/>
            </w:tcBorders>
            <w:vAlign w:val="center"/>
          </w:tcPr>
          <w:p>
            <w:pPr>
              <w:jc w:val="center"/>
              <w:rPr>
                <w:sz w:val="18"/>
                <w:szCs w:val="18"/>
              </w:rPr>
            </w:pPr>
          </w:p>
        </w:tc>
        <w:tc>
          <w:tcPr>
            <w:tcW w:w="982" w:type="dxa"/>
            <w:tcBorders>
              <w:top w:val="single" w:color="auto" w:sz="4" w:space="0"/>
              <w:left w:val="single" w:color="auto" w:sz="4" w:space="0"/>
              <w:bottom w:val="single" w:color="auto" w:sz="4" w:space="0"/>
              <w:right w:val="single" w:color="auto" w:sz="4" w:space="0"/>
            </w:tcBorders>
          </w:tcPr>
          <w:p>
            <w:pPr>
              <w:jc w:val="center"/>
              <w:rPr>
                <w:sz w:val="18"/>
                <w:szCs w:val="18"/>
              </w:rPr>
            </w:pPr>
          </w:p>
        </w:tc>
        <w:tc>
          <w:tcPr>
            <w:tcW w:w="982" w:type="dxa"/>
            <w:tcBorders>
              <w:top w:val="single" w:color="auto" w:sz="4" w:space="0"/>
              <w:left w:val="single" w:color="auto" w:sz="4" w:space="0"/>
              <w:bottom w:val="single" w:color="auto" w:sz="4" w:space="0"/>
              <w:right w:val="single" w:color="auto" w:sz="4" w:space="0"/>
            </w:tcBorders>
          </w:tcPr>
          <w:p>
            <w:pPr>
              <w:jc w:val="center"/>
              <w:rPr>
                <w:sz w:val="18"/>
                <w:szCs w:val="1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1283"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134"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4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35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35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712" w:type="dxa"/>
            <w:tcBorders>
              <w:top w:val="single" w:color="000000" w:sz="4" w:space="0"/>
              <w:left w:val="single" w:color="000000" w:sz="4" w:space="0"/>
              <w:bottom w:val="single" w:color="000000" w:sz="4" w:space="0"/>
              <w:right w:val="single" w:color="auto" w:sz="4" w:space="0"/>
            </w:tcBorders>
            <w:vAlign w:val="center"/>
          </w:tcPr>
          <w:p>
            <w:pPr>
              <w:jc w:val="center"/>
              <w:rPr>
                <w:sz w:val="18"/>
                <w:szCs w:val="18"/>
              </w:rPr>
            </w:pPr>
          </w:p>
        </w:tc>
        <w:tc>
          <w:tcPr>
            <w:tcW w:w="982" w:type="dxa"/>
            <w:tcBorders>
              <w:top w:val="single" w:color="auto" w:sz="4" w:space="0"/>
              <w:left w:val="single" w:color="auto" w:sz="4" w:space="0"/>
              <w:bottom w:val="single" w:color="auto" w:sz="4" w:space="0"/>
              <w:right w:val="single" w:color="auto" w:sz="4" w:space="0"/>
            </w:tcBorders>
          </w:tcPr>
          <w:p>
            <w:pPr>
              <w:jc w:val="center"/>
              <w:rPr>
                <w:sz w:val="18"/>
                <w:szCs w:val="18"/>
              </w:rPr>
            </w:pPr>
          </w:p>
        </w:tc>
        <w:tc>
          <w:tcPr>
            <w:tcW w:w="982" w:type="dxa"/>
            <w:tcBorders>
              <w:top w:val="single" w:color="auto" w:sz="4" w:space="0"/>
              <w:left w:val="single" w:color="auto" w:sz="4" w:space="0"/>
              <w:bottom w:val="single" w:color="auto" w:sz="4" w:space="0"/>
              <w:right w:val="single" w:color="auto" w:sz="4" w:space="0"/>
            </w:tcBorders>
          </w:tcPr>
          <w:p>
            <w:pPr>
              <w:jc w:val="center"/>
              <w:rPr>
                <w:sz w:val="18"/>
                <w:szCs w:val="1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1283"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134"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4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135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r>
    </w:tbl>
    <w:p>
      <w:pPr>
        <w:tabs>
          <w:tab w:val="left" w:pos="1365"/>
          <w:tab w:val="clear" w:pos="0"/>
        </w:tabs>
        <w:ind w:firstLine="180" w:firstLineChars="100"/>
        <w:jc w:val="center"/>
        <w:rPr>
          <w:sz w:val="18"/>
          <w:szCs w:val="18"/>
        </w:rPr>
      </w:pPr>
      <w:r>
        <w:rPr>
          <w:rFonts w:hint="eastAsia"/>
          <w:sz w:val="18"/>
          <w:szCs w:val="18"/>
        </w:rPr>
        <w:t>检查者：</w:t>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校核者：</w:t>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日期：</w:t>
      </w:r>
      <w:r>
        <w:rPr>
          <w:rFonts w:hint="eastAsia"/>
          <w:sz w:val="18"/>
          <w:szCs w:val="18"/>
        </w:rPr>
        <w:tab/>
      </w:r>
      <w:r>
        <w:rPr>
          <w:rFonts w:hint="eastAsia"/>
          <w:sz w:val="18"/>
          <w:szCs w:val="18"/>
        </w:rPr>
        <w:tab/>
      </w:r>
      <w:r>
        <w:rPr>
          <w:rFonts w:hint="eastAsia"/>
          <w:sz w:val="18"/>
          <w:szCs w:val="18"/>
        </w:rPr>
        <w:tab/>
      </w:r>
      <w:r>
        <w:rPr>
          <w:rFonts w:hint="eastAsia"/>
          <w:sz w:val="18"/>
          <w:szCs w:val="18"/>
        </w:rPr>
        <w:t xml:space="preserve">                           第  页 共  页</w:t>
      </w:r>
    </w:p>
    <w:p>
      <w:pPr>
        <w:pStyle w:val="2"/>
        <w:ind w:right="1260"/>
        <w:jc w:val="center"/>
        <w:sectPr>
          <w:pgSz w:w="16838" w:h="11906" w:orient="landscape"/>
          <w:pgMar w:top="1417" w:right="851" w:bottom="1134" w:left="851" w:header="851" w:footer="992" w:gutter="0"/>
          <w:cols w:space="720" w:num="1"/>
          <w:docGrid w:type="lines" w:linePitch="325" w:charSpace="0"/>
        </w:sectPr>
      </w:pPr>
    </w:p>
    <w:p>
      <w:pPr>
        <w:jc w:val="center"/>
        <w:outlineLvl w:val="1"/>
        <w:rPr>
          <w:rFonts w:eastAsia="仿宋"/>
          <w:b/>
          <w:bCs/>
          <w:sz w:val="28"/>
          <w:szCs w:val="28"/>
        </w:rPr>
      </w:pPr>
      <w:bookmarkStart w:id="1775" w:name="_Toc5839"/>
      <w:bookmarkStart w:id="1776" w:name="_Toc28159"/>
      <w:bookmarkStart w:id="1777" w:name="_Toc17364"/>
      <w:bookmarkStart w:id="1778" w:name="_Toc28597"/>
      <w:bookmarkStart w:id="1779" w:name="_Toc21843"/>
      <w:bookmarkStart w:id="1780" w:name="_Toc13468"/>
      <w:bookmarkStart w:id="1781" w:name="_Toc48835699"/>
      <w:bookmarkStart w:id="1782" w:name="_Toc4412"/>
      <w:bookmarkStart w:id="1783" w:name="_Toc26139"/>
      <w:r>
        <w:rPr>
          <w:rFonts w:hint="eastAsia" w:eastAsia="仿宋"/>
          <w:b/>
          <w:bCs/>
          <w:sz w:val="28"/>
          <w:szCs w:val="28"/>
        </w:rPr>
        <w:t>附录D 管线成果表</w:t>
      </w:r>
      <w:bookmarkEnd w:id="1775"/>
      <w:bookmarkEnd w:id="1776"/>
      <w:bookmarkEnd w:id="1777"/>
      <w:bookmarkEnd w:id="1778"/>
      <w:bookmarkEnd w:id="1779"/>
      <w:bookmarkEnd w:id="1780"/>
      <w:bookmarkEnd w:id="1781"/>
      <w:bookmarkEnd w:id="1782"/>
      <w:bookmarkEnd w:id="1783"/>
    </w:p>
    <w:p>
      <w:pPr>
        <w:ind w:left="420" w:firstLine="480" w:firstLineChars="200"/>
        <w:jc w:val="center"/>
        <w:rPr>
          <w:szCs w:val="21"/>
        </w:rPr>
      </w:pPr>
      <w:r>
        <w:rPr>
          <w:rFonts w:hint="eastAsia"/>
          <w:szCs w:val="21"/>
        </w:rPr>
        <w:t>测区编号：</w:t>
      </w:r>
    </w:p>
    <w:tbl>
      <w:tblPr>
        <w:tblStyle w:val="26"/>
        <w:tblW w:w="15596" w:type="dxa"/>
        <w:jc w:val="center"/>
        <w:tblLayout w:type="fixed"/>
        <w:tblCellMar>
          <w:top w:w="15" w:type="dxa"/>
          <w:left w:w="15" w:type="dxa"/>
          <w:bottom w:w="15" w:type="dxa"/>
          <w:right w:w="15" w:type="dxa"/>
        </w:tblCellMar>
      </w:tblPr>
      <w:tblGrid>
        <w:gridCol w:w="992"/>
        <w:gridCol w:w="851"/>
        <w:gridCol w:w="709"/>
        <w:gridCol w:w="708"/>
        <w:gridCol w:w="709"/>
        <w:gridCol w:w="851"/>
        <w:gridCol w:w="713"/>
        <w:gridCol w:w="850"/>
        <w:gridCol w:w="850"/>
        <w:gridCol w:w="709"/>
        <w:gridCol w:w="709"/>
        <w:gridCol w:w="567"/>
        <w:gridCol w:w="567"/>
        <w:gridCol w:w="708"/>
        <w:gridCol w:w="567"/>
        <w:gridCol w:w="851"/>
        <w:gridCol w:w="567"/>
        <w:gridCol w:w="709"/>
        <w:gridCol w:w="567"/>
        <w:gridCol w:w="567"/>
        <w:gridCol w:w="567"/>
        <w:gridCol w:w="708"/>
      </w:tblGrid>
      <w:tr>
        <w:tblPrEx>
          <w:tblCellMar>
            <w:top w:w="15" w:type="dxa"/>
            <w:left w:w="15" w:type="dxa"/>
            <w:bottom w:w="15" w:type="dxa"/>
            <w:right w:w="15" w:type="dxa"/>
          </w:tblCellMar>
        </w:tblPrEx>
        <w:trPr>
          <w:trHeight w:val="384" w:hRule="atLeast"/>
          <w:jc w:val="center"/>
        </w:trPr>
        <w:tc>
          <w:tcPr>
            <w:tcW w:w="99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r>
              <w:rPr>
                <w:kern w:val="0"/>
                <w:sz w:val="18"/>
                <w:szCs w:val="18"/>
              </w:rPr>
              <w:t>管线</w:t>
            </w:r>
          </w:p>
          <w:p>
            <w:pPr>
              <w:widowControl/>
              <w:jc w:val="center"/>
              <w:textAlignment w:val="center"/>
              <w:rPr>
                <w:sz w:val="18"/>
                <w:szCs w:val="18"/>
              </w:rPr>
            </w:pPr>
            <w:r>
              <w:rPr>
                <w:kern w:val="0"/>
                <w:sz w:val="18"/>
                <w:szCs w:val="18"/>
              </w:rPr>
              <w:t>点号</w:t>
            </w:r>
          </w:p>
        </w:tc>
        <w:tc>
          <w:tcPr>
            <w:tcW w:w="85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r>
              <w:rPr>
                <w:kern w:val="0"/>
                <w:sz w:val="18"/>
                <w:szCs w:val="18"/>
              </w:rPr>
              <w:t>连接</w:t>
            </w:r>
          </w:p>
          <w:p>
            <w:pPr>
              <w:widowControl/>
              <w:jc w:val="center"/>
              <w:textAlignment w:val="center"/>
              <w:rPr>
                <w:sz w:val="18"/>
                <w:szCs w:val="18"/>
              </w:rPr>
            </w:pPr>
            <w:r>
              <w:rPr>
                <w:kern w:val="0"/>
                <w:sz w:val="18"/>
                <w:szCs w:val="18"/>
              </w:rPr>
              <w:t>点号</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18"/>
                <w:szCs w:val="18"/>
              </w:rPr>
            </w:pPr>
            <w:r>
              <w:rPr>
                <w:kern w:val="0"/>
                <w:sz w:val="18"/>
                <w:szCs w:val="18"/>
              </w:rPr>
              <w:t>特征点</w:t>
            </w: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r>
              <w:rPr>
                <w:kern w:val="0"/>
                <w:sz w:val="18"/>
                <w:szCs w:val="18"/>
              </w:rPr>
              <w:t>附属</w:t>
            </w:r>
          </w:p>
          <w:p>
            <w:pPr>
              <w:widowControl/>
              <w:jc w:val="center"/>
              <w:textAlignment w:val="center"/>
              <w:rPr>
                <w:sz w:val="18"/>
                <w:szCs w:val="18"/>
              </w:rPr>
            </w:pPr>
            <w:r>
              <w:rPr>
                <w:kern w:val="0"/>
                <w:sz w:val="18"/>
                <w:szCs w:val="18"/>
              </w:rPr>
              <w:t>设施</w:t>
            </w:r>
          </w:p>
        </w:tc>
        <w:tc>
          <w:tcPr>
            <w:tcW w:w="709" w:type="dxa"/>
            <w:vMerge w:val="restart"/>
            <w:tcBorders>
              <w:top w:val="single" w:color="000000" w:sz="4" w:space="0"/>
              <w:left w:val="single" w:color="000000" w:sz="4" w:space="0"/>
              <w:right w:val="single" w:color="000000" w:sz="4" w:space="0"/>
            </w:tcBorders>
            <w:vAlign w:val="center"/>
          </w:tcPr>
          <w:p>
            <w:pPr>
              <w:widowControl/>
              <w:jc w:val="center"/>
              <w:textAlignment w:val="center"/>
              <w:rPr>
                <w:kern w:val="0"/>
                <w:sz w:val="18"/>
                <w:szCs w:val="18"/>
              </w:rPr>
            </w:pPr>
            <w:r>
              <w:rPr>
                <w:rFonts w:hint="eastAsia"/>
                <w:kern w:val="0"/>
                <w:sz w:val="18"/>
                <w:szCs w:val="18"/>
              </w:rPr>
              <w:t>地面高</w:t>
            </w:r>
          </w:p>
          <w:p>
            <w:pPr>
              <w:widowControl/>
              <w:jc w:val="center"/>
              <w:textAlignment w:val="center"/>
              <w:rPr>
                <w:kern w:val="0"/>
                <w:sz w:val="18"/>
                <w:szCs w:val="18"/>
              </w:rPr>
            </w:pPr>
            <w:r>
              <w:rPr>
                <w:bCs/>
                <w:kern w:val="0"/>
                <w:sz w:val="20"/>
              </w:rPr>
              <w:t>(m)</w:t>
            </w:r>
          </w:p>
        </w:tc>
        <w:tc>
          <w:tcPr>
            <w:tcW w:w="851" w:type="dxa"/>
            <w:vMerge w:val="restart"/>
            <w:tcBorders>
              <w:top w:val="single" w:color="000000" w:sz="4" w:space="0"/>
              <w:left w:val="single" w:color="000000" w:sz="4" w:space="0"/>
              <w:right w:val="single" w:color="000000" w:sz="4" w:space="0"/>
            </w:tcBorders>
            <w:vAlign w:val="center"/>
          </w:tcPr>
          <w:p>
            <w:pPr>
              <w:widowControl/>
              <w:jc w:val="center"/>
              <w:textAlignment w:val="center"/>
              <w:rPr>
                <w:bCs/>
                <w:kern w:val="0"/>
                <w:sz w:val="18"/>
                <w:szCs w:val="18"/>
              </w:rPr>
            </w:pPr>
            <w:r>
              <w:rPr>
                <w:bCs/>
                <w:kern w:val="0"/>
                <w:sz w:val="18"/>
                <w:szCs w:val="18"/>
              </w:rPr>
              <w:t>井底</w:t>
            </w:r>
          </w:p>
          <w:p>
            <w:pPr>
              <w:widowControl/>
              <w:jc w:val="center"/>
              <w:textAlignment w:val="center"/>
              <w:rPr>
                <w:bCs/>
                <w:kern w:val="0"/>
                <w:sz w:val="18"/>
                <w:szCs w:val="18"/>
              </w:rPr>
            </w:pPr>
            <w:r>
              <w:rPr>
                <w:bCs/>
                <w:kern w:val="0"/>
                <w:sz w:val="18"/>
                <w:szCs w:val="18"/>
              </w:rPr>
              <w:t>深度</w:t>
            </w:r>
          </w:p>
          <w:p>
            <w:pPr>
              <w:widowControl/>
              <w:jc w:val="center"/>
              <w:textAlignment w:val="center"/>
              <w:rPr>
                <w:kern w:val="0"/>
                <w:sz w:val="18"/>
                <w:szCs w:val="18"/>
              </w:rPr>
            </w:pPr>
            <w:r>
              <w:rPr>
                <w:bCs/>
                <w:kern w:val="0"/>
                <w:sz w:val="20"/>
              </w:rPr>
              <w:t>(m)</w:t>
            </w:r>
          </w:p>
        </w:tc>
        <w:tc>
          <w:tcPr>
            <w:tcW w:w="713" w:type="dxa"/>
            <w:vMerge w:val="restart"/>
            <w:tcBorders>
              <w:top w:val="single" w:color="000000" w:sz="4" w:space="0"/>
              <w:left w:val="single" w:color="000000" w:sz="4" w:space="0"/>
              <w:right w:val="single" w:color="000000" w:sz="4" w:space="0"/>
            </w:tcBorders>
            <w:vAlign w:val="center"/>
          </w:tcPr>
          <w:p>
            <w:pPr>
              <w:widowControl/>
              <w:jc w:val="center"/>
              <w:textAlignment w:val="center"/>
              <w:rPr>
                <w:kern w:val="0"/>
                <w:sz w:val="18"/>
                <w:szCs w:val="18"/>
              </w:rPr>
            </w:pPr>
            <w:r>
              <w:rPr>
                <w:rFonts w:hint="eastAsia"/>
                <w:kern w:val="0"/>
                <w:sz w:val="18"/>
                <w:szCs w:val="18"/>
              </w:rPr>
              <w:t>井脖深</w:t>
            </w:r>
          </w:p>
          <w:p>
            <w:pPr>
              <w:widowControl/>
              <w:jc w:val="center"/>
              <w:textAlignment w:val="center"/>
              <w:rPr>
                <w:kern w:val="0"/>
                <w:sz w:val="18"/>
                <w:szCs w:val="18"/>
              </w:rPr>
            </w:pPr>
            <w:r>
              <w:rPr>
                <w:rFonts w:hint="eastAsia"/>
                <w:kern w:val="0"/>
                <w:sz w:val="18"/>
                <w:szCs w:val="18"/>
              </w:rPr>
              <w:t>(</w:t>
            </w:r>
            <w:r>
              <w:rPr>
                <w:kern w:val="0"/>
                <w:sz w:val="18"/>
                <w:szCs w:val="18"/>
              </w:rPr>
              <w:t>m</w:t>
            </w:r>
            <w:r>
              <w:rPr>
                <w:rFonts w:hint="eastAsia"/>
                <w:kern w:val="0"/>
                <w:sz w:val="18"/>
                <w:szCs w:val="18"/>
              </w:rPr>
              <w:t>)</w:t>
            </w:r>
          </w:p>
        </w:tc>
        <w:tc>
          <w:tcPr>
            <w:tcW w:w="850" w:type="dxa"/>
            <w:vMerge w:val="restart"/>
            <w:tcBorders>
              <w:top w:val="single" w:color="000000" w:sz="4" w:space="0"/>
              <w:left w:val="single" w:color="000000" w:sz="4" w:space="0"/>
              <w:right w:val="single" w:color="000000" w:sz="4" w:space="0"/>
            </w:tcBorders>
            <w:vAlign w:val="center"/>
          </w:tcPr>
          <w:p>
            <w:pPr>
              <w:widowControl/>
              <w:jc w:val="center"/>
              <w:textAlignment w:val="center"/>
              <w:rPr>
                <w:kern w:val="0"/>
                <w:sz w:val="18"/>
                <w:szCs w:val="18"/>
              </w:rPr>
            </w:pPr>
            <w:r>
              <w:rPr>
                <w:rFonts w:hint="eastAsia"/>
                <w:kern w:val="0"/>
                <w:sz w:val="18"/>
                <w:szCs w:val="18"/>
              </w:rPr>
              <w:t>井盖</w:t>
            </w:r>
            <w:r>
              <w:rPr>
                <w:kern w:val="0"/>
                <w:sz w:val="18"/>
                <w:szCs w:val="18"/>
              </w:rPr>
              <w:t>尺寸</w:t>
            </w:r>
          </w:p>
        </w:tc>
        <w:tc>
          <w:tcPr>
            <w:tcW w:w="850" w:type="dxa"/>
            <w:vMerge w:val="restart"/>
            <w:tcBorders>
              <w:top w:val="single" w:color="000000" w:sz="4" w:space="0"/>
              <w:left w:val="single" w:color="000000" w:sz="4" w:space="0"/>
              <w:right w:val="single" w:color="000000" w:sz="4" w:space="0"/>
            </w:tcBorders>
            <w:vAlign w:val="center"/>
          </w:tcPr>
          <w:p>
            <w:pPr>
              <w:widowControl/>
              <w:jc w:val="center"/>
              <w:textAlignment w:val="center"/>
              <w:rPr>
                <w:kern w:val="0"/>
                <w:sz w:val="18"/>
                <w:szCs w:val="18"/>
              </w:rPr>
            </w:pPr>
            <w:r>
              <w:rPr>
                <w:rFonts w:hint="eastAsia"/>
                <w:kern w:val="0"/>
                <w:sz w:val="18"/>
                <w:szCs w:val="18"/>
              </w:rPr>
              <w:t>井室</w:t>
            </w:r>
            <w:r>
              <w:rPr>
                <w:kern w:val="0"/>
                <w:sz w:val="18"/>
                <w:szCs w:val="18"/>
              </w:rPr>
              <w:t>规格</w:t>
            </w:r>
          </w:p>
        </w:tc>
        <w:tc>
          <w:tcPr>
            <w:tcW w:w="709" w:type="dxa"/>
            <w:vMerge w:val="restart"/>
            <w:tcBorders>
              <w:top w:val="single" w:color="000000" w:sz="4" w:space="0"/>
              <w:left w:val="single" w:color="000000" w:sz="4" w:space="0"/>
              <w:right w:val="single" w:color="000000" w:sz="4" w:space="0"/>
            </w:tcBorders>
            <w:vAlign w:val="center"/>
          </w:tcPr>
          <w:p>
            <w:pPr>
              <w:widowControl/>
              <w:jc w:val="center"/>
              <w:textAlignment w:val="center"/>
              <w:rPr>
                <w:kern w:val="0"/>
                <w:sz w:val="18"/>
                <w:szCs w:val="18"/>
              </w:rPr>
            </w:pPr>
            <w:r>
              <w:rPr>
                <w:kern w:val="0"/>
                <w:sz w:val="18"/>
                <w:szCs w:val="18"/>
              </w:rPr>
              <w:t>材质</w:t>
            </w:r>
            <w:r>
              <w:rPr>
                <w:rFonts w:hint="eastAsia"/>
                <w:kern w:val="0"/>
                <w:sz w:val="18"/>
                <w:szCs w:val="18"/>
              </w:rPr>
              <w:t>/保护材质</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r>
              <w:rPr>
                <w:kern w:val="0"/>
                <w:sz w:val="18"/>
                <w:szCs w:val="18"/>
              </w:rPr>
              <w:t>管径/断面尺寸</w:t>
            </w:r>
          </w:p>
          <w:p>
            <w:pPr>
              <w:widowControl/>
              <w:jc w:val="center"/>
              <w:textAlignment w:val="center"/>
              <w:rPr>
                <w:sz w:val="18"/>
                <w:szCs w:val="18"/>
              </w:rPr>
            </w:pPr>
            <w:r>
              <w:rPr>
                <w:kern w:val="0"/>
                <w:sz w:val="18"/>
                <w:szCs w:val="18"/>
              </w:rPr>
              <w:t>（mm）</w:t>
            </w:r>
          </w:p>
        </w:tc>
        <w:tc>
          <w:tcPr>
            <w:tcW w:w="1134" w:type="dxa"/>
            <w:gridSpan w:val="2"/>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sz w:val="18"/>
                <w:szCs w:val="18"/>
              </w:rPr>
            </w:pPr>
            <w:r>
              <w:rPr>
                <w:kern w:val="0"/>
                <w:sz w:val="18"/>
                <w:szCs w:val="18"/>
              </w:rPr>
              <w:t>埋深（m）</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kern w:val="0"/>
                <w:sz w:val="18"/>
                <w:szCs w:val="18"/>
              </w:rPr>
            </w:pPr>
            <w:r>
              <w:rPr>
                <w:rFonts w:hint="eastAsia"/>
                <w:kern w:val="0"/>
                <w:sz w:val="18"/>
                <w:szCs w:val="18"/>
              </w:rPr>
              <w:t>电力</w:t>
            </w:r>
          </w:p>
          <w:p>
            <w:pPr>
              <w:widowControl/>
              <w:jc w:val="center"/>
              <w:textAlignment w:val="center"/>
              <w:rPr>
                <w:kern w:val="0"/>
                <w:sz w:val="18"/>
                <w:szCs w:val="18"/>
              </w:rPr>
            </w:pPr>
            <w:r>
              <w:rPr>
                <w:rFonts w:hint="eastAsia"/>
                <w:kern w:val="0"/>
                <w:sz w:val="18"/>
                <w:szCs w:val="18"/>
              </w:rPr>
              <w:t>（电压）</w:t>
            </w:r>
          </w:p>
        </w:tc>
        <w:tc>
          <w:tcPr>
            <w:tcW w:w="567" w:type="dxa"/>
            <w:vMerge w:val="restart"/>
            <w:tcBorders>
              <w:top w:val="single" w:color="000000" w:sz="4" w:space="0"/>
              <w:left w:val="single" w:color="auto" w:sz="4" w:space="0"/>
              <w:right w:val="single" w:color="000000" w:sz="4" w:space="0"/>
            </w:tcBorders>
            <w:vAlign w:val="center"/>
          </w:tcPr>
          <w:p>
            <w:pPr>
              <w:widowControl/>
              <w:jc w:val="center"/>
              <w:textAlignment w:val="center"/>
              <w:rPr>
                <w:sz w:val="18"/>
                <w:szCs w:val="18"/>
              </w:rPr>
            </w:pPr>
            <w:r>
              <w:rPr>
                <w:rFonts w:hint="eastAsia"/>
                <w:kern w:val="0"/>
                <w:sz w:val="18"/>
                <w:szCs w:val="18"/>
              </w:rPr>
              <w:t>流向</w:t>
            </w:r>
          </w:p>
        </w:tc>
        <w:tc>
          <w:tcPr>
            <w:tcW w:w="851" w:type="dxa"/>
            <w:vMerge w:val="restart"/>
            <w:tcBorders>
              <w:top w:val="single" w:color="000000" w:sz="4" w:space="0"/>
              <w:left w:val="single" w:color="000000" w:sz="4" w:space="0"/>
              <w:right w:val="single" w:color="000000" w:sz="4" w:space="0"/>
            </w:tcBorders>
            <w:vAlign w:val="center"/>
          </w:tcPr>
          <w:p>
            <w:pPr>
              <w:widowControl/>
              <w:jc w:val="center"/>
              <w:textAlignment w:val="center"/>
              <w:rPr>
                <w:bCs/>
                <w:kern w:val="0"/>
                <w:sz w:val="18"/>
                <w:szCs w:val="18"/>
              </w:rPr>
            </w:pPr>
            <w:r>
              <w:rPr>
                <w:bCs/>
                <w:kern w:val="0"/>
                <w:sz w:val="18"/>
                <w:szCs w:val="18"/>
              </w:rPr>
              <w:t>已用孔数</w:t>
            </w:r>
            <w:r>
              <w:rPr>
                <w:rFonts w:hint="eastAsia"/>
                <w:bCs/>
                <w:kern w:val="0"/>
                <w:sz w:val="18"/>
                <w:szCs w:val="18"/>
              </w:rPr>
              <w:t>/总孔数</w:t>
            </w:r>
          </w:p>
        </w:tc>
        <w:tc>
          <w:tcPr>
            <w:tcW w:w="567" w:type="dxa"/>
            <w:vMerge w:val="restart"/>
            <w:tcBorders>
              <w:top w:val="single" w:color="000000" w:sz="4" w:space="0"/>
              <w:left w:val="single" w:color="000000" w:sz="4" w:space="0"/>
              <w:right w:val="single" w:color="000000" w:sz="4" w:space="0"/>
            </w:tcBorders>
            <w:vAlign w:val="center"/>
          </w:tcPr>
          <w:p>
            <w:pPr>
              <w:widowControl/>
              <w:jc w:val="center"/>
              <w:textAlignment w:val="center"/>
              <w:rPr>
                <w:kern w:val="0"/>
                <w:sz w:val="18"/>
                <w:szCs w:val="18"/>
              </w:rPr>
            </w:pPr>
            <w:r>
              <w:rPr>
                <w:kern w:val="0"/>
                <w:sz w:val="18"/>
                <w:szCs w:val="18"/>
              </w:rPr>
              <w:t>电缆</w:t>
            </w:r>
          </w:p>
          <w:p>
            <w:pPr>
              <w:widowControl/>
              <w:jc w:val="center"/>
              <w:textAlignment w:val="center"/>
              <w:rPr>
                <w:sz w:val="18"/>
                <w:szCs w:val="18"/>
              </w:rPr>
            </w:pPr>
            <w:r>
              <w:rPr>
                <w:kern w:val="0"/>
                <w:sz w:val="18"/>
                <w:szCs w:val="18"/>
              </w:rPr>
              <w:t>条数</w:t>
            </w:r>
          </w:p>
        </w:tc>
        <w:tc>
          <w:tcPr>
            <w:tcW w:w="709" w:type="dxa"/>
            <w:vMerge w:val="restart"/>
            <w:tcBorders>
              <w:top w:val="single" w:color="000000" w:sz="4" w:space="0"/>
              <w:left w:val="single" w:color="000000" w:sz="4" w:space="0"/>
              <w:right w:val="single" w:color="000000" w:sz="4" w:space="0"/>
            </w:tcBorders>
            <w:vAlign w:val="center"/>
          </w:tcPr>
          <w:p>
            <w:pPr>
              <w:widowControl/>
              <w:jc w:val="center"/>
              <w:textAlignment w:val="center"/>
              <w:rPr>
                <w:kern w:val="0"/>
                <w:sz w:val="18"/>
                <w:szCs w:val="18"/>
              </w:rPr>
            </w:pPr>
            <w:r>
              <w:rPr>
                <w:kern w:val="0"/>
                <w:sz w:val="18"/>
                <w:szCs w:val="18"/>
              </w:rPr>
              <w:t>权属</w:t>
            </w:r>
          </w:p>
          <w:p>
            <w:pPr>
              <w:widowControl/>
              <w:jc w:val="center"/>
              <w:textAlignment w:val="center"/>
              <w:rPr>
                <w:sz w:val="18"/>
                <w:szCs w:val="18"/>
              </w:rPr>
            </w:pPr>
            <w:r>
              <w:rPr>
                <w:kern w:val="0"/>
                <w:sz w:val="18"/>
                <w:szCs w:val="18"/>
              </w:rPr>
              <w:t>单位</w:t>
            </w:r>
          </w:p>
        </w:tc>
        <w:tc>
          <w:tcPr>
            <w:tcW w:w="567" w:type="dxa"/>
            <w:vMerge w:val="restart"/>
            <w:tcBorders>
              <w:top w:val="single" w:color="000000" w:sz="4" w:space="0"/>
              <w:left w:val="single" w:color="000000" w:sz="4" w:space="0"/>
              <w:right w:val="single" w:color="000000" w:sz="4" w:space="0"/>
            </w:tcBorders>
            <w:vAlign w:val="center"/>
          </w:tcPr>
          <w:p>
            <w:pPr>
              <w:widowControl/>
              <w:jc w:val="center"/>
              <w:textAlignment w:val="center"/>
              <w:rPr>
                <w:kern w:val="0"/>
                <w:sz w:val="18"/>
                <w:szCs w:val="18"/>
              </w:rPr>
            </w:pPr>
            <w:r>
              <w:rPr>
                <w:kern w:val="0"/>
                <w:sz w:val="18"/>
                <w:szCs w:val="18"/>
              </w:rPr>
              <w:t>埋设</w:t>
            </w:r>
          </w:p>
          <w:p>
            <w:pPr>
              <w:widowControl/>
              <w:jc w:val="center"/>
              <w:textAlignment w:val="center"/>
              <w:rPr>
                <w:kern w:val="0"/>
                <w:sz w:val="18"/>
                <w:szCs w:val="18"/>
              </w:rPr>
            </w:pPr>
            <w:r>
              <w:rPr>
                <w:kern w:val="0"/>
                <w:sz w:val="18"/>
                <w:szCs w:val="18"/>
              </w:rPr>
              <w:t>方式</w:t>
            </w:r>
          </w:p>
        </w:tc>
        <w:tc>
          <w:tcPr>
            <w:tcW w:w="567" w:type="dxa"/>
            <w:vMerge w:val="restart"/>
            <w:tcBorders>
              <w:top w:val="single" w:color="000000" w:sz="4" w:space="0"/>
              <w:left w:val="single" w:color="000000" w:sz="4" w:space="0"/>
              <w:right w:val="single" w:color="000000" w:sz="4" w:space="0"/>
            </w:tcBorders>
            <w:vAlign w:val="center"/>
          </w:tcPr>
          <w:p>
            <w:pPr>
              <w:widowControl/>
              <w:jc w:val="center"/>
              <w:textAlignment w:val="center"/>
              <w:rPr>
                <w:kern w:val="0"/>
                <w:sz w:val="18"/>
                <w:szCs w:val="18"/>
              </w:rPr>
            </w:pPr>
            <w:r>
              <w:rPr>
                <w:kern w:val="0"/>
                <w:sz w:val="18"/>
                <w:szCs w:val="18"/>
              </w:rPr>
              <w:t>埋设</w:t>
            </w:r>
          </w:p>
          <w:p>
            <w:pPr>
              <w:widowControl/>
              <w:jc w:val="center"/>
              <w:textAlignment w:val="center"/>
              <w:rPr>
                <w:sz w:val="18"/>
                <w:szCs w:val="18"/>
              </w:rPr>
            </w:pPr>
            <w:r>
              <w:rPr>
                <w:kern w:val="0"/>
                <w:sz w:val="18"/>
                <w:szCs w:val="18"/>
              </w:rPr>
              <w:t>年代</w:t>
            </w:r>
          </w:p>
        </w:tc>
        <w:tc>
          <w:tcPr>
            <w:tcW w:w="567" w:type="dxa"/>
            <w:vMerge w:val="restart"/>
            <w:tcBorders>
              <w:top w:val="single" w:color="000000" w:sz="4" w:space="0"/>
              <w:left w:val="single" w:color="000000" w:sz="4" w:space="0"/>
              <w:right w:val="single" w:color="000000" w:sz="4" w:space="0"/>
            </w:tcBorders>
            <w:vAlign w:val="center"/>
          </w:tcPr>
          <w:p>
            <w:pPr>
              <w:widowControl/>
              <w:jc w:val="center"/>
              <w:textAlignment w:val="center"/>
              <w:rPr>
                <w:kern w:val="0"/>
                <w:sz w:val="18"/>
                <w:szCs w:val="18"/>
              </w:rPr>
            </w:pPr>
            <w:r>
              <w:rPr>
                <w:kern w:val="0"/>
                <w:sz w:val="18"/>
                <w:szCs w:val="18"/>
              </w:rPr>
              <w:t>道路</w:t>
            </w:r>
          </w:p>
          <w:p>
            <w:pPr>
              <w:widowControl/>
              <w:jc w:val="center"/>
              <w:textAlignment w:val="center"/>
              <w:rPr>
                <w:sz w:val="18"/>
                <w:szCs w:val="18"/>
              </w:rPr>
            </w:pPr>
            <w:r>
              <w:rPr>
                <w:kern w:val="0"/>
                <w:sz w:val="18"/>
                <w:szCs w:val="18"/>
              </w:rPr>
              <w:t>名称</w:t>
            </w:r>
          </w:p>
        </w:tc>
        <w:tc>
          <w:tcPr>
            <w:tcW w:w="708" w:type="dxa"/>
            <w:vMerge w:val="restart"/>
            <w:tcBorders>
              <w:top w:val="single" w:color="000000" w:sz="4" w:space="0"/>
              <w:left w:val="single" w:color="000000" w:sz="4" w:space="0"/>
              <w:right w:val="single" w:color="000000" w:sz="4" w:space="0"/>
            </w:tcBorders>
            <w:vAlign w:val="center"/>
          </w:tcPr>
          <w:p>
            <w:pPr>
              <w:widowControl/>
              <w:jc w:val="center"/>
              <w:textAlignment w:val="center"/>
              <w:rPr>
                <w:sz w:val="18"/>
                <w:szCs w:val="18"/>
              </w:rPr>
            </w:pPr>
            <w:r>
              <w:rPr>
                <w:kern w:val="0"/>
                <w:sz w:val="18"/>
                <w:szCs w:val="18"/>
              </w:rPr>
              <w:t>备注</w:t>
            </w:r>
          </w:p>
        </w:tc>
      </w:tr>
      <w:tr>
        <w:tblPrEx>
          <w:tblCellMar>
            <w:top w:w="15" w:type="dxa"/>
            <w:left w:w="15" w:type="dxa"/>
            <w:bottom w:w="15" w:type="dxa"/>
            <w:right w:w="15" w:type="dxa"/>
          </w:tblCellMar>
        </w:tblPrEx>
        <w:trPr>
          <w:trHeight w:val="389" w:hRule="atLeast"/>
          <w:jc w:val="center"/>
        </w:trPr>
        <w:tc>
          <w:tcPr>
            <w:tcW w:w="9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vMerge w:val="continue"/>
            <w:tcBorders>
              <w:left w:val="single" w:color="000000" w:sz="4" w:space="0"/>
              <w:bottom w:val="single" w:color="000000" w:sz="4" w:space="0"/>
              <w:right w:val="single" w:color="000000" w:sz="4" w:space="0"/>
            </w:tcBorders>
            <w:vAlign w:val="center"/>
          </w:tcPr>
          <w:p>
            <w:pPr>
              <w:jc w:val="center"/>
              <w:rPr>
                <w:sz w:val="18"/>
                <w:szCs w:val="18"/>
              </w:rPr>
            </w:pPr>
          </w:p>
        </w:tc>
        <w:tc>
          <w:tcPr>
            <w:tcW w:w="851" w:type="dxa"/>
            <w:vMerge w:val="continue"/>
            <w:tcBorders>
              <w:left w:val="single" w:color="000000" w:sz="4" w:space="0"/>
              <w:bottom w:val="single" w:color="000000" w:sz="4" w:space="0"/>
              <w:right w:val="single" w:color="000000" w:sz="4" w:space="0"/>
            </w:tcBorders>
            <w:vAlign w:val="center"/>
          </w:tcPr>
          <w:p>
            <w:pPr>
              <w:jc w:val="center"/>
              <w:rPr>
                <w:sz w:val="18"/>
                <w:szCs w:val="18"/>
              </w:rPr>
            </w:pPr>
          </w:p>
        </w:tc>
        <w:tc>
          <w:tcPr>
            <w:tcW w:w="713" w:type="dxa"/>
            <w:vMerge w:val="continue"/>
            <w:tcBorders>
              <w:left w:val="single" w:color="000000" w:sz="4" w:space="0"/>
              <w:bottom w:val="single" w:color="000000" w:sz="4" w:space="0"/>
              <w:right w:val="single" w:color="000000" w:sz="4" w:space="0"/>
            </w:tcBorders>
            <w:vAlign w:val="center"/>
          </w:tcPr>
          <w:p>
            <w:pPr>
              <w:jc w:val="center"/>
              <w:rPr>
                <w:sz w:val="18"/>
                <w:szCs w:val="18"/>
              </w:rPr>
            </w:pPr>
          </w:p>
        </w:tc>
        <w:tc>
          <w:tcPr>
            <w:tcW w:w="850" w:type="dxa"/>
            <w:vMerge w:val="continue"/>
            <w:tcBorders>
              <w:left w:val="single" w:color="000000" w:sz="4" w:space="0"/>
              <w:bottom w:val="single" w:color="000000" w:sz="4" w:space="0"/>
              <w:right w:val="single" w:color="000000" w:sz="4" w:space="0"/>
            </w:tcBorders>
          </w:tcPr>
          <w:p>
            <w:pPr>
              <w:jc w:val="center"/>
              <w:rPr>
                <w:sz w:val="18"/>
                <w:szCs w:val="18"/>
              </w:rPr>
            </w:pPr>
          </w:p>
        </w:tc>
        <w:tc>
          <w:tcPr>
            <w:tcW w:w="850" w:type="dxa"/>
            <w:vMerge w:val="continue"/>
            <w:tcBorders>
              <w:left w:val="single" w:color="000000" w:sz="4" w:space="0"/>
              <w:bottom w:val="single" w:color="000000" w:sz="4" w:space="0"/>
              <w:right w:val="single" w:color="000000" w:sz="4" w:space="0"/>
            </w:tcBorders>
          </w:tcPr>
          <w:p>
            <w:pPr>
              <w:jc w:val="center"/>
              <w:rPr>
                <w:sz w:val="18"/>
                <w:szCs w:val="18"/>
              </w:rPr>
            </w:pPr>
          </w:p>
        </w:tc>
        <w:tc>
          <w:tcPr>
            <w:tcW w:w="709" w:type="dxa"/>
            <w:vMerge w:val="continue"/>
            <w:tcBorders>
              <w:left w:val="single" w:color="000000" w:sz="4" w:space="0"/>
              <w:bottom w:val="single" w:color="000000" w:sz="4" w:space="0"/>
              <w:right w:val="single" w:color="000000" w:sz="4" w:space="0"/>
            </w:tcBorders>
          </w:tcPr>
          <w:p>
            <w:pPr>
              <w:jc w:val="center"/>
              <w:rPr>
                <w:sz w:val="18"/>
                <w:szCs w:val="18"/>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18"/>
                <w:szCs w:val="18"/>
              </w:rPr>
            </w:pPr>
            <w:r>
              <w:rPr>
                <w:kern w:val="0"/>
                <w:sz w:val="18"/>
                <w:szCs w:val="18"/>
              </w:rPr>
              <w:t>起点</w:t>
            </w:r>
          </w:p>
        </w:tc>
        <w:tc>
          <w:tcPr>
            <w:tcW w:w="567" w:type="dxa"/>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sz w:val="18"/>
                <w:szCs w:val="18"/>
              </w:rPr>
            </w:pPr>
            <w:r>
              <w:rPr>
                <w:kern w:val="0"/>
                <w:sz w:val="18"/>
                <w:szCs w:val="18"/>
              </w:rPr>
              <w:t>终点</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b/>
                <w:sz w:val="18"/>
                <w:szCs w:val="18"/>
              </w:rPr>
            </w:pPr>
          </w:p>
        </w:tc>
        <w:tc>
          <w:tcPr>
            <w:tcW w:w="567" w:type="dxa"/>
            <w:vMerge w:val="continue"/>
            <w:tcBorders>
              <w:left w:val="single" w:color="auto" w:sz="4" w:space="0"/>
              <w:bottom w:val="single" w:color="000000" w:sz="4" w:space="0"/>
              <w:right w:val="single" w:color="000000" w:sz="4" w:space="0"/>
            </w:tcBorders>
            <w:vAlign w:val="center"/>
          </w:tcPr>
          <w:p>
            <w:pPr>
              <w:jc w:val="center"/>
              <w:rPr>
                <w:sz w:val="18"/>
                <w:szCs w:val="18"/>
              </w:rPr>
            </w:pPr>
          </w:p>
        </w:tc>
        <w:tc>
          <w:tcPr>
            <w:tcW w:w="851" w:type="dxa"/>
            <w:vMerge w:val="continue"/>
            <w:tcBorders>
              <w:left w:val="single" w:color="000000" w:sz="4" w:space="0"/>
              <w:bottom w:val="single" w:color="000000" w:sz="4" w:space="0"/>
              <w:right w:val="single" w:color="000000" w:sz="4" w:space="0"/>
            </w:tcBorders>
            <w:vAlign w:val="center"/>
          </w:tcPr>
          <w:p>
            <w:pPr>
              <w:jc w:val="center"/>
              <w:rPr>
                <w:sz w:val="18"/>
                <w:szCs w:val="18"/>
              </w:rPr>
            </w:pPr>
          </w:p>
        </w:tc>
        <w:tc>
          <w:tcPr>
            <w:tcW w:w="567" w:type="dxa"/>
            <w:vMerge w:val="continue"/>
            <w:tcBorders>
              <w:left w:val="single" w:color="000000" w:sz="4" w:space="0"/>
              <w:bottom w:val="single" w:color="000000" w:sz="4" w:space="0"/>
              <w:right w:val="single" w:color="000000" w:sz="4" w:space="0"/>
            </w:tcBorders>
            <w:vAlign w:val="center"/>
          </w:tcPr>
          <w:p>
            <w:pPr>
              <w:jc w:val="center"/>
              <w:rPr>
                <w:sz w:val="18"/>
                <w:szCs w:val="18"/>
              </w:rPr>
            </w:pPr>
          </w:p>
        </w:tc>
        <w:tc>
          <w:tcPr>
            <w:tcW w:w="709" w:type="dxa"/>
            <w:vMerge w:val="continue"/>
            <w:tcBorders>
              <w:left w:val="single" w:color="000000" w:sz="4" w:space="0"/>
              <w:bottom w:val="single" w:color="000000" w:sz="4" w:space="0"/>
              <w:right w:val="single" w:color="000000" w:sz="4" w:space="0"/>
            </w:tcBorders>
            <w:vAlign w:val="center"/>
          </w:tcPr>
          <w:p>
            <w:pPr>
              <w:jc w:val="center"/>
              <w:rPr>
                <w:sz w:val="18"/>
                <w:szCs w:val="18"/>
              </w:rPr>
            </w:pPr>
          </w:p>
        </w:tc>
        <w:tc>
          <w:tcPr>
            <w:tcW w:w="567" w:type="dxa"/>
            <w:vMerge w:val="continue"/>
            <w:tcBorders>
              <w:left w:val="single" w:color="000000" w:sz="4" w:space="0"/>
              <w:bottom w:val="single" w:color="000000" w:sz="4" w:space="0"/>
              <w:right w:val="single" w:color="000000" w:sz="4" w:space="0"/>
            </w:tcBorders>
            <w:vAlign w:val="center"/>
          </w:tcPr>
          <w:p>
            <w:pPr>
              <w:jc w:val="center"/>
              <w:rPr>
                <w:sz w:val="18"/>
                <w:szCs w:val="18"/>
              </w:rPr>
            </w:pPr>
          </w:p>
        </w:tc>
        <w:tc>
          <w:tcPr>
            <w:tcW w:w="567" w:type="dxa"/>
            <w:vMerge w:val="continue"/>
            <w:tcBorders>
              <w:left w:val="single" w:color="000000" w:sz="4" w:space="0"/>
              <w:bottom w:val="single" w:color="000000" w:sz="4" w:space="0"/>
              <w:right w:val="single" w:color="000000" w:sz="4" w:space="0"/>
            </w:tcBorders>
            <w:vAlign w:val="center"/>
          </w:tcPr>
          <w:p>
            <w:pPr>
              <w:jc w:val="center"/>
              <w:rPr>
                <w:sz w:val="18"/>
                <w:szCs w:val="18"/>
              </w:rPr>
            </w:pPr>
          </w:p>
        </w:tc>
        <w:tc>
          <w:tcPr>
            <w:tcW w:w="567" w:type="dxa"/>
            <w:vMerge w:val="continue"/>
            <w:tcBorders>
              <w:left w:val="single" w:color="000000" w:sz="4" w:space="0"/>
              <w:bottom w:val="single" w:color="000000" w:sz="4" w:space="0"/>
              <w:right w:val="single" w:color="000000" w:sz="4" w:space="0"/>
            </w:tcBorders>
            <w:vAlign w:val="center"/>
          </w:tcPr>
          <w:p>
            <w:pPr>
              <w:jc w:val="center"/>
              <w:rPr>
                <w:sz w:val="18"/>
                <w:szCs w:val="18"/>
              </w:rPr>
            </w:pPr>
          </w:p>
        </w:tc>
        <w:tc>
          <w:tcPr>
            <w:tcW w:w="708" w:type="dxa"/>
            <w:vMerge w:val="continue"/>
            <w:tcBorders>
              <w:left w:val="single" w:color="000000" w:sz="4" w:space="0"/>
              <w:bottom w:val="single" w:color="000000" w:sz="4" w:space="0"/>
              <w:right w:val="single" w:color="000000" w:sz="4" w:space="0"/>
            </w:tcBorders>
            <w:vAlign w:val="center"/>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13"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auto" w:sz="4" w:space="0"/>
            </w:tcBorders>
            <w:vAlign w:val="center"/>
          </w:tcPr>
          <w:p>
            <w:pPr>
              <w:jc w:val="center"/>
              <w:rPr>
                <w:sz w:val="18"/>
                <w:szCs w:val="18"/>
              </w:rPr>
            </w:pP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567" w:type="dxa"/>
            <w:tcBorders>
              <w:top w:val="single" w:color="000000" w:sz="4" w:space="0"/>
              <w:left w:val="single" w:color="auto"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13"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auto" w:sz="4" w:space="0"/>
            </w:tcBorders>
            <w:vAlign w:val="center"/>
          </w:tcPr>
          <w:p>
            <w:pPr>
              <w:jc w:val="center"/>
              <w:rPr>
                <w:sz w:val="18"/>
                <w:szCs w:val="18"/>
              </w:rPr>
            </w:pP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567" w:type="dxa"/>
            <w:tcBorders>
              <w:top w:val="single" w:color="000000" w:sz="4" w:space="0"/>
              <w:left w:val="single" w:color="auto"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13"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auto" w:sz="4" w:space="0"/>
            </w:tcBorders>
            <w:vAlign w:val="center"/>
          </w:tcPr>
          <w:p>
            <w:pPr>
              <w:jc w:val="center"/>
              <w:rPr>
                <w:sz w:val="18"/>
                <w:szCs w:val="18"/>
              </w:rPr>
            </w:pP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567" w:type="dxa"/>
            <w:tcBorders>
              <w:top w:val="single" w:color="000000" w:sz="4" w:space="0"/>
              <w:left w:val="single" w:color="auto"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13"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auto" w:sz="4" w:space="0"/>
            </w:tcBorders>
            <w:vAlign w:val="center"/>
          </w:tcPr>
          <w:p>
            <w:pPr>
              <w:jc w:val="center"/>
              <w:rPr>
                <w:sz w:val="18"/>
                <w:szCs w:val="18"/>
              </w:rPr>
            </w:pP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567" w:type="dxa"/>
            <w:tcBorders>
              <w:top w:val="single" w:color="000000" w:sz="4" w:space="0"/>
              <w:left w:val="single" w:color="auto"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13"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auto" w:sz="4" w:space="0"/>
            </w:tcBorders>
            <w:vAlign w:val="center"/>
          </w:tcPr>
          <w:p>
            <w:pPr>
              <w:jc w:val="center"/>
              <w:rPr>
                <w:sz w:val="18"/>
                <w:szCs w:val="18"/>
              </w:rPr>
            </w:pP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567" w:type="dxa"/>
            <w:tcBorders>
              <w:top w:val="single" w:color="000000" w:sz="4" w:space="0"/>
              <w:left w:val="single" w:color="auto"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13"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auto" w:sz="4" w:space="0"/>
            </w:tcBorders>
            <w:vAlign w:val="center"/>
          </w:tcPr>
          <w:p>
            <w:pPr>
              <w:jc w:val="center"/>
              <w:rPr>
                <w:sz w:val="18"/>
                <w:szCs w:val="18"/>
              </w:rPr>
            </w:pP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567" w:type="dxa"/>
            <w:tcBorders>
              <w:top w:val="single" w:color="000000" w:sz="4" w:space="0"/>
              <w:left w:val="single" w:color="auto"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13"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auto" w:sz="4" w:space="0"/>
            </w:tcBorders>
            <w:vAlign w:val="center"/>
          </w:tcPr>
          <w:p>
            <w:pPr>
              <w:jc w:val="center"/>
              <w:rPr>
                <w:sz w:val="18"/>
                <w:szCs w:val="18"/>
              </w:rPr>
            </w:pP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567" w:type="dxa"/>
            <w:tcBorders>
              <w:top w:val="single" w:color="000000" w:sz="4" w:space="0"/>
              <w:left w:val="single" w:color="auto" w:sz="4" w:space="0"/>
              <w:bottom w:val="single" w:color="000000" w:sz="4" w:space="0"/>
              <w:right w:val="single" w:color="000000" w:sz="4" w:space="0"/>
            </w:tcBorders>
            <w:vAlign w:val="center"/>
          </w:tcPr>
          <w:p>
            <w:pPr>
              <w:jc w:val="center"/>
              <w:rPr>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sz w:val="18"/>
                <w:szCs w:val="18"/>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1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kern w:val="0"/>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kern w:val="0"/>
                <w:sz w:val="18"/>
                <w:szCs w:val="18"/>
              </w:rPr>
            </w:pPr>
          </w:p>
        </w:tc>
        <w:tc>
          <w:tcPr>
            <w:tcW w:w="7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kern w:val="0"/>
                <w:sz w:val="18"/>
                <w:szCs w:val="18"/>
              </w:rPr>
            </w:pPr>
          </w:p>
        </w:tc>
        <w:tc>
          <w:tcPr>
            <w:tcW w:w="56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1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kern w:val="0"/>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kern w:val="0"/>
                <w:sz w:val="18"/>
                <w:szCs w:val="18"/>
              </w:rPr>
            </w:pPr>
          </w:p>
        </w:tc>
        <w:tc>
          <w:tcPr>
            <w:tcW w:w="7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kern w:val="0"/>
                <w:sz w:val="18"/>
                <w:szCs w:val="18"/>
              </w:rPr>
            </w:pPr>
          </w:p>
        </w:tc>
        <w:tc>
          <w:tcPr>
            <w:tcW w:w="56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1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kern w:val="0"/>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kern w:val="0"/>
                <w:sz w:val="18"/>
                <w:szCs w:val="18"/>
              </w:rPr>
            </w:pPr>
          </w:p>
        </w:tc>
        <w:tc>
          <w:tcPr>
            <w:tcW w:w="7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kern w:val="0"/>
                <w:sz w:val="18"/>
                <w:szCs w:val="18"/>
              </w:rPr>
            </w:pPr>
          </w:p>
        </w:tc>
        <w:tc>
          <w:tcPr>
            <w:tcW w:w="56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1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kern w:val="0"/>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kern w:val="0"/>
                <w:sz w:val="18"/>
                <w:szCs w:val="18"/>
              </w:rPr>
            </w:pPr>
          </w:p>
        </w:tc>
        <w:tc>
          <w:tcPr>
            <w:tcW w:w="7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kern w:val="0"/>
                <w:sz w:val="18"/>
                <w:szCs w:val="18"/>
              </w:rPr>
            </w:pPr>
          </w:p>
        </w:tc>
        <w:tc>
          <w:tcPr>
            <w:tcW w:w="56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1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kern w:val="0"/>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kern w:val="0"/>
                <w:sz w:val="18"/>
                <w:szCs w:val="18"/>
              </w:rPr>
            </w:pPr>
          </w:p>
        </w:tc>
        <w:tc>
          <w:tcPr>
            <w:tcW w:w="7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kern w:val="0"/>
                <w:sz w:val="18"/>
                <w:szCs w:val="18"/>
              </w:rPr>
            </w:pPr>
          </w:p>
        </w:tc>
        <w:tc>
          <w:tcPr>
            <w:tcW w:w="56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1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kern w:val="0"/>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kern w:val="0"/>
                <w:sz w:val="18"/>
                <w:szCs w:val="18"/>
              </w:rPr>
            </w:pPr>
          </w:p>
        </w:tc>
        <w:tc>
          <w:tcPr>
            <w:tcW w:w="7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kern w:val="0"/>
                <w:sz w:val="18"/>
                <w:szCs w:val="18"/>
              </w:rPr>
            </w:pPr>
          </w:p>
        </w:tc>
        <w:tc>
          <w:tcPr>
            <w:tcW w:w="56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1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kern w:val="0"/>
                <w:sz w:val="18"/>
                <w:szCs w:val="18"/>
              </w:rPr>
            </w:pPr>
          </w:p>
        </w:tc>
        <w:tc>
          <w:tcPr>
            <w:tcW w:w="850"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kern w:val="0"/>
                <w:sz w:val="18"/>
                <w:szCs w:val="18"/>
              </w:rPr>
            </w:pPr>
          </w:p>
        </w:tc>
        <w:tc>
          <w:tcPr>
            <w:tcW w:w="7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kern w:val="0"/>
                <w:sz w:val="18"/>
                <w:szCs w:val="18"/>
              </w:rPr>
            </w:pPr>
          </w:p>
        </w:tc>
        <w:tc>
          <w:tcPr>
            <w:tcW w:w="56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18"/>
                <w:szCs w:val="18"/>
              </w:rPr>
            </w:pPr>
          </w:p>
        </w:tc>
      </w:tr>
    </w:tbl>
    <w:p>
      <w:pPr>
        <w:tabs>
          <w:tab w:val="left" w:pos="1365"/>
          <w:tab w:val="clear" w:pos="0"/>
        </w:tabs>
        <w:jc w:val="center"/>
        <w:rPr>
          <w:sz w:val="18"/>
          <w:szCs w:val="18"/>
        </w:rPr>
      </w:pPr>
      <w:r>
        <w:rPr>
          <w:rFonts w:hint="eastAsia"/>
          <w:sz w:val="18"/>
          <w:szCs w:val="18"/>
        </w:rPr>
        <w:t>普查作业</w:t>
      </w:r>
      <w:r>
        <w:rPr>
          <w:sz w:val="18"/>
          <w:szCs w:val="18"/>
        </w:rPr>
        <w:t>单位：</w:t>
      </w:r>
      <w:r>
        <w:rPr>
          <w:rFonts w:hint="eastAsia"/>
          <w:sz w:val="18"/>
          <w:szCs w:val="18"/>
        </w:rPr>
        <w:tab/>
      </w:r>
      <w:r>
        <w:rPr>
          <w:rFonts w:hint="eastAsia"/>
          <w:sz w:val="18"/>
          <w:szCs w:val="18"/>
        </w:rPr>
        <w:t xml:space="preserve">                               制表者</w:t>
      </w:r>
      <w:r>
        <w:rPr>
          <w:rFonts w:hint="eastAsia"/>
          <w:sz w:val="18"/>
          <w:szCs w:val="18"/>
        </w:rPr>
        <w:tab/>
      </w:r>
      <w:r>
        <w:rPr>
          <w:rFonts w:hint="eastAsia"/>
          <w:sz w:val="18"/>
          <w:szCs w:val="18"/>
        </w:rPr>
        <w:tab/>
      </w:r>
      <w:r>
        <w:rPr>
          <w:rFonts w:hint="eastAsia"/>
          <w:sz w:val="18"/>
          <w:szCs w:val="18"/>
        </w:rPr>
        <w:t xml:space="preserve">                         校核者</w:t>
      </w:r>
      <w:r>
        <w:rPr>
          <w:sz w:val="18"/>
          <w:szCs w:val="18"/>
        </w:rPr>
        <w:t>：</w:t>
      </w:r>
      <w:r>
        <w:rPr>
          <w:rFonts w:hint="eastAsia"/>
          <w:sz w:val="18"/>
          <w:szCs w:val="18"/>
        </w:rPr>
        <w:tab/>
      </w:r>
      <w:r>
        <w:rPr>
          <w:rFonts w:hint="eastAsia"/>
          <w:sz w:val="18"/>
          <w:szCs w:val="18"/>
        </w:rPr>
        <w:tab/>
      </w:r>
      <w:r>
        <w:rPr>
          <w:rFonts w:hint="eastAsia"/>
          <w:sz w:val="18"/>
          <w:szCs w:val="18"/>
        </w:rPr>
        <w:t>日期：</w:t>
      </w:r>
      <w:r>
        <w:rPr>
          <w:rFonts w:hint="eastAsia"/>
          <w:sz w:val="18"/>
          <w:szCs w:val="18"/>
        </w:rPr>
        <w:tab/>
      </w:r>
      <w:r>
        <w:rPr>
          <w:rFonts w:hint="eastAsia"/>
          <w:sz w:val="18"/>
          <w:szCs w:val="18"/>
        </w:rPr>
        <w:t xml:space="preserve">                  第  页 共  页</w:t>
      </w:r>
    </w:p>
    <w:p>
      <w:pPr>
        <w:jc w:val="center"/>
        <w:rPr>
          <w:color w:val="FF0000"/>
          <w:szCs w:val="21"/>
        </w:rPr>
        <w:sectPr>
          <w:pgSz w:w="16838" w:h="11906" w:orient="landscape"/>
          <w:pgMar w:top="1417" w:right="851" w:bottom="1134" w:left="567" w:header="851" w:footer="992" w:gutter="0"/>
          <w:pgNumType w:chapStyle="1"/>
          <w:cols w:space="720" w:num="1"/>
          <w:titlePg/>
          <w:docGrid w:type="lines" w:linePitch="333" w:charSpace="0"/>
        </w:sectPr>
      </w:pPr>
    </w:p>
    <w:p>
      <w:pPr>
        <w:jc w:val="center"/>
        <w:outlineLvl w:val="1"/>
        <w:rPr>
          <w:rFonts w:eastAsia="仿宋"/>
          <w:b/>
          <w:bCs/>
          <w:sz w:val="28"/>
          <w:szCs w:val="28"/>
        </w:rPr>
      </w:pPr>
      <w:bookmarkStart w:id="1784" w:name="_Toc4842"/>
      <w:bookmarkStart w:id="1785" w:name="_Toc2978"/>
      <w:bookmarkStart w:id="1786" w:name="_Toc31110"/>
      <w:bookmarkStart w:id="1787" w:name="_Toc48"/>
      <w:bookmarkStart w:id="1788" w:name="_Toc17206"/>
      <w:bookmarkStart w:id="1789" w:name="_Toc10505"/>
      <w:bookmarkStart w:id="1790" w:name="_Toc16015"/>
      <w:r>
        <w:rPr>
          <w:rFonts w:hint="eastAsia" w:eastAsia="仿宋"/>
          <w:b/>
          <w:bCs/>
          <w:sz w:val="28"/>
          <w:szCs w:val="28"/>
        </w:rPr>
        <w:t>附录E 地下管线探测安全保护规定</w:t>
      </w:r>
      <w:bookmarkEnd w:id="1784"/>
      <w:bookmarkEnd w:id="1785"/>
      <w:bookmarkEnd w:id="1786"/>
      <w:bookmarkEnd w:id="1787"/>
      <w:bookmarkEnd w:id="1788"/>
      <w:bookmarkEnd w:id="1789"/>
      <w:bookmarkEnd w:id="1790"/>
    </w:p>
    <w:p>
      <w:pPr>
        <w:numPr>
          <w:ilvl w:val="0"/>
          <w:numId w:val="63"/>
        </w:numPr>
        <w:tabs>
          <w:tab w:val="left" w:pos="540"/>
          <w:tab w:val="left" w:pos="1365"/>
          <w:tab w:val="clear" w:pos="990"/>
          <w:tab w:val="clear" w:pos="0"/>
        </w:tabs>
        <w:spacing w:line="360" w:lineRule="auto"/>
        <w:ind w:left="0" w:firstLine="0"/>
        <w:jc w:val="left"/>
        <w:rPr>
          <w:rFonts w:ascii="仿宋" w:hAnsi="仿宋" w:eastAsia="仿宋"/>
          <w:sz w:val="28"/>
          <w:szCs w:val="28"/>
        </w:rPr>
      </w:pPr>
      <w:r>
        <w:rPr>
          <w:rFonts w:ascii="仿宋" w:hAnsi="仿宋" w:eastAsia="仿宋"/>
          <w:sz w:val="28"/>
          <w:szCs w:val="28"/>
        </w:rPr>
        <w:t>从事地下管线</w:t>
      </w:r>
      <w:r>
        <w:rPr>
          <w:rFonts w:hint="eastAsia" w:ascii="仿宋" w:hAnsi="仿宋" w:eastAsia="仿宋"/>
          <w:sz w:val="28"/>
          <w:szCs w:val="28"/>
        </w:rPr>
        <w:t>探测</w:t>
      </w:r>
      <w:r>
        <w:rPr>
          <w:rFonts w:ascii="仿宋" w:hAnsi="仿宋" w:eastAsia="仿宋"/>
          <w:sz w:val="28"/>
          <w:szCs w:val="28"/>
        </w:rPr>
        <w:t>工作人员，必须熟悉工作岗位的安全保护规定，做到安全生产。</w:t>
      </w:r>
    </w:p>
    <w:p>
      <w:pPr>
        <w:numPr>
          <w:ilvl w:val="0"/>
          <w:numId w:val="63"/>
        </w:numPr>
        <w:tabs>
          <w:tab w:val="left" w:pos="540"/>
          <w:tab w:val="left" w:pos="1365"/>
          <w:tab w:val="clear" w:pos="990"/>
          <w:tab w:val="clear" w:pos="0"/>
        </w:tabs>
        <w:spacing w:line="360" w:lineRule="auto"/>
        <w:ind w:left="0" w:firstLine="0"/>
        <w:jc w:val="left"/>
        <w:rPr>
          <w:rFonts w:ascii="仿宋" w:hAnsi="仿宋" w:eastAsia="仿宋"/>
          <w:sz w:val="28"/>
          <w:szCs w:val="28"/>
        </w:rPr>
      </w:pPr>
      <w:r>
        <w:rPr>
          <w:rFonts w:ascii="仿宋" w:hAnsi="仿宋" w:eastAsia="仿宋"/>
          <w:sz w:val="28"/>
          <w:szCs w:val="28"/>
        </w:rPr>
        <w:t>作业人员应穿戴安全标志服（如黄色反光背心），遵守城市交通法规。</w:t>
      </w:r>
    </w:p>
    <w:p>
      <w:pPr>
        <w:numPr>
          <w:ilvl w:val="0"/>
          <w:numId w:val="63"/>
        </w:numPr>
        <w:tabs>
          <w:tab w:val="left" w:pos="540"/>
          <w:tab w:val="left" w:pos="1365"/>
          <w:tab w:val="clear" w:pos="990"/>
          <w:tab w:val="clear" w:pos="0"/>
        </w:tabs>
        <w:spacing w:line="360" w:lineRule="auto"/>
        <w:ind w:left="0" w:firstLine="0"/>
        <w:jc w:val="left"/>
        <w:rPr>
          <w:rFonts w:ascii="仿宋" w:hAnsi="仿宋" w:eastAsia="仿宋"/>
          <w:sz w:val="28"/>
          <w:szCs w:val="28"/>
        </w:rPr>
      </w:pPr>
      <w:r>
        <w:rPr>
          <w:rFonts w:ascii="仿宋" w:hAnsi="仿宋" w:eastAsia="仿宋"/>
          <w:sz w:val="28"/>
          <w:szCs w:val="28"/>
        </w:rPr>
        <w:t>对规模较大的排污管道，在调查或施入探头、电极、导线时，严禁明火，并进行有害、有毒及可燃气体的浓度测定。超标的管线要采用安全保护措施后才能作业。</w:t>
      </w:r>
    </w:p>
    <w:p>
      <w:pPr>
        <w:numPr>
          <w:ilvl w:val="0"/>
          <w:numId w:val="63"/>
        </w:numPr>
        <w:tabs>
          <w:tab w:val="left" w:pos="540"/>
          <w:tab w:val="left" w:pos="1365"/>
          <w:tab w:val="clear" w:pos="990"/>
          <w:tab w:val="clear" w:pos="0"/>
        </w:tabs>
        <w:spacing w:line="360" w:lineRule="auto"/>
        <w:ind w:left="0" w:firstLine="0"/>
        <w:jc w:val="left"/>
        <w:rPr>
          <w:rFonts w:ascii="仿宋" w:hAnsi="仿宋" w:eastAsia="仿宋"/>
          <w:sz w:val="28"/>
          <w:szCs w:val="28"/>
        </w:rPr>
      </w:pPr>
      <w:r>
        <w:rPr>
          <w:rFonts w:ascii="仿宋" w:hAnsi="仿宋" w:eastAsia="仿宋"/>
          <w:sz w:val="28"/>
          <w:szCs w:val="28"/>
        </w:rPr>
        <w:t>严禁在煤气等易燃、易爆管道上作充电，进行直接法或充电作业。</w:t>
      </w:r>
    </w:p>
    <w:p>
      <w:pPr>
        <w:numPr>
          <w:ilvl w:val="0"/>
          <w:numId w:val="63"/>
        </w:numPr>
        <w:tabs>
          <w:tab w:val="left" w:pos="540"/>
          <w:tab w:val="left" w:pos="1365"/>
          <w:tab w:val="clear" w:pos="990"/>
          <w:tab w:val="clear" w:pos="0"/>
        </w:tabs>
        <w:spacing w:line="360" w:lineRule="auto"/>
        <w:ind w:left="0" w:firstLine="0"/>
        <w:jc w:val="left"/>
        <w:rPr>
          <w:rFonts w:ascii="仿宋" w:hAnsi="仿宋" w:eastAsia="仿宋"/>
          <w:sz w:val="28"/>
          <w:szCs w:val="28"/>
        </w:rPr>
      </w:pPr>
      <w:r>
        <w:rPr>
          <w:rFonts w:ascii="仿宋" w:hAnsi="仿宋" w:eastAsia="仿宋"/>
          <w:sz w:val="28"/>
          <w:szCs w:val="28"/>
        </w:rPr>
        <w:t>夜间作业时，有足够的照明，打开检修井，在井口应有安全照明标志。</w:t>
      </w:r>
    </w:p>
    <w:p>
      <w:pPr>
        <w:numPr>
          <w:ilvl w:val="0"/>
          <w:numId w:val="63"/>
        </w:numPr>
        <w:tabs>
          <w:tab w:val="left" w:pos="540"/>
          <w:tab w:val="left" w:pos="1365"/>
          <w:tab w:val="clear" w:pos="990"/>
          <w:tab w:val="clear" w:pos="0"/>
        </w:tabs>
        <w:spacing w:line="360" w:lineRule="auto"/>
        <w:ind w:left="0" w:firstLine="0"/>
        <w:jc w:val="left"/>
        <w:rPr>
          <w:rFonts w:ascii="仿宋" w:hAnsi="仿宋" w:eastAsia="仿宋"/>
          <w:sz w:val="28"/>
          <w:szCs w:val="28"/>
        </w:rPr>
      </w:pPr>
      <w:r>
        <w:rPr>
          <w:rFonts w:ascii="仿宋" w:hAnsi="仿宋" w:eastAsia="仿宋"/>
          <w:sz w:val="28"/>
          <w:szCs w:val="28"/>
        </w:rPr>
        <w:t>使用大功率仪器设备时，作业人员应具备安全用电和触电急救基础知识。工作电压超36V时，供电作业人员应使用绝缘防护用品。接地电极附近应设置明显警告标志并委派专人看管。雷电天气严禁使用大功率仪器设备施工。井下作业的所有电器设备外壳必须接地。</w:t>
      </w:r>
    </w:p>
    <w:p>
      <w:pPr>
        <w:numPr>
          <w:ilvl w:val="0"/>
          <w:numId w:val="63"/>
        </w:numPr>
        <w:tabs>
          <w:tab w:val="left" w:pos="540"/>
          <w:tab w:val="left" w:pos="1365"/>
          <w:tab w:val="clear" w:pos="990"/>
          <w:tab w:val="clear" w:pos="0"/>
        </w:tabs>
        <w:spacing w:line="360" w:lineRule="auto"/>
        <w:ind w:left="0" w:firstLine="0"/>
        <w:jc w:val="left"/>
        <w:rPr>
          <w:rFonts w:ascii="仿宋" w:hAnsi="仿宋" w:eastAsia="仿宋"/>
          <w:sz w:val="28"/>
          <w:szCs w:val="28"/>
        </w:rPr>
      </w:pPr>
      <w:r>
        <w:rPr>
          <w:rFonts w:ascii="仿宋" w:hAnsi="仿宋" w:eastAsia="仿宋"/>
          <w:sz w:val="28"/>
          <w:szCs w:val="28"/>
        </w:rPr>
        <w:t>当打开窨井盖作实地调查时，井口必须有专人看管，或用设有明显</w:t>
      </w:r>
      <w:r>
        <w:rPr>
          <w:rFonts w:hint="eastAsia" w:ascii="仿宋" w:hAnsi="仿宋" w:eastAsia="仿宋"/>
          <w:sz w:val="28"/>
          <w:szCs w:val="28"/>
        </w:rPr>
        <w:t>标志</w:t>
      </w:r>
      <w:r>
        <w:rPr>
          <w:rFonts w:ascii="仿宋" w:hAnsi="仿宋" w:eastAsia="仿宋"/>
          <w:sz w:val="28"/>
          <w:szCs w:val="28"/>
        </w:rPr>
        <w:t>的栅栏围起来。调查完毕必须立即盖好窨井。严禁打开窨井盖后作业人员离开现场。</w:t>
      </w:r>
    </w:p>
    <w:p>
      <w:pPr>
        <w:numPr>
          <w:ilvl w:val="0"/>
          <w:numId w:val="63"/>
        </w:numPr>
        <w:tabs>
          <w:tab w:val="left" w:pos="540"/>
          <w:tab w:val="left" w:pos="1365"/>
          <w:tab w:val="clear" w:pos="990"/>
          <w:tab w:val="clear" w:pos="0"/>
        </w:tabs>
        <w:spacing w:line="360" w:lineRule="auto"/>
        <w:ind w:left="0" w:firstLine="0"/>
        <w:jc w:val="left"/>
        <w:rPr>
          <w:rFonts w:ascii="仿宋" w:hAnsi="仿宋" w:eastAsia="仿宋"/>
          <w:sz w:val="28"/>
          <w:szCs w:val="28"/>
        </w:rPr>
      </w:pPr>
      <w:r>
        <w:rPr>
          <w:rFonts w:ascii="仿宋" w:hAnsi="仿宋" w:eastAsia="仿宋"/>
          <w:sz w:val="28"/>
          <w:szCs w:val="28"/>
        </w:rPr>
        <w:t>发生人身安全事故时，除立即将受害者送到附近医院急救外，还必须保护现场，组织有关人员进行调查，明确事故责任，并做妥善处理。</w:t>
      </w:r>
    </w:p>
    <w:p>
      <w:pPr>
        <w:jc w:val="center"/>
        <w:rPr>
          <w:rFonts w:eastAsia="仿宋"/>
          <w:b/>
          <w:bCs/>
          <w:sz w:val="28"/>
          <w:szCs w:val="28"/>
        </w:rPr>
      </w:pPr>
      <w:r>
        <w:rPr>
          <w:rFonts w:hint="eastAsia" w:eastAsia="仿宋"/>
          <w:b/>
          <w:bCs/>
          <w:sz w:val="28"/>
          <w:szCs w:val="28"/>
        </w:rPr>
        <w:br w:type="page"/>
      </w:r>
      <w:bookmarkStart w:id="1791" w:name="_Toc27143"/>
      <w:bookmarkStart w:id="1792" w:name="_Toc27343"/>
      <w:bookmarkStart w:id="1793" w:name="_Toc28840"/>
      <w:bookmarkStart w:id="1794" w:name="_Toc6678"/>
      <w:bookmarkStart w:id="1795" w:name="_Toc30146"/>
      <w:bookmarkStart w:id="1796" w:name="_Toc2613"/>
      <w:bookmarkStart w:id="1797" w:name="_Toc27298"/>
      <w:r>
        <w:rPr>
          <w:rFonts w:hint="eastAsia" w:eastAsia="仿宋"/>
          <w:b/>
          <w:bCs/>
          <w:sz w:val="28"/>
          <w:szCs w:val="28"/>
        </w:rPr>
        <w:t>附录</w:t>
      </w:r>
      <w:r>
        <w:rPr>
          <w:rFonts w:eastAsia="仿宋"/>
          <w:b/>
          <w:bCs/>
          <w:sz w:val="28"/>
          <w:szCs w:val="28"/>
        </w:rPr>
        <w:t xml:space="preserve">F </w:t>
      </w:r>
      <w:r>
        <w:rPr>
          <w:rFonts w:hint="eastAsia" w:eastAsia="仿宋"/>
          <w:b/>
          <w:bCs/>
          <w:sz w:val="28"/>
          <w:szCs w:val="28"/>
        </w:rPr>
        <w:t>地下管线普查成果汇交登记表</w:t>
      </w:r>
      <w:bookmarkEnd w:id="1791"/>
      <w:bookmarkEnd w:id="1792"/>
      <w:bookmarkEnd w:id="1793"/>
      <w:bookmarkEnd w:id="1794"/>
      <w:bookmarkEnd w:id="1795"/>
      <w:bookmarkEnd w:id="1796"/>
      <w:bookmarkEnd w:id="1797"/>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271"/>
        <w:gridCol w:w="2075"/>
        <w:gridCol w:w="1281"/>
        <w:gridCol w:w="1430"/>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96" w:type="dxa"/>
            <w:gridSpan w:val="2"/>
            <w:vAlign w:val="center"/>
          </w:tcPr>
          <w:p>
            <w:pPr>
              <w:pStyle w:val="101"/>
              <w:jc w:val="center"/>
              <w:rPr>
                <w:rFonts w:ascii="Times New Roman" w:hAnsi="Times New Roman" w:eastAsia="仿宋"/>
                <w:sz w:val="21"/>
                <w:szCs w:val="21"/>
              </w:rPr>
            </w:pPr>
            <w:r>
              <w:rPr>
                <w:rFonts w:ascii="Times New Roman" w:hAnsi="Times New Roman" w:eastAsia="仿宋"/>
                <w:sz w:val="21"/>
                <w:szCs w:val="21"/>
              </w:rPr>
              <w:t>项目名称</w:t>
            </w:r>
          </w:p>
        </w:tc>
        <w:tc>
          <w:tcPr>
            <w:tcW w:w="6518" w:type="dxa"/>
            <w:gridSpan w:val="4"/>
            <w:vAlign w:val="center"/>
          </w:tcPr>
          <w:p>
            <w:pPr>
              <w:pStyle w:val="101"/>
              <w:jc w:val="center"/>
              <w:rPr>
                <w:rFonts w:ascii="Times New Roman" w:hAnsi="Times New Roman"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96" w:type="dxa"/>
            <w:gridSpan w:val="2"/>
            <w:vAlign w:val="center"/>
          </w:tcPr>
          <w:p>
            <w:pPr>
              <w:pStyle w:val="101"/>
              <w:jc w:val="center"/>
              <w:rPr>
                <w:rFonts w:ascii="Times New Roman" w:hAnsi="Times New Roman" w:eastAsia="仿宋"/>
                <w:sz w:val="21"/>
                <w:szCs w:val="21"/>
              </w:rPr>
            </w:pPr>
            <w:r>
              <w:rPr>
                <w:rFonts w:hint="eastAsia" w:ascii="Times New Roman" w:hAnsi="Times New Roman" w:eastAsia="仿宋"/>
                <w:sz w:val="21"/>
                <w:szCs w:val="21"/>
              </w:rPr>
              <w:t>区（市）</w:t>
            </w:r>
            <w:r>
              <w:rPr>
                <w:rFonts w:ascii="Times New Roman" w:hAnsi="Times New Roman" w:eastAsia="仿宋"/>
                <w:sz w:val="21"/>
                <w:szCs w:val="21"/>
              </w:rPr>
              <w:t>县</w:t>
            </w:r>
          </w:p>
        </w:tc>
        <w:tc>
          <w:tcPr>
            <w:tcW w:w="6518" w:type="dxa"/>
            <w:gridSpan w:val="4"/>
            <w:vAlign w:val="center"/>
          </w:tcPr>
          <w:p>
            <w:pPr>
              <w:pStyle w:val="101"/>
              <w:jc w:val="center"/>
              <w:rPr>
                <w:rFonts w:ascii="Times New Roman" w:hAnsi="Times New Roman"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96" w:type="dxa"/>
            <w:gridSpan w:val="2"/>
            <w:vAlign w:val="center"/>
          </w:tcPr>
          <w:p>
            <w:pPr>
              <w:pStyle w:val="101"/>
              <w:jc w:val="center"/>
              <w:rPr>
                <w:rFonts w:ascii="Times New Roman" w:hAnsi="Times New Roman" w:eastAsia="仿宋"/>
                <w:sz w:val="21"/>
                <w:szCs w:val="21"/>
              </w:rPr>
            </w:pPr>
            <w:r>
              <w:rPr>
                <w:rFonts w:hint="eastAsia" w:ascii="Times New Roman" w:hAnsi="Times New Roman" w:eastAsia="仿宋"/>
                <w:sz w:val="21"/>
                <w:szCs w:val="21"/>
              </w:rPr>
              <w:t>普查作业单位</w:t>
            </w:r>
          </w:p>
        </w:tc>
        <w:tc>
          <w:tcPr>
            <w:tcW w:w="3356" w:type="dxa"/>
            <w:gridSpan w:val="2"/>
            <w:vAlign w:val="center"/>
          </w:tcPr>
          <w:p>
            <w:pPr>
              <w:pStyle w:val="101"/>
              <w:jc w:val="center"/>
              <w:rPr>
                <w:rFonts w:ascii="Times New Roman" w:hAnsi="Times New Roman" w:eastAsia="仿宋"/>
                <w:sz w:val="21"/>
                <w:szCs w:val="21"/>
              </w:rPr>
            </w:pPr>
          </w:p>
        </w:tc>
        <w:tc>
          <w:tcPr>
            <w:tcW w:w="1430" w:type="dxa"/>
            <w:vAlign w:val="center"/>
          </w:tcPr>
          <w:p>
            <w:pPr>
              <w:pStyle w:val="101"/>
              <w:jc w:val="center"/>
              <w:rPr>
                <w:rFonts w:ascii="Times New Roman" w:hAnsi="Times New Roman" w:eastAsia="仿宋"/>
                <w:sz w:val="21"/>
                <w:szCs w:val="21"/>
              </w:rPr>
            </w:pPr>
            <w:r>
              <w:rPr>
                <w:rFonts w:hint="eastAsia" w:ascii="Times New Roman" w:hAnsi="Times New Roman" w:eastAsia="仿宋"/>
                <w:sz w:val="21"/>
                <w:szCs w:val="21"/>
              </w:rPr>
              <w:t>普查工作量</w:t>
            </w:r>
          </w:p>
        </w:tc>
        <w:tc>
          <w:tcPr>
            <w:tcW w:w="1732" w:type="dxa"/>
            <w:vAlign w:val="center"/>
          </w:tcPr>
          <w:p>
            <w:pPr>
              <w:pStyle w:val="101"/>
              <w:jc w:val="center"/>
              <w:rPr>
                <w:rFonts w:ascii="Times New Roman" w:hAnsi="Times New Roman"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5" w:type="dxa"/>
            <w:vAlign w:val="center"/>
          </w:tcPr>
          <w:p>
            <w:pPr>
              <w:pStyle w:val="101"/>
              <w:jc w:val="center"/>
              <w:rPr>
                <w:rFonts w:ascii="Times New Roman" w:hAnsi="Times New Roman" w:eastAsia="仿宋"/>
                <w:sz w:val="21"/>
                <w:szCs w:val="21"/>
              </w:rPr>
            </w:pPr>
            <w:r>
              <w:rPr>
                <w:rFonts w:ascii="Times New Roman" w:hAnsi="Times New Roman" w:eastAsia="仿宋"/>
                <w:sz w:val="21"/>
                <w:szCs w:val="21"/>
              </w:rPr>
              <w:t>序号</w:t>
            </w:r>
          </w:p>
        </w:tc>
        <w:tc>
          <w:tcPr>
            <w:tcW w:w="3346" w:type="dxa"/>
            <w:gridSpan w:val="2"/>
            <w:vAlign w:val="center"/>
          </w:tcPr>
          <w:p>
            <w:pPr>
              <w:pStyle w:val="101"/>
              <w:jc w:val="center"/>
              <w:rPr>
                <w:rFonts w:ascii="Times New Roman" w:hAnsi="Times New Roman" w:eastAsia="仿宋"/>
                <w:sz w:val="21"/>
                <w:szCs w:val="21"/>
              </w:rPr>
            </w:pPr>
            <w:r>
              <w:rPr>
                <w:rFonts w:ascii="Times New Roman" w:hAnsi="Times New Roman" w:eastAsia="仿宋"/>
                <w:sz w:val="21"/>
                <w:szCs w:val="21"/>
              </w:rPr>
              <w:t>资料名称</w:t>
            </w:r>
          </w:p>
        </w:tc>
        <w:tc>
          <w:tcPr>
            <w:tcW w:w="1281" w:type="dxa"/>
            <w:vAlign w:val="center"/>
          </w:tcPr>
          <w:p>
            <w:pPr>
              <w:pStyle w:val="101"/>
              <w:jc w:val="center"/>
              <w:rPr>
                <w:rFonts w:ascii="Times New Roman" w:hAnsi="Times New Roman" w:eastAsia="仿宋"/>
                <w:sz w:val="21"/>
                <w:szCs w:val="21"/>
              </w:rPr>
            </w:pPr>
            <w:r>
              <w:rPr>
                <w:rFonts w:ascii="Times New Roman" w:hAnsi="Times New Roman" w:eastAsia="仿宋"/>
                <w:sz w:val="21"/>
                <w:szCs w:val="21"/>
              </w:rPr>
              <w:t>页数</w:t>
            </w:r>
          </w:p>
        </w:tc>
        <w:tc>
          <w:tcPr>
            <w:tcW w:w="1430" w:type="dxa"/>
            <w:vAlign w:val="center"/>
          </w:tcPr>
          <w:p>
            <w:pPr>
              <w:pStyle w:val="101"/>
              <w:jc w:val="center"/>
              <w:rPr>
                <w:rFonts w:ascii="Times New Roman" w:hAnsi="Times New Roman" w:eastAsia="仿宋"/>
                <w:sz w:val="21"/>
                <w:szCs w:val="21"/>
              </w:rPr>
            </w:pPr>
            <w:r>
              <w:rPr>
                <w:rFonts w:ascii="Times New Roman" w:hAnsi="Times New Roman" w:eastAsia="仿宋"/>
                <w:sz w:val="21"/>
                <w:szCs w:val="21"/>
              </w:rPr>
              <w:t>份数</w:t>
            </w:r>
          </w:p>
        </w:tc>
        <w:tc>
          <w:tcPr>
            <w:tcW w:w="1732" w:type="dxa"/>
            <w:vAlign w:val="center"/>
          </w:tcPr>
          <w:p>
            <w:pPr>
              <w:pStyle w:val="101"/>
              <w:jc w:val="center"/>
              <w:rPr>
                <w:rFonts w:ascii="Times New Roman" w:hAnsi="Times New Roman" w:eastAsia="仿宋"/>
                <w:sz w:val="21"/>
                <w:szCs w:val="21"/>
              </w:rPr>
            </w:pPr>
            <w:r>
              <w:rPr>
                <w:rFonts w:hint="eastAsia" w:ascii="Times New Roman" w:hAnsi="Times New Roman" w:eastAsia="仿宋"/>
                <w:sz w:val="21"/>
                <w:szCs w:val="21"/>
              </w:rPr>
              <w:t>资料形式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5" w:type="dxa"/>
            <w:vAlign w:val="center"/>
          </w:tcPr>
          <w:p>
            <w:pPr>
              <w:pStyle w:val="101"/>
              <w:jc w:val="center"/>
              <w:rPr>
                <w:rFonts w:ascii="Times New Roman" w:hAnsi="Times New Roman" w:eastAsia="仿宋"/>
                <w:sz w:val="21"/>
                <w:szCs w:val="21"/>
              </w:rPr>
            </w:pPr>
            <w:r>
              <w:rPr>
                <w:rFonts w:ascii="Times New Roman" w:hAnsi="Times New Roman" w:eastAsia="仿宋"/>
                <w:sz w:val="21"/>
                <w:szCs w:val="21"/>
              </w:rPr>
              <w:t>1</w:t>
            </w:r>
          </w:p>
        </w:tc>
        <w:tc>
          <w:tcPr>
            <w:tcW w:w="3346" w:type="dxa"/>
            <w:gridSpan w:val="2"/>
            <w:vAlign w:val="center"/>
          </w:tcPr>
          <w:p>
            <w:pPr>
              <w:pStyle w:val="101"/>
              <w:jc w:val="center"/>
              <w:rPr>
                <w:rFonts w:ascii="Times New Roman" w:hAnsi="Times New Roman" w:eastAsia="仿宋"/>
                <w:sz w:val="21"/>
                <w:szCs w:val="21"/>
              </w:rPr>
            </w:pPr>
          </w:p>
        </w:tc>
        <w:tc>
          <w:tcPr>
            <w:tcW w:w="1281" w:type="dxa"/>
            <w:vAlign w:val="center"/>
          </w:tcPr>
          <w:p>
            <w:pPr>
              <w:pStyle w:val="101"/>
              <w:jc w:val="center"/>
              <w:rPr>
                <w:rFonts w:ascii="Times New Roman" w:hAnsi="Times New Roman" w:eastAsia="仿宋"/>
                <w:sz w:val="21"/>
                <w:szCs w:val="21"/>
              </w:rPr>
            </w:pPr>
          </w:p>
        </w:tc>
        <w:tc>
          <w:tcPr>
            <w:tcW w:w="1430" w:type="dxa"/>
            <w:vAlign w:val="center"/>
          </w:tcPr>
          <w:p>
            <w:pPr>
              <w:pStyle w:val="101"/>
              <w:jc w:val="center"/>
              <w:rPr>
                <w:rFonts w:ascii="Times New Roman" w:hAnsi="Times New Roman" w:eastAsia="仿宋"/>
                <w:sz w:val="21"/>
                <w:szCs w:val="21"/>
              </w:rPr>
            </w:pPr>
          </w:p>
        </w:tc>
        <w:tc>
          <w:tcPr>
            <w:tcW w:w="1732" w:type="dxa"/>
            <w:vAlign w:val="center"/>
          </w:tcPr>
          <w:p>
            <w:pPr>
              <w:pStyle w:val="101"/>
              <w:jc w:val="center"/>
              <w:rPr>
                <w:rFonts w:ascii="Times New Roman" w:hAnsi="Times New Roman"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5" w:type="dxa"/>
            <w:vAlign w:val="center"/>
          </w:tcPr>
          <w:p>
            <w:pPr>
              <w:pStyle w:val="101"/>
              <w:jc w:val="center"/>
              <w:rPr>
                <w:rFonts w:ascii="Times New Roman" w:hAnsi="Times New Roman" w:eastAsia="仿宋"/>
                <w:sz w:val="21"/>
                <w:szCs w:val="21"/>
              </w:rPr>
            </w:pPr>
            <w:r>
              <w:rPr>
                <w:rFonts w:ascii="Times New Roman" w:hAnsi="Times New Roman" w:eastAsia="仿宋"/>
                <w:sz w:val="21"/>
                <w:szCs w:val="21"/>
              </w:rPr>
              <w:t>2</w:t>
            </w:r>
          </w:p>
        </w:tc>
        <w:tc>
          <w:tcPr>
            <w:tcW w:w="3346" w:type="dxa"/>
            <w:gridSpan w:val="2"/>
            <w:vAlign w:val="center"/>
          </w:tcPr>
          <w:p>
            <w:pPr>
              <w:pStyle w:val="101"/>
              <w:jc w:val="center"/>
              <w:rPr>
                <w:rFonts w:ascii="Times New Roman" w:hAnsi="Times New Roman" w:eastAsia="仿宋"/>
                <w:sz w:val="21"/>
                <w:szCs w:val="21"/>
              </w:rPr>
            </w:pPr>
          </w:p>
        </w:tc>
        <w:tc>
          <w:tcPr>
            <w:tcW w:w="1281" w:type="dxa"/>
            <w:vAlign w:val="center"/>
          </w:tcPr>
          <w:p>
            <w:pPr>
              <w:pStyle w:val="101"/>
              <w:jc w:val="center"/>
              <w:rPr>
                <w:rFonts w:ascii="Times New Roman" w:hAnsi="Times New Roman" w:eastAsia="仿宋"/>
                <w:sz w:val="21"/>
                <w:szCs w:val="21"/>
              </w:rPr>
            </w:pPr>
          </w:p>
        </w:tc>
        <w:tc>
          <w:tcPr>
            <w:tcW w:w="1430" w:type="dxa"/>
            <w:vAlign w:val="center"/>
          </w:tcPr>
          <w:p>
            <w:pPr>
              <w:pStyle w:val="101"/>
              <w:jc w:val="center"/>
              <w:rPr>
                <w:rFonts w:ascii="Times New Roman" w:hAnsi="Times New Roman" w:eastAsia="仿宋"/>
                <w:sz w:val="21"/>
                <w:szCs w:val="21"/>
              </w:rPr>
            </w:pPr>
          </w:p>
        </w:tc>
        <w:tc>
          <w:tcPr>
            <w:tcW w:w="1732" w:type="dxa"/>
            <w:vAlign w:val="center"/>
          </w:tcPr>
          <w:p>
            <w:pPr>
              <w:pStyle w:val="101"/>
              <w:jc w:val="center"/>
              <w:rPr>
                <w:rFonts w:ascii="Times New Roman" w:hAnsi="Times New Roman"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5" w:type="dxa"/>
            <w:vAlign w:val="center"/>
          </w:tcPr>
          <w:p>
            <w:pPr>
              <w:pStyle w:val="101"/>
              <w:jc w:val="center"/>
              <w:rPr>
                <w:rFonts w:ascii="Times New Roman" w:hAnsi="Times New Roman" w:eastAsia="仿宋"/>
                <w:sz w:val="21"/>
                <w:szCs w:val="21"/>
              </w:rPr>
            </w:pPr>
            <w:r>
              <w:rPr>
                <w:rFonts w:ascii="Times New Roman" w:hAnsi="Times New Roman" w:eastAsia="仿宋"/>
                <w:sz w:val="21"/>
                <w:szCs w:val="21"/>
              </w:rPr>
              <w:t>3</w:t>
            </w:r>
          </w:p>
        </w:tc>
        <w:tc>
          <w:tcPr>
            <w:tcW w:w="3346" w:type="dxa"/>
            <w:gridSpan w:val="2"/>
            <w:vAlign w:val="center"/>
          </w:tcPr>
          <w:p>
            <w:pPr>
              <w:pStyle w:val="101"/>
              <w:jc w:val="center"/>
              <w:rPr>
                <w:rFonts w:ascii="Times New Roman" w:hAnsi="Times New Roman" w:eastAsia="仿宋"/>
                <w:sz w:val="21"/>
                <w:szCs w:val="21"/>
              </w:rPr>
            </w:pPr>
          </w:p>
        </w:tc>
        <w:tc>
          <w:tcPr>
            <w:tcW w:w="1281" w:type="dxa"/>
            <w:vAlign w:val="center"/>
          </w:tcPr>
          <w:p>
            <w:pPr>
              <w:pStyle w:val="101"/>
              <w:jc w:val="center"/>
              <w:rPr>
                <w:rFonts w:ascii="Times New Roman" w:hAnsi="Times New Roman" w:eastAsia="仿宋"/>
                <w:sz w:val="21"/>
                <w:szCs w:val="21"/>
              </w:rPr>
            </w:pPr>
          </w:p>
        </w:tc>
        <w:tc>
          <w:tcPr>
            <w:tcW w:w="1430" w:type="dxa"/>
            <w:vAlign w:val="center"/>
          </w:tcPr>
          <w:p>
            <w:pPr>
              <w:pStyle w:val="101"/>
              <w:jc w:val="center"/>
              <w:rPr>
                <w:rFonts w:ascii="Times New Roman" w:hAnsi="Times New Roman" w:eastAsia="仿宋"/>
                <w:sz w:val="21"/>
                <w:szCs w:val="21"/>
              </w:rPr>
            </w:pPr>
          </w:p>
        </w:tc>
        <w:tc>
          <w:tcPr>
            <w:tcW w:w="1732" w:type="dxa"/>
            <w:vAlign w:val="center"/>
          </w:tcPr>
          <w:p>
            <w:pPr>
              <w:pStyle w:val="101"/>
              <w:jc w:val="center"/>
              <w:rPr>
                <w:rFonts w:ascii="Times New Roman" w:hAnsi="Times New Roman"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5" w:type="dxa"/>
            <w:vAlign w:val="center"/>
          </w:tcPr>
          <w:p>
            <w:pPr>
              <w:pStyle w:val="101"/>
              <w:jc w:val="center"/>
              <w:rPr>
                <w:rFonts w:ascii="Times New Roman" w:hAnsi="Times New Roman" w:eastAsia="仿宋"/>
                <w:sz w:val="21"/>
                <w:szCs w:val="21"/>
              </w:rPr>
            </w:pPr>
            <w:r>
              <w:rPr>
                <w:rFonts w:ascii="Times New Roman" w:hAnsi="Times New Roman" w:eastAsia="仿宋"/>
                <w:sz w:val="21"/>
                <w:szCs w:val="21"/>
              </w:rPr>
              <w:t>4</w:t>
            </w:r>
          </w:p>
        </w:tc>
        <w:tc>
          <w:tcPr>
            <w:tcW w:w="3346" w:type="dxa"/>
            <w:gridSpan w:val="2"/>
            <w:vAlign w:val="center"/>
          </w:tcPr>
          <w:p>
            <w:pPr>
              <w:pStyle w:val="101"/>
              <w:jc w:val="center"/>
              <w:rPr>
                <w:rFonts w:ascii="Times New Roman" w:hAnsi="Times New Roman" w:eastAsia="仿宋"/>
                <w:sz w:val="21"/>
                <w:szCs w:val="21"/>
              </w:rPr>
            </w:pPr>
          </w:p>
        </w:tc>
        <w:tc>
          <w:tcPr>
            <w:tcW w:w="1281" w:type="dxa"/>
            <w:vAlign w:val="center"/>
          </w:tcPr>
          <w:p>
            <w:pPr>
              <w:pStyle w:val="101"/>
              <w:jc w:val="center"/>
              <w:rPr>
                <w:rFonts w:ascii="Times New Roman" w:hAnsi="Times New Roman" w:eastAsia="仿宋"/>
                <w:sz w:val="21"/>
                <w:szCs w:val="21"/>
              </w:rPr>
            </w:pPr>
          </w:p>
        </w:tc>
        <w:tc>
          <w:tcPr>
            <w:tcW w:w="1430" w:type="dxa"/>
            <w:vAlign w:val="center"/>
          </w:tcPr>
          <w:p>
            <w:pPr>
              <w:pStyle w:val="101"/>
              <w:jc w:val="center"/>
              <w:rPr>
                <w:rFonts w:ascii="Times New Roman" w:hAnsi="Times New Roman" w:eastAsia="仿宋"/>
                <w:sz w:val="21"/>
                <w:szCs w:val="21"/>
              </w:rPr>
            </w:pPr>
          </w:p>
        </w:tc>
        <w:tc>
          <w:tcPr>
            <w:tcW w:w="1732" w:type="dxa"/>
            <w:vAlign w:val="center"/>
          </w:tcPr>
          <w:p>
            <w:pPr>
              <w:pStyle w:val="101"/>
              <w:jc w:val="center"/>
              <w:rPr>
                <w:rFonts w:ascii="Times New Roman" w:hAnsi="Times New Roman"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5" w:type="dxa"/>
            <w:vAlign w:val="center"/>
          </w:tcPr>
          <w:p>
            <w:pPr>
              <w:pStyle w:val="101"/>
              <w:jc w:val="center"/>
              <w:rPr>
                <w:rFonts w:ascii="Times New Roman" w:hAnsi="Times New Roman" w:eastAsia="仿宋"/>
                <w:sz w:val="21"/>
                <w:szCs w:val="21"/>
              </w:rPr>
            </w:pPr>
            <w:r>
              <w:rPr>
                <w:rFonts w:hint="eastAsia" w:ascii="Times New Roman" w:hAnsi="Times New Roman" w:eastAsia="仿宋"/>
                <w:sz w:val="21"/>
                <w:szCs w:val="21"/>
              </w:rPr>
              <w:t>5</w:t>
            </w:r>
          </w:p>
        </w:tc>
        <w:tc>
          <w:tcPr>
            <w:tcW w:w="3346" w:type="dxa"/>
            <w:gridSpan w:val="2"/>
            <w:vAlign w:val="center"/>
          </w:tcPr>
          <w:p>
            <w:pPr>
              <w:pStyle w:val="101"/>
              <w:jc w:val="center"/>
              <w:rPr>
                <w:rFonts w:ascii="Times New Roman" w:hAnsi="Times New Roman" w:eastAsia="仿宋"/>
                <w:sz w:val="21"/>
                <w:szCs w:val="21"/>
              </w:rPr>
            </w:pPr>
          </w:p>
        </w:tc>
        <w:tc>
          <w:tcPr>
            <w:tcW w:w="1281" w:type="dxa"/>
            <w:vAlign w:val="center"/>
          </w:tcPr>
          <w:p>
            <w:pPr>
              <w:pStyle w:val="101"/>
              <w:jc w:val="center"/>
              <w:rPr>
                <w:rFonts w:ascii="Times New Roman" w:hAnsi="Times New Roman" w:eastAsia="仿宋"/>
                <w:sz w:val="21"/>
                <w:szCs w:val="21"/>
              </w:rPr>
            </w:pPr>
          </w:p>
        </w:tc>
        <w:tc>
          <w:tcPr>
            <w:tcW w:w="1430" w:type="dxa"/>
            <w:vAlign w:val="center"/>
          </w:tcPr>
          <w:p>
            <w:pPr>
              <w:pStyle w:val="101"/>
              <w:jc w:val="center"/>
              <w:rPr>
                <w:rFonts w:ascii="Times New Roman" w:hAnsi="Times New Roman" w:eastAsia="仿宋"/>
                <w:sz w:val="21"/>
                <w:szCs w:val="21"/>
              </w:rPr>
            </w:pPr>
          </w:p>
        </w:tc>
        <w:tc>
          <w:tcPr>
            <w:tcW w:w="1732" w:type="dxa"/>
            <w:vAlign w:val="center"/>
          </w:tcPr>
          <w:p>
            <w:pPr>
              <w:pStyle w:val="101"/>
              <w:jc w:val="center"/>
              <w:rPr>
                <w:rFonts w:ascii="Times New Roman" w:hAnsi="Times New Roman"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5" w:type="dxa"/>
            <w:vAlign w:val="center"/>
          </w:tcPr>
          <w:p>
            <w:pPr>
              <w:pStyle w:val="101"/>
              <w:jc w:val="center"/>
              <w:rPr>
                <w:rFonts w:ascii="Times New Roman" w:hAnsi="Times New Roman" w:eastAsia="仿宋"/>
                <w:sz w:val="21"/>
                <w:szCs w:val="21"/>
              </w:rPr>
            </w:pPr>
            <w:r>
              <w:rPr>
                <w:rFonts w:hint="eastAsia" w:ascii="Times New Roman" w:hAnsi="Times New Roman" w:eastAsia="仿宋"/>
                <w:sz w:val="21"/>
                <w:szCs w:val="21"/>
              </w:rPr>
              <w:t>6</w:t>
            </w:r>
          </w:p>
        </w:tc>
        <w:tc>
          <w:tcPr>
            <w:tcW w:w="3346" w:type="dxa"/>
            <w:gridSpan w:val="2"/>
            <w:vAlign w:val="center"/>
          </w:tcPr>
          <w:p>
            <w:pPr>
              <w:pStyle w:val="101"/>
              <w:jc w:val="center"/>
              <w:rPr>
                <w:rFonts w:ascii="Times New Roman" w:hAnsi="Times New Roman" w:eastAsia="仿宋"/>
                <w:sz w:val="21"/>
                <w:szCs w:val="21"/>
              </w:rPr>
            </w:pPr>
          </w:p>
        </w:tc>
        <w:tc>
          <w:tcPr>
            <w:tcW w:w="1281" w:type="dxa"/>
            <w:vAlign w:val="center"/>
          </w:tcPr>
          <w:p>
            <w:pPr>
              <w:pStyle w:val="101"/>
              <w:jc w:val="center"/>
              <w:rPr>
                <w:rFonts w:ascii="Times New Roman" w:hAnsi="Times New Roman" w:eastAsia="仿宋"/>
                <w:sz w:val="21"/>
                <w:szCs w:val="21"/>
              </w:rPr>
            </w:pPr>
          </w:p>
        </w:tc>
        <w:tc>
          <w:tcPr>
            <w:tcW w:w="1430" w:type="dxa"/>
            <w:vAlign w:val="center"/>
          </w:tcPr>
          <w:p>
            <w:pPr>
              <w:pStyle w:val="101"/>
              <w:jc w:val="center"/>
              <w:rPr>
                <w:rFonts w:ascii="Times New Roman" w:hAnsi="Times New Roman" w:eastAsia="仿宋"/>
                <w:sz w:val="21"/>
                <w:szCs w:val="21"/>
              </w:rPr>
            </w:pPr>
          </w:p>
        </w:tc>
        <w:tc>
          <w:tcPr>
            <w:tcW w:w="1732" w:type="dxa"/>
            <w:vAlign w:val="center"/>
          </w:tcPr>
          <w:p>
            <w:pPr>
              <w:pStyle w:val="101"/>
              <w:jc w:val="center"/>
              <w:rPr>
                <w:rFonts w:ascii="Times New Roman" w:hAnsi="Times New Roman"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5" w:type="dxa"/>
            <w:vAlign w:val="center"/>
          </w:tcPr>
          <w:p>
            <w:pPr>
              <w:pStyle w:val="101"/>
              <w:jc w:val="center"/>
              <w:rPr>
                <w:rFonts w:ascii="Times New Roman" w:hAnsi="Times New Roman" w:eastAsia="仿宋"/>
                <w:sz w:val="21"/>
                <w:szCs w:val="21"/>
              </w:rPr>
            </w:pPr>
            <w:r>
              <w:rPr>
                <w:rFonts w:hint="eastAsia" w:ascii="Times New Roman" w:hAnsi="Times New Roman" w:eastAsia="仿宋"/>
                <w:sz w:val="21"/>
                <w:szCs w:val="21"/>
              </w:rPr>
              <w:t>7</w:t>
            </w:r>
          </w:p>
        </w:tc>
        <w:tc>
          <w:tcPr>
            <w:tcW w:w="3346" w:type="dxa"/>
            <w:gridSpan w:val="2"/>
            <w:vAlign w:val="center"/>
          </w:tcPr>
          <w:p>
            <w:pPr>
              <w:widowControl/>
              <w:jc w:val="center"/>
              <w:rPr>
                <w:rFonts w:eastAsia="仿宋"/>
                <w:szCs w:val="21"/>
              </w:rPr>
            </w:pPr>
          </w:p>
        </w:tc>
        <w:tc>
          <w:tcPr>
            <w:tcW w:w="1281" w:type="dxa"/>
            <w:vAlign w:val="center"/>
          </w:tcPr>
          <w:p>
            <w:pPr>
              <w:pStyle w:val="101"/>
              <w:jc w:val="center"/>
              <w:rPr>
                <w:rFonts w:ascii="Times New Roman" w:hAnsi="Times New Roman" w:eastAsia="仿宋"/>
                <w:sz w:val="21"/>
                <w:szCs w:val="21"/>
              </w:rPr>
            </w:pPr>
          </w:p>
        </w:tc>
        <w:tc>
          <w:tcPr>
            <w:tcW w:w="1430" w:type="dxa"/>
            <w:vAlign w:val="center"/>
          </w:tcPr>
          <w:p>
            <w:pPr>
              <w:pStyle w:val="101"/>
              <w:jc w:val="center"/>
              <w:rPr>
                <w:rFonts w:ascii="Times New Roman" w:hAnsi="Times New Roman" w:eastAsia="仿宋"/>
                <w:sz w:val="21"/>
                <w:szCs w:val="21"/>
              </w:rPr>
            </w:pPr>
          </w:p>
        </w:tc>
        <w:tc>
          <w:tcPr>
            <w:tcW w:w="1732" w:type="dxa"/>
            <w:vAlign w:val="center"/>
          </w:tcPr>
          <w:p>
            <w:pPr>
              <w:pStyle w:val="101"/>
              <w:jc w:val="center"/>
              <w:rPr>
                <w:rFonts w:ascii="Times New Roman" w:hAnsi="Times New Roman"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5" w:type="dxa"/>
            <w:vAlign w:val="center"/>
          </w:tcPr>
          <w:p>
            <w:pPr>
              <w:pStyle w:val="101"/>
              <w:jc w:val="center"/>
              <w:rPr>
                <w:rFonts w:ascii="Times New Roman" w:hAnsi="Times New Roman" w:eastAsia="仿宋"/>
                <w:sz w:val="21"/>
                <w:szCs w:val="21"/>
              </w:rPr>
            </w:pPr>
            <w:r>
              <w:rPr>
                <w:rFonts w:hint="eastAsia" w:ascii="Times New Roman" w:hAnsi="Times New Roman" w:eastAsia="仿宋"/>
                <w:sz w:val="21"/>
                <w:szCs w:val="21"/>
              </w:rPr>
              <w:t>8</w:t>
            </w:r>
          </w:p>
        </w:tc>
        <w:tc>
          <w:tcPr>
            <w:tcW w:w="3346" w:type="dxa"/>
            <w:gridSpan w:val="2"/>
            <w:vAlign w:val="center"/>
          </w:tcPr>
          <w:p>
            <w:pPr>
              <w:widowControl/>
              <w:jc w:val="center"/>
              <w:rPr>
                <w:rFonts w:eastAsia="仿宋"/>
                <w:szCs w:val="21"/>
              </w:rPr>
            </w:pPr>
          </w:p>
        </w:tc>
        <w:tc>
          <w:tcPr>
            <w:tcW w:w="1281" w:type="dxa"/>
            <w:vAlign w:val="center"/>
          </w:tcPr>
          <w:p>
            <w:pPr>
              <w:pStyle w:val="101"/>
              <w:jc w:val="center"/>
              <w:rPr>
                <w:rFonts w:ascii="Times New Roman" w:hAnsi="Times New Roman" w:eastAsia="仿宋"/>
                <w:sz w:val="21"/>
                <w:szCs w:val="21"/>
              </w:rPr>
            </w:pPr>
          </w:p>
        </w:tc>
        <w:tc>
          <w:tcPr>
            <w:tcW w:w="1430" w:type="dxa"/>
            <w:vAlign w:val="center"/>
          </w:tcPr>
          <w:p>
            <w:pPr>
              <w:pStyle w:val="101"/>
              <w:jc w:val="center"/>
              <w:rPr>
                <w:rFonts w:ascii="Times New Roman" w:hAnsi="Times New Roman" w:eastAsia="仿宋"/>
                <w:sz w:val="21"/>
                <w:szCs w:val="21"/>
              </w:rPr>
            </w:pPr>
          </w:p>
        </w:tc>
        <w:tc>
          <w:tcPr>
            <w:tcW w:w="1732" w:type="dxa"/>
            <w:vAlign w:val="center"/>
          </w:tcPr>
          <w:p>
            <w:pPr>
              <w:pStyle w:val="101"/>
              <w:jc w:val="center"/>
              <w:rPr>
                <w:rFonts w:ascii="Times New Roman" w:hAnsi="Times New Roman"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5" w:type="dxa"/>
            <w:vAlign w:val="center"/>
          </w:tcPr>
          <w:p>
            <w:pPr>
              <w:pStyle w:val="101"/>
              <w:jc w:val="center"/>
              <w:rPr>
                <w:rFonts w:ascii="Times New Roman" w:hAnsi="Times New Roman" w:eastAsia="仿宋"/>
                <w:sz w:val="21"/>
                <w:szCs w:val="21"/>
              </w:rPr>
            </w:pPr>
            <w:r>
              <w:rPr>
                <w:rFonts w:hint="eastAsia" w:ascii="Times New Roman" w:hAnsi="Times New Roman" w:eastAsia="仿宋"/>
                <w:sz w:val="21"/>
                <w:szCs w:val="21"/>
              </w:rPr>
              <w:t>9</w:t>
            </w:r>
          </w:p>
        </w:tc>
        <w:tc>
          <w:tcPr>
            <w:tcW w:w="3346" w:type="dxa"/>
            <w:gridSpan w:val="2"/>
            <w:vAlign w:val="center"/>
          </w:tcPr>
          <w:p>
            <w:pPr>
              <w:widowControl/>
              <w:jc w:val="center"/>
              <w:rPr>
                <w:rFonts w:eastAsia="仿宋"/>
                <w:szCs w:val="21"/>
              </w:rPr>
            </w:pPr>
          </w:p>
        </w:tc>
        <w:tc>
          <w:tcPr>
            <w:tcW w:w="1281" w:type="dxa"/>
            <w:vAlign w:val="center"/>
          </w:tcPr>
          <w:p>
            <w:pPr>
              <w:pStyle w:val="101"/>
              <w:jc w:val="center"/>
              <w:rPr>
                <w:rFonts w:ascii="Times New Roman" w:hAnsi="Times New Roman" w:eastAsia="仿宋"/>
                <w:sz w:val="21"/>
                <w:szCs w:val="21"/>
              </w:rPr>
            </w:pPr>
          </w:p>
        </w:tc>
        <w:tc>
          <w:tcPr>
            <w:tcW w:w="1430" w:type="dxa"/>
            <w:vAlign w:val="center"/>
          </w:tcPr>
          <w:p>
            <w:pPr>
              <w:pStyle w:val="101"/>
              <w:jc w:val="center"/>
              <w:rPr>
                <w:rFonts w:ascii="Times New Roman" w:hAnsi="Times New Roman" w:eastAsia="仿宋"/>
                <w:sz w:val="21"/>
                <w:szCs w:val="21"/>
              </w:rPr>
            </w:pPr>
          </w:p>
        </w:tc>
        <w:tc>
          <w:tcPr>
            <w:tcW w:w="1732" w:type="dxa"/>
            <w:vAlign w:val="center"/>
          </w:tcPr>
          <w:p>
            <w:pPr>
              <w:pStyle w:val="101"/>
              <w:jc w:val="center"/>
              <w:rPr>
                <w:rFonts w:ascii="Times New Roman" w:hAnsi="Times New Roman"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5" w:type="dxa"/>
            <w:vAlign w:val="center"/>
          </w:tcPr>
          <w:p>
            <w:pPr>
              <w:pStyle w:val="101"/>
              <w:jc w:val="center"/>
              <w:rPr>
                <w:rFonts w:ascii="Times New Roman" w:hAnsi="Times New Roman" w:eastAsia="仿宋"/>
                <w:sz w:val="21"/>
                <w:szCs w:val="21"/>
              </w:rPr>
            </w:pPr>
            <w:r>
              <w:rPr>
                <w:rFonts w:hint="eastAsia" w:ascii="Times New Roman" w:hAnsi="Times New Roman" w:eastAsia="仿宋"/>
                <w:sz w:val="21"/>
                <w:szCs w:val="21"/>
              </w:rPr>
              <w:t>10</w:t>
            </w:r>
          </w:p>
        </w:tc>
        <w:tc>
          <w:tcPr>
            <w:tcW w:w="3346" w:type="dxa"/>
            <w:gridSpan w:val="2"/>
            <w:vAlign w:val="center"/>
          </w:tcPr>
          <w:p>
            <w:pPr>
              <w:widowControl/>
              <w:jc w:val="center"/>
              <w:rPr>
                <w:rFonts w:eastAsia="仿宋"/>
                <w:szCs w:val="21"/>
              </w:rPr>
            </w:pPr>
          </w:p>
        </w:tc>
        <w:tc>
          <w:tcPr>
            <w:tcW w:w="1281" w:type="dxa"/>
            <w:vAlign w:val="center"/>
          </w:tcPr>
          <w:p>
            <w:pPr>
              <w:pStyle w:val="101"/>
              <w:jc w:val="center"/>
              <w:rPr>
                <w:rFonts w:ascii="Times New Roman" w:hAnsi="Times New Roman" w:eastAsia="仿宋"/>
                <w:sz w:val="21"/>
                <w:szCs w:val="21"/>
              </w:rPr>
            </w:pPr>
          </w:p>
        </w:tc>
        <w:tc>
          <w:tcPr>
            <w:tcW w:w="1430" w:type="dxa"/>
            <w:vAlign w:val="center"/>
          </w:tcPr>
          <w:p>
            <w:pPr>
              <w:pStyle w:val="101"/>
              <w:jc w:val="center"/>
              <w:rPr>
                <w:rFonts w:ascii="Times New Roman" w:hAnsi="Times New Roman" w:eastAsia="仿宋"/>
                <w:sz w:val="21"/>
                <w:szCs w:val="21"/>
              </w:rPr>
            </w:pPr>
          </w:p>
        </w:tc>
        <w:tc>
          <w:tcPr>
            <w:tcW w:w="1732" w:type="dxa"/>
            <w:vAlign w:val="center"/>
          </w:tcPr>
          <w:p>
            <w:pPr>
              <w:pStyle w:val="101"/>
              <w:jc w:val="center"/>
              <w:rPr>
                <w:rFonts w:ascii="Times New Roman" w:hAnsi="Times New Roman"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1" w:hRule="atLeast"/>
          <w:jc w:val="center"/>
        </w:trPr>
        <w:tc>
          <w:tcPr>
            <w:tcW w:w="4171" w:type="dxa"/>
            <w:gridSpan w:val="3"/>
          </w:tcPr>
          <w:p>
            <w:pPr>
              <w:autoSpaceDE w:val="0"/>
              <w:autoSpaceDN w:val="0"/>
              <w:jc w:val="left"/>
              <w:rPr>
                <w:rFonts w:ascii="仿宋" w:hAnsi="仿宋" w:eastAsia="仿宋" w:cs="仿宋"/>
                <w:szCs w:val="21"/>
              </w:rPr>
            </w:pPr>
            <w:r>
              <w:rPr>
                <w:rFonts w:hint="eastAsia" w:ascii="仿宋" w:hAnsi="仿宋" w:eastAsia="仿宋" w:cs="仿宋"/>
                <w:szCs w:val="21"/>
              </w:rPr>
              <w:t>普查作业单位（签字）：</w:t>
            </w:r>
          </w:p>
          <w:p>
            <w:pPr>
              <w:autoSpaceDE w:val="0"/>
              <w:autoSpaceDN w:val="0"/>
              <w:jc w:val="center"/>
            </w:pPr>
          </w:p>
          <w:p>
            <w:pPr>
              <w:autoSpaceDE w:val="0"/>
              <w:autoSpaceDN w:val="0"/>
              <w:ind w:firstLine="1920" w:firstLineChars="800"/>
              <w:rPr>
                <w:rFonts w:ascii="仿宋" w:hAnsi="仿宋" w:eastAsia="仿宋" w:cs="仿宋"/>
                <w:szCs w:val="21"/>
              </w:rPr>
            </w:pPr>
            <w:r>
              <w:rPr>
                <w:rFonts w:hint="eastAsia" w:ascii="仿宋" w:hAnsi="仿宋" w:eastAsia="仿宋" w:cs="仿宋"/>
                <w:szCs w:val="21"/>
              </w:rPr>
              <w:t>（盖章）：</w:t>
            </w:r>
          </w:p>
          <w:p>
            <w:pPr>
              <w:autoSpaceDE w:val="0"/>
              <w:autoSpaceDN w:val="0"/>
              <w:jc w:val="center"/>
              <w:rPr>
                <w:rFonts w:ascii="仿宋" w:hAnsi="仿宋" w:eastAsia="仿宋" w:cs="仿宋"/>
                <w:szCs w:val="21"/>
              </w:rPr>
            </w:pPr>
          </w:p>
          <w:p>
            <w:pPr>
              <w:autoSpaceDE w:val="0"/>
              <w:autoSpaceDN w:val="0"/>
              <w:jc w:val="center"/>
              <w:rPr>
                <w:rFonts w:ascii="仿宋" w:hAnsi="仿宋" w:eastAsia="仿宋" w:cs="仿宋"/>
                <w:szCs w:val="21"/>
              </w:rPr>
            </w:pPr>
          </w:p>
          <w:p>
            <w:pPr>
              <w:autoSpaceDE w:val="0"/>
              <w:autoSpaceDN w:val="0"/>
              <w:jc w:val="right"/>
              <w:rPr>
                <w:rFonts w:ascii="仿宋" w:hAnsi="仿宋" w:eastAsia="仿宋" w:cs="仿宋"/>
                <w:szCs w:val="21"/>
              </w:rPr>
            </w:pPr>
            <w:r>
              <w:rPr>
                <w:rFonts w:hint="eastAsia" w:ascii="仿宋" w:hAnsi="仿宋" w:eastAsia="仿宋" w:cs="仿宋"/>
                <w:szCs w:val="21"/>
              </w:rPr>
              <w:t>年     月     日</w:t>
            </w:r>
          </w:p>
          <w:p>
            <w:pPr>
              <w:autoSpaceDE w:val="0"/>
              <w:autoSpaceDN w:val="0"/>
              <w:jc w:val="center"/>
              <w:rPr>
                <w:rFonts w:ascii="仿宋" w:hAnsi="仿宋" w:eastAsia="仿宋" w:cs="仿宋"/>
                <w:szCs w:val="21"/>
              </w:rPr>
            </w:pPr>
          </w:p>
          <w:p>
            <w:pPr>
              <w:autoSpaceDE w:val="0"/>
              <w:autoSpaceDN w:val="0"/>
              <w:jc w:val="center"/>
              <w:rPr>
                <w:rFonts w:ascii="仿宋" w:hAnsi="仿宋" w:eastAsia="仿宋" w:cs="仿宋"/>
                <w:szCs w:val="21"/>
              </w:rPr>
            </w:pPr>
          </w:p>
          <w:p>
            <w:pPr>
              <w:autoSpaceDE w:val="0"/>
              <w:autoSpaceDN w:val="0"/>
              <w:jc w:val="center"/>
              <w:rPr>
                <w:rFonts w:ascii="仿宋" w:hAnsi="仿宋" w:eastAsia="仿宋" w:cs="仿宋"/>
                <w:szCs w:val="21"/>
              </w:rPr>
            </w:pPr>
          </w:p>
          <w:p>
            <w:pPr>
              <w:autoSpaceDE w:val="0"/>
              <w:autoSpaceDN w:val="0"/>
              <w:jc w:val="left"/>
              <w:rPr>
                <w:rFonts w:ascii="仿宋" w:hAnsi="仿宋" w:eastAsia="仿宋" w:cs="仿宋"/>
                <w:szCs w:val="21"/>
              </w:rPr>
            </w:pPr>
            <w:r>
              <w:rPr>
                <w:rFonts w:hint="eastAsia" w:ascii="仿宋" w:hAnsi="仿宋" w:eastAsia="仿宋" w:cs="仿宋"/>
                <w:szCs w:val="21"/>
              </w:rPr>
              <w:t>建设单位（签字）：</w:t>
            </w:r>
          </w:p>
          <w:p>
            <w:pPr>
              <w:autoSpaceDE w:val="0"/>
              <w:autoSpaceDN w:val="0"/>
              <w:jc w:val="center"/>
              <w:rPr>
                <w:rFonts w:ascii="仿宋" w:hAnsi="仿宋" w:eastAsia="仿宋" w:cs="仿宋"/>
                <w:szCs w:val="21"/>
              </w:rPr>
            </w:pPr>
          </w:p>
          <w:p>
            <w:pPr>
              <w:autoSpaceDE w:val="0"/>
              <w:autoSpaceDN w:val="0"/>
              <w:jc w:val="center"/>
              <w:rPr>
                <w:rFonts w:ascii="仿宋" w:hAnsi="仿宋" w:eastAsia="仿宋" w:cs="仿宋"/>
                <w:szCs w:val="21"/>
              </w:rPr>
            </w:pPr>
            <w:r>
              <w:rPr>
                <w:rFonts w:hint="eastAsia" w:ascii="仿宋" w:hAnsi="仿宋" w:eastAsia="仿宋" w:cs="仿宋"/>
                <w:szCs w:val="21"/>
              </w:rPr>
              <w:t>（盖章）：</w:t>
            </w:r>
          </w:p>
          <w:p>
            <w:pPr>
              <w:autoSpaceDE w:val="0"/>
              <w:autoSpaceDN w:val="0"/>
              <w:jc w:val="center"/>
              <w:rPr>
                <w:rFonts w:ascii="仿宋" w:hAnsi="仿宋" w:eastAsia="仿宋" w:cs="仿宋"/>
                <w:szCs w:val="21"/>
              </w:rPr>
            </w:pPr>
          </w:p>
          <w:p>
            <w:pPr>
              <w:widowControl/>
              <w:jc w:val="center"/>
              <w:rPr>
                <w:rFonts w:ascii="仿宋" w:hAnsi="仿宋" w:eastAsia="仿宋" w:cs="仿宋"/>
                <w:szCs w:val="21"/>
              </w:rPr>
            </w:pPr>
          </w:p>
          <w:p>
            <w:pPr>
              <w:pStyle w:val="2"/>
              <w:rPr>
                <w:rFonts w:ascii="仿宋" w:hAnsi="仿宋" w:eastAsia="仿宋" w:cs="仿宋"/>
                <w:szCs w:val="21"/>
              </w:rPr>
            </w:pPr>
            <w:r>
              <w:rPr>
                <w:rFonts w:hint="eastAsia" w:ascii="仿宋" w:hAnsi="仿宋" w:eastAsia="仿宋" w:cs="仿宋"/>
                <w:szCs w:val="21"/>
              </w:rPr>
              <w:t>年     月     日</w:t>
            </w:r>
          </w:p>
        </w:tc>
        <w:tc>
          <w:tcPr>
            <w:tcW w:w="4443" w:type="dxa"/>
            <w:gridSpan w:val="3"/>
          </w:tcPr>
          <w:p>
            <w:pPr>
              <w:autoSpaceDE w:val="0"/>
              <w:autoSpaceDN w:val="0"/>
              <w:jc w:val="left"/>
              <w:rPr>
                <w:rFonts w:ascii="仿宋" w:hAnsi="仿宋" w:eastAsia="仿宋" w:cs="仿宋"/>
                <w:szCs w:val="21"/>
              </w:rPr>
            </w:pPr>
            <w:r>
              <w:rPr>
                <w:rFonts w:hint="eastAsia" w:ascii="仿宋" w:hAnsi="仿宋" w:eastAsia="仿宋" w:cs="仿宋"/>
                <w:szCs w:val="21"/>
              </w:rPr>
              <w:t>成果接收单位（签字）：</w:t>
            </w:r>
          </w:p>
          <w:p>
            <w:pPr>
              <w:autoSpaceDE w:val="0"/>
              <w:autoSpaceDN w:val="0"/>
              <w:jc w:val="center"/>
              <w:rPr>
                <w:rFonts w:ascii="仿宋" w:hAnsi="仿宋" w:eastAsia="仿宋" w:cs="仿宋"/>
                <w:szCs w:val="21"/>
              </w:rPr>
            </w:pPr>
          </w:p>
          <w:p>
            <w:pPr>
              <w:autoSpaceDE w:val="0"/>
              <w:autoSpaceDN w:val="0"/>
              <w:jc w:val="center"/>
              <w:rPr>
                <w:rFonts w:ascii="仿宋" w:hAnsi="仿宋" w:eastAsia="仿宋" w:cs="仿宋"/>
                <w:szCs w:val="21"/>
              </w:rPr>
            </w:pPr>
            <w:r>
              <w:rPr>
                <w:rFonts w:hint="eastAsia" w:ascii="仿宋" w:hAnsi="仿宋" w:eastAsia="仿宋" w:cs="仿宋"/>
                <w:szCs w:val="21"/>
              </w:rPr>
              <w:t>（盖章）：</w:t>
            </w:r>
          </w:p>
          <w:p>
            <w:pPr>
              <w:autoSpaceDE w:val="0"/>
              <w:autoSpaceDN w:val="0"/>
              <w:jc w:val="center"/>
              <w:rPr>
                <w:rFonts w:ascii="仿宋" w:hAnsi="仿宋" w:eastAsia="仿宋" w:cs="仿宋"/>
                <w:szCs w:val="21"/>
              </w:rPr>
            </w:pPr>
          </w:p>
          <w:p>
            <w:pPr>
              <w:widowControl/>
              <w:jc w:val="center"/>
              <w:rPr>
                <w:rFonts w:ascii="仿宋" w:hAnsi="仿宋" w:eastAsia="仿宋" w:cs="仿宋"/>
                <w:szCs w:val="21"/>
              </w:rPr>
            </w:pPr>
          </w:p>
          <w:p>
            <w:pPr>
              <w:pStyle w:val="101"/>
              <w:jc w:val="right"/>
              <w:rPr>
                <w:rFonts w:ascii="Times New Roman" w:hAnsi="Times New Roman" w:eastAsia="仿宋"/>
                <w:sz w:val="21"/>
                <w:szCs w:val="21"/>
              </w:rPr>
            </w:pPr>
            <w:r>
              <w:rPr>
                <w:rFonts w:hint="eastAsia" w:ascii="仿宋" w:hAnsi="仿宋" w:eastAsia="仿宋" w:cs="仿宋"/>
                <w:sz w:val="21"/>
                <w:szCs w:val="21"/>
              </w:rPr>
              <w:t>年     月     日</w:t>
            </w:r>
          </w:p>
        </w:tc>
      </w:tr>
    </w:tbl>
    <w:p>
      <w:pPr>
        <w:pStyle w:val="2"/>
        <w:jc w:val="left"/>
        <w:sectPr>
          <w:pgSz w:w="11906" w:h="16838"/>
          <w:pgMar w:top="1417" w:right="1417" w:bottom="1417" w:left="1531" w:header="851" w:footer="992" w:gutter="0"/>
          <w:cols w:space="720" w:num="1"/>
          <w:docGrid w:type="lines" w:linePitch="319" w:charSpace="0"/>
        </w:sectPr>
      </w:pPr>
    </w:p>
    <w:p>
      <w:pPr>
        <w:jc w:val="center"/>
        <w:outlineLvl w:val="1"/>
        <w:rPr>
          <w:rFonts w:eastAsia="仿宋"/>
          <w:b/>
          <w:bCs/>
          <w:sz w:val="28"/>
          <w:szCs w:val="28"/>
        </w:rPr>
      </w:pPr>
      <w:bookmarkStart w:id="1798" w:name="_Toc16508"/>
      <w:bookmarkStart w:id="1799" w:name="_Toc22627"/>
      <w:bookmarkStart w:id="1800" w:name="_Toc4511"/>
      <w:bookmarkStart w:id="1801" w:name="_Toc8177"/>
      <w:bookmarkStart w:id="1802" w:name="_Toc26511"/>
      <w:bookmarkStart w:id="1803" w:name="_Toc32626"/>
      <w:bookmarkStart w:id="1804" w:name="_Toc30792"/>
      <w:bookmarkStart w:id="1805" w:name="_Toc30427"/>
      <w:r>
        <w:rPr>
          <w:rFonts w:hint="eastAsia" w:eastAsia="仿宋"/>
          <w:b/>
          <w:bCs/>
          <w:sz w:val="28"/>
          <w:szCs w:val="28"/>
        </w:rPr>
        <w:t>附录</w:t>
      </w:r>
      <w:r>
        <w:rPr>
          <w:rFonts w:eastAsia="仿宋"/>
          <w:b/>
          <w:bCs/>
          <w:sz w:val="28"/>
          <w:szCs w:val="28"/>
        </w:rPr>
        <w:t xml:space="preserve">G </w:t>
      </w:r>
      <w:r>
        <w:rPr>
          <w:rFonts w:hint="eastAsia" w:eastAsia="仿宋"/>
          <w:b/>
          <w:bCs/>
          <w:sz w:val="28"/>
          <w:szCs w:val="28"/>
        </w:rPr>
        <w:t>普查更新成果核验记录表</w:t>
      </w:r>
      <w:bookmarkEnd w:id="1798"/>
      <w:bookmarkEnd w:id="1799"/>
      <w:bookmarkEnd w:id="1800"/>
      <w:bookmarkEnd w:id="1801"/>
      <w:bookmarkEnd w:id="1802"/>
      <w:bookmarkEnd w:id="1803"/>
      <w:bookmarkEnd w:id="1804"/>
      <w:bookmarkEnd w:id="1805"/>
    </w:p>
    <w:p>
      <w:pPr>
        <w:jc w:val="left"/>
        <w:rPr>
          <w:rFonts w:ascii="方正仿宋_GBK" w:hAnsi="方正仿宋_GBK" w:eastAsia="方正仿宋_GBK" w:cs="方正仿宋_GBK"/>
          <w:b/>
          <w:bCs/>
          <w:sz w:val="24"/>
        </w:rPr>
      </w:pPr>
      <w:r>
        <w:rPr>
          <w:rFonts w:hint="eastAsia" w:ascii="方正仿宋_GBK" w:hAnsi="方正仿宋_GBK" w:eastAsia="方正仿宋_GBK" w:cs="方正仿宋_GBK"/>
          <w:sz w:val="24"/>
        </w:rPr>
        <w:t>项目名称：                                   测区：                         普查作业单位：</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715"/>
        <w:gridCol w:w="1423"/>
        <w:gridCol w:w="1747"/>
        <w:gridCol w:w="3780"/>
        <w:gridCol w:w="3268"/>
        <w:gridCol w:w="1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68" w:type="dxa"/>
            <w:vAlign w:val="center"/>
          </w:tcPr>
          <w:p>
            <w:pPr>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序号</w:t>
            </w:r>
          </w:p>
        </w:tc>
        <w:tc>
          <w:tcPr>
            <w:tcW w:w="1715" w:type="dxa"/>
            <w:vAlign w:val="center"/>
          </w:tcPr>
          <w:p>
            <w:pPr>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图幅号</w:t>
            </w:r>
          </w:p>
        </w:tc>
        <w:tc>
          <w:tcPr>
            <w:tcW w:w="1423" w:type="dxa"/>
            <w:vAlign w:val="center"/>
          </w:tcPr>
          <w:p>
            <w:pPr>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管线类型</w:t>
            </w:r>
          </w:p>
        </w:tc>
        <w:tc>
          <w:tcPr>
            <w:tcW w:w="1747" w:type="dxa"/>
            <w:vAlign w:val="center"/>
          </w:tcPr>
          <w:p>
            <w:pPr>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相关点号</w:t>
            </w:r>
          </w:p>
        </w:tc>
        <w:tc>
          <w:tcPr>
            <w:tcW w:w="3780" w:type="dxa"/>
            <w:vAlign w:val="center"/>
          </w:tcPr>
          <w:p>
            <w:pPr>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问题描述</w:t>
            </w:r>
          </w:p>
        </w:tc>
        <w:tc>
          <w:tcPr>
            <w:tcW w:w="3268" w:type="dxa"/>
            <w:vAlign w:val="center"/>
          </w:tcPr>
          <w:p>
            <w:pPr>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整改措施</w:t>
            </w:r>
          </w:p>
        </w:tc>
        <w:tc>
          <w:tcPr>
            <w:tcW w:w="1758" w:type="dxa"/>
            <w:vAlign w:val="center"/>
          </w:tcPr>
          <w:p>
            <w:pPr>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整改人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68" w:type="dxa"/>
            <w:vAlign w:val="center"/>
          </w:tcPr>
          <w:p>
            <w:pPr>
              <w:jc w:val="center"/>
              <w:rPr>
                <w:rFonts w:ascii="方正仿宋_GBK" w:hAnsi="方正仿宋_GBK" w:eastAsia="方正仿宋_GBK" w:cs="方正仿宋_GBK"/>
                <w:sz w:val="24"/>
              </w:rPr>
            </w:pPr>
          </w:p>
        </w:tc>
        <w:tc>
          <w:tcPr>
            <w:tcW w:w="1715" w:type="dxa"/>
            <w:vAlign w:val="center"/>
          </w:tcPr>
          <w:p>
            <w:pPr>
              <w:jc w:val="center"/>
              <w:rPr>
                <w:rFonts w:ascii="方正仿宋_GBK" w:hAnsi="方正仿宋_GBK" w:eastAsia="方正仿宋_GBK" w:cs="方正仿宋_GBK"/>
                <w:sz w:val="24"/>
              </w:rPr>
            </w:pPr>
          </w:p>
        </w:tc>
        <w:tc>
          <w:tcPr>
            <w:tcW w:w="1423" w:type="dxa"/>
            <w:vAlign w:val="center"/>
          </w:tcPr>
          <w:p>
            <w:pPr>
              <w:jc w:val="center"/>
              <w:rPr>
                <w:rFonts w:ascii="方正仿宋_GBK" w:hAnsi="方正仿宋_GBK" w:eastAsia="方正仿宋_GBK" w:cs="方正仿宋_GBK"/>
                <w:sz w:val="24"/>
              </w:rPr>
            </w:pPr>
          </w:p>
        </w:tc>
        <w:tc>
          <w:tcPr>
            <w:tcW w:w="1747" w:type="dxa"/>
            <w:vAlign w:val="center"/>
          </w:tcPr>
          <w:p>
            <w:pPr>
              <w:jc w:val="center"/>
              <w:rPr>
                <w:rFonts w:ascii="方正仿宋_GBK" w:hAnsi="方正仿宋_GBK" w:eastAsia="方正仿宋_GBK" w:cs="方正仿宋_GBK"/>
                <w:sz w:val="24"/>
              </w:rPr>
            </w:pPr>
          </w:p>
        </w:tc>
        <w:tc>
          <w:tcPr>
            <w:tcW w:w="3780" w:type="dxa"/>
            <w:vAlign w:val="center"/>
          </w:tcPr>
          <w:p>
            <w:pPr>
              <w:jc w:val="center"/>
              <w:rPr>
                <w:rFonts w:ascii="方正仿宋_GBK" w:hAnsi="方正仿宋_GBK" w:eastAsia="方正仿宋_GBK" w:cs="方正仿宋_GBK"/>
                <w:sz w:val="24"/>
              </w:rPr>
            </w:pPr>
          </w:p>
        </w:tc>
        <w:tc>
          <w:tcPr>
            <w:tcW w:w="3268" w:type="dxa"/>
            <w:vAlign w:val="center"/>
          </w:tcPr>
          <w:p>
            <w:pPr>
              <w:jc w:val="center"/>
              <w:rPr>
                <w:rFonts w:ascii="方正仿宋_GBK" w:hAnsi="方正仿宋_GBK" w:eastAsia="方正仿宋_GBK" w:cs="方正仿宋_GBK"/>
                <w:sz w:val="24"/>
              </w:rPr>
            </w:pPr>
          </w:p>
        </w:tc>
        <w:tc>
          <w:tcPr>
            <w:tcW w:w="1758" w:type="dxa"/>
            <w:vAlign w:val="center"/>
          </w:tcPr>
          <w:p>
            <w:pPr>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68" w:type="dxa"/>
            <w:vAlign w:val="center"/>
          </w:tcPr>
          <w:p>
            <w:pPr>
              <w:jc w:val="center"/>
              <w:rPr>
                <w:rFonts w:ascii="方正仿宋_GBK" w:hAnsi="方正仿宋_GBK" w:eastAsia="方正仿宋_GBK" w:cs="方正仿宋_GBK"/>
                <w:sz w:val="24"/>
              </w:rPr>
            </w:pPr>
          </w:p>
        </w:tc>
        <w:tc>
          <w:tcPr>
            <w:tcW w:w="1715" w:type="dxa"/>
            <w:vAlign w:val="center"/>
          </w:tcPr>
          <w:p>
            <w:pPr>
              <w:jc w:val="center"/>
              <w:rPr>
                <w:rFonts w:ascii="方正仿宋_GBK" w:hAnsi="方正仿宋_GBK" w:eastAsia="方正仿宋_GBK" w:cs="方正仿宋_GBK"/>
                <w:sz w:val="24"/>
              </w:rPr>
            </w:pPr>
          </w:p>
        </w:tc>
        <w:tc>
          <w:tcPr>
            <w:tcW w:w="1423" w:type="dxa"/>
            <w:vAlign w:val="center"/>
          </w:tcPr>
          <w:p>
            <w:pPr>
              <w:jc w:val="center"/>
              <w:rPr>
                <w:rFonts w:ascii="方正仿宋_GBK" w:hAnsi="方正仿宋_GBK" w:eastAsia="方正仿宋_GBK" w:cs="方正仿宋_GBK"/>
                <w:sz w:val="24"/>
              </w:rPr>
            </w:pPr>
          </w:p>
        </w:tc>
        <w:tc>
          <w:tcPr>
            <w:tcW w:w="1747" w:type="dxa"/>
            <w:vAlign w:val="center"/>
          </w:tcPr>
          <w:p>
            <w:pPr>
              <w:jc w:val="center"/>
              <w:rPr>
                <w:rFonts w:ascii="方正仿宋_GBK" w:hAnsi="方正仿宋_GBK" w:eastAsia="方正仿宋_GBK" w:cs="方正仿宋_GBK"/>
                <w:sz w:val="24"/>
              </w:rPr>
            </w:pPr>
          </w:p>
        </w:tc>
        <w:tc>
          <w:tcPr>
            <w:tcW w:w="3780" w:type="dxa"/>
            <w:vAlign w:val="center"/>
          </w:tcPr>
          <w:p>
            <w:pPr>
              <w:jc w:val="center"/>
              <w:rPr>
                <w:rFonts w:ascii="方正仿宋_GBK" w:hAnsi="方正仿宋_GBK" w:eastAsia="方正仿宋_GBK" w:cs="方正仿宋_GBK"/>
                <w:sz w:val="24"/>
              </w:rPr>
            </w:pPr>
          </w:p>
        </w:tc>
        <w:tc>
          <w:tcPr>
            <w:tcW w:w="3268" w:type="dxa"/>
            <w:vAlign w:val="center"/>
          </w:tcPr>
          <w:p>
            <w:pPr>
              <w:jc w:val="center"/>
              <w:rPr>
                <w:rFonts w:ascii="方正仿宋_GBK" w:hAnsi="方正仿宋_GBK" w:eastAsia="方正仿宋_GBK" w:cs="方正仿宋_GBK"/>
                <w:sz w:val="24"/>
              </w:rPr>
            </w:pPr>
          </w:p>
        </w:tc>
        <w:tc>
          <w:tcPr>
            <w:tcW w:w="1758" w:type="dxa"/>
            <w:vAlign w:val="center"/>
          </w:tcPr>
          <w:p>
            <w:pPr>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68" w:type="dxa"/>
            <w:vAlign w:val="center"/>
          </w:tcPr>
          <w:p>
            <w:pPr>
              <w:jc w:val="center"/>
              <w:rPr>
                <w:rFonts w:ascii="方正仿宋_GBK" w:hAnsi="方正仿宋_GBK" w:eastAsia="方正仿宋_GBK" w:cs="方正仿宋_GBK"/>
                <w:sz w:val="24"/>
              </w:rPr>
            </w:pPr>
          </w:p>
        </w:tc>
        <w:tc>
          <w:tcPr>
            <w:tcW w:w="1715" w:type="dxa"/>
            <w:vAlign w:val="center"/>
          </w:tcPr>
          <w:p>
            <w:pPr>
              <w:jc w:val="center"/>
              <w:rPr>
                <w:rFonts w:ascii="方正仿宋_GBK" w:hAnsi="方正仿宋_GBK" w:eastAsia="方正仿宋_GBK" w:cs="方正仿宋_GBK"/>
                <w:sz w:val="24"/>
              </w:rPr>
            </w:pPr>
          </w:p>
        </w:tc>
        <w:tc>
          <w:tcPr>
            <w:tcW w:w="1423" w:type="dxa"/>
            <w:vAlign w:val="center"/>
          </w:tcPr>
          <w:p>
            <w:pPr>
              <w:jc w:val="center"/>
              <w:rPr>
                <w:rFonts w:ascii="方正仿宋_GBK" w:hAnsi="方正仿宋_GBK" w:eastAsia="方正仿宋_GBK" w:cs="方正仿宋_GBK"/>
                <w:sz w:val="24"/>
              </w:rPr>
            </w:pPr>
          </w:p>
        </w:tc>
        <w:tc>
          <w:tcPr>
            <w:tcW w:w="1747" w:type="dxa"/>
            <w:vAlign w:val="center"/>
          </w:tcPr>
          <w:p>
            <w:pPr>
              <w:jc w:val="center"/>
              <w:rPr>
                <w:rFonts w:ascii="方正仿宋_GBK" w:hAnsi="方正仿宋_GBK" w:eastAsia="方正仿宋_GBK" w:cs="方正仿宋_GBK"/>
                <w:sz w:val="24"/>
              </w:rPr>
            </w:pPr>
          </w:p>
        </w:tc>
        <w:tc>
          <w:tcPr>
            <w:tcW w:w="3780" w:type="dxa"/>
            <w:vAlign w:val="center"/>
          </w:tcPr>
          <w:p>
            <w:pPr>
              <w:jc w:val="center"/>
              <w:rPr>
                <w:rFonts w:ascii="方正仿宋_GBK" w:hAnsi="方正仿宋_GBK" w:eastAsia="方正仿宋_GBK" w:cs="方正仿宋_GBK"/>
                <w:sz w:val="24"/>
              </w:rPr>
            </w:pPr>
          </w:p>
        </w:tc>
        <w:tc>
          <w:tcPr>
            <w:tcW w:w="3268" w:type="dxa"/>
            <w:vAlign w:val="center"/>
          </w:tcPr>
          <w:p>
            <w:pPr>
              <w:jc w:val="center"/>
              <w:rPr>
                <w:rFonts w:ascii="方正仿宋_GBK" w:hAnsi="方正仿宋_GBK" w:eastAsia="方正仿宋_GBK" w:cs="方正仿宋_GBK"/>
                <w:sz w:val="24"/>
              </w:rPr>
            </w:pPr>
          </w:p>
        </w:tc>
        <w:tc>
          <w:tcPr>
            <w:tcW w:w="1758" w:type="dxa"/>
            <w:vAlign w:val="center"/>
          </w:tcPr>
          <w:p>
            <w:pPr>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68" w:type="dxa"/>
            <w:vAlign w:val="center"/>
          </w:tcPr>
          <w:p>
            <w:pPr>
              <w:jc w:val="center"/>
              <w:rPr>
                <w:rFonts w:ascii="方正仿宋_GBK" w:hAnsi="方正仿宋_GBK" w:eastAsia="方正仿宋_GBK" w:cs="方正仿宋_GBK"/>
                <w:sz w:val="24"/>
              </w:rPr>
            </w:pPr>
          </w:p>
        </w:tc>
        <w:tc>
          <w:tcPr>
            <w:tcW w:w="1715" w:type="dxa"/>
            <w:vAlign w:val="center"/>
          </w:tcPr>
          <w:p>
            <w:pPr>
              <w:jc w:val="center"/>
              <w:rPr>
                <w:rFonts w:ascii="方正仿宋_GBK" w:hAnsi="方正仿宋_GBK" w:eastAsia="方正仿宋_GBK" w:cs="方正仿宋_GBK"/>
                <w:sz w:val="24"/>
              </w:rPr>
            </w:pPr>
          </w:p>
        </w:tc>
        <w:tc>
          <w:tcPr>
            <w:tcW w:w="1423" w:type="dxa"/>
            <w:vAlign w:val="center"/>
          </w:tcPr>
          <w:p>
            <w:pPr>
              <w:jc w:val="center"/>
              <w:rPr>
                <w:rFonts w:ascii="方正仿宋_GBK" w:hAnsi="方正仿宋_GBK" w:eastAsia="方正仿宋_GBK" w:cs="方正仿宋_GBK"/>
                <w:sz w:val="24"/>
              </w:rPr>
            </w:pPr>
          </w:p>
        </w:tc>
        <w:tc>
          <w:tcPr>
            <w:tcW w:w="1747" w:type="dxa"/>
            <w:vAlign w:val="center"/>
          </w:tcPr>
          <w:p>
            <w:pPr>
              <w:jc w:val="center"/>
              <w:rPr>
                <w:rFonts w:ascii="方正仿宋_GBK" w:hAnsi="方正仿宋_GBK" w:eastAsia="方正仿宋_GBK" w:cs="方正仿宋_GBK"/>
                <w:sz w:val="24"/>
              </w:rPr>
            </w:pPr>
          </w:p>
        </w:tc>
        <w:tc>
          <w:tcPr>
            <w:tcW w:w="3780" w:type="dxa"/>
            <w:vAlign w:val="center"/>
          </w:tcPr>
          <w:p>
            <w:pPr>
              <w:jc w:val="center"/>
              <w:rPr>
                <w:rFonts w:ascii="方正仿宋_GBK" w:hAnsi="方正仿宋_GBK" w:eastAsia="方正仿宋_GBK" w:cs="方正仿宋_GBK"/>
                <w:sz w:val="24"/>
              </w:rPr>
            </w:pPr>
          </w:p>
        </w:tc>
        <w:tc>
          <w:tcPr>
            <w:tcW w:w="3268" w:type="dxa"/>
            <w:vAlign w:val="center"/>
          </w:tcPr>
          <w:p>
            <w:pPr>
              <w:jc w:val="center"/>
              <w:rPr>
                <w:rFonts w:ascii="方正仿宋_GBK" w:hAnsi="方正仿宋_GBK" w:eastAsia="方正仿宋_GBK" w:cs="方正仿宋_GBK"/>
                <w:sz w:val="24"/>
              </w:rPr>
            </w:pPr>
          </w:p>
        </w:tc>
        <w:tc>
          <w:tcPr>
            <w:tcW w:w="1758" w:type="dxa"/>
            <w:vAlign w:val="center"/>
          </w:tcPr>
          <w:p>
            <w:pPr>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68" w:type="dxa"/>
            <w:vAlign w:val="center"/>
          </w:tcPr>
          <w:p>
            <w:pPr>
              <w:jc w:val="center"/>
              <w:rPr>
                <w:rFonts w:ascii="方正仿宋_GBK" w:hAnsi="方正仿宋_GBK" w:eastAsia="方正仿宋_GBK" w:cs="方正仿宋_GBK"/>
                <w:sz w:val="24"/>
              </w:rPr>
            </w:pPr>
          </w:p>
        </w:tc>
        <w:tc>
          <w:tcPr>
            <w:tcW w:w="1715" w:type="dxa"/>
            <w:vAlign w:val="center"/>
          </w:tcPr>
          <w:p>
            <w:pPr>
              <w:jc w:val="center"/>
              <w:rPr>
                <w:rFonts w:ascii="方正仿宋_GBK" w:hAnsi="方正仿宋_GBK" w:eastAsia="方正仿宋_GBK" w:cs="方正仿宋_GBK"/>
                <w:sz w:val="24"/>
              </w:rPr>
            </w:pPr>
          </w:p>
        </w:tc>
        <w:tc>
          <w:tcPr>
            <w:tcW w:w="1423" w:type="dxa"/>
            <w:vAlign w:val="center"/>
          </w:tcPr>
          <w:p>
            <w:pPr>
              <w:jc w:val="center"/>
              <w:rPr>
                <w:rFonts w:ascii="方正仿宋_GBK" w:hAnsi="方正仿宋_GBK" w:eastAsia="方正仿宋_GBK" w:cs="方正仿宋_GBK"/>
                <w:sz w:val="24"/>
              </w:rPr>
            </w:pPr>
          </w:p>
        </w:tc>
        <w:tc>
          <w:tcPr>
            <w:tcW w:w="1747" w:type="dxa"/>
            <w:vAlign w:val="center"/>
          </w:tcPr>
          <w:p>
            <w:pPr>
              <w:jc w:val="center"/>
              <w:rPr>
                <w:rFonts w:ascii="方正仿宋_GBK" w:hAnsi="方正仿宋_GBK" w:eastAsia="方正仿宋_GBK" w:cs="方正仿宋_GBK"/>
                <w:sz w:val="24"/>
              </w:rPr>
            </w:pPr>
          </w:p>
        </w:tc>
        <w:tc>
          <w:tcPr>
            <w:tcW w:w="3780" w:type="dxa"/>
            <w:vAlign w:val="center"/>
          </w:tcPr>
          <w:p>
            <w:pPr>
              <w:jc w:val="center"/>
              <w:rPr>
                <w:rFonts w:ascii="方正仿宋_GBK" w:hAnsi="方正仿宋_GBK" w:eastAsia="方正仿宋_GBK" w:cs="方正仿宋_GBK"/>
                <w:sz w:val="24"/>
              </w:rPr>
            </w:pPr>
          </w:p>
        </w:tc>
        <w:tc>
          <w:tcPr>
            <w:tcW w:w="3268" w:type="dxa"/>
            <w:vAlign w:val="center"/>
          </w:tcPr>
          <w:p>
            <w:pPr>
              <w:jc w:val="center"/>
              <w:rPr>
                <w:rFonts w:ascii="方正仿宋_GBK" w:hAnsi="方正仿宋_GBK" w:eastAsia="方正仿宋_GBK" w:cs="方正仿宋_GBK"/>
                <w:sz w:val="24"/>
              </w:rPr>
            </w:pPr>
          </w:p>
        </w:tc>
        <w:tc>
          <w:tcPr>
            <w:tcW w:w="1758" w:type="dxa"/>
            <w:vAlign w:val="center"/>
          </w:tcPr>
          <w:p>
            <w:pPr>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68" w:type="dxa"/>
            <w:vAlign w:val="center"/>
          </w:tcPr>
          <w:p>
            <w:pPr>
              <w:jc w:val="center"/>
              <w:rPr>
                <w:rFonts w:ascii="方正仿宋_GBK" w:hAnsi="方正仿宋_GBK" w:eastAsia="方正仿宋_GBK" w:cs="方正仿宋_GBK"/>
                <w:sz w:val="24"/>
              </w:rPr>
            </w:pPr>
          </w:p>
        </w:tc>
        <w:tc>
          <w:tcPr>
            <w:tcW w:w="1715" w:type="dxa"/>
            <w:vAlign w:val="center"/>
          </w:tcPr>
          <w:p>
            <w:pPr>
              <w:jc w:val="center"/>
              <w:rPr>
                <w:rFonts w:ascii="方正仿宋_GBK" w:hAnsi="方正仿宋_GBK" w:eastAsia="方正仿宋_GBK" w:cs="方正仿宋_GBK"/>
                <w:sz w:val="24"/>
              </w:rPr>
            </w:pPr>
          </w:p>
        </w:tc>
        <w:tc>
          <w:tcPr>
            <w:tcW w:w="1423" w:type="dxa"/>
            <w:vAlign w:val="center"/>
          </w:tcPr>
          <w:p>
            <w:pPr>
              <w:jc w:val="center"/>
              <w:rPr>
                <w:rFonts w:ascii="方正仿宋_GBK" w:hAnsi="方正仿宋_GBK" w:eastAsia="方正仿宋_GBK" w:cs="方正仿宋_GBK"/>
                <w:sz w:val="24"/>
              </w:rPr>
            </w:pPr>
          </w:p>
        </w:tc>
        <w:tc>
          <w:tcPr>
            <w:tcW w:w="1747" w:type="dxa"/>
            <w:vAlign w:val="center"/>
          </w:tcPr>
          <w:p>
            <w:pPr>
              <w:jc w:val="center"/>
              <w:rPr>
                <w:rFonts w:ascii="方正仿宋_GBK" w:hAnsi="方正仿宋_GBK" w:eastAsia="方正仿宋_GBK" w:cs="方正仿宋_GBK"/>
                <w:sz w:val="24"/>
              </w:rPr>
            </w:pPr>
          </w:p>
        </w:tc>
        <w:tc>
          <w:tcPr>
            <w:tcW w:w="3780" w:type="dxa"/>
            <w:vAlign w:val="center"/>
          </w:tcPr>
          <w:p>
            <w:pPr>
              <w:jc w:val="center"/>
              <w:rPr>
                <w:rFonts w:ascii="方正仿宋_GBK" w:hAnsi="方正仿宋_GBK" w:eastAsia="方正仿宋_GBK" w:cs="方正仿宋_GBK"/>
                <w:sz w:val="24"/>
              </w:rPr>
            </w:pPr>
          </w:p>
        </w:tc>
        <w:tc>
          <w:tcPr>
            <w:tcW w:w="3268" w:type="dxa"/>
            <w:vAlign w:val="center"/>
          </w:tcPr>
          <w:p>
            <w:pPr>
              <w:jc w:val="center"/>
              <w:rPr>
                <w:rFonts w:ascii="方正仿宋_GBK" w:hAnsi="方正仿宋_GBK" w:eastAsia="方正仿宋_GBK" w:cs="方正仿宋_GBK"/>
                <w:sz w:val="24"/>
              </w:rPr>
            </w:pPr>
          </w:p>
        </w:tc>
        <w:tc>
          <w:tcPr>
            <w:tcW w:w="1758" w:type="dxa"/>
            <w:vAlign w:val="center"/>
          </w:tcPr>
          <w:p>
            <w:pPr>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68" w:type="dxa"/>
            <w:vAlign w:val="center"/>
          </w:tcPr>
          <w:p>
            <w:pPr>
              <w:jc w:val="center"/>
              <w:rPr>
                <w:rFonts w:ascii="方正仿宋_GBK" w:hAnsi="方正仿宋_GBK" w:eastAsia="方正仿宋_GBK" w:cs="方正仿宋_GBK"/>
                <w:sz w:val="24"/>
              </w:rPr>
            </w:pPr>
          </w:p>
        </w:tc>
        <w:tc>
          <w:tcPr>
            <w:tcW w:w="1715" w:type="dxa"/>
            <w:vAlign w:val="center"/>
          </w:tcPr>
          <w:p>
            <w:pPr>
              <w:jc w:val="center"/>
              <w:rPr>
                <w:rFonts w:ascii="方正仿宋_GBK" w:hAnsi="方正仿宋_GBK" w:eastAsia="方正仿宋_GBK" w:cs="方正仿宋_GBK"/>
                <w:sz w:val="24"/>
              </w:rPr>
            </w:pPr>
          </w:p>
        </w:tc>
        <w:tc>
          <w:tcPr>
            <w:tcW w:w="1423" w:type="dxa"/>
            <w:vAlign w:val="center"/>
          </w:tcPr>
          <w:p>
            <w:pPr>
              <w:jc w:val="center"/>
              <w:rPr>
                <w:rFonts w:ascii="方正仿宋_GBK" w:hAnsi="方正仿宋_GBK" w:eastAsia="方正仿宋_GBK" w:cs="方正仿宋_GBK"/>
                <w:sz w:val="24"/>
              </w:rPr>
            </w:pPr>
          </w:p>
        </w:tc>
        <w:tc>
          <w:tcPr>
            <w:tcW w:w="1747" w:type="dxa"/>
            <w:vAlign w:val="center"/>
          </w:tcPr>
          <w:p>
            <w:pPr>
              <w:jc w:val="center"/>
              <w:rPr>
                <w:rFonts w:ascii="方正仿宋_GBK" w:hAnsi="方正仿宋_GBK" w:eastAsia="方正仿宋_GBK" w:cs="方正仿宋_GBK"/>
                <w:sz w:val="24"/>
              </w:rPr>
            </w:pPr>
          </w:p>
        </w:tc>
        <w:tc>
          <w:tcPr>
            <w:tcW w:w="3780" w:type="dxa"/>
            <w:vAlign w:val="center"/>
          </w:tcPr>
          <w:p>
            <w:pPr>
              <w:jc w:val="center"/>
              <w:rPr>
                <w:rFonts w:ascii="方正仿宋_GBK" w:hAnsi="方正仿宋_GBK" w:eastAsia="方正仿宋_GBK" w:cs="方正仿宋_GBK"/>
                <w:sz w:val="24"/>
              </w:rPr>
            </w:pPr>
          </w:p>
        </w:tc>
        <w:tc>
          <w:tcPr>
            <w:tcW w:w="3268" w:type="dxa"/>
            <w:vAlign w:val="center"/>
          </w:tcPr>
          <w:p>
            <w:pPr>
              <w:jc w:val="center"/>
              <w:rPr>
                <w:rFonts w:ascii="方正仿宋_GBK" w:hAnsi="方正仿宋_GBK" w:eastAsia="方正仿宋_GBK" w:cs="方正仿宋_GBK"/>
                <w:sz w:val="24"/>
              </w:rPr>
            </w:pPr>
          </w:p>
        </w:tc>
        <w:tc>
          <w:tcPr>
            <w:tcW w:w="1758" w:type="dxa"/>
            <w:vAlign w:val="center"/>
          </w:tcPr>
          <w:p>
            <w:pPr>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68" w:type="dxa"/>
            <w:vAlign w:val="center"/>
          </w:tcPr>
          <w:p>
            <w:pPr>
              <w:jc w:val="center"/>
              <w:rPr>
                <w:rFonts w:ascii="方正仿宋_GBK" w:hAnsi="方正仿宋_GBK" w:eastAsia="方正仿宋_GBK" w:cs="方正仿宋_GBK"/>
                <w:sz w:val="24"/>
              </w:rPr>
            </w:pPr>
          </w:p>
        </w:tc>
        <w:tc>
          <w:tcPr>
            <w:tcW w:w="1715" w:type="dxa"/>
            <w:vAlign w:val="center"/>
          </w:tcPr>
          <w:p>
            <w:pPr>
              <w:jc w:val="center"/>
              <w:rPr>
                <w:rFonts w:ascii="方正仿宋_GBK" w:hAnsi="方正仿宋_GBK" w:eastAsia="方正仿宋_GBK" w:cs="方正仿宋_GBK"/>
                <w:sz w:val="24"/>
              </w:rPr>
            </w:pPr>
          </w:p>
        </w:tc>
        <w:tc>
          <w:tcPr>
            <w:tcW w:w="1423" w:type="dxa"/>
            <w:vAlign w:val="center"/>
          </w:tcPr>
          <w:p>
            <w:pPr>
              <w:jc w:val="center"/>
              <w:rPr>
                <w:rFonts w:ascii="方正仿宋_GBK" w:hAnsi="方正仿宋_GBK" w:eastAsia="方正仿宋_GBK" w:cs="方正仿宋_GBK"/>
                <w:sz w:val="24"/>
              </w:rPr>
            </w:pPr>
          </w:p>
        </w:tc>
        <w:tc>
          <w:tcPr>
            <w:tcW w:w="1747" w:type="dxa"/>
            <w:vAlign w:val="center"/>
          </w:tcPr>
          <w:p>
            <w:pPr>
              <w:jc w:val="center"/>
              <w:rPr>
                <w:rFonts w:ascii="方正仿宋_GBK" w:hAnsi="方正仿宋_GBK" w:eastAsia="方正仿宋_GBK" w:cs="方正仿宋_GBK"/>
                <w:sz w:val="24"/>
              </w:rPr>
            </w:pPr>
          </w:p>
        </w:tc>
        <w:tc>
          <w:tcPr>
            <w:tcW w:w="3780" w:type="dxa"/>
            <w:vAlign w:val="center"/>
          </w:tcPr>
          <w:p>
            <w:pPr>
              <w:jc w:val="center"/>
              <w:rPr>
                <w:rFonts w:ascii="方正仿宋_GBK" w:hAnsi="方正仿宋_GBK" w:eastAsia="方正仿宋_GBK" w:cs="方正仿宋_GBK"/>
                <w:sz w:val="24"/>
              </w:rPr>
            </w:pPr>
          </w:p>
        </w:tc>
        <w:tc>
          <w:tcPr>
            <w:tcW w:w="3268" w:type="dxa"/>
            <w:vAlign w:val="center"/>
          </w:tcPr>
          <w:p>
            <w:pPr>
              <w:jc w:val="center"/>
              <w:rPr>
                <w:rFonts w:ascii="方正仿宋_GBK" w:hAnsi="方正仿宋_GBK" w:eastAsia="方正仿宋_GBK" w:cs="方正仿宋_GBK"/>
                <w:sz w:val="24"/>
              </w:rPr>
            </w:pPr>
          </w:p>
        </w:tc>
        <w:tc>
          <w:tcPr>
            <w:tcW w:w="1758" w:type="dxa"/>
            <w:vAlign w:val="center"/>
          </w:tcPr>
          <w:p>
            <w:pPr>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68" w:type="dxa"/>
            <w:vAlign w:val="center"/>
          </w:tcPr>
          <w:p>
            <w:pPr>
              <w:jc w:val="center"/>
              <w:rPr>
                <w:rFonts w:ascii="方正仿宋_GBK" w:hAnsi="方正仿宋_GBK" w:eastAsia="方正仿宋_GBK" w:cs="方正仿宋_GBK"/>
                <w:sz w:val="24"/>
              </w:rPr>
            </w:pPr>
          </w:p>
          <w:p>
            <w:pPr>
              <w:jc w:val="center"/>
              <w:rPr>
                <w:rFonts w:ascii="方正仿宋_GBK" w:hAnsi="方正仿宋_GBK" w:eastAsia="方正仿宋_GBK" w:cs="方正仿宋_GBK"/>
                <w:sz w:val="24"/>
              </w:rPr>
            </w:pPr>
          </w:p>
        </w:tc>
        <w:tc>
          <w:tcPr>
            <w:tcW w:w="1715" w:type="dxa"/>
            <w:vAlign w:val="center"/>
          </w:tcPr>
          <w:p>
            <w:pPr>
              <w:jc w:val="center"/>
              <w:rPr>
                <w:rFonts w:ascii="方正仿宋_GBK" w:hAnsi="方正仿宋_GBK" w:eastAsia="方正仿宋_GBK" w:cs="方正仿宋_GBK"/>
                <w:sz w:val="24"/>
              </w:rPr>
            </w:pPr>
          </w:p>
        </w:tc>
        <w:tc>
          <w:tcPr>
            <w:tcW w:w="1423" w:type="dxa"/>
            <w:vAlign w:val="center"/>
          </w:tcPr>
          <w:p>
            <w:pPr>
              <w:jc w:val="center"/>
              <w:rPr>
                <w:rFonts w:ascii="方正仿宋_GBK" w:hAnsi="方正仿宋_GBK" w:eastAsia="方正仿宋_GBK" w:cs="方正仿宋_GBK"/>
                <w:sz w:val="24"/>
              </w:rPr>
            </w:pPr>
          </w:p>
        </w:tc>
        <w:tc>
          <w:tcPr>
            <w:tcW w:w="1747" w:type="dxa"/>
            <w:vAlign w:val="center"/>
          </w:tcPr>
          <w:p>
            <w:pPr>
              <w:jc w:val="center"/>
              <w:rPr>
                <w:rFonts w:ascii="方正仿宋_GBK" w:hAnsi="方正仿宋_GBK" w:eastAsia="方正仿宋_GBK" w:cs="方正仿宋_GBK"/>
                <w:sz w:val="24"/>
              </w:rPr>
            </w:pPr>
          </w:p>
        </w:tc>
        <w:tc>
          <w:tcPr>
            <w:tcW w:w="3780" w:type="dxa"/>
            <w:vAlign w:val="center"/>
          </w:tcPr>
          <w:p>
            <w:pPr>
              <w:jc w:val="center"/>
              <w:rPr>
                <w:rFonts w:ascii="方正仿宋_GBK" w:hAnsi="方正仿宋_GBK" w:eastAsia="方正仿宋_GBK" w:cs="方正仿宋_GBK"/>
                <w:sz w:val="24"/>
              </w:rPr>
            </w:pPr>
          </w:p>
        </w:tc>
        <w:tc>
          <w:tcPr>
            <w:tcW w:w="3268" w:type="dxa"/>
            <w:vAlign w:val="center"/>
          </w:tcPr>
          <w:p>
            <w:pPr>
              <w:jc w:val="center"/>
              <w:rPr>
                <w:rFonts w:ascii="方正仿宋_GBK" w:hAnsi="方正仿宋_GBK" w:eastAsia="方正仿宋_GBK" w:cs="方正仿宋_GBK"/>
                <w:sz w:val="24"/>
              </w:rPr>
            </w:pPr>
          </w:p>
        </w:tc>
        <w:tc>
          <w:tcPr>
            <w:tcW w:w="1758" w:type="dxa"/>
            <w:vAlign w:val="center"/>
          </w:tcPr>
          <w:p>
            <w:pPr>
              <w:jc w:val="center"/>
              <w:rPr>
                <w:rFonts w:ascii="方正仿宋_GBK" w:hAnsi="方正仿宋_GBK" w:eastAsia="方正仿宋_GBK" w:cs="方正仿宋_GBK"/>
                <w:sz w:val="24"/>
              </w:rPr>
            </w:pPr>
          </w:p>
        </w:tc>
      </w:tr>
    </w:tbl>
    <w:p>
      <w:pPr>
        <w:jc w:val="left"/>
        <w:rPr>
          <w:rFonts w:ascii="方正仿宋_GBK" w:hAnsi="方正仿宋_GBK" w:eastAsia="方正仿宋_GBK" w:cs="方正仿宋_GBK"/>
          <w:sz w:val="24"/>
        </w:rPr>
      </w:pPr>
      <w:r>
        <w:rPr>
          <w:rFonts w:hint="eastAsia" w:ascii="方正仿宋_GBK" w:hAnsi="方正仿宋_GBK" w:eastAsia="方正仿宋_GBK" w:cs="方正仿宋_GBK"/>
          <w:sz w:val="24"/>
        </w:rPr>
        <w:t xml:space="preserve">权属单位：                                    审核记录人（签字）：                              日    期： </w:t>
      </w:r>
    </w:p>
    <w:p>
      <w:pPr>
        <w:jc w:val="left"/>
        <w:rPr>
          <w:rFonts w:ascii="方正仿宋_GBK" w:hAnsi="方正仿宋_GBK" w:eastAsia="方正仿宋_GBK" w:cs="方正仿宋_GBK"/>
          <w:sz w:val="24"/>
        </w:rPr>
        <w:sectPr>
          <w:pgSz w:w="16838" w:h="11906" w:orient="landscape"/>
          <w:pgMar w:top="1417" w:right="1134" w:bottom="1134" w:left="1134" w:header="851" w:footer="992" w:gutter="0"/>
          <w:cols w:space="720" w:num="1"/>
          <w:docGrid w:type="lines" w:linePitch="319" w:charSpace="0"/>
        </w:sectPr>
      </w:pPr>
    </w:p>
    <w:p>
      <w:pPr>
        <w:jc w:val="center"/>
        <w:outlineLvl w:val="1"/>
        <w:rPr>
          <w:rFonts w:eastAsia="仿宋"/>
          <w:b/>
          <w:bCs/>
          <w:sz w:val="28"/>
          <w:szCs w:val="28"/>
        </w:rPr>
      </w:pPr>
      <w:bookmarkStart w:id="1806" w:name="_Toc25627"/>
      <w:bookmarkStart w:id="1807" w:name="_Toc11735"/>
      <w:bookmarkStart w:id="1808" w:name="_Toc2104"/>
      <w:bookmarkStart w:id="1809" w:name="_Toc749"/>
      <w:bookmarkStart w:id="1810" w:name="_Toc18393"/>
      <w:bookmarkStart w:id="1811" w:name="_Toc18988"/>
      <w:bookmarkStart w:id="1812" w:name="_Toc20053"/>
      <w:bookmarkStart w:id="1813" w:name="_Toc3909"/>
      <w:r>
        <w:rPr>
          <w:rFonts w:hint="eastAsia" w:eastAsia="仿宋"/>
          <w:b/>
          <w:bCs/>
          <w:sz w:val="28"/>
          <w:szCs w:val="28"/>
        </w:rPr>
        <w:t>附录</w:t>
      </w:r>
      <w:r>
        <w:rPr>
          <w:rFonts w:eastAsia="仿宋"/>
          <w:b/>
          <w:bCs/>
          <w:sz w:val="28"/>
          <w:szCs w:val="28"/>
        </w:rPr>
        <w:t xml:space="preserve">H </w:t>
      </w:r>
      <w:r>
        <w:rPr>
          <w:rFonts w:hint="eastAsia" w:eastAsia="仿宋"/>
          <w:b/>
          <w:bCs/>
          <w:sz w:val="28"/>
          <w:szCs w:val="28"/>
        </w:rPr>
        <w:t>普查更新成果核验确认单</w:t>
      </w:r>
      <w:bookmarkEnd w:id="1806"/>
      <w:bookmarkEnd w:id="1807"/>
      <w:bookmarkEnd w:id="1808"/>
      <w:bookmarkEnd w:id="1809"/>
      <w:bookmarkEnd w:id="1810"/>
      <w:bookmarkEnd w:id="1811"/>
      <w:bookmarkEnd w:id="1812"/>
      <w:bookmarkEnd w:id="1813"/>
    </w:p>
    <w:p>
      <w:pPr>
        <w:pStyle w:val="2"/>
        <w:jc w:val="left"/>
        <w:rPr>
          <w:rFonts w:ascii="方正仿宋_GBK" w:hAnsi="方正仿宋_GBK" w:eastAsia="方正仿宋_GBK" w:cs="方正仿宋_GBK"/>
          <w:b/>
          <w:bCs/>
          <w:sz w:val="32"/>
          <w:szCs w:val="32"/>
        </w:rPr>
      </w:pPr>
      <w:r>
        <w:rPr>
          <w:rFonts w:hint="eastAsia" w:ascii="方正仿宋_GBK" w:hAnsi="方正仿宋_GBK" w:eastAsia="方正仿宋_GBK" w:cs="方正仿宋_GBK"/>
        </w:rPr>
        <w:t xml:space="preserve">                                                       编号：</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6"/>
        <w:gridCol w:w="1260"/>
        <w:gridCol w:w="1260"/>
        <w:gridCol w:w="1260"/>
        <w:gridCol w:w="47"/>
        <w:gridCol w:w="1213"/>
        <w:gridCol w:w="205"/>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106" w:type="dxa"/>
            <w:vAlign w:val="center"/>
          </w:tcPr>
          <w:p>
            <w:pPr>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项目名称</w:t>
            </w:r>
          </w:p>
        </w:tc>
        <w:tc>
          <w:tcPr>
            <w:tcW w:w="6301" w:type="dxa"/>
            <w:gridSpan w:val="7"/>
            <w:vAlign w:val="center"/>
          </w:tcPr>
          <w:p>
            <w:pPr>
              <w:jc w:val="center"/>
              <w:rPr>
                <w:rFonts w:ascii="方正仿宋_GBK" w:hAnsi="方正仿宋_GBK" w:eastAsia="方正仿宋_GBK" w:cs="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2106" w:type="dxa"/>
            <w:vAlign w:val="center"/>
          </w:tcPr>
          <w:p>
            <w:pPr>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测  区 号</w:t>
            </w:r>
          </w:p>
        </w:tc>
        <w:tc>
          <w:tcPr>
            <w:tcW w:w="1260" w:type="dxa"/>
            <w:vAlign w:val="center"/>
          </w:tcPr>
          <w:p>
            <w:pPr>
              <w:jc w:val="center"/>
              <w:rPr>
                <w:rFonts w:ascii="方正仿宋_GBK" w:hAnsi="方正仿宋_GBK" w:eastAsia="方正仿宋_GBK" w:cs="方正仿宋_GBK"/>
                <w:szCs w:val="21"/>
              </w:rPr>
            </w:pPr>
          </w:p>
        </w:tc>
        <w:tc>
          <w:tcPr>
            <w:tcW w:w="1260" w:type="dxa"/>
            <w:vAlign w:val="center"/>
          </w:tcPr>
          <w:p>
            <w:pPr>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总测区数</w:t>
            </w:r>
          </w:p>
        </w:tc>
        <w:tc>
          <w:tcPr>
            <w:tcW w:w="1260" w:type="dxa"/>
            <w:vAlign w:val="center"/>
          </w:tcPr>
          <w:p>
            <w:pPr>
              <w:jc w:val="center"/>
              <w:rPr>
                <w:rFonts w:ascii="方正仿宋_GBK" w:hAnsi="方正仿宋_GBK" w:eastAsia="方正仿宋_GBK" w:cs="方正仿宋_GBK"/>
                <w:szCs w:val="21"/>
              </w:rPr>
            </w:pPr>
          </w:p>
        </w:tc>
        <w:tc>
          <w:tcPr>
            <w:tcW w:w="1260" w:type="dxa"/>
            <w:gridSpan w:val="2"/>
            <w:vAlign w:val="center"/>
          </w:tcPr>
          <w:p>
            <w:pPr>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管线类型</w:t>
            </w:r>
          </w:p>
        </w:tc>
        <w:tc>
          <w:tcPr>
            <w:tcW w:w="1261" w:type="dxa"/>
            <w:gridSpan w:val="2"/>
            <w:vAlign w:val="center"/>
          </w:tcPr>
          <w:p>
            <w:pPr>
              <w:jc w:val="left"/>
              <w:rPr>
                <w:rFonts w:ascii="方正仿宋_GBK" w:hAnsi="方正仿宋_GBK" w:eastAsia="方正仿宋_GBK" w:cs="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4" w:hRule="atLeast"/>
          <w:jc w:val="center"/>
        </w:trPr>
        <w:tc>
          <w:tcPr>
            <w:tcW w:w="8407" w:type="dxa"/>
            <w:gridSpan w:val="8"/>
          </w:tcPr>
          <w:p>
            <w:pPr>
              <w:spacing w:before="319" w:beforeLines="100"/>
              <w:jc w:val="left"/>
              <w:rPr>
                <w:rFonts w:ascii="方正仿宋_GBK" w:hAnsi="方正仿宋_GBK" w:eastAsia="方正仿宋_GBK" w:cs="方正仿宋_GBK"/>
                <w:szCs w:val="21"/>
              </w:rPr>
            </w:pPr>
            <w:r>
              <w:rPr>
                <w:rFonts w:hint="eastAsia" w:ascii="方正仿宋_GBK" w:hAnsi="方正仿宋_GBK" w:eastAsia="方正仿宋_GBK" w:cs="方正仿宋_GBK"/>
                <w:szCs w:val="21"/>
              </w:rPr>
              <w:t>核验意见</w:t>
            </w:r>
            <w:r>
              <w:rPr>
                <w:rFonts w:hint="eastAsia" w:ascii="方正仿宋_GBK" w:hAnsi="方正仿宋_GBK" w:eastAsia="方正仿宋_GBK" w:cs="方正仿宋_GBK"/>
                <w:i/>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2106" w:type="dxa"/>
            <w:vAlign w:val="center"/>
          </w:tcPr>
          <w:p>
            <w:pPr>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权属单位（盖章）</w:t>
            </w:r>
          </w:p>
        </w:tc>
        <w:tc>
          <w:tcPr>
            <w:tcW w:w="6301" w:type="dxa"/>
            <w:gridSpan w:val="7"/>
            <w:vAlign w:val="center"/>
          </w:tcPr>
          <w:p>
            <w:pPr>
              <w:jc w:val="center"/>
              <w:rPr>
                <w:rFonts w:ascii="方正仿宋_GBK" w:hAnsi="方正仿宋_GBK" w:eastAsia="方正仿宋_GBK" w:cs="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2106" w:type="dxa"/>
            <w:vAlign w:val="center"/>
          </w:tcPr>
          <w:p>
            <w:pPr>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审核负责人（签字）</w:t>
            </w:r>
          </w:p>
        </w:tc>
        <w:tc>
          <w:tcPr>
            <w:tcW w:w="3827" w:type="dxa"/>
            <w:gridSpan w:val="4"/>
            <w:vAlign w:val="center"/>
          </w:tcPr>
          <w:p>
            <w:pPr>
              <w:jc w:val="center"/>
              <w:rPr>
                <w:rFonts w:ascii="方正仿宋_GBK" w:hAnsi="方正仿宋_GBK" w:eastAsia="方正仿宋_GBK" w:cs="方正仿宋_GBK"/>
                <w:szCs w:val="21"/>
              </w:rPr>
            </w:pPr>
          </w:p>
        </w:tc>
        <w:tc>
          <w:tcPr>
            <w:tcW w:w="1418" w:type="dxa"/>
            <w:gridSpan w:val="2"/>
            <w:vAlign w:val="center"/>
          </w:tcPr>
          <w:p>
            <w:pPr>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日    期</w:t>
            </w:r>
          </w:p>
        </w:tc>
        <w:tc>
          <w:tcPr>
            <w:tcW w:w="1056" w:type="dxa"/>
            <w:vAlign w:val="center"/>
          </w:tcPr>
          <w:p>
            <w:pPr>
              <w:jc w:val="left"/>
              <w:rPr>
                <w:rFonts w:ascii="方正仿宋_GBK" w:hAnsi="方正仿宋_GBK" w:eastAsia="方正仿宋_GBK" w:cs="方正仿宋_GBK"/>
                <w:szCs w:val="21"/>
              </w:rPr>
            </w:pPr>
          </w:p>
        </w:tc>
      </w:tr>
    </w:tbl>
    <w:p>
      <w:pPr>
        <w:pStyle w:val="2"/>
        <w:jc w:val="left"/>
      </w:pPr>
    </w:p>
    <w:p>
      <w:pPr>
        <w:pStyle w:val="2"/>
        <w:jc w:val="left"/>
        <w:sectPr>
          <w:pgSz w:w="11906" w:h="16838"/>
          <w:pgMar w:top="1417" w:right="1474" w:bottom="1134" w:left="1587" w:header="851" w:footer="992" w:gutter="0"/>
          <w:cols w:space="720" w:num="1"/>
          <w:docGrid w:type="lines" w:linePitch="319" w:charSpace="0"/>
        </w:sectPr>
      </w:pPr>
    </w:p>
    <w:p>
      <w:pPr>
        <w:jc w:val="center"/>
        <w:outlineLvl w:val="1"/>
        <w:rPr>
          <w:rFonts w:eastAsia="仿宋"/>
          <w:b/>
          <w:bCs/>
          <w:sz w:val="28"/>
          <w:szCs w:val="28"/>
        </w:rPr>
      </w:pPr>
      <w:bookmarkStart w:id="1814" w:name="_Toc21058"/>
      <w:bookmarkStart w:id="1815" w:name="_Toc1671"/>
      <w:bookmarkStart w:id="1816" w:name="_Toc6953"/>
      <w:bookmarkStart w:id="1817" w:name="_Toc8034"/>
      <w:bookmarkStart w:id="1818" w:name="_Toc5418"/>
      <w:bookmarkStart w:id="1819" w:name="_Toc213"/>
      <w:bookmarkStart w:id="1820" w:name="_Toc29511"/>
      <w:bookmarkStart w:id="1821" w:name="_Toc28793"/>
      <w:r>
        <w:rPr>
          <w:rFonts w:hint="eastAsia" w:eastAsia="仿宋"/>
          <w:b/>
          <w:bCs/>
          <w:sz w:val="28"/>
          <w:szCs w:val="28"/>
        </w:rPr>
        <w:t>附录</w:t>
      </w:r>
      <w:r>
        <w:rPr>
          <w:rFonts w:eastAsia="仿宋"/>
          <w:b/>
          <w:bCs/>
          <w:sz w:val="28"/>
          <w:szCs w:val="28"/>
        </w:rPr>
        <w:t xml:space="preserve">I </w:t>
      </w:r>
      <w:r>
        <w:rPr>
          <w:rFonts w:hint="eastAsia" w:eastAsia="仿宋"/>
          <w:b/>
          <w:bCs/>
          <w:sz w:val="28"/>
          <w:szCs w:val="28"/>
        </w:rPr>
        <w:t>数据整合检查问题反馈意见表</w:t>
      </w:r>
      <w:bookmarkEnd w:id="1814"/>
      <w:bookmarkEnd w:id="1815"/>
      <w:bookmarkEnd w:id="1816"/>
      <w:bookmarkEnd w:id="1817"/>
      <w:bookmarkEnd w:id="1818"/>
      <w:bookmarkEnd w:id="1819"/>
      <w:bookmarkEnd w:id="1820"/>
      <w:bookmarkEnd w:id="1821"/>
    </w:p>
    <w:p>
      <w:pPr>
        <w:jc w:val="left"/>
        <w:rPr>
          <w:rFonts w:ascii="方正仿宋_GBK" w:hAnsi="方正仿宋_GBK" w:eastAsia="方正仿宋_GBK" w:cs="方正仿宋_GBK"/>
          <w:b/>
          <w:bCs/>
          <w:sz w:val="24"/>
        </w:rPr>
      </w:pPr>
      <w:r>
        <w:rPr>
          <w:rFonts w:hint="eastAsia" w:ascii="方正仿宋_GBK" w:hAnsi="方正仿宋_GBK" w:eastAsia="方正仿宋_GBK" w:cs="方正仿宋_GBK"/>
          <w:sz w:val="24"/>
        </w:rPr>
        <w:t xml:space="preserve">编号：                                     项目名称：                                   限期整改时间：                                </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1605"/>
        <w:gridCol w:w="1965"/>
        <w:gridCol w:w="2310"/>
        <w:gridCol w:w="7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07" w:type="dxa"/>
            <w:vAlign w:val="center"/>
          </w:tcPr>
          <w:p>
            <w:pPr>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序号</w:t>
            </w:r>
          </w:p>
        </w:tc>
        <w:tc>
          <w:tcPr>
            <w:tcW w:w="1605" w:type="dxa"/>
            <w:vAlign w:val="center"/>
          </w:tcPr>
          <w:p>
            <w:pPr>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图幅号</w:t>
            </w:r>
          </w:p>
        </w:tc>
        <w:tc>
          <w:tcPr>
            <w:tcW w:w="1965" w:type="dxa"/>
            <w:vAlign w:val="center"/>
          </w:tcPr>
          <w:p>
            <w:pPr>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相关管线类型</w:t>
            </w:r>
          </w:p>
        </w:tc>
        <w:tc>
          <w:tcPr>
            <w:tcW w:w="2310" w:type="dxa"/>
            <w:vAlign w:val="center"/>
          </w:tcPr>
          <w:p>
            <w:pPr>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相关点号</w:t>
            </w:r>
          </w:p>
        </w:tc>
        <w:tc>
          <w:tcPr>
            <w:tcW w:w="7600" w:type="dxa"/>
            <w:vAlign w:val="center"/>
          </w:tcPr>
          <w:p>
            <w:pPr>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检查问题描述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07" w:type="dxa"/>
            <w:vAlign w:val="center"/>
          </w:tcPr>
          <w:p>
            <w:pPr>
              <w:jc w:val="center"/>
              <w:rPr>
                <w:rFonts w:ascii="方正仿宋_GBK" w:hAnsi="方正仿宋_GBK" w:eastAsia="方正仿宋_GBK" w:cs="方正仿宋_GBK"/>
                <w:sz w:val="24"/>
              </w:rPr>
            </w:pPr>
          </w:p>
        </w:tc>
        <w:tc>
          <w:tcPr>
            <w:tcW w:w="1605" w:type="dxa"/>
            <w:vAlign w:val="center"/>
          </w:tcPr>
          <w:p>
            <w:pPr>
              <w:jc w:val="center"/>
              <w:rPr>
                <w:rFonts w:ascii="方正仿宋_GBK" w:hAnsi="方正仿宋_GBK" w:eastAsia="方正仿宋_GBK" w:cs="方正仿宋_GBK"/>
                <w:sz w:val="24"/>
              </w:rPr>
            </w:pPr>
          </w:p>
        </w:tc>
        <w:tc>
          <w:tcPr>
            <w:tcW w:w="1965" w:type="dxa"/>
            <w:vAlign w:val="center"/>
          </w:tcPr>
          <w:p>
            <w:pPr>
              <w:jc w:val="center"/>
              <w:rPr>
                <w:rFonts w:ascii="方正仿宋_GBK" w:hAnsi="方正仿宋_GBK" w:eastAsia="方正仿宋_GBK" w:cs="方正仿宋_GBK"/>
                <w:sz w:val="24"/>
              </w:rPr>
            </w:pPr>
          </w:p>
        </w:tc>
        <w:tc>
          <w:tcPr>
            <w:tcW w:w="2310" w:type="dxa"/>
            <w:vAlign w:val="center"/>
          </w:tcPr>
          <w:p>
            <w:pPr>
              <w:jc w:val="center"/>
              <w:rPr>
                <w:rFonts w:ascii="方正仿宋_GBK" w:hAnsi="方正仿宋_GBK" w:eastAsia="方正仿宋_GBK" w:cs="方正仿宋_GBK"/>
                <w:sz w:val="24"/>
              </w:rPr>
            </w:pPr>
          </w:p>
        </w:tc>
        <w:tc>
          <w:tcPr>
            <w:tcW w:w="7600" w:type="dxa"/>
            <w:vAlign w:val="center"/>
          </w:tcPr>
          <w:p>
            <w:pPr>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07" w:type="dxa"/>
            <w:vAlign w:val="center"/>
          </w:tcPr>
          <w:p>
            <w:pPr>
              <w:jc w:val="center"/>
              <w:rPr>
                <w:rFonts w:ascii="方正仿宋_GBK" w:hAnsi="方正仿宋_GBK" w:eastAsia="方正仿宋_GBK" w:cs="方正仿宋_GBK"/>
                <w:sz w:val="24"/>
              </w:rPr>
            </w:pPr>
          </w:p>
        </w:tc>
        <w:tc>
          <w:tcPr>
            <w:tcW w:w="1605" w:type="dxa"/>
            <w:vAlign w:val="center"/>
          </w:tcPr>
          <w:p>
            <w:pPr>
              <w:jc w:val="center"/>
              <w:rPr>
                <w:rFonts w:ascii="方正仿宋_GBK" w:hAnsi="方正仿宋_GBK" w:eastAsia="方正仿宋_GBK" w:cs="方正仿宋_GBK"/>
                <w:sz w:val="24"/>
              </w:rPr>
            </w:pPr>
          </w:p>
        </w:tc>
        <w:tc>
          <w:tcPr>
            <w:tcW w:w="1965" w:type="dxa"/>
            <w:vAlign w:val="center"/>
          </w:tcPr>
          <w:p>
            <w:pPr>
              <w:jc w:val="center"/>
              <w:rPr>
                <w:rFonts w:ascii="方正仿宋_GBK" w:hAnsi="方正仿宋_GBK" w:eastAsia="方正仿宋_GBK" w:cs="方正仿宋_GBK"/>
                <w:sz w:val="24"/>
              </w:rPr>
            </w:pPr>
          </w:p>
        </w:tc>
        <w:tc>
          <w:tcPr>
            <w:tcW w:w="2310" w:type="dxa"/>
            <w:vAlign w:val="center"/>
          </w:tcPr>
          <w:p>
            <w:pPr>
              <w:jc w:val="center"/>
              <w:rPr>
                <w:rFonts w:ascii="方正仿宋_GBK" w:hAnsi="方正仿宋_GBK" w:eastAsia="方正仿宋_GBK" w:cs="方正仿宋_GBK"/>
                <w:sz w:val="24"/>
              </w:rPr>
            </w:pPr>
          </w:p>
        </w:tc>
        <w:tc>
          <w:tcPr>
            <w:tcW w:w="7600" w:type="dxa"/>
            <w:vAlign w:val="center"/>
          </w:tcPr>
          <w:p>
            <w:pPr>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07" w:type="dxa"/>
            <w:vAlign w:val="center"/>
          </w:tcPr>
          <w:p>
            <w:pPr>
              <w:jc w:val="center"/>
              <w:rPr>
                <w:rFonts w:ascii="方正仿宋_GBK" w:hAnsi="方正仿宋_GBK" w:eastAsia="方正仿宋_GBK" w:cs="方正仿宋_GBK"/>
                <w:sz w:val="24"/>
              </w:rPr>
            </w:pPr>
          </w:p>
        </w:tc>
        <w:tc>
          <w:tcPr>
            <w:tcW w:w="1605" w:type="dxa"/>
            <w:vAlign w:val="center"/>
          </w:tcPr>
          <w:p>
            <w:pPr>
              <w:jc w:val="center"/>
              <w:rPr>
                <w:rFonts w:ascii="方正仿宋_GBK" w:hAnsi="方正仿宋_GBK" w:eastAsia="方正仿宋_GBK" w:cs="方正仿宋_GBK"/>
                <w:sz w:val="24"/>
              </w:rPr>
            </w:pPr>
          </w:p>
        </w:tc>
        <w:tc>
          <w:tcPr>
            <w:tcW w:w="1965" w:type="dxa"/>
            <w:vAlign w:val="center"/>
          </w:tcPr>
          <w:p>
            <w:pPr>
              <w:jc w:val="center"/>
              <w:rPr>
                <w:rFonts w:ascii="方正仿宋_GBK" w:hAnsi="方正仿宋_GBK" w:eastAsia="方正仿宋_GBK" w:cs="方正仿宋_GBK"/>
                <w:sz w:val="24"/>
              </w:rPr>
            </w:pPr>
          </w:p>
        </w:tc>
        <w:tc>
          <w:tcPr>
            <w:tcW w:w="2310" w:type="dxa"/>
            <w:vAlign w:val="center"/>
          </w:tcPr>
          <w:p>
            <w:pPr>
              <w:jc w:val="center"/>
              <w:rPr>
                <w:rFonts w:ascii="方正仿宋_GBK" w:hAnsi="方正仿宋_GBK" w:eastAsia="方正仿宋_GBK" w:cs="方正仿宋_GBK"/>
                <w:sz w:val="24"/>
              </w:rPr>
            </w:pPr>
          </w:p>
        </w:tc>
        <w:tc>
          <w:tcPr>
            <w:tcW w:w="7600" w:type="dxa"/>
            <w:vAlign w:val="center"/>
          </w:tcPr>
          <w:p>
            <w:pPr>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07" w:type="dxa"/>
            <w:vAlign w:val="center"/>
          </w:tcPr>
          <w:p>
            <w:pPr>
              <w:jc w:val="center"/>
              <w:rPr>
                <w:rFonts w:ascii="方正仿宋_GBK" w:hAnsi="方正仿宋_GBK" w:eastAsia="方正仿宋_GBK" w:cs="方正仿宋_GBK"/>
                <w:sz w:val="24"/>
              </w:rPr>
            </w:pPr>
          </w:p>
        </w:tc>
        <w:tc>
          <w:tcPr>
            <w:tcW w:w="1605" w:type="dxa"/>
            <w:vAlign w:val="center"/>
          </w:tcPr>
          <w:p>
            <w:pPr>
              <w:jc w:val="center"/>
              <w:rPr>
                <w:rFonts w:ascii="方正仿宋_GBK" w:hAnsi="方正仿宋_GBK" w:eastAsia="方正仿宋_GBK" w:cs="方正仿宋_GBK"/>
                <w:sz w:val="24"/>
              </w:rPr>
            </w:pPr>
          </w:p>
        </w:tc>
        <w:tc>
          <w:tcPr>
            <w:tcW w:w="1965" w:type="dxa"/>
            <w:vAlign w:val="center"/>
          </w:tcPr>
          <w:p>
            <w:pPr>
              <w:jc w:val="center"/>
              <w:rPr>
                <w:rFonts w:ascii="方正仿宋_GBK" w:hAnsi="方正仿宋_GBK" w:eastAsia="方正仿宋_GBK" w:cs="方正仿宋_GBK"/>
                <w:sz w:val="24"/>
              </w:rPr>
            </w:pPr>
          </w:p>
        </w:tc>
        <w:tc>
          <w:tcPr>
            <w:tcW w:w="2310" w:type="dxa"/>
            <w:vAlign w:val="center"/>
          </w:tcPr>
          <w:p>
            <w:pPr>
              <w:jc w:val="center"/>
              <w:rPr>
                <w:rFonts w:ascii="方正仿宋_GBK" w:hAnsi="方正仿宋_GBK" w:eastAsia="方正仿宋_GBK" w:cs="方正仿宋_GBK"/>
                <w:sz w:val="24"/>
              </w:rPr>
            </w:pPr>
          </w:p>
        </w:tc>
        <w:tc>
          <w:tcPr>
            <w:tcW w:w="7600" w:type="dxa"/>
            <w:vAlign w:val="center"/>
          </w:tcPr>
          <w:p>
            <w:pPr>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07" w:type="dxa"/>
            <w:vAlign w:val="center"/>
          </w:tcPr>
          <w:p>
            <w:pPr>
              <w:jc w:val="center"/>
              <w:rPr>
                <w:rFonts w:ascii="方正仿宋_GBK" w:hAnsi="方正仿宋_GBK" w:eastAsia="方正仿宋_GBK" w:cs="方正仿宋_GBK"/>
                <w:sz w:val="24"/>
              </w:rPr>
            </w:pPr>
          </w:p>
        </w:tc>
        <w:tc>
          <w:tcPr>
            <w:tcW w:w="1605" w:type="dxa"/>
            <w:vAlign w:val="center"/>
          </w:tcPr>
          <w:p>
            <w:pPr>
              <w:jc w:val="center"/>
              <w:rPr>
                <w:rFonts w:ascii="方正仿宋_GBK" w:hAnsi="方正仿宋_GBK" w:eastAsia="方正仿宋_GBK" w:cs="方正仿宋_GBK"/>
                <w:sz w:val="24"/>
              </w:rPr>
            </w:pPr>
          </w:p>
        </w:tc>
        <w:tc>
          <w:tcPr>
            <w:tcW w:w="1965" w:type="dxa"/>
            <w:vAlign w:val="center"/>
          </w:tcPr>
          <w:p>
            <w:pPr>
              <w:jc w:val="center"/>
              <w:rPr>
                <w:rFonts w:ascii="方正仿宋_GBK" w:hAnsi="方正仿宋_GBK" w:eastAsia="方正仿宋_GBK" w:cs="方正仿宋_GBK"/>
                <w:sz w:val="24"/>
              </w:rPr>
            </w:pPr>
          </w:p>
        </w:tc>
        <w:tc>
          <w:tcPr>
            <w:tcW w:w="2310" w:type="dxa"/>
            <w:vAlign w:val="center"/>
          </w:tcPr>
          <w:p>
            <w:pPr>
              <w:jc w:val="center"/>
              <w:rPr>
                <w:rFonts w:ascii="方正仿宋_GBK" w:hAnsi="方正仿宋_GBK" w:eastAsia="方正仿宋_GBK" w:cs="方正仿宋_GBK"/>
                <w:sz w:val="24"/>
              </w:rPr>
            </w:pPr>
          </w:p>
        </w:tc>
        <w:tc>
          <w:tcPr>
            <w:tcW w:w="7600" w:type="dxa"/>
            <w:vAlign w:val="center"/>
          </w:tcPr>
          <w:p>
            <w:pPr>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07" w:type="dxa"/>
            <w:vAlign w:val="center"/>
          </w:tcPr>
          <w:p>
            <w:pPr>
              <w:jc w:val="center"/>
              <w:rPr>
                <w:rFonts w:ascii="方正仿宋_GBK" w:hAnsi="方正仿宋_GBK" w:eastAsia="方正仿宋_GBK" w:cs="方正仿宋_GBK"/>
                <w:sz w:val="24"/>
              </w:rPr>
            </w:pPr>
          </w:p>
        </w:tc>
        <w:tc>
          <w:tcPr>
            <w:tcW w:w="1605" w:type="dxa"/>
            <w:vAlign w:val="center"/>
          </w:tcPr>
          <w:p>
            <w:pPr>
              <w:jc w:val="center"/>
              <w:rPr>
                <w:rFonts w:ascii="方正仿宋_GBK" w:hAnsi="方正仿宋_GBK" w:eastAsia="方正仿宋_GBK" w:cs="方正仿宋_GBK"/>
                <w:sz w:val="24"/>
              </w:rPr>
            </w:pPr>
          </w:p>
        </w:tc>
        <w:tc>
          <w:tcPr>
            <w:tcW w:w="1965" w:type="dxa"/>
            <w:vAlign w:val="center"/>
          </w:tcPr>
          <w:p>
            <w:pPr>
              <w:jc w:val="center"/>
              <w:rPr>
                <w:rFonts w:ascii="方正仿宋_GBK" w:hAnsi="方正仿宋_GBK" w:eastAsia="方正仿宋_GBK" w:cs="方正仿宋_GBK"/>
                <w:sz w:val="24"/>
              </w:rPr>
            </w:pPr>
          </w:p>
        </w:tc>
        <w:tc>
          <w:tcPr>
            <w:tcW w:w="2310" w:type="dxa"/>
            <w:vAlign w:val="center"/>
          </w:tcPr>
          <w:p>
            <w:pPr>
              <w:jc w:val="center"/>
              <w:rPr>
                <w:rFonts w:ascii="方正仿宋_GBK" w:hAnsi="方正仿宋_GBK" w:eastAsia="方正仿宋_GBK" w:cs="方正仿宋_GBK"/>
                <w:sz w:val="24"/>
              </w:rPr>
            </w:pPr>
          </w:p>
        </w:tc>
        <w:tc>
          <w:tcPr>
            <w:tcW w:w="7600" w:type="dxa"/>
            <w:vAlign w:val="center"/>
          </w:tcPr>
          <w:p>
            <w:pPr>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07" w:type="dxa"/>
            <w:vAlign w:val="center"/>
          </w:tcPr>
          <w:p>
            <w:pPr>
              <w:jc w:val="center"/>
              <w:rPr>
                <w:rFonts w:ascii="方正仿宋_GBK" w:hAnsi="方正仿宋_GBK" w:eastAsia="方正仿宋_GBK" w:cs="方正仿宋_GBK"/>
                <w:sz w:val="24"/>
              </w:rPr>
            </w:pPr>
          </w:p>
        </w:tc>
        <w:tc>
          <w:tcPr>
            <w:tcW w:w="1605" w:type="dxa"/>
            <w:vAlign w:val="center"/>
          </w:tcPr>
          <w:p>
            <w:pPr>
              <w:jc w:val="center"/>
              <w:rPr>
                <w:rFonts w:ascii="方正仿宋_GBK" w:hAnsi="方正仿宋_GBK" w:eastAsia="方正仿宋_GBK" w:cs="方正仿宋_GBK"/>
                <w:sz w:val="24"/>
              </w:rPr>
            </w:pPr>
          </w:p>
        </w:tc>
        <w:tc>
          <w:tcPr>
            <w:tcW w:w="1965" w:type="dxa"/>
            <w:vAlign w:val="center"/>
          </w:tcPr>
          <w:p>
            <w:pPr>
              <w:jc w:val="center"/>
              <w:rPr>
                <w:rFonts w:ascii="方正仿宋_GBK" w:hAnsi="方正仿宋_GBK" w:eastAsia="方正仿宋_GBK" w:cs="方正仿宋_GBK"/>
                <w:sz w:val="24"/>
              </w:rPr>
            </w:pPr>
          </w:p>
        </w:tc>
        <w:tc>
          <w:tcPr>
            <w:tcW w:w="2310" w:type="dxa"/>
            <w:vAlign w:val="center"/>
          </w:tcPr>
          <w:p>
            <w:pPr>
              <w:jc w:val="center"/>
              <w:rPr>
                <w:rFonts w:ascii="方正仿宋_GBK" w:hAnsi="方正仿宋_GBK" w:eastAsia="方正仿宋_GBK" w:cs="方正仿宋_GBK"/>
                <w:sz w:val="24"/>
              </w:rPr>
            </w:pPr>
          </w:p>
        </w:tc>
        <w:tc>
          <w:tcPr>
            <w:tcW w:w="7600" w:type="dxa"/>
            <w:vAlign w:val="center"/>
          </w:tcPr>
          <w:p>
            <w:pPr>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07" w:type="dxa"/>
            <w:vAlign w:val="center"/>
          </w:tcPr>
          <w:p>
            <w:pPr>
              <w:jc w:val="center"/>
              <w:rPr>
                <w:rFonts w:ascii="方正仿宋_GBK" w:hAnsi="方正仿宋_GBK" w:eastAsia="方正仿宋_GBK" w:cs="方正仿宋_GBK"/>
                <w:sz w:val="24"/>
              </w:rPr>
            </w:pPr>
          </w:p>
        </w:tc>
        <w:tc>
          <w:tcPr>
            <w:tcW w:w="1605" w:type="dxa"/>
            <w:vAlign w:val="center"/>
          </w:tcPr>
          <w:p>
            <w:pPr>
              <w:jc w:val="center"/>
              <w:rPr>
                <w:rFonts w:ascii="方正仿宋_GBK" w:hAnsi="方正仿宋_GBK" w:eastAsia="方正仿宋_GBK" w:cs="方正仿宋_GBK"/>
                <w:sz w:val="24"/>
              </w:rPr>
            </w:pPr>
          </w:p>
        </w:tc>
        <w:tc>
          <w:tcPr>
            <w:tcW w:w="1965" w:type="dxa"/>
            <w:vAlign w:val="center"/>
          </w:tcPr>
          <w:p>
            <w:pPr>
              <w:jc w:val="center"/>
              <w:rPr>
                <w:rFonts w:ascii="方正仿宋_GBK" w:hAnsi="方正仿宋_GBK" w:eastAsia="方正仿宋_GBK" w:cs="方正仿宋_GBK"/>
                <w:sz w:val="24"/>
              </w:rPr>
            </w:pPr>
          </w:p>
        </w:tc>
        <w:tc>
          <w:tcPr>
            <w:tcW w:w="2310" w:type="dxa"/>
            <w:vAlign w:val="center"/>
          </w:tcPr>
          <w:p>
            <w:pPr>
              <w:jc w:val="center"/>
              <w:rPr>
                <w:rFonts w:ascii="方正仿宋_GBK" w:hAnsi="方正仿宋_GBK" w:eastAsia="方正仿宋_GBK" w:cs="方正仿宋_GBK"/>
                <w:sz w:val="24"/>
              </w:rPr>
            </w:pPr>
          </w:p>
        </w:tc>
        <w:tc>
          <w:tcPr>
            <w:tcW w:w="7600" w:type="dxa"/>
            <w:vAlign w:val="center"/>
          </w:tcPr>
          <w:p>
            <w:pPr>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07" w:type="dxa"/>
            <w:vAlign w:val="center"/>
          </w:tcPr>
          <w:p>
            <w:pPr>
              <w:jc w:val="center"/>
              <w:rPr>
                <w:rFonts w:ascii="方正仿宋_GBK" w:hAnsi="方正仿宋_GBK" w:eastAsia="方正仿宋_GBK" w:cs="方正仿宋_GBK"/>
                <w:sz w:val="24"/>
              </w:rPr>
            </w:pPr>
          </w:p>
          <w:p>
            <w:pPr>
              <w:jc w:val="center"/>
              <w:rPr>
                <w:rFonts w:ascii="方正仿宋_GBK" w:hAnsi="方正仿宋_GBK" w:eastAsia="方正仿宋_GBK" w:cs="方正仿宋_GBK"/>
                <w:sz w:val="24"/>
              </w:rPr>
            </w:pPr>
          </w:p>
        </w:tc>
        <w:tc>
          <w:tcPr>
            <w:tcW w:w="1605" w:type="dxa"/>
            <w:vAlign w:val="center"/>
          </w:tcPr>
          <w:p>
            <w:pPr>
              <w:jc w:val="center"/>
              <w:rPr>
                <w:rFonts w:ascii="方正仿宋_GBK" w:hAnsi="方正仿宋_GBK" w:eastAsia="方正仿宋_GBK" w:cs="方正仿宋_GBK"/>
                <w:sz w:val="24"/>
              </w:rPr>
            </w:pPr>
          </w:p>
        </w:tc>
        <w:tc>
          <w:tcPr>
            <w:tcW w:w="1965" w:type="dxa"/>
            <w:vAlign w:val="center"/>
          </w:tcPr>
          <w:p>
            <w:pPr>
              <w:jc w:val="center"/>
              <w:rPr>
                <w:rFonts w:ascii="方正仿宋_GBK" w:hAnsi="方正仿宋_GBK" w:eastAsia="方正仿宋_GBK" w:cs="方正仿宋_GBK"/>
                <w:sz w:val="24"/>
              </w:rPr>
            </w:pPr>
          </w:p>
        </w:tc>
        <w:tc>
          <w:tcPr>
            <w:tcW w:w="2310" w:type="dxa"/>
            <w:vAlign w:val="center"/>
          </w:tcPr>
          <w:p>
            <w:pPr>
              <w:jc w:val="center"/>
              <w:rPr>
                <w:rFonts w:ascii="方正仿宋_GBK" w:hAnsi="方正仿宋_GBK" w:eastAsia="方正仿宋_GBK" w:cs="方正仿宋_GBK"/>
                <w:sz w:val="24"/>
              </w:rPr>
            </w:pPr>
          </w:p>
        </w:tc>
        <w:tc>
          <w:tcPr>
            <w:tcW w:w="7600" w:type="dxa"/>
            <w:vAlign w:val="center"/>
          </w:tcPr>
          <w:p>
            <w:pPr>
              <w:jc w:val="center"/>
              <w:rPr>
                <w:rFonts w:ascii="方正仿宋_GBK" w:hAnsi="方正仿宋_GBK" w:eastAsia="方正仿宋_GBK" w:cs="方正仿宋_GBK"/>
                <w:sz w:val="24"/>
              </w:rPr>
            </w:pPr>
          </w:p>
        </w:tc>
      </w:tr>
    </w:tbl>
    <w:p>
      <w:pPr>
        <w:jc w:val="left"/>
        <w:rPr>
          <w:rFonts w:ascii="方正仿宋_GBK" w:hAnsi="方正仿宋_GBK" w:eastAsia="方正仿宋_GBK" w:cs="方正仿宋_GBK"/>
          <w:sz w:val="24"/>
        </w:rPr>
      </w:pPr>
      <w:r>
        <w:rPr>
          <w:rFonts w:hint="eastAsia" w:ascii="方正仿宋_GBK" w:hAnsi="方正仿宋_GBK" w:eastAsia="方正仿宋_GBK" w:cs="方正仿宋_GBK"/>
          <w:sz w:val="24"/>
        </w:rPr>
        <w:t>接收单位：                                     接收人（签字）：                            日    期：</w:t>
      </w:r>
    </w:p>
    <w:p>
      <w:pPr>
        <w:jc w:val="center"/>
        <w:outlineLvl w:val="1"/>
        <w:rPr>
          <w:rFonts w:eastAsia="仿宋"/>
          <w:b/>
          <w:bCs/>
          <w:sz w:val="28"/>
          <w:szCs w:val="28"/>
        </w:rPr>
      </w:pPr>
      <w:r>
        <w:rPr>
          <w:rFonts w:hint="eastAsia" w:ascii="微软雅黑" w:hAnsi="微软雅黑" w:eastAsia="微软雅黑" w:cs="微软雅黑"/>
          <w:sz w:val="24"/>
        </w:rPr>
        <w:br w:type="page"/>
      </w:r>
      <w:bookmarkStart w:id="1822" w:name="_Toc378"/>
      <w:bookmarkStart w:id="1823" w:name="_Toc19433"/>
      <w:bookmarkStart w:id="1824" w:name="_Toc22731"/>
      <w:bookmarkStart w:id="1825" w:name="_Toc26192"/>
      <w:bookmarkStart w:id="1826" w:name="_Toc5070"/>
      <w:bookmarkStart w:id="1827" w:name="_Toc32278"/>
      <w:bookmarkStart w:id="1828" w:name="_Toc10709"/>
      <w:bookmarkStart w:id="1829" w:name="_Toc28099"/>
      <w:r>
        <w:rPr>
          <w:rFonts w:hint="eastAsia" w:eastAsia="仿宋"/>
          <w:b/>
          <w:bCs/>
          <w:sz w:val="28"/>
          <w:szCs w:val="28"/>
        </w:rPr>
        <w:t>附录</w:t>
      </w:r>
      <w:r>
        <w:rPr>
          <w:rFonts w:eastAsia="仿宋"/>
          <w:b/>
          <w:bCs/>
          <w:sz w:val="28"/>
          <w:szCs w:val="28"/>
        </w:rPr>
        <w:t xml:space="preserve">J </w:t>
      </w:r>
      <w:r>
        <w:rPr>
          <w:rFonts w:hint="eastAsia" w:eastAsia="仿宋"/>
          <w:b/>
          <w:bCs/>
          <w:sz w:val="28"/>
          <w:szCs w:val="28"/>
        </w:rPr>
        <w:t>数据整合检查问题核实整改情况表</w:t>
      </w:r>
      <w:bookmarkEnd w:id="1822"/>
      <w:bookmarkEnd w:id="1823"/>
      <w:bookmarkEnd w:id="1824"/>
      <w:bookmarkEnd w:id="1825"/>
      <w:bookmarkEnd w:id="1826"/>
      <w:bookmarkEnd w:id="1827"/>
      <w:bookmarkEnd w:id="1828"/>
      <w:bookmarkEnd w:id="1829"/>
    </w:p>
    <w:p>
      <w:pPr>
        <w:jc w:val="left"/>
        <w:rPr>
          <w:rFonts w:ascii="方正仿宋_GBK" w:hAnsi="方正仿宋_GBK" w:eastAsia="方正仿宋_GBK" w:cs="方正仿宋_GBK"/>
          <w:b/>
          <w:bCs/>
          <w:sz w:val="24"/>
        </w:rPr>
      </w:pPr>
      <w:r>
        <w:rPr>
          <w:rFonts w:hint="eastAsia" w:ascii="方正仿宋_GBK" w:hAnsi="方正仿宋_GBK" w:eastAsia="方正仿宋_GBK" w:cs="方正仿宋_GBK"/>
          <w:sz w:val="24"/>
        </w:rPr>
        <w:t xml:space="preserve">回执编号：                                  项目名称：                                      整改日期：                                       </w:t>
      </w:r>
    </w:p>
    <w:tbl>
      <w:tblPr>
        <w:tblStyle w:val="26"/>
        <w:tblW w:w="146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570"/>
        <w:gridCol w:w="1790"/>
        <w:gridCol w:w="2515"/>
        <w:gridCol w:w="5070"/>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37" w:type="dxa"/>
            <w:vAlign w:val="center"/>
          </w:tcPr>
          <w:p>
            <w:pPr>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序号</w:t>
            </w:r>
          </w:p>
        </w:tc>
        <w:tc>
          <w:tcPr>
            <w:tcW w:w="1570" w:type="dxa"/>
            <w:vAlign w:val="center"/>
          </w:tcPr>
          <w:p>
            <w:pPr>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图幅号</w:t>
            </w:r>
          </w:p>
        </w:tc>
        <w:tc>
          <w:tcPr>
            <w:tcW w:w="1790" w:type="dxa"/>
            <w:vAlign w:val="center"/>
          </w:tcPr>
          <w:p>
            <w:pPr>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相关管线类型</w:t>
            </w:r>
          </w:p>
        </w:tc>
        <w:tc>
          <w:tcPr>
            <w:tcW w:w="2515" w:type="dxa"/>
            <w:vAlign w:val="center"/>
          </w:tcPr>
          <w:p>
            <w:pPr>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相关点号</w:t>
            </w:r>
          </w:p>
        </w:tc>
        <w:tc>
          <w:tcPr>
            <w:tcW w:w="5070" w:type="dxa"/>
            <w:vAlign w:val="center"/>
          </w:tcPr>
          <w:p>
            <w:pPr>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检查问题描述</w:t>
            </w:r>
          </w:p>
        </w:tc>
        <w:tc>
          <w:tcPr>
            <w:tcW w:w="2825" w:type="dxa"/>
            <w:vAlign w:val="center"/>
          </w:tcPr>
          <w:p>
            <w:pPr>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整改完成情况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7" w:type="dxa"/>
            <w:vAlign w:val="center"/>
          </w:tcPr>
          <w:p>
            <w:pPr>
              <w:jc w:val="center"/>
              <w:rPr>
                <w:rFonts w:ascii="方正仿宋_GBK" w:hAnsi="方正仿宋_GBK" w:eastAsia="方正仿宋_GBK" w:cs="方正仿宋_GBK"/>
                <w:sz w:val="24"/>
              </w:rPr>
            </w:pPr>
          </w:p>
        </w:tc>
        <w:tc>
          <w:tcPr>
            <w:tcW w:w="1570" w:type="dxa"/>
            <w:vAlign w:val="center"/>
          </w:tcPr>
          <w:p>
            <w:pPr>
              <w:jc w:val="center"/>
              <w:rPr>
                <w:rFonts w:ascii="方正仿宋_GBK" w:hAnsi="方正仿宋_GBK" w:eastAsia="方正仿宋_GBK" w:cs="方正仿宋_GBK"/>
                <w:sz w:val="24"/>
              </w:rPr>
            </w:pPr>
          </w:p>
        </w:tc>
        <w:tc>
          <w:tcPr>
            <w:tcW w:w="1790" w:type="dxa"/>
            <w:vAlign w:val="center"/>
          </w:tcPr>
          <w:p>
            <w:pPr>
              <w:jc w:val="center"/>
              <w:rPr>
                <w:rFonts w:ascii="方正仿宋_GBK" w:hAnsi="方正仿宋_GBK" w:eastAsia="方正仿宋_GBK" w:cs="方正仿宋_GBK"/>
                <w:sz w:val="24"/>
              </w:rPr>
            </w:pPr>
          </w:p>
        </w:tc>
        <w:tc>
          <w:tcPr>
            <w:tcW w:w="2515" w:type="dxa"/>
            <w:vAlign w:val="center"/>
          </w:tcPr>
          <w:p>
            <w:pPr>
              <w:jc w:val="center"/>
              <w:rPr>
                <w:rFonts w:ascii="方正仿宋_GBK" w:hAnsi="方正仿宋_GBK" w:eastAsia="方正仿宋_GBK" w:cs="方正仿宋_GBK"/>
                <w:sz w:val="24"/>
              </w:rPr>
            </w:pPr>
          </w:p>
        </w:tc>
        <w:tc>
          <w:tcPr>
            <w:tcW w:w="5070" w:type="dxa"/>
            <w:vAlign w:val="center"/>
          </w:tcPr>
          <w:p>
            <w:pPr>
              <w:jc w:val="center"/>
              <w:rPr>
                <w:rFonts w:ascii="方正仿宋_GBK" w:hAnsi="方正仿宋_GBK" w:eastAsia="方正仿宋_GBK" w:cs="方正仿宋_GBK"/>
                <w:sz w:val="24"/>
              </w:rPr>
            </w:pPr>
          </w:p>
        </w:tc>
        <w:tc>
          <w:tcPr>
            <w:tcW w:w="2825" w:type="dxa"/>
            <w:vAlign w:val="center"/>
          </w:tcPr>
          <w:p>
            <w:pPr>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7" w:type="dxa"/>
            <w:vAlign w:val="center"/>
          </w:tcPr>
          <w:p>
            <w:pPr>
              <w:jc w:val="center"/>
              <w:rPr>
                <w:rFonts w:ascii="方正仿宋_GBK" w:hAnsi="方正仿宋_GBK" w:eastAsia="方正仿宋_GBK" w:cs="方正仿宋_GBK"/>
                <w:sz w:val="24"/>
              </w:rPr>
            </w:pPr>
          </w:p>
        </w:tc>
        <w:tc>
          <w:tcPr>
            <w:tcW w:w="1570" w:type="dxa"/>
            <w:vAlign w:val="center"/>
          </w:tcPr>
          <w:p>
            <w:pPr>
              <w:jc w:val="center"/>
              <w:rPr>
                <w:rFonts w:ascii="方正仿宋_GBK" w:hAnsi="方正仿宋_GBK" w:eastAsia="方正仿宋_GBK" w:cs="方正仿宋_GBK"/>
                <w:sz w:val="24"/>
              </w:rPr>
            </w:pPr>
          </w:p>
        </w:tc>
        <w:tc>
          <w:tcPr>
            <w:tcW w:w="1790" w:type="dxa"/>
            <w:vAlign w:val="center"/>
          </w:tcPr>
          <w:p>
            <w:pPr>
              <w:jc w:val="center"/>
              <w:rPr>
                <w:rFonts w:ascii="方正仿宋_GBK" w:hAnsi="方正仿宋_GBK" w:eastAsia="方正仿宋_GBK" w:cs="方正仿宋_GBK"/>
                <w:sz w:val="24"/>
              </w:rPr>
            </w:pPr>
          </w:p>
        </w:tc>
        <w:tc>
          <w:tcPr>
            <w:tcW w:w="2515" w:type="dxa"/>
            <w:vAlign w:val="center"/>
          </w:tcPr>
          <w:p>
            <w:pPr>
              <w:jc w:val="center"/>
              <w:rPr>
                <w:rFonts w:ascii="方正仿宋_GBK" w:hAnsi="方正仿宋_GBK" w:eastAsia="方正仿宋_GBK" w:cs="方正仿宋_GBK"/>
                <w:sz w:val="24"/>
              </w:rPr>
            </w:pPr>
          </w:p>
        </w:tc>
        <w:tc>
          <w:tcPr>
            <w:tcW w:w="5070" w:type="dxa"/>
            <w:vAlign w:val="center"/>
          </w:tcPr>
          <w:p>
            <w:pPr>
              <w:jc w:val="center"/>
              <w:rPr>
                <w:rFonts w:ascii="方正仿宋_GBK" w:hAnsi="方正仿宋_GBK" w:eastAsia="方正仿宋_GBK" w:cs="方正仿宋_GBK"/>
                <w:sz w:val="24"/>
              </w:rPr>
            </w:pPr>
          </w:p>
        </w:tc>
        <w:tc>
          <w:tcPr>
            <w:tcW w:w="2825" w:type="dxa"/>
            <w:vAlign w:val="center"/>
          </w:tcPr>
          <w:p>
            <w:pPr>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7" w:type="dxa"/>
            <w:vAlign w:val="center"/>
          </w:tcPr>
          <w:p>
            <w:pPr>
              <w:jc w:val="center"/>
              <w:rPr>
                <w:rFonts w:ascii="方正仿宋_GBK" w:hAnsi="方正仿宋_GBK" w:eastAsia="方正仿宋_GBK" w:cs="方正仿宋_GBK"/>
                <w:sz w:val="24"/>
              </w:rPr>
            </w:pPr>
          </w:p>
        </w:tc>
        <w:tc>
          <w:tcPr>
            <w:tcW w:w="1570" w:type="dxa"/>
            <w:vAlign w:val="center"/>
          </w:tcPr>
          <w:p>
            <w:pPr>
              <w:jc w:val="center"/>
              <w:rPr>
                <w:rFonts w:ascii="方正仿宋_GBK" w:hAnsi="方正仿宋_GBK" w:eastAsia="方正仿宋_GBK" w:cs="方正仿宋_GBK"/>
                <w:sz w:val="24"/>
              </w:rPr>
            </w:pPr>
          </w:p>
        </w:tc>
        <w:tc>
          <w:tcPr>
            <w:tcW w:w="1790" w:type="dxa"/>
            <w:vAlign w:val="center"/>
          </w:tcPr>
          <w:p>
            <w:pPr>
              <w:jc w:val="center"/>
              <w:rPr>
                <w:rFonts w:ascii="方正仿宋_GBK" w:hAnsi="方正仿宋_GBK" w:eastAsia="方正仿宋_GBK" w:cs="方正仿宋_GBK"/>
                <w:sz w:val="24"/>
              </w:rPr>
            </w:pPr>
          </w:p>
        </w:tc>
        <w:tc>
          <w:tcPr>
            <w:tcW w:w="2515" w:type="dxa"/>
            <w:vAlign w:val="center"/>
          </w:tcPr>
          <w:p>
            <w:pPr>
              <w:jc w:val="center"/>
              <w:rPr>
                <w:rFonts w:ascii="方正仿宋_GBK" w:hAnsi="方正仿宋_GBK" w:eastAsia="方正仿宋_GBK" w:cs="方正仿宋_GBK"/>
                <w:sz w:val="24"/>
              </w:rPr>
            </w:pPr>
          </w:p>
        </w:tc>
        <w:tc>
          <w:tcPr>
            <w:tcW w:w="5070" w:type="dxa"/>
            <w:vAlign w:val="center"/>
          </w:tcPr>
          <w:p>
            <w:pPr>
              <w:jc w:val="center"/>
              <w:rPr>
                <w:rFonts w:ascii="方正仿宋_GBK" w:hAnsi="方正仿宋_GBK" w:eastAsia="方正仿宋_GBK" w:cs="方正仿宋_GBK"/>
                <w:sz w:val="24"/>
              </w:rPr>
            </w:pPr>
          </w:p>
        </w:tc>
        <w:tc>
          <w:tcPr>
            <w:tcW w:w="2825" w:type="dxa"/>
            <w:vAlign w:val="center"/>
          </w:tcPr>
          <w:p>
            <w:pPr>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7" w:type="dxa"/>
            <w:vAlign w:val="center"/>
          </w:tcPr>
          <w:p>
            <w:pPr>
              <w:jc w:val="center"/>
              <w:rPr>
                <w:rFonts w:ascii="方正仿宋_GBK" w:hAnsi="方正仿宋_GBK" w:eastAsia="方正仿宋_GBK" w:cs="方正仿宋_GBK"/>
                <w:sz w:val="24"/>
              </w:rPr>
            </w:pPr>
          </w:p>
        </w:tc>
        <w:tc>
          <w:tcPr>
            <w:tcW w:w="1570" w:type="dxa"/>
            <w:vAlign w:val="center"/>
          </w:tcPr>
          <w:p>
            <w:pPr>
              <w:jc w:val="center"/>
              <w:rPr>
                <w:rFonts w:ascii="方正仿宋_GBK" w:hAnsi="方正仿宋_GBK" w:eastAsia="方正仿宋_GBK" w:cs="方正仿宋_GBK"/>
                <w:sz w:val="24"/>
              </w:rPr>
            </w:pPr>
          </w:p>
        </w:tc>
        <w:tc>
          <w:tcPr>
            <w:tcW w:w="1790" w:type="dxa"/>
            <w:vAlign w:val="center"/>
          </w:tcPr>
          <w:p>
            <w:pPr>
              <w:jc w:val="center"/>
              <w:rPr>
                <w:rFonts w:ascii="方正仿宋_GBK" w:hAnsi="方正仿宋_GBK" w:eastAsia="方正仿宋_GBK" w:cs="方正仿宋_GBK"/>
                <w:sz w:val="24"/>
              </w:rPr>
            </w:pPr>
          </w:p>
        </w:tc>
        <w:tc>
          <w:tcPr>
            <w:tcW w:w="2515" w:type="dxa"/>
            <w:vAlign w:val="center"/>
          </w:tcPr>
          <w:p>
            <w:pPr>
              <w:jc w:val="center"/>
              <w:rPr>
                <w:rFonts w:ascii="方正仿宋_GBK" w:hAnsi="方正仿宋_GBK" w:eastAsia="方正仿宋_GBK" w:cs="方正仿宋_GBK"/>
                <w:sz w:val="24"/>
              </w:rPr>
            </w:pPr>
          </w:p>
        </w:tc>
        <w:tc>
          <w:tcPr>
            <w:tcW w:w="5070" w:type="dxa"/>
            <w:vAlign w:val="center"/>
          </w:tcPr>
          <w:p>
            <w:pPr>
              <w:jc w:val="center"/>
              <w:rPr>
                <w:rFonts w:ascii="方正仿宋_GBK" w:hAnsi="方正仿宋_GBK" w:eastAsia="方正仿宋_GBK" w:cs="方正仿宋_GBK"/>
                <w:sz w:val="24"/>
              </w:rPr>
            </w:pPr>
          </w:p>
        </w:tc>
        <w:tc>
          <w:tcPr>
            <w:tcW w:w="2825" w:type="dxa"/>
            <w:vAlign w:val="center"/>
          </w:tcPr>
          <w:p>
            <w:pPr>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7" w:type="dxa"/>
            <w:vAlign w:val="center"/>
          </w:tcPr>
          <w:p>
            <w:pPr>
              <w:jc w:val="center"/>
              <w:rPr>
                <w:rFonts w:ascii="方正仿宋_GBK" w:hAnsi="方正仿宋_GBK" w:eastAsia="方正仿宋_GBK" w:cs="方正仿宋_GBK"/>
                <w:sz w:val="24"/>
              </w:rPr>
            </w:pPr>
          </w:p>
        </w:tc>
        <w:tc>
          <w:tcPr>
            <w:tcW w:w="1570" w:type="dxa"/>
            <w:vAlign w:val="center"/>
          </w:tcPr>
          <w:p>
            <w:pPr>
              <w:jc w:val="center"/>
              <w:rPr>
                <w:rFonts w:ascii="方正仿宋_GBK" w:hAnsi="方正仿宋_GBK" w:eastAsia="方正仿宋_GBK" w:cs="方正仿宋_GBK"/>
                <w:sz w:val="24"/>
              </w:rPr>
            </w:pPr>
          </w:p>
        </w:tc>
        <w:tc>
          <w:tcPr>
            <w:tcW w:w="1790" w:type="dxa"/>
            <w:vAlign w:val="center"/>
          </w:tcPr>
          <w:p>
            <w:pPr>
              <w:jc w:val="center"/>
              <w:rPr>
                <w:rFonts w:ascii="方正仿宋_GBK" w:hAnsi="方正仿宋_GBK" w:eastAsia="方正仿宋_GBK" w:cs="方正仿宋_GBK"/>
                <w:sz w:val="24"/>
              </w:rPr>
            </w:pPr>
          </w:p>
        </w:tc>
        <w:tc>
          <w:tcPr>
            <w:tcW w:w="2515" w:type="dxa"/>
            <w:vAlign w:val="center"/>
          </w:tcPr>
          <w:p>
            <w:pPr>
              <w:jc w:val="center"/>
              <w:rPr>
                <w:rFonts w:ascii="方正仿宋_GBK" w:hAnsi="方正仿宋_GBK" w:eastAsia="方正仿宋_GBK" w:cs="方正仿宋_GBK"/>
                <w:sz w:val="24"/>
              </w:rPr>
            </w:pPr>
          </w:p>
        </w:tc>
        <w:tc>
          <w:tcPr>
            <w:tcW w:w="5070" w:type="dxa"/>
            <w:vAlign w:val="center"/>
          </w:tcPr>
          <w:p>
            <w:pPr>
              <w:jc w:val="center"/>
              <w:rPr>
                <w:rFonts w:ascii="方正仿宋_GBK" w:hAnsi="方正仿宋_GBK" w:eastAsia="方正仿宋_GBK" w:cs="方正仿宋_GBK"/>
                <w:sz w:val="24"/>
              </w:rPr>
            </w:pPr>
          </w:p>
        </w:tc>
        <w:tc>
          <w:tcPr>
            <w:tcW w:w="2825" w:type="dxa"/>
            <w:vAlign w:val="center"/>
          </w:tcPr>
          <w:p>
            <w:pPr>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7" w:type="dxa"/>
            <w:vAlign w:val="center"/>
          </w:tcPr>
          <w:p>
            <w:pPr>
              <w:jc w:val="center"/>
              <w:rPr>
                <w:rFonts w:ascii="方正仿宋_GBK" w:hAnsi="方正仿宋_GBK" w:eastAsia="方正仿宋_GBK" w:cs="方正仿宋_GBK"/>
                <w:sz w:val="24"/>
              </w:rPr>
            </w:pPr>
          </w:p>
        </w:tc>
        <w:tc>
          <w:tcPr>
            <w:tcW w:w="1570" w:type="dxa"/>
            <w:vAlign w:val="center"/>
          </w:tcPr>
          <w:p>
            <w:pPr>
              <w:jc w:val="center"/>
              <w:rPr>
                <w:rFonts w:ascii="方正仿宋_GBK" w:hAnsi="方正仿宋_GBK" w:eastAsia="方正仿宋_GBK" w:cs="方正仿宋_GBK"/>
                <w:sz w:val="24"/>
              </w:rPr>
            </w:pPr>
          </w:p>
        </w:tc>
        <w:tc>
          <w:tcPr>
            <w:tcW w:w="1790" w:type="dxa"/>
            <w:vAlign w:val="center"/>
          </w:tcPr>
          <w:p>
            <w:pPr>
              <w:jc w:val="center"/>
              <w:rPr>
                <w:rFonts w:ascii="方正仿宋_GBK" w:hAnsi="方正仿宋_GBK" w:eastAsia="方正仿宋_GBK" w:cs="方正仿宋_GBK"/>
                <w:sz w:val="24"/>
              </w:rPr>
            </w:pPr>
          </w:p>
        </w:tc>
        <w:tc>
          <w:tcPr>
            <w:tcW w:w="2515" w:type="dxa"/>
            <w:vAlign w:val="center"/>
          </w:tcPr>
          <w:p>
            <w:pPr>
              <w:jc w:val="center"/>
              <w:rPr>
                <w:rFonts w:ascii="方正仿宋_GBK" w:hAnsi="方正仿宋_GBK" w:eastAsia="方正仿宋_GBK" w:cs="方正仿宋_GBK"/>
                <w:sz w:val="24"/>
              </w:rPr>
            </w:pPr>
          </w:p>
        </w:tc>
        <w:tc>
          <w:tcPr>
            <w:tcW w:w="5070" w:type="dxa"/>
            <w:vAlign w:val="center"/>
          </w:tcPr>
          <w:p>
            <w:pPr>
              <w:jc w:val="center"/>
              <w:rPr>
                <w:rFonts w:ascii="方正仿宋_GBK" w:hAnsi="方正仿宋_GBK" w:eastAsia="方正仿宋_GBK" w:cs="方正仿宋_GBK"/>
                <w:sz w:val="24"/>
              </w:rPr>
            </w:pPr>
          </w:p>
        </w:tc>
        <w:tc>
          <w:tcPr>
            <w:tcW w:w="2825" w:type="dxa"/>
            <w:vAlign w:val="center"/>
          </w:tcPr>
          <w:p>
            <w:pPr>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7" w:type="dxa"/>
            <w:vAlign w:val="center"/>
          </w:tcPr>
          <w:p>
            <w:pPr>
              <w:jc w:val="center"/>
              <w:rPr>
                <w:rFonts w:ascii="方正仿宋_GBK" w:hAnsi="方正仿宋_GBK" w:eastAsia="方正仿宋_GBK" w:cs="方正仿宋_GBK"/>
                <w:sz w:val="24"/>
              </w:rPr>
            </w:pPr>
          </w:p>
        </w:tc>
        <w:tc>
          <w:tcPr>
            <w:tcW w:w="1570" w:type="dxa"/>
            <w:vAlign w:val="center"/>
          </w:tcPr>
          <w:p>
            <w:pPr>
              <w:jc w:val="center"/>
              <w:rPr>
                <w:rFonts w:ascii="方正仿宋_GBK" w:hAnsi="方正仿宋_GBK" w:eastAsia="方正仿宋_GBK" w:cs="方正仿宋_GBK"/>
                <w:sz w:val="24"/>
              </w:rPr>
            </w:pPr>
          </w:p>
        </w:tc>
        <w:tc>
          <w:tcPr>
            <w:tcW w:w="1790" w:type="dxa"/>
            <w:vAlign w:val="center"/>
          </w:tcPr>
          <w:p>
            <w:pPr>
              <w:jc w:val="center"/>
              <w:rPr>
                <w:rFonts w:ascii="方正仿宋_GBK" w:hAnsi="方正仿宋_GBK" w:eastAsia="方正仿宋_GBK" w:cs="方正仿宋_GBK"/>
                <w:sz w:val="24"/>
              </w:rPr>
            </w:pPr>
          </w:p>
        </w:tc>
        <w:tc>
          <w:tcPr>
            <w:tcW w:w="2515" w:type="dxa"/>
            <w:vAlign w:val="center"/>
          </w:tcPr>
          <w:p>
            <w:pPr>
              <w:jc w:val="center"/>
              <w:rPr>
                <w:rFonts w:ascii="方正仿宋_GBK" w:hAnsi="方正仿宋_GBK" w:eastAsia="方正仿宋_GBK" w:cs="方正仿宋_GBK"/>
                <w:sz w:val="24"/>
              </w:rPr>
            </w:pPr>
          </w:p>
        </w:tc>
        <w:tc>
          <w:tcPr>
            <w:tcW w:w="5070" w:type="dxa"/>
            <w:vAlign w:val="center"/>
          </w:tcPr>
          <w:p>
            <w:pPr>
              <w:jc w:val="center"/>
              <w:rPr>
                <w:rFonts w:ascii="方正仿宋_GBK" w:hAnsi="方正仿宋_GBK" w:eastAsia="方正仿宋_GBK" w:cs="方正仿宋_GBK"/>
                <w:sz w:val="24"/>
              </w:rPr>
            </w:pPr>
          </w:p>
        </w:tc>
        <w:tc>
          <w:tcPr>
            <w:tcW w:w="2825" w:type="dxa"/>
            <w:vAlign w:val="center"/>
          </w:tcPr>
          <w:p>
            <w:pPr>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7" w:type="dxa"/>
            <w:vAlign w:val="center"/>
          </w:tcPr>
          <w:p>
            <w:pPr>
              <w:jc w:val="center"/>
              <w:rPr>
                <w:rFonts w:ascii="方正仿宋_GBK" w:hAnsi="方正仿宋_GBK" w:eastAsia="方正仿宋_GBK" w:cs="方正仿宋_GBK"/>
                <w:sz w:val="24"/>
              </w:rPr>
            </w:pPr>
          </w:p>
        </w:tc>
        <w:tc>
          <w:tcPr>
            <w:tcW w:w="1570" w:type="dxa"/>
            <w:vAlign w:val="center"/>
          </w:tcPr>
          <w:p>
            <w:pPr>
              <w:jc w:val="center"/>
              <w:rPr>
                <w:rFonts w:ascii="方正仿宋_GBK" w:hAnsi="方正仿宋_GBK" w:eastAsia="方正仿宋_GBK" w:cs="方正仿宋_GBK"/>
                <w:sz w:val="24"/>
              </w:rPr>
            </w:pPr>
          </w:p>
        </w:tc>
        <w:tc>
          <w:tcPr>
            <w:tcW w:w="1790" w:type="dxa"/>
            <w:vAlign w:val="center"/>
          </w:tcPr>
          <w:p>
            <w:pPr>
              <w:jc w:val="center"/>
              <w:rPr>
                <w:rFonts w:ascii="方正仿宋_GBK" w:hAnsi="方正仿宋_GBK" w:eastAsia="方正仿宋_GBK" w:cs="方正仿宋_GBK"/>
                <w:sz w:val="24"/>
              </w:rPr>
            </w:pPr>
          </w:p>
        </w:tc>
        <w:tc>
          <w:tcPr>
            <w:tcW w:w="2515" w:type="dxa"/>
            <w:vAlign w:val="center"/>
          </w:tcPr>
          <w:p>
            <w:pPr>
              <w:jc w:val="center"/>
              <w:rPr>
                <w:rFonts w:ascii="方正仿宋_GBK" w:hAnsi="方正仿宋_GBK" w:eastAsia="方正仿宋_GBK" w:cs="方正仿宋_GBK"/>
                <w:sz w:val="24"/>
              </w:rPr>
            </w:pPr>
          </w:p>
        </w:tc>
        <w:tc>
          <w:tcPr>
            <w:tcW w:w="5070" w:type="dxa"/>
            <w:vAlign w:val="center"/>
          </w:tcPr>
          <w:p>
            <w:pPr>
              <w:jc w:val="center"/>
              <w:rPr>
                <w:rFonts w:ascii="方正仿宋_GBK" w:hAnsi="方正仿宋_GBK" w:eastAsia="方正仿宋_GBK" w:cs="方正仿宋_GBK"/>
                <w:sz w:val="24"/>
              </w:rPr>
            </w:pPr>
          </w:p>
        </w:tc>
        <w:tc>
          <w:tcPr>
            <w:tcW w:w="2825" w:type="dxa"/>
            <w:vAlign w:val="center"/>
          </w:tcPr>
          <w:p>
            <w:pPr>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7" w:type="dxa"/>
            <w:vAlign w:val="center"/>
          </w:tcPr>
          <w:p>
            <w:pPr>
              <w:jc w:val="center"/>
              <w:rPr>
                <w:rFonts w:ascii="方正仿宋_GBK" w:hAnsi="方正仿宋_GBK" w:eastAsia="方正仿宋_GBK" w:cs="方正仿宋_GBK"/>
                <w:sz w:val="24"/>
              </w:rPr>
            </w:pPr>
          </w:p>
          <w:p>
            <w:pPr>
              <w:jc w:val="center"/>
              <w:rPr>
                <w:rFonts w:ascii="方正仿宋_GBK" w:hAnsi="方正仿宋_GBK" w:eastAsia="方正仿宋_GBK" w:cs="方正仿宋_GBK"/>
                <w:sz w:val="24"/>
              </w:rPr>
            </w:pPr>
          </w:p>
        </w:tc>
        <w:tc>
          <w:tcPr>
            <w:tcW w:w="1570" w:type="dxa"/>
            <w:vAlign w:val="center"/>
          </w:tcPr>
          <w:p>
            <w:pPr>
              <w:jc w:val="center"/>
              <w:rPr>
                <w:rFonts w:ascii="方正仿宋_GBK" w:hAnsi="方正仿宋_GBK" w:eastAsia="方正仿宋_GBK" w:cs="方正仿宋_GBK"/>
                <w:sz w:val="24"/>
              </w:rPr>
            </w:pPr>
          </w:p>
        </w:tc>
        <w:tc>
          <w:tcPr>
            <w:tcW w:w="1790" w:type="dxa"/>
            <w:vAlign w:val="center"/>
          </w:tcPr>
          <w:p>
            <w:pPr>
              <w:jc w:val="center"/>
              <w:rPr>
                <w:rFonts w:ascii="方正仿宋_GBK" w:hAnsi="方正仿宋_GBK" w:eastAsia="方正仿宋_GBK" w:cs="方正仿宋_GBK"/>
                <w:sz w:val="24"/>
              </w:rPr>
            </w:pPr>
          </w:p>
        </w:tc>
        <w:tc>
          <w:tcPr>
            <w:tcW w:w="2515" w:type="dxa"/>
            <w:vAlign w:val="center"/>
          </w:tcPr>
          <w:p>
            <w:pPr>
              <w:jc w:val="center"/>
              <w:rPr>
                <w:rFonts w:ascii="方正仿宋_GBK" w:hAnsi="方正仿宋_GBK" w:eastAsia="方正仿宋_GBK" w:cs="方正仿宋_GBK"/>
                <w:sz w:val="24"/>
              </w:rPr>
            </w:pPr>
          </w:p>
        </w:tc>
        <w:tc>
          <w:tcPr>
            <w:tcW w:w="5070" w:type="dxa"/>
            <w:vAlign w:val="center"/>
          </w:tcPr>
          <w:p>
            <w:pPr>
              <w:jc w:val="center"/>
              <w:rPr>
                <w:rFonts w:ascii="方正仿宋_GBK" w:hAnsi="方正仿宋_GBK" w:eastAsia="方正仿宋_GBK" w:cs="方正仿宋_GBK"/>
                <w:sz w:val="24"/>
              </w:rPr>
            </w:pPr>
          </w:p>
        </w:tc>
        <w:tc>
          <w:tcPr>
            <w:tcW w:w="2825" w:type="dxa"/>
            <w:vAlign w:val="center"/>
          </w:tcPr>
          <w:p>
            <w:pPr>
              <w:jc w:val="center"/>
              <w:rPr>
                <w:rFonts w:ascii="方正仿宋_GBK" w:hAnsi="方正仿宋_GBK" w:eastAsia="方正仿宋_GBK" w:cs="方正仿宋_GBK"/>
                <w:sz w:val="24"/>
              </w:rPr>
            </w:pPr>
          </w:p>
        </w:tc>
      </w:tr>
    </w:tbl>
    <w:p>
      <w:pPr>
        <w:jc w:val="left"/>
        <w:rPr>
          <w:rFonts w:ascii="方正仿宋_GBK" w:hAnsi="方正仿宋_GBK" w:eastAsia="方正仿宋_GBK" w:cs="方正仿宋_GBK"/>
          <w:sz w:val="24"/>
        </w:rPr>
        <w:sectPr>
          <w:pgSz w:w="16838" w:h="11906" w:orient="landscape"/>
          <w:pgMar w:top="1417" w:right="1134" w:bottom="850" w:left="1134" w:header="851" w:footer="992" w:gutter="0"/>
          <w:cols w:space="720" w:num="1"/>
          <w:docGrid w:type="lines" w:linePitch="327" w:charSpace="0"/>
        </w:sectPr>
      </w:pPr>
      <w:r>
        <w:rPr>
          <w:rFonts w:hint="eastAsia" w:ascii="方正仿宋_GBK" w:hAnsi="方正仿宋_GBK" w:eastAsia="方正仿宋_GBK" w:cs="方正仿宋_GBK"/>
          <w:sz w:val="24"/>
        </w:rPr>
        <w:t>主管部门：                     负责人（签字）：                普查作业单位：                     整改人（签字）：</w:t>
      </w:r>
    </w:p>
    <w:p>
      <w:pPr>
        <w:jc w:val="center"/>
        <w:outlineLvl w:val="1"/>
        <w:rPr>
          <w:rFonts w:eastAsia="仿宋"/>
          <w:b/>
          <w:bCs/>
          <w:sz w:val="28"/>
          <w:szCs w:val="28"/>
        </w:rPr>
      </w:pPr>
      <w:bookmarkStart w:id="1830" w:name="_Toc12501"/>
      <w:bookmarkStart w:id="1831" w:name="_Toc8556"/>
      <w:bookmarkStart w:id="1832" w:name="_Toc19141"/>
      <w:bookmarkStart w:id="1833" w:name="_Toc18327"/>
      <w:bookmarkStart w:id="1834" w:name="_Toc12760"/>
      <w:bookmarkStart w:id="1835" w:name="_Toc22487"/>
      <w:bookmarkStart w:id="1836" w:name="_Toc7628"/>
      <w:r>
        <w:rPr>
          <w:rFonts w:hint="eastAsia" w:eastAsia="仿宋"/>
          <w:b/>
          <w:bCs/>
          <w:sz w:val="28"/>
          <w:szCs w:val="28"/>
        </w:rPr>
        <w:t>附录</w:t>
      </w:r>
      <w:r>
        <w:rPr>
          <w:rFonts w:eastAsia="仿宋"/>
          <w:b/>
          <w:bCs/>
          <w:sz w:val="28"/>
          <w:szCs w:val="28"/>
        </w:rPr>
        <w:t xml:space="preserve">K </w:t>
      </w:r>
      <w:r>
        <w:rPr>
          <w:rFonts w:hint="eastAsia" w:ascii="仿宋" w:hAnsi="仿宋" w:eastAsia="仿宋" w:cs="仿宋"/>
          <w:b/>
          <w:bCs/>
          <w:sz w:val="32"/>
          <w:szCs w:val="32"/>
        </w:rPr>
        <w:t>成都市1:500  1:1000  1:2000地形图分幅技术规定(2020)</w:t>
      </w:r>
      <w:bookmarkEnd w:id="1830"/>
      <w:bookmarkEnd w:id="1831"/>
      <w:bookmarkEnd w:id="1832"/>
      <w:bookmarkEnd w:id="1833"/>
      <w:bookmarkEnd w:id="1834"/>
      <w:bookmarkEnd w:id="1835"/>
      <w:bookmarkEnd w:id="1836"/>
    </w:p>
    <w:p>
      <w:pPr>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一、总则</w:t>
      </w:r>
    </w:p>
    <w:p>
      <w:pPr>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为加强测绘管理，保障成都市测绘产品生产更新的顺利实施，实现测绘成果的共享，特制定本规定。</w:t>
      </w:r>
    </w:p>
    <w:p>
      <w:pPr>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成都市市域范围内使用财政资金完成的1:500 1:1000 1:2000比例尺地形图，需要分幅的，必须符合本规定要求。</w:t>
      </w:r>
    </w:p>
    <w:p>
      <w:pPr>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二、标准的依据</w:t>
      </w:r>
    </w:p>
    <w:p>
      <w:pPr>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《国家基本比例尺地图图式 第1部分1:500 1:1000 1:2000地形图图式》GBT 20257.1-2017</w:t>
      </w:r>
    </w:p>
    <w:p>
      <w:pPr>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三、分幅标准</w:t>
      </w:r>
    </w:p>
    <w:p>
      <w:pPr>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（一）分幅方法</w:t>
      </w:r>
    </w:p>
    <w:p>
      <w:pPr>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成都市1:500、1:1000、1:2000比例尺地形图在1:5000地形图分幅基础上采用正方形分幅。1:5000图幅大小为40厘米×40厘米，其它比例尺图幅大小为50厘米×50厘米，即一幅1:500地形图实地面积0.0625平方千米，一幅1:1000地形图实地面积0.25平方千米，一幅1:2000地形图实地面积1.0平方千米。</w:t>
      </w:r>
    </w:p>
    <w:p>
      <w:pPr>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（二）编号方法</w:t>
      </w:r>
    </w:p>
    <w:p>
      <w:pPr>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成都市市域内测制的地形图，应在成都市平面坐标系下分幅。</w:t>
      </w:r>
    </w:p>
    <w:p>
      <w:pPr>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1. 成都平面坐标系（中带）编号方法</w:t>
      </w:r>
    </w:p>
    <w:p>
      <w:pPr>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成都平面坐标系（中带）的地形图，分幅编号采用坐标公里数编号法。以1:5000地形图图廓西南角点的成都市平面坐标数字（坐标为整数，用阿拉伯数字，以㎞为单位）作为基础图号，并且作为包括于本图幅中1:500～1:2000比例尺图的基本图号。</w:t>
      </w:r>
    </w:p>
    <w:p>
      <w:pPr>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（1）在1:5000比例尺图的基本图号之末尾，按从左至右，从上到下的顺序，附加一个子号数字（用罗马数字Ⅰ、Ⅱ、Ⅲ、Ⅳ）作为1: 2000比例尺图的图号。</w:t>
      </w:r>
    </w:p>
    <w:p>
      <w:pPr>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（2）在1:2000比例尺图的基本图号之末尾，按从左至右，从上到下的顺序，附加一个子号数字（用罗马数字Ⅰ、Ⅱ、Ⅲ、Ⅳ）作为1: 1000比例尺图的图号。</w:t>
      </w:r>
    </w:p>
    <w:p>
      <w:pPr>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（3）在1:1000比例尺图的基本图号之末尾，按从左至右，从上到下的顺序，附加一个子号数字（罗马数字Ⅰ、Ⅱ、Ⅲ、Ⅳ）作为1: 500比例尺图的图号。</w:t>
      </w:r>
    </w:p>
    <w:p>
      <w:pPr>
        <w:pStyle w:val="17"/>
        <w:spacing w:line="360" w:lineRule="auto"/>
        <w:ind w:firstLine="560" w:firstLineChars="200"/>
        <w:jc w:val="center"/>
        <w:rPr>
          <w:rFonts w:ascii="仿宋" w:hAnsi="仿宋" w:eastAsia="仿宋" w:cs="仿宋"/>
          <w:sz w:val="28"/>
          <w:szCs w:val="28"/>
        </w:rPr>
      </w:pPr>
      <w:r>
        <w:rPr>
          <w:rFonts w:ascii="仿宋" w:hAnsi="仿宋" w:eastAsia="仿宋" w:cs="仿宋"/>
          <w:sz w:val="28"/>
          <w:szCs w:val="28"/>
        </w:rPr>
        <w:drawing>
          <wp:inline distT="0" distB="0" distL="0" distR="0">
            <wp:extent cx="3009900" cy="2695575"/>
            <wp:effectExtent l="0" t="0" r="0" b="9525"/>
            <wp:docPr id="220" name="图片 220" descr="中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中带.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3009900" cy="2695575"/>
                    </a:xfrm>
                    <a:prstGeom prst="rect">
                      <a:avLst/>
                    </a:prstGeom>
                    <a:noFill/>
                    <a:ln>
                      <a:noFill/>
                    </a:ln>
                  </pic:spPr>
                </pic:pic>
              </a:graphicData>
            </a:graphic>
          </wp:inline>
        </w:drawing>
      </w:r>
    </w:p>
    <w:p>
      <w:pPr>
        <w:pStyle w:val="17"/>
        <w:spacing w:line="360" w:lineRule="auto"/>
        <w:ind w:firstLine="480" w:firstLineChars="200"/>
        <w:jc w:val="center"/>
        <w:rPr>
          <w:rFonts w:ascii="仿宋" w:hAnsi="仿宋" w:eastAsia="仿宋" w:cs="仿宋"/>
          <w:sz w:val="28"/>
          <w:szCs w:val="28"/>
        </w:rPr>
      </w:pPr>
      <w:r>
        <w:rPr>
          <w:rFonts w:hint="eastAsia" w:ascii="仿宋" w:hAnsi="仿宋" w:eastAsia="仿宋" w:cs="仿宋"/>
          <w:sz w:val="24"/>
        </w:rPr>
        <w:t>图1成都平面坐标系（中带）编号示意图</w:t>
      </w:r>
    </w:p>
    <w:p>
      <w:pPr>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图1是成都平面坐标系（中带）编号示意图。其中，1：5000图幅号为218-220，1：2000图幅号为218-220-Ⅱ，1：500图幅号为218-220-Ⅱ-Ⅲ-Ⅰ。</w:t>
      </w:r>
    </w:p>
    <w:p>
      <w:pPr>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2. 成都平面坐标系（东带）和成都平面坐标系（西带）编号方法</w:t>
      </w:r>
    </w:p>
    <w:p>
      <w:pPr>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成都平面坐标系（东带）和成都平面坐标系（西带）地形图分幅编号与成都平面坐标系地形图分幅编号规则一致，并在图幅号上有明确区分。</w:t>
      </w:r>
    </w:p>
    <w:p>
      <w:pPr>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1:5000地形图图幅编号为英文大写字母“E”（东带），或“W”（西带）加图廓西南角点的坐标数字（坐标为整数，去掉代号“9”或“7”， 以㎞为单位），并且作为包括于本图幅中1:500～2000比例尺图的基本图号。</w:t>
      </w:r>
    </w:p>
    <w:p>
      <w:pPr>
        <w:pStyle w:val="17"/>
        <w:spacing w:line="360" w:lineRule="auto"/>
        <w:ind w:firstLine="560" w:firstLineChars="200"/>
        <w:jc w:val="center"/>
        <w:rPr>
          <w:rFonts w:ascii="仿宋" w:hAnsi="仿宋" w:eastAsia="仿宋" w:cs="仿宋"/>
          <w:color w:val="FF0000"/>
          <w:sz w:val="28"/>
          <w:szCs w:val="28"/>
        </w:rPr>
      </w:pPr>
      <w:r>
        <w:rPr>
          <w:rFonts w:ascii="仿宋" w:hAnsi="仿宋" w:eastAsia="仿宋" w:cs="仿宋"/>
          <w:color w:val="FF0000"/>
          <w:sz w:val="28"/>
          <w:szCs w:val="28"/>
        </w:rPr>
        <w:drawing>
          <wp:inline distT="0" distB="0" distL="0" distR="0">
            <wp:extent cx="3028950" cy="2695575"/>
            <wp:effectExtent l="0" t="0" r="0" b="9525"/>
            <wp:docPr id="221" name="图片 221" descr="东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东带.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3028950" cy="2695575"/>
                    </a:xfrm>
                    <a:prstGeom prst="rect">
                      <a:avLst/>
                    </a:prstGeom>
                    <a:noFill/>
                    <a:ln>
                      <a:noFill/>
                    </a:ln>
                  </pic:spPr>
                </pic:pic>
              </a:graphicData>
            </a:graphic>
          </wp:inline>
        </w:drawing>
      </w:r>
    </w:p>
    <w:p>
      <w:pPr>
        <w:pStyle w:val="17"/>
        <w:spacing w:line="360" w:lineRule="auto"/>
        <w:ind w:firstLine="480" w:firstLineChars="200"/>
        <w:jc w:val="center"/>
        <w:rPr>
          <w:rFonts w:ascii="仿宋" w:hAnsi="仿宋" w:eastAsia="仿宋" w:cs="仿宋"/>
          <w:sz w:val="24"/>
        </w:rPr>
      </w:pPr>
      <w:r>
        <w:rPr>
          <w:rFonts w:hint="eastAsia" w:ascii="仿宋" w:hAnsi="仿宋" w:eastAsia="仿宋" w:cs="仿宋"/>
          <w:sz w:val="24"/>
        </w:rPr>
        <w:t>图2成都平面坐标系（东带）编号示意图</w:t>
      </w:r>
    </w:p>
    <w:p>
      <w:pPr>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 xml:space="preserve">图2是成都平面坐标系（东带）编号示意图。其中，1：5000图幅号为E168-242，1：2000图幅号为E168-242-Ⅱ，1：500图幅号为E168-242-Ⅱ-Ⅲ-Ⅰ。 </w:t>
      </w:r>
    </w:p>
    <w:p>
      <w:pPr>
        <w:pStyle w:val="17"/>
        <w:spacing w:line="360" w:lineRule="auto"/>
        <w:ind w:firstLine="560" w:firstLineChars="200"/>
        <w:jc w:val="center"/>
        <w:rPr>
          <w:rFonts w:ascii="仿宋" w:hAnsi="仿宋" w:eastAsia="仿宋" w:cs="仿宋"/>
          <w:sz w:val="28"/>
          <w:szCs w:val="28"/>
        </w:rPr>
      </w:pPr>
      <w:r>
        <w:rPr>
          <w:rFonts w:ascii="仿宋" w:hAnsi="仿宋" w:eastAsia="仿宋" w:cs="仿宋"/>
          <w:sz w:val="28"/>
          <w:szCs w:val="28"/>
        </w:rPr>
        <w:drawing>
          <wp:inline distT="0" distB="0" distL="0" distR="0">
            <wp:extent cx="2695575" cy="2400300"/>
            <wp:effectExtent l="0" t="0" r="9525" b="0"/>
            <wp:docPr id="222" name="图片 222" descr="西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西带.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2695575" cy="2400300"/>
                    </a:xfrm>
                    <a:prstGeom prst="rect">
                      <a:avLst/>
                    </a:prstGeom>
                    <a:noFill/>
                    <a:ln>
                      <a:noFill/>
                    </a:ln>
                  </pic:spPr>
                </pic:pic>
              </a:graphicData>
            </a:graphic>
          </wp:inline>
        </w:drawing>
      </w:r>
    </w:p>
    <w:p>
      <w:pPr>
        <w:pStyle w:val="17"/>
        <w:spacing w:line="360" w:lineRule="auto"/>
        <w:ind w:firstLine="480" w:firstLineChars="200"/>
        <w:jc w:val="center"/>
        <w:rPr>
          <w:rFonts w:ascii="仿宋" w:hAnsi="仿宋" w:eastAsia="仿宋" w:cs="仿宋"/>
          <w:sz w:val="28"/>
          <w:szCs w:val="28"/>
        </w:rPr>
      </w:pPr>
      <w:r>
        <w:rPr>
          <w:rFonts w:hint="eastAsia" w:ascii="仿宋" w:hAnsi="仿宋" w:eastAsia="仿宋" w:cs="仿宋"/>
          <w:sz w:val="24"/>
        </w:rPr>
        <w:t>图3成都平面坐标系（西带）编号示意图</w:t>
      </w:r>
    </w:p>
    <w:p>
      <w:pPr>
        <w:spacing w:line="560" w:lineRule="exact"/>
        <w:ind w:firstLine="560" w:firstLineChars="200"/>
        <w:jc w:val="left"/>
        <w:rPr>
          <w:rFonts w:ascii="微软雅黑" w:hAnsi="微软雅黑" w:eastAsia="微软雅黑" w:cs="微软雅黑"/>
          <w:sz w:val="24"/>
        </w:rPr>
      </w:pPr>
      <w:r>
        <w:rPr>
          <w:rFonts w:hint="eastAsia" w:ascii="仿宋" w:hAnsi="仿宋" w:eastAsia="仿宋" w:cs="仿宋"/>
          <w:sz w:val="28"/>
          <w:szCs w:val="28"/>
        </w:rPr>
        <w:t>图3是成都平面坐标系（西带）编号示意图。其中，1：5000图幅号为W210-140，1：2000图幅号为W210-140-Ⅱ，1：500图幅号为W210-140-Ⅱ-Ⅲ-Ⅰ。</w:t>
      </w:r>
    </w:p>
    <w:p>
      <w:pPr>
        <w:pStyle w:val="2"/>
        <w:spacing w:line="560" w:lineRule="exact"/>
        <w:ind w:right="140"/>
        <w:jc w:val="left"/>
        <w:sectPr>
          <w:pgSz w:w="11906" w:h="16838"/>
          <w:pgMar w:top="1701" w:right="1474" w:bottom="1417" w:left="1587" w:header="851" w:footer="992" w:gutter="0"/>
          <w:cols w:space="720" w:num="1"/>
          <w:docGrid w:type="lines" w:linePitch="327" w:charSpace="0"/>
        </w:sectPr>
      </w:pPr>
    </w:p>
    <w:p>
      <w:pPr>
        <w:jc w:val="center"/>
        <w:outlineLvl w:val="1"/>
        <w:rPr>
          <w:rFonts w:eastAsia="仿宋"/>
          <w:b/>
          <w:bCs/>
          <w:sz w:val="28"/>
          <w:szCs w:val="28"/>
        </w:rPr>
      </w:pPr>
      <w:bookmarkStart w:id="1837" w:name="_Toc10058"/>
      <w:bookmarkStart w:id="1838" w:name="_Toc29128"/>
      <w:bookmarkStart w:id="1839" w:name="_Toc5365"/>
      <w:bookmarkStart w:id="1840" w:name="_Toc20357"/>
      <w:bookmarkStart w:id="1841" w:name="_Toc3914"/>
      <w:bookmarkStart w:id="1842" w:name="_Toc26298"/>
      <w:bookmarkStart w:id="1843" w:name="_Toc16244"/>
      <w:r>
        <w:rPr>
          <w:rFonts w:hint="eastAsia" w:eastAsia="仿宋"/>
          <w:b/>
          <w:bCs/>
          <w:sz w:val="28"/>
          <w:szCs w:val="28"/>
        </w:rPr>
        <w:t>附录L地下管线隐患信息情况明细表</w:t>
      </w:r>
      <w:bookmarkEnd w:id="1837"/>
      <w:bookmarkEnd w:id="1838"/>
      <w:bookmarkEnd w:id="1839"/>
      <w:bookmarkEnd w:id="1840"/>
      <w:bookmarkEnd w:id="1841"/>
      <w:bookmarkEnd w:id="1842"/>
      <w:bookmarkEnd w:id="1843"/>
    </w:p>
    <w:p>
      <w:pPr>
        <w:pStyle w:val="2"/>
        <w:jc w:val="left"/>
        <w:rPr>
          <w:rFonts w:ascii="方正仿宋_GBK" w:hAnsi="方正仿宋_GBK" w:eastAsia="方正仿宋_GBK" w:cs="方正仿宋_GBK"/>
        </w:rPr>
      </w:pPr>
      <w:r>
        <w:rPr>
          <w:rFonts w:hint="eastAsia" w:ascii="方正仿宋_GBK" w:hAnsi="方正仿宋_GBK" w:eastAsia="方正仿宋_GBK" w:cs="方正仿宋_GBK"/>
        </w:rPr>
        <w:t xml:space="preserve">管线类型：                                                          管线权属单位（盖章）：                                 经办人：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1589"/>
        <w:gridCol w:w="1183"/>
        <w:gridCol w:w="1436"/>
        <w:gridCol w:w="1318"/>
        <w:gridCol w:w="1297"/>
        <w:gridCol w:w="1317"/>
        <w:gridCol w:w="1063"/>
        <w:gridCol w:w="1063"/>
        <w:gridCol w:w="1191"/>
        <w:gridCol w:w="907"/>
        <w:gridCol w:w="1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9" w:type="dxa"/>
            <w:vAlign w:val="center"/>
          </w:tcPr>
          <w:p>
            <w:pPr>
              <w:pStyle w:val="2"/>
              <w:jc w:val="center"/>
              <w:rPr>
                <w:rFonts w:ascii="方正仿宋_GBK" w:hAnsi="方正仿宋_GBK" w:eastAsia="方正仿宋_GBK" w:cs="方正仿宋_GBK"/>
                <w:b/>
              </w:rPr>
            </w:pPr>
            <w:r>
              <w:rPr>
                <w:rFonts w:hint="eastAsia" w:ascii="方正仿宋_GBK" w:hAnsi="方正仿宋_GBK" w:eastAsia="方正仿宋_GBK" w:cs="方正仿宋_GBK"/>
                <w:b/>
              </w:rPr>
              <w:t>序号</w:t>
            </w:r>
          </w:p>
        </w:tc>
        <w:tc>
          <w:tcPr>
            <w:tcW w:w="1589" w:type="dxa"/>
            <w:vAlign w:val="center"/>
          </w:tcPr>
          <w:p>
            <w:pPr>
              <w:pStyle w:val="2"/>
              <w:jc w:val="center"/>
              <w:rPr>
                <w:rFonts w:ascii="方正仿宋_GBK" w:hAnsi="方正仿宋_GBK" w:eastAsia="方正仿宋_GBK" w:cs="方正仿宋_GBK"/>
                <w:b/>
              </w:rPr>
            </w:pPr>
            <w:r>
              <w:rPr>
                <w:rFonts w:hint="eastAsia" w:ascii="方正仿宋_GBK" w:hAnsi="方正仿宋_GBK" w:eastAsia="方正仿宋_GBK" w:cs="方正仿宋_GBK"/>
                <w:b/>
              </w:rPr>
              <w:t>隐患地点</w:t>
            </w:r>
          </w:p>
        </w:tc>
        <w:tc>
          <w:tcPr>
            <w:tcW w:w="1183" w:type="dxa"/>
            <w:vAlign w:val="center"/>
          </w:tcPr>
          <w:p>
            <w:pPr>
              <w:pStyle w:val="2"/>
              <w:jc w:val="center"/>
              <w:rPr>
                <w:rFonts w:ascii="方正仿宋_GBK" w:hAnsi="方正仿宋_GBK" w:eastAsia="方正仿宋_GBK" w:cs="方正仿宋_GBK"/>
                <w:b/>
              </w:rPr>
            </w:pPr>
            <w:r>
              <w:rPr>
                <w:rFonts w:hint="eastAsia" w:ascii="方正仿宋_GBK" w:hAnsi="方正仿宋_GBK" w:eastAsia="方正仿宋_GBK" w:cs="方正仿宋_GBK"/>
                <w:b/>
              </w:rPr>
              <w:t>隐患类别</w:t>
            </w:r>
          </w:p>
        </w:tc>
        <w:tc>
          <w:tcPr>
            <w:tcW w:w="1436" w:type="dxa"/>
            <w:vAlign w:val="center"/>
          </w:tcPr>
          <w:p>
            <w:pPr>
              <w:pStyle w:val="2"/>
              <w:jc w:val="center"/>
              <w:rPr>
                <w:rFonts w:ascii="方正仿宋_GBK" w:hAnsi="方正仿宋_GBK" w:eastAsia="方正仿宋_GBK" w:cs="方正仿宋_GBK"/>
                <w:b/>
              </w:rPr>
            </w:pPr>
            <w:r>
              <w:rPr>
                <w:rFonts w:hint="eastAsia" w:ascii="方正仿宋_GBK" w:hAnsi="方正仿宋_GBK" w:eastAsia="方正仿宋_GBK" w:cs="方正仿宋_GBK"/>
                <w:b/>
              </w:rPr>
              <w:t>隐患部位</w:t>
            </w:r>
          </w:p>
        </w:tc>
        <w:tc>
          <w:tcPr>
            <w:tcW w:w="1318" w:type="dxa"/>
            <w:vAlign w:val="center"/>
          </w:tcPr>
          <w:p>
            <w:pPr>
              <w:pStyle w:val="2"/>
              <w:jc w:val="center"/>
              <w:rPr>
                <w:rFonts w:ascii="方正仿宋_GBK" w:hAnsi="方正仿宋_GBK" w:eastAsia="方正仿宋_GBK" w:cs="方正仿宋_GBK"/>
                <w:b/>
              </w:rPr>
            </w:pPr>
            <w:r>
              <w:rPr>
                <w:rFonts w:hint="eastAsia" w:ascii="方正仿宋_GBK" w:hAnsi="方正仿宋_GBK" w:eastAsia="方正仿宋_GBK" w:cs="方正仿宋_GBK"/>
                <w:b/>
              </w:rPr>
              <w:t>隐患描述</w:t>
            </w:r>
          </w:p>
        </w:tc>
        <w:tc>
          <w:tcPr>
            <w:tcW w:w="1297" w:type="dxa"/>
          </w:tcPr>
          <w:p>
            <w:pPr>
              <w:pStyle w:val="2"/>
              <w:jc w:val="center"/>
              <w:rPr>
                <w:rFonts w:ascii="方正仿宋_GBK" w:hAnsi="方正仿宋_GBK" w:eastAsia="方正仿宋_GBK" w:cs="方正仿宋_GBK"/>
                <w:b/>
              </w:rPr>
            </w:pPr>
            <w:r>
              <w:rPr>
                <w:rFonts w:hint="eastAsia" w:ascii="方正仿宋_GBK" w:hAnsi="方正仿宋_GBK" w:eastAsia="方正仿宋_GBK" w:cs="方正仿宋_GBK"/>
                <w:b/>
              </w:rPr>
              <w:t>是否有隐患照片</w:t>
            </w:r>
          </w:p>
        </w:tc>
        <w:tc>
          <w:tcPr>
            <w:tcW w:w="1317" w:type="dxa"/>
            <w:vAlign w:val="center"/>
          </w:tcPr>
          <w:p>
            <w:pPr>
              <w:pStyle w:val="2"/>
              <w:jc w:val="center"/>
              <w:rPr>
                <w:rFonts w:ascii="方正仿宋_GBK" w:hAnsi="方正仿宋_GBK" w:eastAsia="方正仿宋_GBK" w:cs="方正仿宋_GBK"/>
                <w:b/>
              </w:rPr>
            </w:pPr>
            <w:r>
              <w:rPr>
                <w:rFonts w:hint="eastAsia" w:ascii="方正仿宋_GBK" w:hAnsi="方正仿宋_GBK" w:eastAsia="方正仿宋_GBK" w:cs="方正仿宋_GBK"/>
                <w:b/>
              </w:rPr>
              <w:t>整改措施</w:t>
            </w:r>
          </w:p>
        </w:tc>
        <w:tc>
          <w:tcPr>
            <w:tcW w:w="1063" w:type="dxa"/>
            <w:vAlign w:val="center"/>
          </w:tcPr>
          <w:p>
            <w:pPr>
              <w:pStyle w:val="2"/>
              <w:jc w:val="center"/>
              <w:rPr>
                <w:rFonts w:ascii="方正仿宋_GBK" w:hAnsi="方正仿宋_GBK" w:eastAsia="方正仿宋_GBK" w:cs="方正仿宋_GBK"/>
                <w:b/>
              </w:rPr>
            </w:pPr>
            <w:r>
              <w:rPr>
                <w:rFonts w:hint="eastAsia" w:ascii="方正仿宋_GBK" w:hAnsi="方正仿宋_GBK" w:eastAsia="方正仿宋_GBK" w:cs="方正仿宋_GBK"/>
                <w:b/>
              </w:rPr>
              <w:t>是否排查</w:t>
            </w:r>
          </w:p>
        </w:tc>
        <w:tc>
          <w:tcPr>
            <w:tcW w:w="1063" w:type="dxa"/>
            <w:vAlign w:val="center"/>
          </w:tcPr>
          <w:p>
            <w:pPr>
              <w:pStyle w:val="2"/>
              <w:jc w:val="center"/>
              <w:rPr>
                <w:rFonts w:ascii="方正仿宋_GBK" w:hAnsi="方正仿宋_GBK" w:eastAsia="方正仿宋_GBK" w:cs="方正仿宋_GBK"/>
                <w:b/>
              </w:rPr>
            </w:pPr>
            <w:r>
              <w:rPr>
                <w:rFonts w:hint="eastAsia" w:ascii="方正仿宋_GBK" w:hAnsi="方正仿宋_GBK" w:eastAsia="方正仿宋_GBK" w:cs="方正仿宋_GBK"/>
                <w:b/>
              </w:rPr>
              <w:t>安全标识</w:t>
            </w:r>
          </w:p>
        </w:tc>
        <w:tc>
          <w:tcPr>
            <w:tcW w:w="1191" w:type="dxa"/>
            <w:vAlign w:val="center"/>
          </w:tcPr>
          <w:p>
            <w:pPr>
              <w:pStyle w:val="2"/>
              <w:jc w:val="center"/>
              <w:rPr>
                <w:rFonts w:ascii="方正仿宋_GBK" w:hAnsi="方正仿宋_GBK" w:eastAsia="方正仿宋_GBK" w:cs="方正仿宋_GBK"/>
                <w:b/>
              </w:rPr>
            </w:pPr>
            <w:r>
              <w:rPr>
                <w:rFonts w:hint="eastAsia" w:ascii="方正仿宋_GBK" w:hAnsi="方正仿宋_GBK" w:eastAsia="方正仿宋_GBK" w:cs="方正仿宋_GBK"/>
                <w:b/>
              </w:rPr>
              <w:t>责任单位</w:t>
            </w:r>
          </w:p>
        </w:tc>
        <w:tc>
          <w:tcPr>
            <w:tcW w:w="907" w:type="dxa"/>
            <w:vAlign w:val="center"/>
          </w:tcPr>
          <w:p>
            <w:pPr>
              <w:pStyle w:val="2"/>
              <w:jc w:val="center"/>
              <w:rPr>
                <w:rFonts w:ascii="方正仿宋_GBK" w:hAnsi="方正仿宋_GBK" w:eastAsia="方正仿宋_GBK" w:cs="方正仿宋_GBK"/>
                <w:b/>
              </w:rPr>
            </w:pPr>
            <w:r>
              <w:rPr>
                <w:rFonts w:hint="eastAsia" w:ascii="方正仿宋_GBK" w:hAnsi="方正仿宋_GBK" w:eastAsia="方正仿宋_GBK" w:cs="方正仿宋_GBK"/>
                <w:b/>
              </w:rPr>
              <w:t>责任人</w:t>
            </w:r>
          </w:p>
        </w:tc>
        <w:tc>
          <w:tcPr>
            <w:tcW w:w="1983" w:type="dxa"/>
            <w:vAlign w:val="center"/>
          </w:tcPr>
          <w:p>
            <w:pPr>
              <w:pStyle w:val="2"/>
              <w:jc w:val="center"/>
              <w:rPr>
                <w:rFonts w:ascii="方正仿宋_GBK" w:hAnsi="方正仿宋_GBK" w:eastAsia="方正仿宋_GBK" w:cs="方正仿宋_GBK"/>
                <w:b/>
              </w:rPr>
            </w:pPr>
            <w:r>
              <w:rPr>
                <w:rFonts w:hint="eastAsia" w:ascii="方正仿宋_GBK" w:hAnsi="方正仿宋_GBK" w:eastAsia="方正仿宋_GBK" w:cs="方正仿宋_GBK"/>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9" w:type="dxa"/>
          </w:tcPr>
          <w:p>
            <w:pPr>
              <w:pStyle w:val="2"/>
              <w:jc w:val="center"/>
              <w:rPr>
                <w:rFonts w:ascii="方正仿宋_GBK" w:hAnsi="方正仿宋_GBK" w:eastAsia="方正仿宋_GBK" w:cs="方正仿宋_GBK"/>
              </w:rPr>
            </w:pPr>
          </w:p>
        </w:tc>
        <w:tc>
          <w:tcPr>
            <w:tcW w:w="1589" w:type="dxa"/>
          </w:tcPr>
          <w:p>
            <w:pPr>
              <w:pStyle w:val="2"/>
              <w:jc w:val="center"/>
              <w:rPr>
                <w:rFonts w:ascii="方正仿宋_GBK" w:hAnsi="方正仿宋_GBK" w:eastAsia="方正仿宋_GBK" w:cs="方正仿宋_GBK"/>
              </w:rPr>
            </w:pPr>
          </w:p>
        </w:tc>
        <w:tc>
          <w:tcPr>
            <w:tcW w:w="1183" w:type="dxa"/>
          </w:tcPr>
          <w:p>
            <w:pPr>
              <w:pStyle w:val="2"/>
              <w:jc w:val="center"/>
              <w:rPr>
                <w:rFonts w:ascii="方正仿宋_GBK" w:hAnsi="方正仿宋_GBK" w:eastAsia="方正仿宋_GBK" w:cs="方正仿宋_GBK"/>
              </w:rPr>
            </w:pPr>
          </w:p>
        </w:tc>
        <w:tc>
          <w:tcPr>
            <w:tcW w:w="1436" w:type="dxa"/>
          </w:tcPr>
          <w:p>
            <w:pPr>
              <w:pStyle w:val="2"/>
              <w:jc w:val="center"/>
              <w:rPr>
                <w:rFonts w:ascii="方正仿宋_GBK" w:hAnsi="方正仿宋_GBK" w:eastAsia="方正仿宋_GBK" w:cs="方正仿宋_GBK"/>
              </w:rPr>
            </w:pPr>
          </w:p>
        </w:tc>
        <w:tc>
          <w:tcPr>
            <w:tcW w:w="1318" w:type="dxa"/>
          </w:tcPr>
          <w:p>
            <w:pPr>
              <w:pStyle w:val="2"/>
              <w:jc w:val="center"/>
              <w:rPr>
                <w:rFonts w:ascii="方正仿宋_GBK" w:hAnsi="方正仿宋_GBK" w:eastAsia="方正仿宋_GBK" w:cs="方正仿宋_GBK"/>
              </w:rPr>
            </w:pPr>
          </w:p>
        </w:tc>
        <w:tc>
          <w:tcPr>
            <w:tcW w:w="1297" w:type="dxa"/>
          </w:tcPr>
          <w:p>
            <w:pPr>
              <w:pStyle w:val="2"/>
              <w:jc w:val="center"/>
              <w:rPr>
                <w:rFonts w:ascii="方正仿宋_GBK" w:hAnsi="方正仿宋_GBK" w:eastAsia="方正仿宋_GBK" w:cs="方正仿宋_GBK"/>
              </w:rPr>
            </w:pPr>
          </w:p>
        </w:tc>
        <w:tc>
          <w:tcPr>
            <w:tcW w:w="1317" w:type="dxa"/>
          </w:tcPr>
          <w:p>
            <w:pPr>
              <w:pStyle w:val="2"/>
              <w:jc w:val="center"/>
              <w:rPr>
                <w:rFonts w:ascii="方正仿宋_GBK" w:hAnsi="方正仿宋_GBK" w:eastAsia="方正仿宋_GBK" w:cs="方正仿宋_GBK"/>
              </w:rPr>
            </w:pPr>
          </w:p>
        </w:tc>
        <w:tc>
          <w:tcPr>
            <w:tcW w:w="1063" w:type="dxa"/>
          </w:tcPr>
          <w:p>
            <w:pPr>
              <w:pStyle w:val="2"/>
              <w:jc w:val="center"/>
              <w:rPr>
                <w:rFonts w:ascii="方正仿宋_GBK" w:hAnsi="方正仿宋_GBK" w:eastAsia="方正仿宋_GBK" w:cs="方正仿宋_GBK"/>
              </w:rPr>
            </w:pPr>
          </w:p>
        </w:tc>
        <w:tc>
          <w:tcPr>
            <w:tcW w:w="1063" w:type="dxa"/>
          </w:tcPr>
          <w:p>
            <w:pPr>
              <w:pStyle w:val="2"/>
              <w:jc w:val="center"/>
              <w:rPr>
                <w:rFonts w:ascii="方正仿宋_GBK" w:hAnsi="方正仿宋_GBK" w:eastAsia="方正仿宋_GBK" w:cs="方正仿宋_GBK"/>
              </w:rPr>
            </w:pPr>
          </w:p>
        </w:tc>
        <w:tc>
          <w:tcPr>
            <w:tcW w:w="1191" w:type="dxa"/>
          </w:tcPr>
          <w:p>
            <w:pPr>
              <w:pStyle w:val="2"/>
              <w:jc w:val="center"/>
              <w:rPr>
                <w:rFonts w:ascii="方正仿宋_GBK" w:hAnsi="方正仿宋_GBK" w:eastAsia="方正仿宋_GBK" w:cs="方正仿宋_GBK"/>
              </w:rPr>
            </w:pPr>
          </w:p>
        </w:tc>
        <w:tc>
          <w:tcPr>
            <w:tcW w:w="907" w:type="dxa"/>
          </w:tcPr>
          <w:p>
            <w:pPr>
              <w:pStyle w:val="2"/>
              <w:jc w:val="center"/>
              <w:rPr>
                <w:rFonts w:ascii="方正仿宋_GBK" w:hAnsi="方正仿宋_GBK" w:eastAsia="方正仿宋_GBK" w:cs="方正仿宋_GBK"/>
              </w:rPr>
            </w:pPr>
          </w:p>
        </w:tc>
        <w:tc>
          <w:tcPr>
            <w:tcW w:w="1983" w:type="dxa"/>
          </w:tcPr>
          <w:p>
            <w:pPr>
              <w:pStyle w:val="2"/>
              <w:jc w:val="center"/>
              <w:rPr>
                <w:rFonts w:ascii="方正仿宋_GBK" w:hAnsi="方正仿宋_GBK" w:eastAsia="方正仿宋_GBK" w:cs="方正仿宋_GB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9" w:type="dxa"/>
          </w:tcPr>
          <w:p>
            <w:pPr>
              <w:pStyle w:val="2"/>
              <w:jc w:val="center"/>
              <w:rPr>
                <w:rFonts w:ascii="方正仿宋_GBK" w:hAnsi="方正仿宋_GBK" w:eastAsia="方正仿宋_GBK" w:cs="方正仿宋_GBK"/>
              </w:rPr>
            </w:pPr>
          </w:p>
        </w:tc>
        <w:tc>
          <w:tcPr>
            <w:tcW w:w="1589" w:type="dxa"/>
          </w:tcPr>
          <w:p>
            <w:pPr>
              <w:pStyle w:val="2"/>
              <w:jc w:val="center"/>
              <w:rPr>
                <w:rFonts w:ascii="方正仿宋_GBK" w:hAnsi="方正仿宋_GBK" w:eastAsia="方正仿宋_GBK" w:cs="方正仿宋_GBK"/>
              </w:rPr>
            </w:pPr>
          </w:p>
        </w:tc>
        <w:tc>
          <w:tcPr>
            <w:tcW w:w="1183" w:type="dxa"/>
          </w:tcPr>
          <w:p>
            <w:pPr>
              <w:pStyle w:val="2"/>
              <w:jc w:val="center"/>
              <w:rPr>
                <w:rFonts w:ascii="方正仿宋_GBK" w:hAnsi="方正仿宋_GBK" w:eastAsia="方正仿宋_GBK" w:cs="方正仿宋_GBK"/>
              </w:rPr>
            </w:pPr>
          </w:p>
        </w:tc>
        <w:tc>
          <w:tcPr>
            <w:tcW w:w="1436" w:type="dxa"/>
          </w:tcPr>
          <w:p>
            <w:pPr>
              <w:pStyle w:val="2"/>
              <w:jc w:val="center"/>
              <w:rPr>
                <w:rFonts w:ascii="方正仿宋_GBK" w:hAnsi="方正仿宋_GBK" w:eastAsia="方正仿宋_GBK" w:cs="方正仿宋_GBK"/>
              </w:rPr>
            </w:pPr>
          </w:p>
        </w:tc>
        <w:tc>
          <w:tcPr>
            <w:tcW w:w="1318" w:type="dxa"/>
          </w:tcPr>
          <w:p>
            <w:pPr>
              <w:pStyle w:val="2"/>
              <w:jc w:val="center"/>
              <w:rPr>
                <w:rFonts w:ascii="方正仿宋_GBK" w:hAnsi="方正仿宋_GBK" w:eastAsia="方正仿宋_GBK" w:cs="方正仿宋_GBK"/>
              </w:rPr>
            </w:pPr>
          </w:p>
        </w:tc>
        <w:tc>
          <w:tcPr>
            <w:tcW w:w="1297" w:type="dxa"/>
          </w:tcPr>
          <w:p>
            <w:pPr>
              <w:pStyle w:val="2"/>
              <w:jc w:val="center"/>
              <w:rPr>
                <w:rFonts w:ascii="方正仿宋_GBK" w:hAnsi="方正仿宋_GBK" w:eastAsia="方正仿宋_GBK" w:cs="方正仿宋_GBK"/>
              </w:rPr>
            </w:pPr>
          </w:p>
        </w:tc>
        <w:tc>
          <w:tcPr>
            <w:tcW w:w="1317" w:type="dxa"/>
          </w:tcPr>
          <w:p>
            <w:pPr>
              <w:pStyle w:val="2"/>
              <w:jc w:val="center"/>
              <w:rPr>
                <w:rFonts w:ascii="方正仿宋_GBK" w:hAnsi="方正仿宋_GBK" w:eastAsia="方正仿宋_GBK" w:cs="方正仿宋_GBK"/>
              </w:rPr>
            </w:pPr>
          </w:p>
        </w:tc>
        <w:tc>
          <w:tcPr>
            <w:tcW w:w="1063" w:type="dxa"/>
          </w:tcPr>
          <w:p>
            <w:pPr>
              <w:pStyle w:val="2"/>
              <w:jc w:val="center"/>
              <w:rPr>
                <w:rFonts w:ascii="方正仿宋_GBK" w:hAnsi="方正仿宋_GBK" w:eastAsia="方正仿宋_GBK" w:cs="方正仿宋_GBK"/>
              </w:rPr>
            </w:pPr>
          </w:p>
        </w:tc>
        <w:tc>
          <w:tcPr>
            <w:tcW w:w="1063" w:type="dxa"/>
          </w:tcPr>
          <w:p>
            <w:pPr>
              <w:pStyle w:val="2"/>
              <w:jc w:val="center"/>
              <w:rPr>
                <w:rFonts w:ascii="方正仿宋_GBK" w:hAnsi="方正仿宋_GBK" w:eastAsia="方正仿宋_GBK" w:cs="方正仿宋_GBK"/>
              </w:rPr>
            </w:pPr>
          </w:p>
        </w:tc>
        <w:tc>
          <w:tcPr>
            <w:tcW w:w="1191" w:type="dxa"/>
          </w:tcPr>
          <w:p>
            <w:pPr>
              <w:pStyle w:val="2"/>
              <w:jc w:val="center"/>
              <w:rPr>
                <w:rFonts w:ascii="方正仿宋_GBK" w:hAnsi="方正仿宋_GBK" w:eastAsia="方正仿宋_GBK" w:cs="方正仿宋_GBK"/>
              </w:rPr>
            </w:pPr>
          </w:p>
        </w:tc>
        <w:tc>
          <w:tcPr>
            <w:tcW w:w="907" w:type="dxa"/>
          </w:tcPr>
          <w:p>
            <w:pPr>
              <w:pStyle w:val="2"/>
              <w:jc w:val="center"/>
              <w:rPr>
                <w:rFonts w:ascii="方正仿宋_GBK" w:hAnsi="方正仿宋_GBK" w:eastAsia="方正仿宋_GBK" w:cs="方正仿宋_GBK"/>
              </w:rPr>
            </w:pPr>
          </w:p>
        </w:tc>
        <w:tc>
          <w:tcPr>
            <w:tcW w:w="1983" w:type="dxa"/>
          </w:tcPr>
          <w:p>
            <w:pPr>
              <w:pStyle w:val="2"/>
              <w:jc w:val="center"/>
              <w:rPr>
                <w:rFonts w:ascii="方正仿宋_GBK" w:hAnsi="方正仿宋_GBK" w:eastAsia="方正仿宋_GBK" w:cs="方正仿宋_GB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9" w:type="dxa"/>
          </w:tcPr>
          <w:p>
            <w:pPr>
              <w:pStyle w:val="2"/>
              <w:jc w:val="center"/>
              <w:rPr>
                <w:rFonts w:ascii="方正仿宋_GBK" w:hAnsi="方正仿宋_GBK" w:eastAsia="方正仿宋_GBK" w:cs="方正仿宋_GBK"/>
              </w:rPr>
            </w:pPr>
          </w:p>
        </w:tc>
        <w:tc>
          <w:tcPr>
            <w:tcW w:w="1589" w:type="dxa"/>
          </w:tcPr>
          <w:p>
            <w:pPr>
              <w:pStyle w:val="2"/>
              <w:jc w:val="center"/>
              <w:rPr>
                <w:rFonts w:ascii="方正仿宋_GBK" w:hAnsi="方正仿宋_GBK" w:eastAsia="方正仿宋_GBK" w:cs="方正仿宋_GBK"/>
              </w:rPr>
            </w:pPr>
          </w:p>
        </w:tc>
        <w:tc>
          <w:tcPr>
            <w:tcW w:w="1183" w:type="dxa"/>
          </w:tcPr>
          <w:p>
            <w:pPr>
              <w:pStyle w:val="2"/>
              <w:jc w:val="center"/>
              <w:rPr>
                <w:rFonts w:ascii="方正仿宋_GBK" w:hAnsi="方正仿宋_GBK" w:eastAsia="方正仿宋_GBK" w:cs="方正仿宋_GBK"/>
              </w:rPr>
            </w:pPr>
          </w:p>
        </w:tc>
        <w:tc>
          <w:tcPr>
            <w:tcW w:w="1436" w:type="dxa"/>
          </w:tcPr>
          <w:p>
            <w:pPr>
              <w:pStyle w:val="2"/>
              <w:jc w:val="center"/>
              <w:rPr>
                <w:rFonts w:ascii="方正仿宋_GBK" w:hAnsi="方正仿宋_GBK" w:eastAsia="方正仿宋_GBK" w:cs="方正仿宋_GBK"/>
              </w:rPr>
            </w:pPr>
          </w:p>
        </w:tc>
        <w:tc>
          <w:tcPr>
            <w:tcW w:w="1318" w:type="dxa"/>
          </w:tcPr>
          <w:p>
            <w:pPr>
              <w:pStyle w:val="2"/>
              <w:jc w:val="center"/>
              <w:rPr>
                <w:rFonts w:ascii="方正仿宋_GBK" w:hAnsi="方正仿宋_GBK" w:eastAsia="方正仿宋_GBK" w:cs="方正仿宋_GBK"/>
              </w:rPr>
            </w:pPr>
          </w:p>
        </w:tc>
        <w:tc>
          <w:tcPr>
            <w:tcW w:w="1297" w:type="dxa"/>
          </w:tcPr>
          <w:p>
            <w:pPr>
              <w:pStyle w:val="2"/>
              <w:jc w:val="center"/>
              <w:rPr>
                <w:rFonts w:ascii="方正仿宋_GBK" w:hAnsi="方正仿宋_GBK" w:eastAsia="方正仿宋_GBK" w:cs="方正仿宋_GBK"/>
              </w:rPr>
            </w:pPr>
          </w:p>
        </w:tc>
        <w:tc>
          <w:tcPr>
            <w:tcW w:w="1317" w:type="dxa"/>
          </w:tcPr>
          <w:p>
            <w:pPr>
              <w:pStyle w:val="2"/>
              <w:jc w:val="center"/>
              <w:rPr>
                <w:rFonts w:ascii="方正仿宋_GBK" w:hAnsi="方正仿宋_GBK" w:eastAsia="方正仿宋_GBK" w:cs="方正仿宋_GBK"/>
              </w:rPr>
            </w:pPr>
          </w:p>
        </w:tc>
        <w:tc>
          <w:tcPr>
            <w:tcW w:w="1063" w:type="dxa"/>
          </w:tcPr>
          <w:p>
            <w:pPr>
              <w:pStyle w:val="2"/>
              <w:jc w:val="center"/>
              <w:rPr>
                <w:rFonts w:ascii="方正仿宋_GBK" w:hAnsi="方正仿宋_GBK" w:eastAsia="方正仿宋_GBK" w:cs="方正仿宋_GBK"/>
              </w:rPr>
            </w:pPr>
          </w:p>
        </w:tc>
        <w:tc>
          <w:tcPr>
            <w:tcW w:w="1063" w:type="dxa"/>
          </w:tcPr>
          <w:p>
            <w:pPr>
              <w:pStyle w:val="2"/>
              <w:jc w:val="center"/>
              <w:rPr>
                <w:rFonts w:ascii="方正仿宋_GBK" w:hAnsi="方正仿宋_GBK" w:eastAsia="方正仿宋_GBK" w:cs="方正仿宋_GBK"/>
              </w:rPr>
            </w:pPr>
          </w:p>
        </w:tc>
        <w:tc>
          <w:tcPr>
            <w:tcW w:w="1191" w:type="dxa"/>
          </w:tcPr>
          <w:p>
            <w:pPr>
              <w:pStyle w:val="2"/>
              <w:jc w:val="center"/>
              <w:rPr>
                <w:rFonts w:ascii="方正仿宋_GBK" w:hAnsi="方正仿宋_GBK" w:eastAsia="方正仿宋_GBK" w:cs="方正仿宋_GBK"/>
              </w:rPr>
            </w:pPr>
          </w:p>
        </w:tc>
        <w:tc>
          <w:tcPr>
            <w:tcW w:w="907" w:type="dxa"/>
          </w:tcPr>
          <w:p>
            <w:pPr>
              <w:pStyle w:val="2"/>
              <w:jc w:val="center"/>
              <w:rPr>
                <w:rFonts w:ascii="方正仿宋_GBK" w:hAnsi="方正仿宋_GBK" w:eastAsia="方正仿宋_GBK" w:cs="方正仿宋_GBK"/>
              </w:rPr>
            </w:pPr>
          </w:p>
        </w:tc>
        <w:tc>
          <w:tcPr>
            <w:tcW w:w="1983" w:type="dxa"/>
          </w:tcPr>
          <w:p>
            <w:pPr>
              <w:pStyle w:val="2"/>
              <w:jc w:val="center"/>
              <w:rPr>
                <w:rFonts w:ascii="方正仿宋_GBK" w:hAnsi="方正仿宋_GBK" w:eastAsia="方正仿宋_GBK" w:cs="方正仿宋_GB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9" w:type="dxa"/>
          </w:tcPr>
          <w:p>
            <w:pPr>
              <w:pStyle w:val="2"/>
              <w:jc w:val="center"/>
              <w:rPr>
                <w:rFonts w:ascii="方正仿宋_GBK" w:hAnsi="方正仿宋_GBK" w:eastAsia="方正仿宋_GBK" w:cs="方正仿宋_GBK"/>
              </w:rPr>
            </w:pPr>
          </w:p>
        </w:tc>
        <w:tc>
          <w:tcPr>
            <w:tcW w:w="1589" w:type="dxa"/>
          </w:tcPr>
          <w:p>
            <w:pPr>
              <w:pStyle w:val="2"/>
              <w:jc w:val="center"/>
              <w:rPr>
                <w:rFonts w:ascii="方正仿宋_GBK" w:hAnsi="方正仿宋_GBK" w:eastAsia="方正仿宋_GBK" w:cs="方正仿宋_GBK"/>
              </w:rPr>
            </w:pPr>
          </w:p>
        </w:tc>
        <w:tc>
          <w:tcPr>
            <w:tcW w:w="1183" w:type="dxa"/>
          </w:tcPr>
          <w:p>
            <w:pPr>
              <w:pStyle w:val="2"/>
              <w:jc w:val="center"/>
              <w:rPr>
                <w:rFonts w:ascii="方正仿宋_GBK" w:hAnsi="方正仿宋_GBK" w:eastAsia="方正仿宋_GBK" w:cs="方正仿宋_GBK"/>
              </w:rPr>
            </w:pPr>
          </w:p>
        </w:tc>
        <w:tc>
          <w:tcPr>
            <w:tcW w:w="1436" w:type="dxa"/>
          </w:tcPr>
          <w:p>
            <w:pPr>
              <w:pStyle w:val="2"/>
              <w:jc w:val="center"/>
              <w:rPr>
                <w:rFonts w:ascii="方正仿宋_GBK" w:hAnsi="方正仿宋_GBK" w:eastAsia="方正仿宋_GBK" w:cs="方正仿宋_GBK"/>
              </w:rPr>
            </w:pPr>
          </w:p>
        </w:tc>
        <w:tc>
          <w:tcPr>
            <w:tcW w:w="1318" w:type="dxa"/>
          </w:tcPr>
          <w:p>
            <w:pPr>
              <w:pStyle w:val="2"/>
              <w:jc w:val="center"/>
              <w:rPr>
                <w:rFonts w:ascii="方正仿宋_GBK" w:hAnsi="方正仿宋_GBK" w:eastAsia="方正仿宋_GBK" w:cs="方正仿宋_GBK"/>
              </w:rPr>
            </w:pPr>
          </w:p>
        </w:tc>
        <w:tc>
          <w:tcPr>
            <w:tcW w:w="1297" w:type="dxa"/>
          </w:tcPr>
          <w:p>
            <w:pPr>
              <w:pStyle w:val="2"/>
              <w:jc w:val="center"/>
              <w:rPr>
                <w:rFonts w:ascii="方正仿宋_GBK" w:hAnsi="方正仿宋_GBK" w:eastAsia="方正仿宋_GBK" w:cs="方正仿宋_GBK"/>
              </w:rPr>
            </w:pPr>
          </w:p>
        </w:tc>
        <w:tc>
          <w:tcPr>
            <w:tcW w:w="1317" w:type="dxa"/>
          </w:tcPr>
          <w:p>
            <w:pPr>
              <w:pStyle w:val="2"/>
              <w:jc w:val="center"/>
              <w:rPr>
                <w:rFonts w:ascii="方正仿宋_GBK" w:hAnsi="方正仿宋_GBK" w:eastAsia="方正仿宋_GBK" w:cs="方正仿宋_GBK"/>
              </w:rPr>
            </w:pPr>
          </w:p>
        </w:tc>
        <w:tc>
          <w:tcPr>
            <w:tcW w:w="1063" w:type="dxa"/>
          </w:tcPr>
          <w:p>
            <w:pPr>
              <w:pStyle w:val="2"/>
              <w:jc w:val="center"/>
              <w:rPr>
                <w:rFonts w:ascii="方正仿宋_GBK" w:hAnsi="方正仿宋_GBK" w:eastAsia="方正仿宋_GBK" w:cs="方正仿宋_GBK"/>
              </w:rPr>
            </w:pPr>
          </w:p>
        </w:tc>
        <w:tc>
          <w:tcPr>
            <w:tcW w:w="1063" w:type="dxa"/>
          </w:tcPr>
          <w:p>
            <w:pPr>
              <w:pStyle w:val="2"/>
              <w:jc w:val="center"/>
              <w:rPr>
                <w:rFonts w:ascii="方正仿宋_GBK" w:hAnsi="方正仿宋_GBK" w:eastAsia="方正仿宋_GBK" w:cs="方正仿宋_GBK"/>
              </w:rPr>
            </w:pPr>
          </w:p>
        </w:tc>
        <w:tc>
          <w:tcPr>
            <w:tcW w:w="1191" w:type="dxa"/>
          </w:tcPr>
          <w:p>
            <w:pPr>
              <w:pStyle w:val="2"/>
              <w:jc w:val="center"/>
              <w:rPr>
                <w:rFonts w:ascii="方正仿宋_GBK" w:hAnsi="方正仿宋_GBK" w:eastAsia="方正仿宋_GBK" w:cs="方正仿宋_GBK"/>
              </w:rPr>
            </w:pPr>
          </w:p>
        </w:tc>
        <w:tc>
          <w:tcPr>
            <w:tcW w:w="907" w:type="dxa"/>
          </w:tcPr>
          <w:p>
            <w:pPr>
              <w:pStyle w:val="2"/>
              <w:jc w:val="center"/>
              <w:rPr>
                <w:rFonts w:ascii="方正仿宋_GBK" w:hAnsi="方正仿宋_GBK" w:eastAsia="方正仿宋_GBK" w:cs="方正仿宋_GBK"/>
              </w:rPr>
            </w:pPr>
          </w:p>
        </w:tc>
        <w:tc>
          <w:tcPr>
            <w:tcW w:w="1983" w:type="dxa"/>
          </w:tcPr>
          <w:p>
            <w:pPr>
              <w:pStyle w:val="2"/>
              <w:jc w:val="center"/>
              <w:rPr>
                <w:rFonts w:ascii="方正仿宋_GBK" w:hAnsi="方正仿宋_GBK" w:eastAsia="方正仿宋_GBK" w:cs="方正仿宋_GB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9" w:type="dxa"/>
          </w:tcPr>
          <w:p>
            <w:pPr>
              <w:pStyle w:val="2"/>
              <w:jc w:val="center"/>
              <w:rPr>
                <w:rFonts w:ascii="方正仿宋_GBK" w:hAnsi="方正仿宋_GBK" w:eastAsia="方正仿宋_GBK" w:cs="方正仿宋_GBK"/>
              </w:rPr>
            </w:pPr>
          </w:p>
        </w:tc>
        <w:tc>
          <w:tcPr>
            <w:tcW w:w="1589" w:type="dxa"/>
          </w:tcPr>
          <w:p>
            <w:pPr>
              <w:pStyle w:val="2"/>
              <w:jc w:val="center"/>
              <w:rPr>
                <w:rFonts w:ascii="方正仿宋_GBK" w:hAnsi="方正仿宋_GBK" w:eastAsia="方正仿宋_GBK" w:cs="方正仿宋_GBK"/>
              </w:rPr>
            </w:pPr>
          </w:p>
        </w:tc>
        <w:tc>
          <w:tcPr>
            <w:tcW w:w="1183" w:type="dxa"/>
          </w:tcPr>
          <w:p>
            <w:pPr>
              <w:pStyle w:val="2"/>
              <w:jc w:val="center"/>
              <w:rPr>
                <w:rFonts w:ascii="方正仿宋_GBK" w:hAnsi="方正仿宋_GBK" w:eastAsia="方正仿宋_GBK" w:cs="方正仿宋_GBK"/>
              </w:rPr>
            </w:pPr>
          </w:p>
        </w:tc>
        <w:tc>
          <w:tcPr>
            <w:tcW w:w="1436" w:type="dxa"/>
          </w:tcPr>
          <w:p>
            <w:pPr>
              <w:pStyle w:val="2"/>
              <w:jc w:val="center"/>
              <w:rPr>
                <w:rFonts w:ascii="方正仿宋_GBK" w:hAnsi="方正仿宋_GBK" w:eastAsia="方正仿宋_GBK" w:cs="方正仿宋_GBK"/>
              </w:rPr>
            </w:pPr>
          </w:p>
        </w:tc>
        <w:tc>
          <w:tcPr>
            <w:tcW w:w="1318" w:type="dxa"/>
          </w:tcPr>
          <w:p>
            <w:pPr>
              <w:pStyle w:val="2"/>
              <w:jc w:val="center"/>
              <w:rPr>
                <w:rFonts w:ascii="方正仿宋_GBK" w:hAnsi="方正仿宋_GBK" w:eastAsia="方正仿宋_GBK" w:cs="方正仿宋_GBK"/>
              </w:rPr>
            </w:pPr>
          </w:p>
        </w:tc>
        <w:tc>
          <w:tcPr>
            <w:tcW w:w="1297" w:type="dxa"/>
          </w:tcPr>
          <w:p>
            <w:pPr>
              <w:pStyle w:val="2"/>
              <w:jc w:val="center"/>
              <w:rPr>
                <w:rFonts w:ascii="方正仿宋_GBK" w:hAnsi="方正仿宋_GBK" w:eastAsia="方正仿宋_GBK" w:cs="方正仿宋_GBK"/>
              </w:rPr>
            </w:pPr>
          </w:p>
        </w:tc>
        <w:tc>
          <w:tcPr>
            <w:tcW w:w="1317" w:type="dxa"/>
          </w:tcPr>
          <w:p>
            <w:pPr>
              <w:pStyle w:val="2"/>
              <w:jc w:val="center"/>
              <w:rPr>
                <w:rFonts w:ascii="方正仿宋_GBK" w:hAnsi="方正仿宋_GBK" w:eastAsia="方正仿宋_GBK" w:cs="方正仿宋_GBK"/>
              </w:rPr>
            </w:pPr>
          </w:p>
        </w:tc>
        <w:tc>
          <w:tcPr>
            <w:tcW w:w="1063" w:type="dxa"/>
          </w:tcPr>
          <w:p>
            <w:pPr>
              <w:pStyle w:val="2"/>
              <w:jc w:val="center"/>
              <w:rPr>
                <w:rFonts w:ascii="方正仿宋_GBK" w:hAnsi="方正仿宋_GBK" w:eastAsia="方正仿宋_GBK" w:cs="方正仿宋_GBK"/>
              </w:rPr>
            </w:pPr>
          </w:p>
        </w:tc>
        <w:tc>
          <w:tcPr>
            <w:tcW w:w="1063" w:type="dxa"/>
          </w:tcPr>
          <w:p>
            <w:pPr>
              <w:pStyle w:val="2"/>
              <w:jc w:val="center"/>
              <w:rPr>
                <w:rFonts w:ascii="方正仿宋_GBK" w:hAnsi="方正仿宋_GBK" w:eastAsia="方正仿宋_GBK" w:cs="方正仿宋_GBK"/>
              </w:rPr>
            </w:pPr>
          </w:p>
        </w:tc>
        <w:tc>
          <w:tcPr>
            <w:tcW w:w="1191" w:type="dxa"/>
          </w:tcPr>
          <w:p>
            <w:pPr>
              <w:pStyle w:val="2"/>
              <w:jc w:val="center"/>
              <w:rPr>
                <w:rFonts w:ascii="方正仿宋_GBK" w:hAnsi="方正仿宋_GBK" w:eastAsia="方正仿宋_GBK" w:cs="方正仿宋_GBK"/>
              </w:rPr>
            </w:pPr>
          </w:p>
        </w:tc>
        <w:tc>
          <w:tcPr>
            <w:tcW w:w="907" w:type="dxa"/>
          </w:tcPr>
          <w:p>
            <w:pPr>
              <w:pStyle w:val="2"/>
              <w:jc w:val="center"/>
              <w:rPr>
                <w:rFonts w:ascii="方正仿宋_GBK" w:hAnsi="方正仿宋_GBK" w:eastAsia="方正仿宋_GBK" w:cs="方正仿宋_GBK"/>
              </w:rPr>
            </w:pPr>
          </w:p>
        </w:tc>
        <w:tc>
          <w:tcPr>
            <w:tcW w:w="1983" w:type="dxa"/>
          </w:tcPr>
          <w:p>
            <w:pPr>
              <w:pStyle w:val="2"/>
              <w:jc w:val="center"/>
              <w:rPr>
                <w:rFonts w:ascii="方正仿宋_GBK" w:hAnsi="方正仿宋_GBK" w:eastAsia="方正仿宋_GBK" w:cs="方正仿宋_GB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9" w:type="dxa"/>
          </w:tcPr>
          <w:p>
            <w:pPr>
              <w:pStyle w:val="2"/>
              <w:jc w:val="center"/>
              <w:rPr>
                <w:rFonts w:ascii="方正仿宋_GBK" w:hAnsi="方正仿宋_GBK" w:eastAsia="方正仿宋_GBK" w:cs="方正仿宋_GBK"/>
              </w:rPr>
            </w:pPr>
          </w:p>
        </w:tc>
        <w:tc>
          <w:tcPr>
            <w:tcW w:w="1589" w:type="dxa"/>
          </w:tcPr>
          <w:p>
            <w:pPr>
              <w:pStyle w:val="2"/>
              <w:jc w:val="center"/>
              <w:rPr>
                <w:rFonts w:ascii="方正仿宋_GBK" w:hAnsi="方正仿宋_GBK" w:eastAsia="方正仿宋_GBK" w:cs="方正仿宋_GBK"/>
              </w:rPr>
            </w:pPr>
          </w:p>
        </w:tc>
        <w:tc>
          <w:tcPr>
            <w:tcW w:w="1183" w:type="dxa"/>
          </w:tcPr>
          <w:p>
            <w:pPr>
              <w:pStyle w:val="2"/>
              <w:jc w:val="center"/>
              <w:rPr>
                <w:rFonts w:ascii="方正仿宋_GBK" w:hAnsi="方正仿宋_GBK" w:eastAsia="方正仿宋_GBK" w:cs="方正仿宋_GBK"/>
              </w:rPr>
            </w:pPr>
          </w:p>
        </w:tc>
        <w:tc>
          <w:tcPr>
            <w:tcW w:w="1436" w:type="dxa"/>
          </w:tcPr>
          <w:p>
            <w:pPr>
              <w:pStyle w:val="2"/>
              <w:jc w:val="center"/>
              <w:rPr>
                <w:rFonts w:ascii="方正仿宋_GBK" w:hAnsi="方正仿宋_GBK" w:eastAsia="方正仿宋_GBK" w:cs="方正仿宋_GBK"/>
              </w:rPr>
            </w:pPr>
          </w:p>
        </w:tc>
        <w:tc>
          <w:tcPr>
            <w:tcW w:w="1318" w:type="dxa"/>
          </w:tcPr>
          <w:p>
            <w:pPr>
              <w:pStyle w:val="2"/>
              <w:jc w:val="center"/>
              <w:rPr>
                <w:rFonts w:ascii="方正仿宋_GBK" w:hAnsi="方正仿宋_GBK" w:eastAsia="方正仿宋_GBK" w:cs="方正仿宋_GBK"/>
              </w:rPr>
            </w:pPr>
          </w:p>
        </w:tc>
        <w:tc>
          <w:tcPr>
            <w:tcW w:w="1297" w:type="dxa"/>
          </w:tcPr>
          <w:p>
            <w:pPr>
              <w:pStyle w:val="2"/>
              <w:jc w:val="center"/>
              <w:rPr>
                <w:rFonts w:ascii="方正仿宋_GBK" w:hAnsi="方正仿宋_GBK" w:eastAsia="方正仿宋_GBK" w:cs="方正仿宋_GBK"/>
              </w:rPr>
            </w:pPr>
          </w:p>
        </w:tc>
        <w:tc>
          <w:tcPr>
            <w:tcW w:w="1317" w:type="dxa"/>
          </w:tcPr>
          <w:p>
            <w:pPr>
              <w:pStyle w:val="2"/>
              <w:jc w:val="center"/>
              <w:rPr>
                <w:rFonts w:ascii="方正仿宋_GBK" w:hAnsi="方正仿宋_GBK" w:eastAsia="方正仿宋_GBK" w:cs="方正仿宋_GBK"/>
              </w:rPr>
            </w:pPr>
          </w:p>
        </w:tc>
        <w:tc>
          <w:tcPr>
            <w:tcW w:w="1063" w:type="dxa"/>
          </w:tcPr>
          <w:p>
            <w:pPr>
              <w:pStyle w:val="2"/>
              <w:jc w:val="center"/>
              <w:rPr>
                <w:rFonts w:ascii="方正仿宋_GBK" w:hAnsi="方正仿宋_GBK" w:eastAsia="方正仿宋_GBK" w:cs="方正仿宋_GBK"/>
              </w:rPr>
            </w:pPr>
          </w:p>
        </w:tc>
        <w:tc>
          <w:tcPr>
            <w:tcW w:w="1063" w:type="dxa"/>
          </w:tcPr>
          <w:p>
            <w:pPr>
              <w:pStyle w:val="2"/>
              <w:jc w:val="center"/>
              <w:rPr>
                <w:rFonts w:ascii="方正仿宋_GBK" w:hAnsi="方正仿宋_GBK" w:eastAsia="方正仿宋_GBK" w:cs="方正仿宋_GBK"/>
              </w:rPr>
            </w:pPr>
          </w:p>
        </w:tc>
        <w:tc>
          <w:tcPr>
            <w:tcW w:w="1191" w:type="dxa"/>
          </w:tcPr>
          <w:p>
            <w:pPr>
              <w:pStyle w:val="2"/>
              <w:jc w:val="center"/>
              <w:rPr>
                <w:rFonts w:ascii="方正仿宋_GBK" w:hAnsi="方正仿宋_GBK" w:eastAsia="方正仿宋_GBK" w:cs="方正仿宋_GBK"/>
              </w:rPr>
            </w:pPr>
          </w:p>
        </w:tc>
        <w:tc>
          <w:tcPr>
            <w:tcW w:w="907" w:type="dxa"/>
          </w:tcPr>
          <w:p>
            <w:pPr>
              <w:pStyle w:val="2"/>
              <w:jc w:val="center"/>
              <w:rPr>
                <w:rFonts w:ascii="方正仿宋_GBK" w:hAnsi="方正仿宋_GBK" w:eastAsia="方正仿宋_GBK" w:cs="方正仿宋_GBK"/>
              </w:rPr>
            </w:pPr>
          </w:p>
        </w:tc>
        <w:tc>
          <w:tcPr>
            <w:tcW w:w="1983" w:type="dxa"/>
          </w:tcPr>
          <w:p>
            <w:pPr>
              <w:pStyle w:val="2"/>
              <w:jc w:val="center"/>
              <w:rPr>
                <w:rFonts w:ascii="方正仿宋_GBK" w:hAnsi="方正仿宋_GBK" w:eastAsia="方正仿宋_GBK" w:cs="方正仿宋_GB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9" w:type="dxa"/>
          </w:tcPr>
          <w:p>
            <w:pPr>
              <w:pStyle w:val="2"/>
              <w:jc w:val="center"/>
              <w:rPr>
                <w:rFonts w:ascii="方正仿宋_GBK" w:hAnsi="方正仿宋_GBK" w:eastAsia="方正仿宋_GBK" w:cs="方正仿宋_GBK"/>
              </w:rPr>
            </w:pPr>
          </w:p>
        </w:tc>
        <w:tc>
          <w:tcPr>
            <w:tcW w:w="1589" w:type="dxa"/>
          </w:tcPr>
          <w:p>
            <w:pPr>
              <w:pStyle w:val="2"/>
              <w:jc w:val="center"/>
              <w:rPr>
                <w:rFonts w:ascii="方正仿宋_GBK" w:hAnsi="方正仿宋_GBK" w:eastAsia="方正仿宋_GBK" w:cs="方正仿宋_GBK"/>
              </w:rPr>
            </w:pPr>
          </w:p>
        </w:tc>
        <w:tc>
          <w:tcPr>
            <w:tcW w:w="1183" w:type="dxa"/>
          </w:tcPr>
          <w:p>
            <w:pPr>
              <w:pStyle w:val="2"/>
              <w:jc w:val="center"/>
              <w:rPr>
                <w:rFonts w:ascii="方正仿宋_GBK" w:hAnsi="方正仿宋_GBK" w:eastAsia="方正仿宋_GBK" w:cs="方正仿宋_GBK"/>
              </w:rPr>
            </w:pPr>
          </w:p>
        </w:tc>
        <w:tc>
          <w:tcPr>
            <w:tcW w:w="1436" w:type="dxa"/>
          </w:tcPr>
          <w:p>
            <w:pPr>
              <w:pStyle w:val="2"/>
              <w:jc w:val="center"/>
              <w:rPr>
                <w:rFonts w:ascii="方正仿宋_GBK" w:hAnsi="方正仿宋_GBK" w:eastAsia="方正仿宋_GBK" w:cs="方正仿宋_GBK"/>
              </w:rPr>
            </w:pPr>
          </w:p>
        </w:tc>
        <w:tc>
          <w:tcPr>
            <w:tcW w:w="1318" w:type="dxa"/>
          </w:tcPr>
          <w:p>
            <w:pPr>
              <w:pStyle w:val="2"/>
              <w:jc w:val="center"/>
              <w:rPr>
                <w:rFonts w:ascii="方正仿宋_GBK" w:hAnsi="方正仿宋_GBK" w:eastAsia="方正仿宋_GBK" w:cs="方正仿宋_GBK"/>
              </w:rPr>
            </w:pPr>
          </w:p>
        </w:tc>
        <w:tc>
          <w:tcPr>
            <w:tcW w:w="1297" w:type="dxa"/>
          </w:tcPr>
          <w:p>
            <w:pPr>
              <w:pStyle w:val="2"/>
              <w:jc w:val="center"/>
              <w:rPr>
                <w:rFonts w:ascii="方正仿宋_GBK" w:hAnsi="方正仿宋_GBK" w:eastAsia="方正仿宋_GBK" w:cs="方正仿宋_GBK"/>
              </w:rPr>
            </w:pPr>
          </w:p>
        </w:tc>
        <w:tc>
          <w:tcPr>
            <w:tcW w:w="1317" w:type="dxa"/>
          </w:tcPr>
          <w:p>
            <w:pPr>
              <w:pStyle w:val="2"/>
              <w:jc w:val="center"/>
              <w:rPr>
                <w:rFonts w:ascii="方正仿宋_GBK" w:hAnsi="方正仿宋_GBK" w:eastAsia="方正仿宋_GBK" w:cs="方正仿宋_GBK"/>
              </w:rPr>
            </w:pPr>
          </w:p>
        </w:tc>
        <w:tc>
          <w:tcPr>
            <w:tcW w:w="1063" w:type="dxa"/>
          </w:tcPr>
          <w:p>
            <w:pPr>
              <w:pStyle w:val="2"/>
              <w:jc w:val="center"/>
              <w:rPr>
                <w:rFonts w:ascii="方正仿宋_GBK" w:hAnsi="方正仿宋_GBK" w:eastAsia="方正仿宋_GBK" w:cs="方正仿宋_GBK"/>
              </w:rPr>
            </w:pPr>
          </w:p>
        </w:tc>
        <w:tc>
          <w:tcPr>
            <w:tcW w:w="1063" w:type="dxa"/>
          </w:tcPr>
          <w:p>
            <w:pPr>
              <w:pStyle w:val="2"/>
              <w:jc w:val="center"/>
              <w:rPr>
                <w:rFonts w:ascii="方正仿宋_GBK" w:hAnsi="方正仿宋_GBK" w:eastAsia="方正仿宋_GBK" w:cs="方正仿宋_GBK"/>
              </w:rPr>
            </w:pPr>
          </w:p>
        </w:tc>
        <w:tc>
          <w:tcPr>
            <w:tcW w:w="1191" w:type="dxa"/>
          </w:tcPr>
          <w:p>
            <w:pPr>
              <w:pStyle w:val="2"/>
              <w:jc w:val="center"/>
              <w:rPr>
                <w:rFonts w:ascii="方正仿宋_GBK" w:hAnsi="方正仿宋_GBK" w:eastAsia="方正仿宋_GBK" w:cs="方正仿宋_GBK"/>
              </w:rPr>
            </w:pPr>
          </w:p>
        </w:tc>
        <w:tc>
          <w:tcPr>
            <w:tcW w:w="907" w:type="dxa"/>
          </w:tcPr>
          <w:p>
            <w:pPr>
              <w:pStyle w:val="2"/>
              <w:jc w:val="center"/>
              <w:rPr>
                <w:rFonts w:ascii="方正仿宋_GBK" w:hAnsi="方正仿宋_GBK" w:eastAsia="方正仿宋_GBK" w:cs="方正仿宋_GBK"/>
              </w:rPr>
            </w:pPr>
          </w:p>
        </w:tc>
        <w:tc>
          <w:tcPr>
            <w:tcW w:w="1983" w:type="dxa"/>
          </w:tcPr>
          <w:p>
            <w:pPr>
              <w:pStyle w:val="2"/>
              <w:jc w:val="center"/>
              <w:rPr>
                <w:rFonts w:ascii="方正仿宋_GBK" w:hAnsi="方正仿宋_GBK" w:eastAsia="方正仿宋_GBK" w:cs="方正仿宋_GB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9" w:type="dxa"/>
          </w:tcPr>
          <w:p>
            <w:pPr>
              <w:pStyle w:val="2"/>
              <w:jc w:val="center"/>
              <w:rPr>
                <w:rFonts w:ascii="方正仿宋_GBK" w:hAnsi="方正仿宋_GBK" w:eastAsia="方正仿宋_GBK" w:cs="方正仿宋_GBK"/>
              </w:rPr>
            </w:pPr>
          </w:p>
        </w:tc>
        <w:tc>
          <w:tcPr>
            <w:tcW w:w="1589" w:type="dxa"/>
          </w:tcPr>
          <w:p>
            <w:pPr>
              <w:pStyle w:val="2"/>
              <w:jc w:val="center"/>
              <w:rPr>
                <w:rFonts w:ascii="方正仿宋_GBK" w:hAnsi="方正仿宋_GBK" w:eastAsia="方正仿宋_GBK" w:cs="方正仿宋_GBK"/>
              </w:rPr>
            </w:pPr>
          </w:p>
        </w:tc>
        <w:tc>
          <w:tcPr>
            <w:tcW w:w="1183" w:type="dxa"/>
          </w:tcPr>
          <w:p>
            <w:pPr>
              <w:pStyle w:val="2"/>
              <w:jc w:val="center"/>
              <w:rPr>
                <w:rFonts w:ascii="方正仿宋_GBK" w:hAnsi="方正仿宋_GBK" w:eastAsia="方正仿宋_GBK" w:cs="方正仿宋_GBK"/>
              </w:rPr>
            </w:pPr>
          </w:p>
        </w:tc>
        <w:tc>
          <w:tcPr>
            <w:tcW w:w="1436" w:type="dxa"/>
          </w:tcPr>
          <w:p>
            <w:pPr>
              <w:pStyle w:val="2"/>
              <w:jc w:val="center"/>
              <w:rPr>
                <w:rFonts w:ascii="方正仿宋_GBK" w:hAnsi="方正仿宋_GBK" w:eastAsia="方正仿宋_GBK" w:cs="方正仿宋_GBK"/>
              </w:rPr>
            </w:pPr>
          </w:p>
        </w:tc>
        <w:tc>
          <w:tcPr>
            <w:tcW w:w="1318" w:type="dxa"/>
          </w:tcPr>
          <w:p>
            <w:pPr>
              <w:pStyle w:val="2"/>
              <w:jc w:val="center"/>
              <w:rPr>
                <w:rFonts w:ascii="方正仿宋_GBK" w:hAnsi="方正仿宋_GBK" w:eastAsia="方正仿宋_GBK" w:cs="方正仿宋_GBK"/>
              </w:rPr>
            </w:pPr>
          </w:p>
        </w:tc>
        <w:tc>
          <w:tcPr>
            <w:tcW w:w="1297" w:type="dxa"/>
          </w:tcPr>
          <w:p>
            <w:pPr>
              <w:pStyle w:val="2"/>
              <w:jc w:val="center"/>
              <w:rPr>
                <w:rFonts w:ascii="方正仿宋_GBK" w:hAnsi="方正仿宋_GBK" w:eastAsia="方正仿宋_GBK" w:cs="方正仿宋_GBK"/>
              </w:rPr>
            </w:pPr>
          </w:p>
        </w:tc>
        <w:tc>
          <w:tcPr>
            <w:tcW w:w="1317" w:type="dxa"/>
          </w:tcPr>
          <w:p>
            <w:pPr>
              <w:pStyle w:val="2"/>
              <w:jc w:val="center"/>
              <w:rPr>
                <w:rFonts w:ascii="方正仿宋_GBK" w:hAnsi="方正仿宋_GBK" w:eastAsia="方正仿宋_GBK" w:cs="方正仿宋_GBK"/>
              </w:rPr>
            </w:pPr>
          </w:p>
        </w:tc>
        <w:tc>
          <w:tcPr>
            <w:tcW w:w="1063" w:type="dxa"/>
          </w:tcPr>
          <w:p>
            <w:pPr>
              <w:pStyle w:val="2"/>
              <w:jc w:val="center"/>
              <w:rPr>
                <w:rFonts w:ascii="方正仿宋_GBK" w:hAnsi="方正仿宋_GBK" w:eastAsia="方正仿宋_GBK" w:cs="方正仿宋_GBK"/>
              </w:rPr>
            </w:pPr>
          </w:p>
        </w:tc>
        <w:tc>
          <w:tcPr>
            <w:tcW w:w="1063" w:type="dxa"/>
          </w:tcPr>
          <w:p>
            <w:pPr>
              <w:pStyle w:val="2"/>
              <w:jc w:val="center"/>
              <w:rPr>
                <w:rFonts w:ascii="方正仿宋_GBK" w:hAnsi="方正仿宋_GBK" w:eastAsia="方正仿宋_GBK" w:cs="方正仿宋_GBK"/>
              </w:rPr>
            </w:pPr>
          </w:p>
        </w:tc>
        <w:tc>
          <w:tcPr>
            <w:tcW w:w="1191" w:type="dxa"/>
          </w:tcPr>
          <w:p>
            <w:pPr>
              <w:pStyle w:val="2"/>
              <w:jc w:val="center"/>
              <w:rPr>
                <w:rFonts w:ascii="方正仿宋_GBK" w:hAnsi="方正仿宋_GBK" w:eastAsia="方正仿宋_GBK" w:cs="方正仿宋_GBK"/>
              </w:rPr>
            </w:pPr>
          </w:p>
        </w:tc>
        <w:tc>
          <w:tcPr>
            <w:tcW w:w="907" w:type="dxa"/>
          </w:tcPr>
          <w:p>
            <w:pPr>
              <w:pStyle w:val="2"/>
              <w:jc w:val="center"/>
              <w:rPr>
                <w:rFonts w:ascii="方正仿宋_GBK" w:hAnsi="方正仿宋_GBK" w:eastAsia="方正仿宋_GBK" w:cs="方正仿宋_GBK"/>
              </w:rPr>
            </w:pPr>
          </w:p>
        </w:tc>
        <w:tc>
          <w:tcPr>
            <w:tcW w:w="1983" w:type="dxa"/>
          </w:tcPr>
          <w:p>
            <w:pPr>
              <w:pStyle w:val="2"/>
              <w:jc w:val="center"/>
              <w:rPr>
                <w:rFonts w:ascii="方正仿宋_GBK" w:hAnsi="方正仿宋_GBK" w:eastAsia="方正仿宋_GBK" w:cs="方正仿宋_GB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779" w:type="dxa"/>
          </w:tcPr>
          <w:p>
            <w:pPr>
              <w:pStyle w:val="2"/>
              <w:jc w:val="center"/>
              <w:rPr>
                <w:rFonts w:ascii="方正仿宋_GBK" w:hAnsi="方正仿宋_GBK" w:eastAsia="方正仿宋_GBK" w:cs="方正仿宋_GBK"/>
              </w:rPr>
            </w:pPr>
          </w:p>
        </w:tc>
        <w:tc>
          <w:tcPr>
            <w:tcW w:w="1589" w:type="dxa"/>
          </w:tcPr>
          <w:p>
            <w:pPr>
              <w:pStyle w:val="2"/>
              <w:jc w:val="center"/>
              <w:rPr>
                <w:rFonts w:ascii="方正仿宋_GBK" w:hAnsi="方正仿宋_GBK" w:eastAsia="方正仿宋_GBK" w:cs="方正仿宋_GBK"/>
              </w:rPr>
            </w:pPr>
          </w:p>
        </w:tc>
        <w:tc>
          <w:tcPr>
            <w:tcW w:w="1183" w:type="dxa"/>
          </w:tcPr>
          <w:p>
            <w:pPr>
              <w:pStyle w:val="2"/>
              <w:jc w:val="center"/>
              <w:rPr>
                <w:rFonts w:ascii="方正仿宋_GBK" w:hAnsi="方正仿宋_GBK" w:eastAsia="方正仿宋_GBK" w:cs="方正仿宋_GBK"/>
              </w:rPr>
            </w:pPr>
          </w:p>
        </w:tc>
        <w:tc>
          <w:tcPr>
            <w:tcW w:w="1436" w:type="dxa"/>
          </w:tcPr>
          <w:p>
            <w:pPr>
              <w:pStyle w:val="2"/>
              <w:jc w:val="center"/>
              <w:rPr>
                <w:rFonts w:ascii="方正仿宋_GBK" w:hAnsi="方正仿宋_GBK" w:eastAsia="方正仿宋_GBK" w:cs="方正仿宋_GBK"/>
              </w:rPr>
            </w:pPr>
          </w:p>
        </w:tc>
        <w:tc>
          <w:tcPr>
            <w:tcW w:w="1318" w:type="dxa"/>
          </w:tcPr>
          <w:p>
            <w:pPr>
              <w:pStyle w:val="2"/>
              <w:jc w:val="center"/>
              <w:rPr>
                <w:rFonts w:ascii="方正仿宋_GBK" w:hAnsi="方正仿宋_GBK" w:eastAsia="方正仿宋_GBK" w:cs="方正仿宋_GBK"/>
              </w:rPr>
            </w:pPr>
          </w:p>
        </w:tc>
        <w:tc>
          <w:tcPr>
            <w:tcW w:w="1297" w:type="dxa"/>
          </w:tcPr>
          <w:p>
            <w:pPr>
              <w:pStyle w:val="2"/>
              <w:jc w:val="center"/>
              <w:rPr>
                <w:rFonts w:ascii="方正仿宋_GBK" w:hAnsi="方正仿宋_GBK" w:eastAsia="方正仿宋_GBK" w:cs="方正仿宋_GBK"/>
              </w:rPr>
            </w:pPr>
          </w:p>
        </w:tc>
        <w:tc>
          <w:tcPr>
            <w:tcW w:w="1317" w:type="dxa"/>
          </w:tcPr>
          <w:p>
            <w:pPr>
              <w:pStyle w:val="2"/>
              <w:jc w:val="center"/>
              <w:rPr>
                <w:rFonts w:ascii="方正仿宋_GBK" w:hAnsi="方正仿宋_GBK" w:eastAsia="方正仿宋_GBK" w:cs="方正仿宋_GBK"/>
              </w:rPr>
            </w:pPr>
          </w:p>
        </w:tc>
        <w:tc>
          <w:tcPr>
            <w:tcW w:w="1063" w:type="dxa"/>
          </w:tcPr>
          <w:p>
            <w:pPr>
              <w:pStyle w:val="2"/>
              <w:jc w:val="center"/>
              <w:rPr>
                <w:rFonts w:ascii="方正仿宋_GBK" w:hAnsi="方正仿宋_GBK" w:eastAsia="方正仿宋_GBK" w:cs="方正仿宋_GBK"/>
              </w:rPr>
            </w:pPr>
          </w:p>
        </w:tc>
        <w:tc>
          <w:tcPr>
            <w:tcW w:w="1063" w:type="dxa"/>
          </w:tcPr>
          <w:p>
            <w:pPr>
              <w:pStyle w:val="2"/>
              <w:jc w:val="center"/>
              <w:rPr>
                <w:rFonts w:ascii="方正仿宋_GBK" w:hAnsi="方正仿宋_GBK" w:eastAsia="方正仿宋_GBK" w:cs="方正仿宋_GBK"/>
              </w:rPr>
            </w:pPr>
          </w:p>
        </w:tc>
        <w:tc>
          <w:tcPr>
            <w:tcW w:w="1191" w:type="dxa"/>
          </w:tcPr>
          <w:p>
            <w:pPr>
              <w:pStyle w:val="2"/>
              <w:jc w:val="center"/>
              <w:rPr>
                <w:rFonts w:ascii="方正仿宋_GBK" w:hAnsi="方正仿宋_GBK" w:eastAsia="方正仿宋_GBK" w:cs="方正仿宋_GBK"/>
              </w:rPr>
            </w:pPr>
          </w:p>
        </w:tc>
        <w:tc>
          <w:tcPr>
            <w:tcW w:w="907" w:type="dxa"/>
          </w:tcPr>
          <w:p>
            <w:pPr>
              <w:pStyle w:val="2"/>
              <w:jc w:val="center"/>
              <w:rPr>
                <w:rFonts w:ascii="方正仿宋_GBK" w:hAnsi="方正仿宋_GBK" w:eastAsia="方正仿宋_GBK" w:cs="方正仿宋_GBK"/>
              </w:rPr>
            </w:pPr>
          </w:p>
        </w:tc>
        <w:tc>
          <w:tcPr>
            <w:tcW w:w="1983" w:type="dxa"/>
          </w:tcPr>
          <w:p>
            <w:pPr>
              <w:pStyle w:val="2"/>
              <w:jc w:val="center"/>
              <w:rPr>
                <w:rFonts w:ascii="方正仿宋_GBK" w:hAnsi="方正仿宋_GBK" w:eastAsia="方正仿宋_GBK" w:cs="方正仿宋_GB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9" w:type="dxa"/>
          </w:tcPr>
          <w:p>
            <w:pPr>
              <w:pStyle w:val="2"/>
              <w:jc w:val="center"/>
              <w:rPr>
                <w:rFonts w:ascii="方正仿宋_GBK" w:hAnsi="方正仿宋_GBK" w:eastAsia="方正仿宋_GBK" w:cs="方正仿宋_GBK"/>
              </w:rPr>
            </w:pPr>
          </w:p>
        </w:tc>
        <w:tc>
          <w:tcPr>
            <w:tcW w:w="1589" w:type="dxa"/>
          </w:tcPr>
          <w:p>
            <w:pPr>
              <w:pStyle w:val="2"/>
              <w:jc w:val="center"/>
              <w:rPr>
                <w:rFonts w:ascii="方正仿宋_GBK" w:hAnsi="方正仿宋_GBK" w:eastAsia="方正仿宋_GBK" w:cs="方正仿宋_GBK"/>
              </w:rPr>
            </w:pPr>
          </w:p>
        </w:tc>
        <w:tc>
          <w:tcPr>
            <w:tcW w:w="1183" w:type="dxa"/>
          </w:tcPr>
          <w:p>
            <w:pPr>
              <w:pStyle w:val="2"/>
              <w:jc w:val="center"/>
              <w:rPr>
                <w:rFonts w:ascii="方正仿宋_GBK" w:hAnsi="方正仿宋_GBK" w:eastAsia="方正仿宋_GBK" w:cs="方正仿宋_GBK"/>
              </w:rPr>
            </w:pPr>
          </w:p>
        </w:tc>
        <w:tc>
          <w:tcPr>
            <w:tcW w:w="1436" w:type="dxa"/>
          </w:tcPr>
          <w:p>
            <w:pPr>
              <w:pStyle w:val="2"/>
              <w:jc w:val="center"/>
              <w:rPr>
                <w:rFonts w:ascii="方正仿宋_GBK" w:hAnsi="方正仿宋_GBK" w:eastAsia="方正仿宋_GBK" w:cs="方正仿宋_GBK"/>
              </w:rPr>
            </w:pPr>
          </w:p>
        </w:tc>
        <w:tc>
          <w:tcPr>
            <w:tcW w:w="1318" w:type="dxa"/>
          </w:tcPr>
          <w:p>
            <w:pPr>
              <w:pStyle w:val="2"/>
              <w:jc w:val="center"/>
              <w:rPr>
                <w:rFonts w:ascii="方正仿宋_GBK" w:hAnsi="方正仿宋_GBK" w:eastAsia="方正仿宋_GBK" w:cs="方正仿宋_GBK"/>
              </w:rPr>
            </w:pPr>
          </w:p>
        </w:tc>
        <w:tc>
          <w:tcPr>
            <w:tcW w:w="1297" w:type="dxa"/>
          </w:tcPr>
          <w:p>
            <w:pPr>
              <w:pStyle w:val="2"/>
              <w:jc w:val="center"/>
              <w:rPr>
                <w:rFonts w:ascii="方正仿宋_GBK" w:hAnsi="方正仿宋_GBK" w:eastAsia="方正仿宋_GBK" w:cs="方正仿宋_GBK"/>
              </w:rPr>
            </w:pPr>
          </w:p>
        </w:tc>
        <w:tc>
          <w:tcPr>
            <w:tcW w:w="1317" w:type="dxa"/>
          </w:tcPr>
          <w:p>
            <w:pPr>
              <w:pStyle w:val="2"/>
              <w:jc w:val="center"/>
              <w:rPr>
                <w:rFonts w:ascii="方正仿宋_GBK" w:hAnsi="方正仿宋_GBK" w:eastAsia="方正仿宋_GBK" w:cs="方正仿宋_GBK"/>
              </w:rPr>
            </w:pPr>
          </w:p>
        </w:tc>
        <w:tc>
          <w:tcPr>
            <w:tcW w:w="1063" w:type="dxa"/>
          </w:tcPr>
          <w:p>
            <w:pPr>
              <w:pStyle w:val="2"/>
              <w:jc w:val="center"/>
              <w:rPr>
                <w:rFonts w:ascii="方正仿宋_GBK" w:hAnsi="方正仿宋_GBK" w:eastAsia="方正仿宋_GBK" w:cs="方正仿宋_GBK"/>
              </w:rPr>
            </w:pPr>
          </w:p>
        </w:tc>
        <w:tc>
          <w:tcPr>
            <w:tcW w:w="1063" w:type="dxa"/>
          </w:tcPr>
          <w:p>
            <w:pPr>
              <w:pStyle w:val="2"/>
              <w:jc w:val="center"/>
              <w:rPr>
                <w:rFonts w:ascii="方正仿宋_GBK" w:hAnsi="方正仿宋_GBK" w:eastAsia="方正仿宋_GBK" w:cs="方正仿宋_GBK"/>
              </w:rPr>
            </w:pPr>
          </w:p>
        </w:tc>
        <w:tc>
          <w:tcPr>
            <w:tcW w:w="1191" w:type="dxa"/>
          </w:tcPr>
          <w:p>
            <w:pPr>
              <w:pStyle w:val="2"/>
              <w:jc w:val="center"/>
              <w:rPr>
                <w:rFonts w:ascii="方正仿宋_GBK" w:hAnsi="方正仿宋_GBK" w:eastAsia="方正仿宋_GBK" w:cs="方正仿宋_GBK"/>
              </w:rPr>
            </w:pPr>
          </w:p>
        </w:tc>
        <w:tc>
          <w:tcPr>
            <w:tcW w:w="907" w:type="dxa"/>
          </w:tcPr>
          <w:p>
            <w:pPr>
              <w:pStyle w:val="2"/>
              <w:jc w:val="center"/>
              <w:rPr>
                <w:rFonts w:ascii="方正仿宋_GBK" w:hAnsi="方正仿宋_GBK" w:eastAsia="方正仿宋_GBK" w:cs="方正仿宋_GBK"/>
              </w:rPr>
            </w:pPr>
          </w:p>
        </w:tc>
        <w:tc>
          <w:tcPr>
            <w:tcW w:w="1983" w:type="dxa"/>
          </w:tcPr>
          <w:p>
            <w:pPr>
              <w:pStyle w:val="2"/>
              <w:jc w:val="center"/>
              <w:rPr>
                <w:rFonts w:ascii="方正仿宋_GBK" w:hAnsi="方正仿宋_GBK" w:eastAsia="方正仿宋_GBK" w:cs="方正仿宋_GB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9" w:type="dxa"/>
          </w:tcPr>
          <w:p>
            <w:pPr>
              <w:pStyle w:val="2"/>
              <w:jc w:val="center"/>
              <w:rPr>
                <w:rFonts w:ascii="方正仿宋_GBK" w:hAnsi="方正仿宋_GBK" w:eastAsia="方正仿宋_GBK" w:cs="方正仿宋_GBK"/>
              </w:rPr>
            </w:pPr>
          </w:p>
        </w:tc>
        <w:tc>
          <w:tcPr>
            <w:tcW w:w="1589" w:type="dxa"/>
          </w:tcPr>
          <w:p>
            <w:pPr>
              <w:pStyle w:val="2"/>
              <w:jc w:val="center"/>
              <w:rPr>
                <w:rFonts w:ascii="方正仿宋_GBK" w:hAnsi="方正仿宋_GBK" w:eastAsia="方正仿宋_GBK" w:cs="方正仿宋_GBK"/>
              </w:rPr>
            </w:pPr>
          </w:p>
        </w:tc>
        <w:tc>
          <w:tcPr>
            <w:tcW w:w="1183" w:type="dxa"/>
          </w:tcPr>
          <w:p>
            <w:pPr>
              <w:pStyle w:val="2"/>
              <w:jc w:val="center"/>
              <w:rPr>
                <w:rFonts w:ascii="方正仿宋_GBK" w:hAnsi="方正仿宋_GBK" w:eastAsia="方正仿宋_GBK" w:cs="方正仿宋_GBK"/>
              </w:rPr>
            </w:pPr>
          </w:p>
        </w:tc>
        <w:tc>
          <w:tcPr>
            <w:tcW w:w="1436" w:type="dxa"/>
          </w:tcPr>
          <w:p>
            <w:pPr>
              <w:pStyle w:val="2"/>
              <w:jc w:val="center"/>
              <w:rPr>
                <w:rFonts w:ascii="方正仿宋_GBK" w:hAnsi="方正仿宋_GBK" w:eastAsia="方正仿宋_GBK" w:cs="方正仿宋_GBK"/>
              </w:rPr>
            </w:pPr>
          </w:p>
        </w:tc>
        <w:tc>
          <w:tcPr>
            <w:tcW w:w="1318" w:type="dxa"/>
          </w:tcPr>
          <w:p>
            <w:pPr>
              <w:pStyle w:val="2"/>
              <w:jc w:val="center"/>
              <w:rPr>
                <w:rFonts w:ascii="方正仿宋_GBK" w:hAnsi="方正仿宋_GBK" w:eastAsia="方正仿宋_GBK" w:cs="方正仿宋_GBK"/>
              </w:rPr>
            </w:pPr>
          </w:p>
        </w:tc>
        <w:tc>
          <w:tcPr>
            <w:tcW w:w="1297" w:type="dxa"/>
          </w:tcPr>
          <w:p>
            <w:pPr>
              <w:pStyle w:val="2"/>
              <w:jc w:val="center"/>
              <w:rPr>
                <w:rFonts w:ascii="方正仿宋_GBK" w:hAnsi="方正仿宋_GBK" w:eastAsia="方正仿宋_GBK" w:cs="方正仿宋_GBK"/>
              </w:rPr>
            </w:pPr>
          </w:p>
        </w:tc>
        <w:tc>
          <w:tcPr>
            <w:tcW w:w="1317" w:type="dxa"/>
          </w:tcPr>
          <w:p>
            <w:pPr>
              <w:pStyle w:val="2"/>
              <w:jc w:val="center"/>
              <w:rPr>
                <w:rFonts w:ascii="方正仿宋_GBK" w:hAnsi="方正仿宋_GBK" w:eastAsia="方正仿宋_GBK" w:cs="方正仿宋_GBK"/>
              </w:rPr>
            </w:pPr>
          </w:p>
        </w:tc>
        <w:tc>
          <w:tcPr>
            <w:tcW w:w="1063" w:type="dxa"/>
          </w:tcPr>
          <w:p>
            <w:pPr>
              <w:pStyle w:val="2"/>
              <w:jc w:val="center"/>
              <w:rPr>
                <w:rFonts w:ascii="方正仿宋_GBK" w:hAnsi="方正仿宋_GBK" w:eastAsia="方正仿宋_GBK" w:cs="方正仿宋_GBK"/>
              </w:rPr>
            </w:pPr>
          </w:p>
        </w:tc>
        <w:tc>
          <w:tcPr>
            <w:tcW w:w="1063" w:type="dxa"/>
          </w:tcPr>
          <w:p>
            <w:pPr>
              <w:pStyle w:val="2"/>
              <w:jc w:val="center"/>
              <w:rPr>
                <w:rFonts w:ascii="方正仿宋_GBK" w:hAnsi="方正仿宋_GBK" w:eastAsia="方正仿宋_GBK" w:cs="方正仿宋_GBK"/>
              </w:rPr>
            </w:pPr>
          </w:p>
        </w:tc>
        <w:tc>
          <w:tcPr>
            <w:tcW w:w="1191" w:type="dxa"/>
          </w:tcPr>
          <w:p>
            <w:pPr>
              <w:pStyle w:val="2"/>
              <w:jc w:val="center"/>
              <w:rPr>
                <w:rFonts w:ascii="方正仿宋_GBK" w:hAnsi="方正仿宋_GBK" w:eastAsia="方正仿宋_GBK" w:cs="方正仿宋_GBK"/>
              </w:rPr>
            </w:pPr>
          </w:p>
        </w:tc>
        <w:tc>
          <w:tcPr>
            <w:tcW w:w="907" w:type="dxa"/>
          </w:tcPr>
          <w:p>
            <w:pPr>
              <w:pStyle w:val="2"/>
              <w:jc w:val="center"/>
              <w:rPr>
                <w:rFonts w:ascii="方正仿宋_GBK" w:hAnsi="方正仿宋_GBK" w:eastAsia="方正仿宋_GBK" w:cs="方正仿宋_GBK"/>
              </w:rPr>
            </w:pPr>
          </w:p>
        </w:tc>
        <w:tc>
          <w:tcPr>
            <w:tcW w:w="1983" w:type="dxa"/>
          </w:tcPr>
          <w:p>
            <w:pPr>
              <w:pStyle w:val="2"/>
              <w:jc w:val="center"/>
              <w:rPr>
                <w:rFonts w:ascii="方正仿宋_GBK" w:hAnsi="方正仿宋_GBK" w:eastAsia="方正仿宋_GBK" w:cs="方正仿宋_GB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9" w:type="dxa"/>
          </w:tcPr>
          <w:p>
            <w:pPr>
              <w:pStyle w:val="2"/>
              <w:jc w:val="center"/>
              <w:rPr>
                <w:rFonts w:ascii="方正仿宋_GBK" w:hAnsi="方正仿宋_GBK" w:eastAsia="方正仿宋_GBK" w:cs="方正仿宋_GBK"/>
              </w:rPr>
            </w:pPr>
          </w:p>
        </w:tc>
        <w:tc>
          <w:tcPr>
            <w:tcW w:w="1589" w:type="dxa"/>
          </w:tcPr>
          <w:p>
            <w:pPr>
              <w:pStyle w:val="2"/>
              <w:jc w:val="center"/>
              <w:rPr>
                <w:rFonts w:ascii="方正仿宋_GBK" w:hAnsi="方正仿宋_GBK" w:eastAsia="方正仿宋_GBK" w:cs="方正仿宋_GBK"/>
              </w:rPr>
            </w:pPr>
          </w:p>
        </w:tc>
        <w:tc>
          <w:tcPr>
            <w:tcW w:w="1183" w:type="dxa"/>
          </w:tcPr>
          <w:p>
            <w:pPr>
              <w:pStyle w:val="2"/>
              <w:jc w:val="center"/>
              <w:rPr>
                <w:rFonts w:ascii="方正仿宋_GBK" w:hAnsi="方正仿宋_GBK" w:eastAsia="方正仿宋_GBK" w:cs="方正仿宋_GBK"/>
              </w:rPr>
            </w:pPr>
          </w:p>
        </w:tc>
        <w:tc>
          <w:tcPr>
            <w:tcW w:w="1436" w:type="dxa"/>
          </w:tcPr>
          <w:p>
            <w:pPr>
              <w:pStyle w:val="2"/>
              <w:jc w:val="center"/>
              <w:rPr>
                <w:rFonts w:ascii="方正仿宋_GBK" w:hAnsi="方正仿宋_GBK" w:eastAsia="方正仿宋_GBK" w:cs="方正仿宋_GBK"/>
              </w:rPr>
            </w:pPr>
          </w:p>
        </w:tc>
        <w:tc>
          <w:tcPr>
            <w:tcW w:w="1318" w:type="dxa"/>
          </w:tcPr>
          <w:p>
            <w:pPr>
              <w:pStyle w:val="2"/>
              <w:jc w:val="center"/>
              <w:rPr>
                <w:rFonts w:ascii="方正仿宋_GBK" w:hAnsi="方正仿宋_GBK" w:eastAsia="方正仿宋_GBK" w:cs="方正仿宋_GBK"/>
              </w:rPr>
            </w:pPr>
          </w:p>
        </w:tc>
        <w:tc>
          <w:tcPr>
            <w:tcW w:w="1297" w:type="dxa"/>
          </w:tcPr>
          <w:p>
            <w:pPr>
              <w:pStyle w:val="2"/>
              <w:jc w:val="center"/>
              <w:rPr>
                <w:rFonts w:ascii="方正仿宋_GBK" w:hAnsi="方正仿宋_GBK" w:eastAsia="方正仿宋_GBK" w:cs="方正仿宋_GBK"/>
              </w:rPr>
            </w:pPr>
          </w:p>
        </w:tc>
        <w:tc>
          <w:tcPr>
            <w:tcW w:w="1317" w:type="dxa"/>
          </w:tcPr>
          <w:p>
            <w:pPr>
              <w:pStyle w:val="2"/>
              <w:jc w:val="center"/>
              <w:rPr>
                <w:rFonts w:ascii="方正仿宋_GBK" w:hAnsi="方正仿宋_GBK" w:eastAsia="方正仿宋_GBK" w:cs="方正仿宋_GBK"/>
              </w:rPr>
            </w:pPr>
          </w:p>
        </w:tc>
        <w:tc>
          <w:tcPr>
            <w:tcW w:w="1063" w:type="dxa"/>
          </w:tcPr>
          <w:p>
            <w:pPr>
              <w:pStyle w:val="2"/>
              <w:jc w:val="center"/>
              <w:rPr>
                <w:rFonts w:ascii="方正仿宋_GBK" w:hAnsi="方正仿宋_GBK" w:eastAsia="方正仿宋_GBK" w:cs="方正仿宋_GBK"/>
              </w:rPr>
            </w:pPr>
          </w:p>
        </w:tc>
        <w:tc>
          <w:tcPr>
            <w:tcW w:w="1063" w:type="dxa"/>
          </w:tcPr>
          <w:p>
            <w:pPr>
              <w:pStyle w:val="2"/>
              <w:jc w:val="center"/>
              <w:rPr>
                <w:rFonts w:ascii="方正仿宋_GBK" w:hAnsi="方正仿宋_GBK" w:eastAsia="方正仿宋_GBK" w:cs="方正仿宋_GBK"/>
              </w:rPr>
            </w:pPr>
          </w:p>
        </w:tc>
        <w:tc>
          <w:tcPr>
            <w:tcW w:w="1191" w:type="dxa"/>
          </w:tcPr>
          <w:p>
            <w:pPr>
              <w:pStyle w:val="2"/>
              <w:jc w:val="center"/>
              <w:rPr>
                <w:rFonts w:ascii="方正仿宋_GBK" w:hAnsi="方正仿宋_GBK" w:eastAsia="方正仿宋_GBK" w:cs="方正仿宋_GBK"/>
              </w:rPr>
            </w:pPr>
          </w:p>
        </w:tc>
        <w:tc>
          <w:tcPr>
            <w:tcW w:w="907" w:type="dxa"/>
          </w:tcPr>
          <w:p>
            <w:pPr>
              <w:pStyle w:val="2"/>
              <w:jc w:val="center"/>
              <w:rPr>
                <w:rFonts w:ascii="方正仿宋_GBK" w:hAnsi="方正仿宋_GBK" w:eastAsia="方正仿宋_GBK" w:cs="方正仿宋_GBK"/>
              </w:rPr>
            </w:pPr>
          </w:p>
        </w:tc>
        <w:tc>
          <w:tcPr>
            <w:tcW w:w="1983" w:type="dxa"/>
          </w:tcPr>
          <w:p>
            <w:pPr>
              <w:pStyle w:val="2"/>
              <w:jc w:val="center"/>
              <w:rPr>
                <w:rFonts w:ascii="方正仿宋_GBK" w:hAnsi="方正仿宋_GBK" w:eastAsia="方正仿宋_GBK" w:cs="方正仿宋_GB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9" w:type="dxa"/>
          </w:tcPr>
          <w:p>
            <w:pPr>
              <w:pStyle w:val="2"/>
              <w:jc w:val="center"/>
              <w:rPr>
                <w:rFonts w:ascii="方正仿宋_GBK" w:hAnsi="方正仿宋_GBK" w:eastAsia="方正仿宋_GBK" w:cs="方正仿宋_GBK"/>
              </w:rPr>
            </w:pPr>
          </w:p>
        </w:tc>
        <w:tc>
          <w:tcPr>
            <w:tcW w:w="1589" w:type="dxa"/>
          </w:tcPr>
          <w:p>
            <w:pPr>
              <w:pStyle w:val="2"/>
              <w:jc w:val="center"/>
              <w:rPr>
                <w:rFonts w:ascii="方正仿宋_GBK" w:hAnsi="方正仿宋_GBK" w:eastAsia="方正仿宋_GBK" w:cs="方正仿宋_GBK"/>
              </w:rPr>
            </w:pPr>
          </w:p>
        </w:tc>
        <w:tc>
          <w:tcPr>
            <w:tcW w:w="1183" w:type="dxa"/>
          </w:tcPr>
          <w:p>
            <w:pPr>
              <w:pStyle w:val="2"/>
              <w:jc w:val="center"/>
              <w:rPr>
                <w:rFonts w:ascii="方正仿宋_GBK" w:hAnsi="方正仿宋_GBK" w:eastAsia="方正仿宋_GBK" w:cs="方正仿宋_GBK"/>
              </w:rPr>
            </w:pPr>
          </w:p>
        </w:tc>
        <w:tc>
          <w:tcPr>
            <w:tcW w:w="1436" w:type="dxa"/>
          </w:tcPr>
          <w:p>
            <w:pPr>
              <w:pStyle w:val="2"/>
              <w:jc w:val="center"/>
              <w:rPr>
                <w:rFonts w:ascii="方正仿宋_GBK" w:hAnsi="方正仿宋_GBK" w:eastAsia="方正仿宋_GBK" w:cs="方正仿宋_GBK"/>
              </w:rPr>
            </w:pPr>
          </w:p>
        </w:tc>
        <w:tc>
          <w:tcPr>
            <w:tcW w:w="1318" w:type="dxa"/>
          </w:tcPr>
          <w:p>
            <w:pPr>
              <w:pStyle w:val="2"/>
              <w:jc w:val="center"/>
              <w:rPr>
                <w:rFonts w:ascii="方正仿宋_GBK" w:hAnsi="方正仿宋_GBK" w:eastAsia="方正仿宋_GBK" w:cs="方正仿宋_GBK"/>
              </w:rPr>
            </w:pPr>
          </w:p>
        </w:tc>
        <w:tc>
          <w:tcPr>
            <w:tcW w:w="1297" w:type="dxa"/>
          </w:tcPr>
          <w:p>
            <w:pPr>
              <w:pStyle w:val="2"/>
              <w:jc w:val="center"/>
              <w:rPr>
                <w:rFonts w:ascii="方正仿宋_GBK" w:hAnsi="方正仿宋_GBK" w:eastAsia="方正仿宋_GBK" w:cs="方正仿宋_GBK"/>
              </w:rPr>
            </w:pPr>
          </w:p>
        </w:tc>
        <w:tc>
          <w:tcPr>
            <w:tcW w:w="1317" w:type="dxa"/>
          </w:tcPr>
          <w:p>
            <w:pPr>
              <w:pStyle w:val="2"/>
              <w:jc w:val="center"/>
              <w:rPr>
                <w:rFonts w:ascii="方正仿宋_GBK" w:hAnsi="方正仿宋_GBK" w:eastAsia="方正仿宋_GBK" w:cs="方正仿宋_GBK"/>
              </w:rPr>
            </w:pPr>
          </w:p>
        </w:tc>
        <w:tc>
          <w:tcPr>
            <w:tcW w:w="1063" w:type="dxa"/>
          </w:tcPr>
          <w:p>
            <w:pPr>
              <w:pStyle w:val="2"/>
              <w:jc w:val="center"/>
              <w:rPr>
                <w:rFonts w:ascii="方正仿宋_GBK" w:hAnsi="方正仿宋_GBK" w:eastAsia="方正仿宋_GBK" w:cs="方正仿宋_GBK"/>
              </w:rPr>
            </w:pPr>
          </w:p>
        </w:tc>
        <w:tc>
          <w:tcPr>
            <w:tcW w:w="1063" w:type="dxa"/>
          </w:tcPr>
          <w:p>
            <w:pPr>
              <w:pStyle w:val="2"/>
              <w:jc w:val="center"/>
              <w:rPr>
                <w:rFonts w:ascii="方正仿宋_GBK" w:hAnsi="方正仿宋_GBK" w:eastAsia="方正仿宋_GBK" w:cs="方正仿宋_GBK"/>
              </w:rPr>
            </w:pPr>
          </w:p>
        </w:tc>
        <w:tc>
          <w:tcPr>
            <w:tcW w:w="1191" w:type="dxa"/>
          </w:tcPr>
          <w:p>
            <w:pPr>
              <w:pStyle w:val="2"/>
              <w:jc w:val="center"/>
              <w:rPr>
                <w:rFonts w:ascii="方正仿宋_GBK" w:hAnsi="方正仿宋_GBK" w:eastAsia="方正仿宋_GBK" w:cs="方正仿宋_GBK"/>
              </w:rPr>
            </w:pPr>
          </w:p>
        </w:tc>
        <w:tc>
          <w:tcPr>
            <w:tcW w:w="907" w:type="dxa"/>
          </w:tcPr>
          <w:p>
            <w:pPr>
              <w:pStyle w:val="2"/>
              <w:jc w:val="center"/>
              <w:rPr>
                <w:rFonts w:ascii="方正仿宋_GBK" w:hAnsi="方正仿宋_GBK" w:eastAsia="方正仿宋_GBK" w:cs="方正仿宋_GBK"/>
              </w:rPr>
            </w:pPr>
          </w:p>
        </w:tc>
        <w:tc>
          <w:tcPr>
            <w:tcW w:w="1983" w:type="dxa"/>
          </w:tcPr>
          <w:p>
            <w:pPr>
              <w:pStyle w:val="2"/>
              <w:jc w:val="center"/>
              <w:rPr>
                <w:rFonts w:ascii="方正仿宋_GBK" w:hAnsi="方正仿宋_GBK" w:eastAsia="方正仿宋_GBK" w:cs="方正仿宋_GB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9" w:type="dxa"/>
          </w:tcPr>
          <w:p>
            <w:pPr>
              <w:pStyle w:val="2"/>
              <w:jc w:val="center"/>
              <w:rPr>
                <w:rFonts w:ascii="方正仿宋_GBK" w:hAnsi="方正仿宋_GBK" w:eastAsia="方正仿宋_GBK" w:cs="方正仿宋_GBK"/>
              </w:rPr>
            </w:pPr>
          </w:p>
        </w:tc>
        <w:tc>
          <w:tcPr>
            <w:tcW w:w="1589" w:type="dxa"/>
          </w:tcPr>
          <w:p>
            <w:pPr>
              <w:pStyle w:val="2"/>
              <w:jc w:val="center"/>
              <w:rPr>
                <w:rFonts w:ascii="方正仿宋_GBK" w:hAnsi="方正仿宋_GBK" w:eastAsia="方正仿宋_GBK" w:cs="方正仿宋_GBK"/>
              </w:rPr>
            </w:pPr>
          </w:p>
        </w:tc>
        <w:tc>
          <w:tcPr>
            <w:tcW w:w="1183" w:type="dxa"/>
          </w:tcPr>
          <w:p>
            <w:pPr>
              <w:pStyle w:val="2"/>
              <w:jc w:val="center"/>
              <w:rPr>
                <w:rFonts w:ascii="方正仿宋_GBK" w:hAnsi="方正仿宋_GBK" w:eastAsia="方正仿宋_GBK" w:cs="方正仿宋_GBK"/>
              </w:rPr>
            </w:pPr>
          </w:p>
        </w:tc>
        <w:tc>
          <w:tcPr>
            <w:tcW w:w="1436" w:type="dxa"/>
          </w:tcPr>
          <w:p>
            <w:pPr>
              <w:pStyle w:val="2"/>
              <w:jc w:val="center"/>
              <w:rPr>
                <w:rFonts w:ascii="方正仿宋_GBK" w:hAnsi="方正仿宋_GBK" w:eastAsia="方正仿宋_GBK" w:cs="方正仿宋_GBK"/>
              </w:rPr>
            </w:pPr>
          </w:p>
        </w:tc>
        <w:tc>
          <w:tcPr>
            <w:tcW w:w="1318" w:type="dxa"/>
          </w:tcPr>
          <w:p>
            <w:pPr>
              <w:pStyle w:val="2"/>
              <w:jc w:val="center"/>
              <w:rPr>
                <w:rFonts w:ascii="方正仿宋_GBK" w:hAnsi="方正仿宋_GBK" w:eastAsia="方正仿宋_GBK" w:cs="方正仿宋_GBK"/>
              </w:rPr>
            </w:pPr>
          </w:p>
        </w:tc>
        <w:tc>
          <w:tcPr>
            <w:tcW w:w="1297" w:type="dxa"/>
          </w:tcPr>
          <w:p>
            <w:pPr>
              <w:pStyle w:val="2"/>
              <w:jc w:val="center"/>
              <w:rPr>
                <w:rFonts w:ascii="方正仿宋_GBK" w:hAnsi="方正仿宋_GBK" w:eastAsia="方正仿宋_GBK" w:cs="方正仿宋_GBK"/>
              </w:rPr>
            </w:pPr>
          </w:p>
        </w:tc>
        <w:tc>
          <w:tcPr>
            <w:tcW w:w="1317" w:type="dxa"/>
          </w:tcPr>
          <w:p>
            <w:pPr>
              <w:pStyle w:val="2"/>
              <w:jc w:val="center"/>
              <w:rPr>
                <w:rFonts w:ascii="方正仿宋_GBK" w:hAnsi="方正仿宋_GBK" w:eastAsia="方正仿宋_GBK" w:cs="方正仿宋_GBK"/>
              </w:rPr>
            </w:pPr>
          </w:p>
        </w:tc>
        <w:tc>
          <w:tcPr>
            <w:tcW w:w="1063" w:type="dxa"/>
          </w:tcPr>
          <w:p>
            <w:pPr>
              <w:pStyle w:val="2"/>
              <w:jc w:val="center"/>
              <w:rPr>
                <w:rFonts w:ascii="方正仿宋_GBK" w:hAnsi="方正仿宋_GBK" w:eastAsia="方正仿宋_GBK" w:cs="方正仿宋_GBK"/>
              </w:rPr>
            </w:pPr>
          </w:p>
        </w:tc>
        <w:tc>
          <w:tcPr>
            <w:tcW w:w="1063" w:type="dxa"/>
          </w:tcPr>
          <w:p>
            <w:pPr>
              <w:pStyle w:val="2"/>
              <w:jc w:val="center"/>
              <w:rPr>
                <w:rFonts w:ascii="方正仿宋_GBK" w:hAnsi="方正仿宋_GBK" w:eastAsia="方正仿宋_GBK" w:cs="方正仿宋_GBK"/>
              </w:rPr>
            </w:pPr>
          </w:p>
        </w:tc>
        <w:tc>
          <w:tcPr>
            <w:tcW w:w="1191" w:type="dxa"/>
          </w:tcPr>
          <w:p>
            <w:pPr>
              <w:pStyle w:val="2"/>
              <w:jc w:val="center"/>
              <w:rPr>
                <w:rFonts w:ascii="方正仿宋_GBK" w:hAnsi="方正仿宋_GBK" w:eastAsia="方正仿宋_GBK" w:cs="方正仿宋_GBK"/>
              </w:rPr>
            </w:pPr>
          </w:p>
        </w:tc>
        <w:tc>
          <w:tcPr>
            <w:tcW w:w="907" w:type="dxa"/>
          </w:tcPr>
          <w:p>
            <w:pPr>
              <w:pStyle w:val="2"/>
              <w:jc w:val="center"/>
              <w:rPr>
                <w:rFonts w:ascii="方正仿宋_GBK" w:hAnsi="方正仿宋_GBK" w:eastAsia="方正仿宋_GBK" w:cs="方正仿宋_GBK"/>
              </w:rPr>
            </w:pPr>
          </w:p>
        </w:tc>
        <w:tc>
          <w:tcPr>
            <w:tcW w:w="1983" w:type="dxa"/>
          </w:tcPr>
          <w:p>
            <w:pPr>
              <w:pStyle w:val="2"/>
              <w:jc w:val="center"/>
              <w:rPr>
                <w:rFonts w:ascii="方正仿宋_GBK" w:hAnsi="方正仿宋_GBK" w:eastAsia="方正仿宋_GBK" w:cs="方正仿宋_GB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9" w:type="dxa"/>
          </w:tcPr>
          <w:p>
            <w:pPr>
              <w:pStyle w:val="2"/>
              <w:jc w:val="center"/>
              <w:rPr>
                <w:rFonts w:ascii="方正仿宋_GBK" w:hAnsi="方正仿宋_GBK" w:eastAsia="方正仿宋_GBK" w:cs="方正仿宋_GBK"/>
              </w:rPr>
            </w:pPr>
          </w:p>
        </w:tc>
        <w:tc>
          <w:tcPr>
            <w:tcW w:w="1589" w:type="dxa"/>
          </w:tcPr>
          <w:p>
            <w:pPr>
              <w:pStyle w:val="2"/>
              <w:jc w:val="center"/>
              <w:rPr>
                <w:rFonts w:ascii="方正仿宋_GBK" w:hAnsi="方正仿宋_GBK" w:eastAsia="方正仿宋_GBK" w:cs="方正仿宋_GBK"/>
              </w:rPr>
            </w:pPr>
          </w:p>
        </w:tc>
        <w:tc>
          <w:tcPr>
            <w:tcW w:w="1183" w:type="dxa"/>
          </w:tcPr>
          <w:p>
            <w:pPr>
              <w:pStyle w:val="2"/>
              <w:jc w:val="center"/>
              <w:rPr>
                <w:rFonts w:ascii="方正仿宋_GBK" w:hAnsi="方正仿宋_GBK" w:eastAsia="方正仿宋_GBK" w:cs="方正仿宋_GBK"/>
              </w:rPr>
            </w:pPr>
          </w:p>
        </w:tc>
        <w:tc>
          <w:tcPr>
            <w:tcW w:w="1436" w:type="dxa"/>
          </w:tcPr>
          <w:p>
            <w:pPr>
              <w:pStyle w:val="2"/>
              <w:jc w:val="center"/>
              <w:rPr>
                <w:rFonts w:ascii="方正仿宋_GBK" w:hAnsi="方正仿宋_GBK" w:eastAsia="方正仿宋_GBK" w:cs="方正仿宋_GBK"/>
              </w:rPr>
            </w:pPr>
          </w:p>
        </w:tc>
        <w:tc>
          <w:tcPr>
            <w:tcW w:w="1318" w:type="dxa"/>
          </w:tcPr>
          <w:p>
            <w:pPr>
              <w:pStyle w:val="2"/>
              <w:jc w:val="center"/>
              <w:rPr>
                <w:rFonts w:ascii="方正仿宋_GBK" w:hAnsi="方正仿宋_GBK" w:eastAsia="方正仿宋_GBK" w:cs="方正仿宋_GBK"/>
              </w:rPr>
            </w:pPr>
          </w:p>
        </w:tc>
        <w:tc>
          <w:tcPr>
            <w:tcW w:w="1297" w:type="dxa"/>
          </w:tcPr>
          <w:p>
            <w:pPr>
              <w:pStyle w:val="2"/>
              <w:jc w:val="center"/>
              <w:rPr>
                <w:rFonts w:ascii="方正仿宋_GBK" w:hAnsi="方正仿宋_GBK" w:eastAsia="方正仿宋_GBK" w:cs="方正仿宋_GBK"/>
              </w:rPr>
            </w:pPr>
          </w:p>
        </w:tc>
        <w:tc>
          <w:tcPr>
            <w:tcW w:w="1317" w:type="dxa"/>
          </w:tcPr>
          <w:p>
            <w:pPr>
              <w:pStyle w:val="2"/>
              <w:jc w:val="center"/>
              <w:rPr>
                <w:rFonts w:ascii="方正仿宋_GBK" w:hAnsi="方正仿宋_GBK" w:eastAsia="方正仿宋_GBK" w:cs="方正仿宋_GBK"/>
              </w:rPr>
            </w:pPr>
          </w:p>
        </w:tc>
        <w:tc>
          <w:tcPr>
            <w:tcW w:w="1063" w:type="dxa"/>
          </w:tcPr>
          <w:p>
            <w:pPr>
              <w:pStyle w:val="2"/>
              <w:jc w:val="center"/>
              <w:rPr>
                <w:rFonts w:ascii="方正仿宋_GBK" w:hAnsi="方正仿宋_GBK" w:eastAsia="方正仿宋_GBK" w:cs="方正仿宋_GBK"/>
              </w:rPr>
            </w:pPr>
          </w:p>
        </w:tc>
        <w:tc>
          <w:tcPr>
            <w:tcW w:w="1063" w:type="dxa"/>
          </w:tcPr>
          <w:p>
            <w:pPr>
              <w:pStyle w:val="2"/>
              <w:jc w:val="center"/>
              <w:rPr>
                <w:rFonts w:ascii="方正仿宋_GBK" w:hAnsi="方正仿宋_GBK" w:eastAsia="方正仿宋_GBK" w:cs="方正仿宋_GBK"/>
              </w:rPr>
            </w:pPr>
          </w:p>
        </w:tc>
        <w:tc>
          <w:tcPr>
            <w:tcW w:w="1191" w:type="dxa"/>
          </w:tcPr>
          <w:p>
            <w:pPr>
              <w:pStyle w:val="2"/>
              <w:jc w:val="center"/>
              <w:rPr>
                <w:rFonts w:ascii="方正仿宋_GBK" w:hAnsi="方正仿宋_GBK" w:eastAsia="方正仿宋_GBK" w:cs="方正仿宋_GBK"/>
              </w:rPr>
            </w:pPr>
          </w:p>
        </w:tc>
        <w:tc>
          <w:tcPr>
            <w:tcW w:w="907" w:type="dxa"/>
          </w:tcPr>
          <w:p>
            <w:pPr>
              <w:pStyle w:val="2"/>
              <w:jc w:val="center"/>
              <w:rPr>
                <w:rFonts w:ascii="方正仿宋_GBK" w:hAnsi="方正仿宋_GBK" w:eastAsia="方正仿宋_GBK" w:cs="方正仿宋_GBK"/>
              </w:rPr>
            </w:pPr>
          </w:p>
        </w:tc>
        <w:tc>
          <w:tcPr>
            <w:tcW w:w="1983" w:type="dxa"/>
          </w:tcPr>
          <w:p>
            <w:pPr>
              <w:pStyle w:val="2"/>
              <w:jc w:val="center"/>
              <w:rPr>
                <w:rFonts w:ascii="方正仿宋_GBK" w:hAnsi="方正仿宋_GBK" w:eastAsia="方正仿宋_GBK" w:cs="方正仿宋_GB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779" w:type="dxa"/>
          </w:tcPr>
          <w:p>
            <w:pPr>
              <w:pStyle w:val="2"/>
              <w:jc w:val="center"/>
              <w:rPr>
                <w:rFonts w:ascii="方正仿宋_GBK" w:hAnsi="方正仿宋_GBK" w:eastAsia="方正仿宋_GBK" w:cs="方正仿宋_GBK"/>
              </w:rPr>
            </w:pPr>
          </w:p>
        </w:tc>
        <w:tc>
          <w:tcPr>
            <w:tcW w:w="1589" w:type="dxa"/>
          </w:tcPr>
          <w:p>
            <w:pPr>
              <w:pStyle w:val="2"/>
              <w:jc w:val="center"/>
              <w:rPr>
                <w:rFonts w:ascii="方正仿宋_GBK" w:hAnsi="方正仿宋_GBK" w:eastAsia="方正仿宋_GBK" w:cs="方正仿宋_GBK"/>
              </w:rPr>
            </w:pPr>
          </w:p>
        </w:tc>
        <w:tc>
          <w:tcPr>
            <w:tcW w:w="1183" w:type="dxa"/>
          </w:tcPr>
          <w:p>
            <w:pPr>
              <w:pStyle w:val="2"/>
              <w:jc w:val="center"/>
              <w:rPr>
                <w:rFonts w:ascii="方正仿宋_GBK" w:hAnsi="方正仿宋_GBK" w:eastAsia="方正仿宋_GBK" w:cs="方正仿宋_GBK"/>
              </w:rPr>
            </w:pPr>
          </w:p>
        </w:tc>
        <w:tc>
          <w:tcPr>
            <w:tcW w:w="1436" w:type="dxa"/>
          </w:tcPr>
          <w:p>
            <w:pPr>
              <w:pStyle w:val="2"/>
              <w:jc w:val="center"/>
              <w:rPr>
                <w:rFonts w:ascii="方正仿宋_GBK" w:hAnsi="方正仿宋_GBK" w:eastAsia="方正仿宋_GBK" w:cs="方正仿宋_GBK"/>
              </w:rPr>
            </w:pPr>
          </w:p>
        </w:tc>
        <w:tc>
          <w:tcPr>
            <w:tcW w:w="1318" w:type="dxa"/>
          </w:tcPr>
          <w:p>
            <w:pPr>
              <w:pStyle w:val="2"/>
              <w:jc w:val="center"/>
              <w:rPr>
                <w:rFonts w:ascii="方正仿宋_GBK" w:hAnsi="方正仿宋_GBK" w:eastAsia="方正仿宋_GBK" w:cs="方正仿宋_GBK"/>
              </w:rPr>
            </w:pPr>
          </w:p>
        </w:tc>
        <w:tc>
          <w:tcPr>
            <w:tcW w:w="1297" w:type="dxa"/>
          </w:tcPr>
          <w:p>
            <w:pPr>
              <w:pStyle w:val="2"/>
              <w:jc w:val="center"/>
              <w:rPr>
                <w:rFonts w:ascii="方正仿宋_GBK" w:hAnsi="方正仿宋_GBK" w:eastAsia="方正仿宋_GBK" w:cs="方正仿宋_GBK"/>
              </w:rPr>
            </w:pPr>
          </w:p>
        </w:tc>
        <w:tc>
          <w:tcPr>
            <w:tcW w:w="1317" w:type="dxa"/>
          </w:tcPr>
          <w:p>
            <w:pPr>
              <w:pStyle w:val="2"/>
              <w:jc w:val="center"/>
              <w:rPr>
                <w:rFonts w:ascii="方正仿宋_GBK" w:hAnsi="方正仿宋_GBK" w:eastAsia="方正仿宋_GBK" w:cs="方正仿宋_GBK"/>
              </w:rPr>
            </w:pPr>
          </w:p>
        </w:tc>
        <w:tc>
          <w:tcPr>
            <w:tcW w:w="1063" w:type="dxa"/>
          </w:tcPr>
          <w:p>
            <w:pPr>
              <w:pStyle w:val="2"/>
              <w:jc w:val="center"/>
              <w:rPr>
                <w:rFonts w:ascii="方正仿宋_GBK" w:hAnsi="方正仿宋_GBK" w:eastAsia="方正仿宋_GBK" w:cs="方正仿宋_GBK"/>
              </w:rPr>
            </w:pPr>
          </w:p>
        </w:tc>
        <w:tc>
          <w:tcPr>
            <w:tcW w:w="1063" w:type="dxa"/>
          </w:tcPr>
          <w:p>
            <w:pPr>
              <w:pStyle w:val="2"/>
              <w:jc w:val="center"/>
              <w:rPr>
                <w:rFonts w:ascii="方正仿宋_GBK" w:hAnsi="方正仿宋_GBK" w:eastAsia="方正仿宋_GBK" w:cs="方正仿宋_GBK"/>
              </w:rPr>
            </w:pPr>
          </w:p>
        </w:tc>
        <w:tc>
          <w:tcPr>
            <w:tcW w:w="1191" w:type="dxa"/>
          </w:tcPr>
          <w:p>
            <w:pPr>
              <w:pStyle w:val="2"/>
              <w:jc w:val="center"/>
              <w:rPr>
                <w:rFonts w:ascii="方正仿宋_GBK" w:hAnsi="方正仿宋_GBK" w:eastAsia="方正仿宋_GBK" w:cs="方正仿宋_GBK"/>
              </w:rPr>
            </w:pPr>
          </w:p>
        </w:tc>
        <w:tc>
          <w:tcPr>
            <w:tcW w:w="907" w:type="dxa"/>
          </w:tcPr>
          <w:p>
            <w:pPr>
              <w:pStyle w:val="2"/>
              <w:jc w:val="center"/>
              <w:rPr>
                <w:rFonts w:ascii="方正仿宋_GBK" w:hAnsi="方正仿宋_GBK" w:eastAsia="方正仿宋_GBK" w:cs="方正仿宋_GBK"/>
              </w:rPr>
            </w:pPr>
          </w:p>
        </w:tc>
        <w:tc>
          <w:tcPr>
            <w:tcW w:w="1983" w:type="dxa"/>
          </w:tcPr>
          <w:p>
            <w:pPr>
              <w:pStyle w:val="2"/>
              <w:jc w:val="center"/>
              <w:rPr>
                <w:rFonts w:ascii="方正仿宋_GBK" w:hAnsi="方正仿宋_GBK" w:eastAsia="方正仿宋_GBK" w:cs="方正仿宋_GB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9" w:type="dxa"/>
          </w:tcPr>
          <w:p>
            <w:pPr>
              <w:pStyle w:val="2"/>
              <w:jc w:val="center"/>
              <w:rPr>
                <w:rFonts w:ascii="方正仿宋_GBK" w:hAnsi="方正仿宋_GBK" w:eastAsia="方正仿宋_GBK" w:cs="方正仿宋_GBK"/>
              </w:rPr>
            </w:pPr>
          </w:p>
        </w:tc>
        <w:tc>
          <w:tcPr>
            <w:tcW w:w="1589" w:type="dxa"/>
          </w:tcPr>
          <w:p>
            <w:pPr>
              <w:pStyle w:val="2"/>
              <w:jc w:val="center"/>
              <w:rPr>
                <w:rFonts w:ascii="方正仿宋_GBK" w:hAnsi="方正仿宋_GBK" w:eastAsia="方正仿宋_GBK" w:cs="方正仿宋_GBK"/>
              </w:rPr>
            </w:pPr>
          </w:p>
        </w:tc>
        <w:tc>
          <w:tcPr>
            <w:tcW w:w="1183" w:type="dxa"/>
          </w:tcPr>
          <w:p>
            <w:pPr>
              <w:pStyle w:val="2"/>
              <w:jc w:val="center"/>
              <w:rPr>
                <w:rFonts w:ascii="方正仿宋_GBK" w:hAnsi="方正仿宋_GBK" w:eastAsia="方正仿宋_GBK" w:cs="方正仿宋_GBK"/>
              </w:rPr>
            </w:pPr>
          </w:p>
        </w:tc>
        <w:tc>
          <w:tcPr>
            <w:tcW w:w="1436" w:type="dxa"/>
          </w:tcPr>
          <w:p>
            <w:pPr>
              <w:pStyle w:val="2"/>
              <w:jc w:val="center"/>
              <w:rPr>
                <w:rFonts w:ascii="方正仿宋_GBK" w:hAnsi="方正仿宋_GBK" w:eastAsia="方正仿宋_GBK" w:cs="方正仿宋_GBK"/>
              </w:rPr>
            </w:pPr>
          </w:p>
        </w:tc>
        <w:tc>
          <w:tcPr>
            <w:tcW w:w="1318" w:type="dxa"/>
          </w:tcPr>
          <w:p>
            <w:pPr>
              <w:pStyle w:val="2"/>
              <w:jc w:val="center"/>
              <w:rPr>
                <w:rFonts w:ascii="方正仿宋_GBK" w:hAnsi="方正仿宋_GBK" w:eastAsia="方正仿宋_GBK" w:cs="方正仿宋_GBK"/>
              </w:rPr>
            </w:pPr>
          </w:p>
        </w:tc>
        <w:tc>
          <w:tcPr>
            <w:tcW w:w="1297" w:type="dxa"/>
          </w:tcPr>
          <w:p>
            <w:pPr>
              <w:pStyle w:val="2"/>
              <w:jc w:val="center"/>
              <w:rPr>
                <w:rFonts w:ascii="方正仿宋_GBK" w:hAnsi="方正仿宋_GBK" w:eastAsia="方正仿宋_GBK" w:cs="方正仿宋_GBK"/>
              </w:rPr>
            </w:pPr>
          </w:p>
        </w:tc>
        <w:tc>
          <w:tcPr>
            <w:tcW w:w="1317" w:type="dxa"/>
          </w:tcPr>
          <w:p>
            <w:pPr>
              <w:pStyle w:val="2"/>
              <w:jc w:val="center"/>
              <w:rPr>
                <w:rFonts w:ascii="方正仿宋_GBK" w:hAnsi="方正仿宋_GBK" w:eastAsia="方正仿宋_GBK" w:cs="方正仿宋_GBK"/>
              </w:rPr>
            </w:pPr>
          </w:p>
        </w:tc>
        <w:tc>
          <w:tcPr>
            <w:tcW w:w="1063" w:type="dxa"/>
          </w:tcPr>
          <w:p>
            <w:pPr>
              <w:pStyle w:val="2"/>
              <w:jc w:val="center"/>
              <w:rPr>
                <w:rFonts w:ascii="方正仿宋_GBK" w:hAnsi="方正仿宋_GBK" w:eastAsia="方正仿宋_GBK" w:cs="方正仿宋_GBK"/>
              </w:rPr>
            </w:pPr>
          </w:p>
        </w:tc>
        <w:tc>
          <w:tcPr>
            <w:tcW w:w="1063" w:type="dxa"/>
          </w:tcPr>
          <w:p>
            <w:pPr>
              <w:pStyle w:val="2"/>
              <w:jc w:val="center"/>
              <w:rPr>
                <w:rFonts w:ascii="方正仿宋_GBK" w:hAnsi="方正仿宋_GBK" w:eastAsia="方正仿宋_GBK" w:cs="方正仿宋_GBK"/>
              </w:rPr>
            </w:pPr>
          </w:p>
        </w:tc>
        <w:tc>
          <w:tcPr>
            <w:tcW w:w="1191" w:type="dxa"/>
          </w:tcPr>
          <w:p>
            <w:pPr>
              <w:pStyle w:val="2"/>
              <w:jc w:val="center"/>
              <w:rPr>
                <w:rFonts w:ascii="方正仿宋_GBK" w:hAnsi="方正仿宋_GBK" w:eastAsia="方正仿宋_GBK" w:cs="方正仿宋_GBK"/>
              </w:rPr>
            </w:pPr>
          </w:p>
        </w:tc>
        <w:tc>
          <w:tcPr>
            <w:tcW w:w="907" w:type="dxa"/>
          </w:tcPr>
          <w:p>
            <w:pPr>
              <w:pStyle w:val="2"/>
              <w:jc w:val="center"/>
              <w:rPr>
                <w:rFonts w:ascii="方正仿宋_GBK" w:hAnsi="方正仿宋_GBK" w:eastAsia="方正仿宋_GBK" w:cs="方正仿宋_GBK"/>
              </w:rPr>
            </w:pPr>
          </w:p>
        </w:tc>
        <w:tc>
          <w:tcPr>
            <w:tcW w:w="1983" w:type="dxa"/>
          </w:tcPr>
          <w:p>
            <w:pPr>
              <w:pStyle w:val="2"/>
              <w:jc w:val="center"/>
              <w:rPr>
                <w:rFonts w:ascii="方正仿宋_GBK" w:hAnsi="方正仿宋_GBK" w:eastAsia="方正仿宋_GBK" w:cs="方正仿宋_GBK"/>
              </w:rPr>
            </w:pPr>
          </w:p>
        </w:tc>
      </w:tr>
    </w:tbl>
    <w:p>
      <w:pPr>
        <w:tabs>
          <w:tab w:val="left" w:pos="1365"/>
          <w:tab w:val="clear" w:pos="0"/>
        </w:tabs>
        <w:jc w:val="left"/>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调查者：                            调查日期：                               第   页 共   页</w:t>
      </w:r>
    </w:p>
    <w:p>
      <w:pPr>
        <w:pStyle w:val="2"/>
        <w:ind w:right="1260"/>
        <w:jc w:val="left"/>
        <w:rPr>
          <w:rFonts w:ascii="方正仿宋_GBK" w:hAnsi="方正仿宋_GBK" w:eastAsia="方正仿宋_GBK" w:cs="方正仿宋_GBK"/>
          <w:sz w:val="18"/>
          <w:szCs w:val="18"/>
        </w:rPr>
        <w:sectPr>
          <w:pgSz w:w="16838" w:h="11906" w:orient="landscape"/>
          <w:pgMar w:top="1417" w:right="851" w:bottom="1021" w:left="851" w:header="851" w:footer="992" w:gutter="0"/>
          <w:cols w:space="720" w:num="1"/>
          <w:docGrid w:type="lines" w:linePitch="325" w:charSpace="0"/>
        </w:sectPr>
      </w:pPr>
    </w:p>
    <w:p>
      <w:pPr>
        <w:jc w:val="center"/>
        <w:outlineLvl w:val="1"/>
        <w:rPr>
          <w:rFonts w:eastAsia="仿宋"/>
          <w:b/>
          <w:bCs/>
          <w:sz w:val="28"/>
          <w:szCs w:val="28"/>
        </w:rPr>
      </w:pPr>
      <w:bookmarkStart w:id="1844" w:name="_Toc29046"/>
      <w:bookmarkStart w:id="1845" w:name="_Toc11011"/>
      <w:bookmarkStart w:id="1846" w:name="_Toc11593"/>
      <w:bookmarkStart w:id="1847" w:name="_Toc23886"/>
      <w:bookmarkStart w:id="1848" w:name="_Toc168"/>
      <w:bookmarkStart w:id="1849" w:name="_Toc14795"/>
      <w:bookmarkStart w:id="1850" w:name="_Toc32320"/>
      <w:bookmarkStart w:id="1851" w:name="_Toc21886"/>
      <w:r>
        <w:rPr>
          <w:rFonts w:hint="eastAsia" w:eastAsia="仿宋"/>
          <w:b/>
          <w:bCs/>
          <w:sz w:val="28"/>
          <w:szCs w:val="28"/>
        </w:rPr>
        <w:t>附录M 安全风险隐患类别代码表</w:t>
      </w:r>
      <w:bookmarkEnd w:id="1844"/>
      <w:bookmarkEnd w:id="1845"/>
      <w:bookmarkEnd w:id="1846"/>
      <w:bookmarkEnd w:id="1847"/>
      <w:bookmarkEnd w:id="1848"/>
      <w:bookmarkEnd w:id="1849"/>
      <w:bookmarkEnd w:id="1850"/>
      <w:bookmarkEnd w:id="1851"/>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7"/>
        <w:gridCol w:w="1877"/>
        <w:gridCol w:w="1878"/>
        <w:gridCol w:w="3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877" w:type="dxa"/>
            <w:vAlign w:val="center"/>
          </w:tcPr>
          <w:p>
            <w:pPr>
              <w:jc w:val="center"/>
              <w:rPr>
                <w:rFonts w:ascii="仿宋" w:hAnsi="仿宋" w:eastAsia="仿宋" w:cs="仿宋"/>
                <w:b/>
                <w:bCs/>
                <w:color w:val="000000"/>
                <w:szCs w:val="21"/>
              </w:rPr>
            </w:pPr>
            <w:r>
              <w:rPr>
                <w:rFonts w:hint="eastAsia" w:ascii="仿宋" w:hAnsi="仿宋" w:eastAsia="仿宋" w:cs="仿宋"/>
                <w:b/>
                <w:bCs/>
                <w:color w:val="000000"/>
                <w:szCs w:val="21"/>
              </w:rPr>
              <w:t>一类代码</w:t>
            </w:r>
          </w:p>
        </w:tc>
        <w:tc>
          <w:tcPr>
            <w:tcW w:w="1877" w:type="dxa"/>
            <w:vAlign w:val="center"/>
          </w:tcPr>
          <w:p>
            <w:pPr>
              <w:jc w:val="center"/>
              <w:rPr>
                <w:rFonts w:ascii="仿宋" w:hAnsi="仿宋" w:eastAsia="仿宋" w:cs="仿宋"/>
                <w:b/>
                <w:bCs/>
                <w:color w:val="000000"/>
                <w:szCs w:val="21"/>
              </w:rPr>
            </w:pPr>
            <w:r>
              <w:rPr>
                <w:rFonts w:hint="eastAsia" w:ascii="仿宋" w:hAnsi="仿宋" w:eastAsia="仿宋" w:cs="仿宋"/>
                <w:b/>
                <w:bCs/>
                <w:color w:val="000000"/>
                <w:szCs w:val="21"/>
              </w:rPr>
              <w:t>名称</w:t>
            </w:r>
          </w:p>
        </w:tc>
        <w:tc>
          <w:tcPr>
            <w:tcW w:w="1878" w:type="dxa"/>
            <w:vAlign w:val="center"/>
          </w:tcPr>
          <w:p>
            <w:pPr>
              <w:jc w:val="center"/>
              <w:rPr>
                <w:rFonts w:ascii="仿宋" w:hAnsi="仿宋" w:eastAsia="仿宋" w:cs="仿宋"/>
                <w:b/>
                <w:bCs/>
                <w:color w:val="000000"/>
                <w:szCs w:val="21"/>
              </w:rPr>
            </w:pPr>
            <w:r>
              <w:rPr>
                <w:rFonts w:hint="eastAsia" w:ascii="仿宋" w:hAnsi="仿宋" w:eastAsia="仿宋" w:cs="仿宋"/>
                <w:b/>
                <w:bCs/>
                <w:color w:val="000000"/>
                <w:szCs w:val="21"/>
              </w:rPr>
              <w:t>二类代码</w:t>
            </w:r>
          </w:p>
        </w:tc>
        <w:tc>
          <w:tcPr>
            <w:tcW w:w="3183" w:type="dxa"/>
            <w:vAlign w:val="center"/>
          </w:tcPr>
          <w:p>
            <w:pPr>
              <w:jc w:val="center"/>
              <w:rPr>
                <w:rFonts w:ascii="仿宋" w:hAnsi="仿宋" w:eastAsia="仿宋" w:cs="仿宋"/>
                <w:b/>
                <w:bCs/>
                <w:color w:val="000000"/>
                <w:szCs w:val="21"/>
              </w:rPr>
            </w:pPr>
            <w:r>
              <w:rPr>
                <w:rFonts w:hint="eastAsia" w:ascii="仿宋" w:hAnsi="仿宋" w:eastAsia="仿宋" w:cs="仿宋"/>
                <w:b/>
                <w:bCs/>
                <w:color w:val="000000"/>
                <w:szCs w:val="21"/>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4" w:hRule="atLeast"/>
          <w:jc w:val="center"/>
        </w:trPr>
        <w:tc>
          <w:tcPr>
            <w:tcW w:w="1877" w:type="dxa"/>
            <w:vMerge w:val="restart"/>
            <w:vAlign w:val="center"/>
          </w:tcPr>
          <w:p>
            <w:pPr>
              <w:jc w:val="center"/>
              <w:rPr>
                <w:rFonts w:ascii="仿宋" w:hAnsi="仿宋" w:eastAsia="仿宋" w:cs="仿宋"/>
                <w:color w:val="000000"/>
                <w:szCs w:val="21"/>
              </w:rPr>
            </w:pPr>
            <w:r>
              <w:rPr>
                <w:rFonts w:hint="eastAsia" w:ascii="仿宋" w:hAnsi="仿宋" w:eastAsia="仿宋" w:cs="仿宋"/>
                <w:color w:val="000000"/>
                <w:szCs w:val="21"/>
              </w:rPr>
              <w:t>A</w:t>
            </w:r>
          </w:p>
        </w:tc>
        <w:tc>
          <w:tcPr>
            <w:tcW w:w="1877" w:type="dxa"/>
            <w:vMerge w:val="restart"/>
            <w:vAlign w:val="center"/>
          </w:tcPr>
          <w:p>
            <w:pPr>
              <w:jc w:val="center"/>
              <w:rPr>
                <w:rFonts w:ascii="仿宋" w:hAnsi="仿宋" w:eastAsia="仿宋" w:cs="仿宋"/>
                <w:color w:val="000000"/>
                <w:szCs w:val="21"/>
              </w:rPr>
            </w:pPr>
            <w:r>
              <w:rPr>
                <w:rFonts w:hint="eastAsia" w:ascii="仿宋" w:hAnsi="仿宋" w:eastAsia="仿宋" w:cs="仿宋"/>
                <w:color w:val="000000"/>
                <w:szCs w:val="21"/>
              </w:rPr>
              <w:t>基础管理</w:t>
            </w:r>
          </w:p>
        </w:tc>
        <w:tc>
          <w:tcPr>
            <w:tcW w:w="1878"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01</w:t>
            </w:r>
          </w:p>
        </w:tc>
        <w:tc>
          <w:tcPr>
            <w:tcW w:w="3183"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资质证照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vAlign w:val="center"/>
          </w:tcPr>
          <w:p>
            <w:pPr>
              <w:jc w:val="center"/>
              <w:rPr>
                <w:rFonts w:ascii="仿宋" w:hAnsi="仿宋" w:eastAsia="仿宋" w:cs="仿宋"/>
                <w:color w:val="000000"/>
                <w:szCs w:val="21"/>
              </w:rPr>
            </w:pPr>
          </w:p>
        </w:tc>
        <w:tc>
          <w:tcPr>
            <w:tcW w:w="1877" w:type="dxa"/>
            <w:vMerge w:val="continue"/>
            <w:vAlign w:val="center"/>
          </w:tcPr>
          <w:p>
            <w:pPr>
              <w:jc w:val="center"/>
              <w:rPr>
                <w:rFonts w:ascii="仿宋" w:hAnsi="仿宋" w:eastAsia="仿宋" w:cs="仿宋"/>
                <w:color w:val="000000"/>
                <w:szCs w:val="21"/>
              </w:rPr>
            </w:pPr>
          </w:p>
        </w:tc>
        <w:tc>
          <w:tcPr>
            <w:tcW w:w="1878"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02</w:t>
            </w:r>
          </w:p>
        </w:tc>
        <w:tc>
          <w:tcPr>
            <w:tcW w:w="3183"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安全生产管理机构及人员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vAlign w:val="center"/>
          </w:tcPr>
          <w:p>
            <w:pPr>
              <w:jc w:val="center"/>
              <w:rPr>
                <w:rFonts w:ascii="仿宋" w:hAnsi="仿宋" w:eastAsia="仿宋" w:cs="仿宋"/>
                <w:color w:val="000000"/>
                <w:szCs w:val="21"/>
              </w:rPr>
            </w:pPr>
          </w:p>
        </w:tc>
        <w:tc>
          <w:tcPr>
            <w:tcW w:w="1877" w:type="dxa"/>
            <w:vMerge w:val="continue"/>
            <w:vAlign w:val="center"/>
          </w:tcPr>
          <w:p>
            <w:pPr>
              <w:jc w:val="center"/>
              <w:rPr>
                <w:rFonts w:ascii="仿宋" w:hAnsi="仿宋" w:eastAsia="仿宋" w:cs="仿宋"/>
                <w:color w:val="000000"/>
                <w:szCs w:val="21"/>
              </w:rPr>
            </w:pPr>
          </w:p>
        </w:tc>
        <w:tc>
          <w:tcPr>
            <w:tcW w:w="1878"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03</w:t>
            </w:r>
          </w:p>
        </w:tc>
        <w:tc>
          <w:tcPr>
            <w:tcW w:w="3183"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安全规章制度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vAlign w:val="center"/>
          </w:tcPr>
          <w:p>
            <w:pPr>
              <w:jc w:val="center"/>
              <w:rPr>
                <w:rFonts w:ascii="仿宋" w:hAnsi="仿宋" w:eastAsia="仿宋" w:cs="仿宋"/>
                <w:color w:val="000000"/>
                <w:szCs w:val="21"/>
              </w:rPr>
            </w:pPr>
          </w:p>
        </w:tc>
        <w:tc>
          <w:tcPr>
            <w:tcW w:w="1877" w:type="dxa"/>
            <w:vMerge w:val="continue"/>
            <w:vAlign w:val="center"/>
          </w:tcPr>
          <w:p>
            <w:pPr>
              <w:jc w:val="center"/>
              <w:rPr>
                <w:rFonts w:ascii="仿宋" w:hAnsi="仿宋" w:eastAsia="仿宋" w:cs="仿宋"/>
                <w:color w:val="000000"/>
                <w:szCs w:val="21"/>
              </w:rPr>
            </w:pPr>
          </w:p>
        </w:tc>
        <w:tc>
          <w:tcPr>
            <w:tcW w:w="1878"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04</w:t>
            </w:r>
          </w:p>
        </w:tc>
        <w:tc>
          <w:tcPr>
            <w:tcW w:w="3183"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安全培训教育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jc w:val="center"/>
        </w:trPr>
        <w:tc>
          <w:tcPr>
            <w:tcW w:w="1877" w:type="dxa"/>
            <w:vMerge w:val="continue"/>
            <w:vAlign w:val="center"/>
          </w:tcPr>
          <w:p>
            <w:pPr>
              <w:jc w:val="center"/>
              <w:rPr>
                <w:rFonts w:ascii="仿宋" w:hAnsi="仿宋" w:eastAsia="仿宋" w:cs="仿宋"/>
                <w:color w:val="000000"/>
                <w:szCs w:val="21"/>
              </w:rPr>
            </w:pPr>
          </w:p>
        </w:tc>
        <w:tc>
          <w:tcPr>
            <w:tcW w:w="1877" w:type="dxa"/>
            <w:vMerge w:val="continue"/>
            <w:vAlign w:val="center"/>
          </w:tcPr>
          <w:p>
            <w:pPr>
              <w:jc w:val="center"/>
              <w:rPr>
                <w:rFonts w:ascii="仿宋" w:hAnsi="仿宋" w:eastAsia="仿宋" w:cs="仿宋"/>
                <w:color w:val="000000"/>
                <w:szCs w:val="21"/>
              </w:rPr>
            </w:pPr>
          </w:p>
        </w:tc>
        <w:tc>
          <w:tcPr>
            <w:tcW w:w="1878"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05</w:t>
            </w:r>
          </w:p>
        </w:tc>
        <w:tc>
          <w:tcPr>
            <w:tcW w:w="3183"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安全投入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vAlign w:val="center"/>
          </w:tcPr>
          <w:p>
            <w:pPr>
              <w:jc w:val="center"/>
              <w:rPr>
                <w:rFonts w:ascii="仿宋" w:hAnsi="仿宋" w:eastAsia="仿宋" w:cs="仿宋"/>
                <w:color w:val="000000"/>
                <w:szCs w:val="21"/>
              </w:rPr>
            </w:pPr>
          </w:p>
        </w:tc>
        <w:tc>
          <w:tcPr>
            <w:tcW w:w="1877" w:type="dxa"/>
            <w:vMerge w:val="continue"/>
            <w:vAlign w:val="center"/>
          </w:tcPr>
          <w:p>
            <w:pPr>
              <w:jc w:val="center"/>
              <w:rPr>
                <w:rFonts w:ascii="仿宋" w:hAnsi="仿宋" w:eastAsia="仿宋" w:cs="仿宋"/>
                <w:color w:val="000000"/>
                <w:szCs w:val="21"/>
              </w:rPr>
            </w:pPr>
          </w:p>
        </w:tc>
        <w:tc>
          <w:tcPr>
            <w:tcW w:w="1878"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06</w:t>
            </w:r>
          </w:p>
        </w:tc>
        <w:tc>
          <w:tcPr>
            <w:tcW w:w="3183"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相关方面管理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vAlign w:val="center"/>
          </w:tcPr>
          <w:p>
            <w:pPr>
              <w:jc w:val="center"/>
              <w:rPr>
                <w:rFonts w:ascii="仿宋" w:hAnsi="仿宋" w:eastAsia="仿宋" w:cs="仿宋"/>
                <w:color w:val="000000"/>
                <w:szCs w:val="21"/>
              </w:rPr>
            </w:pPr>
          </w:p>
        </w:tc>
        <w:tc>
          <w:tcPr>
            <w:tcW w:w="1877" w:type="dxa"/>
            <w:vMerge w:val="continue"/>
            <w:vAlign w:val="center"/>
          </w:tcPr>
          <w:p>
            <w:pPr>
              <w:jc w:val="center"/>
              <w:rPr>
                <w:rFonts w:ascii="仿宋" w:hAnsi="仿宋" w:eastAsia="仿宋" w:cs="仿宋"/>
                <w:color w:val="000000"/>
                <w:szCs w:val="21"/>
              </w:rPr>
            </w:pPr>
          </w:p>
        </w:tc>
        <w:tc>
          <w:tcPr>
            <w:tcW w:w="1878"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07</w:t>
            </w:r>
          </w:p>
        </w:tc>
        <w:tc>
          <w:tcPr>
            <w:tcW w:w="3183"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重大危险源管理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vAlign w:val="center"/>
          </w:tcPr>
          <w:p>
            <w:pPr>
              <w:jc w:val="center"/>
              <w:rPr>
                <w:rFonts w:ascii="仿宋" w:hAnsi="仿宋" w:eastAsia="仿宋" w:cs="仿宋"/>
                <w:color w:val="000000"/>
                <w:szCs w:val="21"/>
              </w:rPr>
            </w:pPr>
          </w:p>
        </w:tc>
        <w:tc>
          <w:tcPr>
            <w:tcW w:w="1877" w:type="dxa"/>
            <w:vMerge w:val="continue"/>
            <w:vAlign w:val="center"/>
          </w:tcPr>
          <w:p>
            <w:pPr>
              <w:jc w:val="center"/>
              <w:rPr>
                <w:rFonts w:ascii="仿宋" w:hAnsi="仿宋" w:eastAsia="仿宋" w:cs="仿宋"/>
                <w:color w:val="000000"/>
                <w:szCs w:val="21"/>
              </w:rPr>
            </w:pPr>
          </w:p>
        </w:tc>
        <w:tc>
          <w:tcPr>
            <w:tcW w:w="1878"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08</w:t>
            </w:r>
          </w:p>
        </w:tc>
        <w:tc>
          <w:tcPr>
            <w:tcW w:w="3183"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个体防护装备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vAlign w:val="center"/>
          </w:tcPr>
          <w:p>
            <w:pPr>
              <w:jc w:val="center"/>
              <w:rPr>
                <w:rFonts w:ascii="仿宋" w:hAnsi="仿宋" w:eastAsia="仿宋" w:cs="仿宋"/>
                <w:color w:val="000000"/>
                <w:szCs w:val="21"/>
              </w:rPr>
            </w:pPr>
          </w:p>
        </w:tc>
        <w:tc>
          <w:tcPr>
            <w:tcW w:w="1877" w:type="dxa"/>
            <w:vMerge w:val="continue"/>
            <w:vAlign w:val="center"/>
          </w:tcPr>
          <w:p>
            <w:pPr>
              <w:jc w:val="center"/>
              <w:rPr>
                <w:rFonts w:ascii="仿宋" w:hAnsi="仿宋" w:eastAsia="仿宋" w:cs="仿宋"/>
                <w:color w:val="000000"/>
                <w:szCs w:val="21"/>
              </w:rPr>
            </w:pPr>
          </w:p>
        </w:tc>
        <w:tc>
          <w:tcPr>
            <w:tcW w:w="1878"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09</w:t>
            </w:r>
          </w:p>
        </w:tc>
        <w:tc>
          <w:tcPr>
            <w:tcW w:w="3183"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职业健康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jc w:val="center"/>
        </w:trPr>
        <w:tc>
          <w:tcPr>
            <w:tcW w:w="1877" w:type="dxa"/>
            <w:vMerge w:val="continue"/>
            <w:vAlign w:val="center"/>
          </w:tcPr>
          <w:p>
            <w:pPr>
              <w:jc w:val="center"/>
              <w:rPr>
                <w:rFonts w:ascii="仿宋" w:hAnsi="仿宋" w:eastAsia="仿宋" w:cs="仿宋"/>
                <w:color w:val="000000"/>
                <w:szCs w:val="21"/>
              </w:rPr>
            </w:pPr>
          </w:p>
        </w:tc>
        <w:tc>
          <w:tcPr>
            <w:tcW w:w="1877" w:type="dxa"/>
            <w:vMerge w:val="continue"/>
            <w:vAlign w:val="center"/>
          </w:tcPr>
          <w:p>
            <w:pPr>
              <w:jc w:val="center"/>
              <w:rPr>
                <w:rFonts w:ascii="仿宋" w:hAnsi="仿宋" w:eastAsia="仿宋" w:cs="仿宋"/>
                <w:color w:val="000000"/>
                <w:szCs w:val="21"/>
              </w:rPr>
            </w:pPr>
          </w:p>
        </w:tc>
        <w:tc>
          <w:tcPr>
            <w:tcW w:w="1878"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10</w:t>
            </w:r>
          </w:p>
        </w:tc>
        <w:tc>
          <w:tcPr>
            <w:tcW w:w="3183"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应急管理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vAlign w:val="center"/>
          </w:tcPr>
          <w:p>
            <w:pPr>
              <w:jc w:val="center"/>
              <w:rPr>
                <w:rFonts w:ascii="仿宋" w:hAnsi="仿宋" w:eastAsia="仿宋" w:cs="仿宋"/>
                <w:color w:val="000000"/>
                <w:szCs w:val="21"/>
              </w:rPr>
            </w:pPr>
          </w:p>
        </w:tc>
        <w:tc>
          <w:tcPr>
            <w:tcW w:w="1877" w:type="dxa"/>
            <w:vMerge w:val="continue"/>
            <w:vAlign w:val="center"/>
          </w:tcPr>
          <w:p>
            <w:pPr>
              <w:jc w:val="center"/>
              <w:rPr>
                <w:rFonts w:ascii="仿宋" w:hAnsi="仿宋" w:eastAsia="仿宋" w:cs="仿宋"/>
                <w:color w:val="000000"/>
                <w:szCs w:val="21"/>
              </w:rPr>
            </w:pPr>
          </w:p>
        </w:tc>
        <w:tc>
          <w:tcPr>
            <w:tcW w:w="1878"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11</w:t>
            </w:r>
          </w:p>
        </w:tc>
        <w:tc>
          <w:tcPr>
            <w:tcW w:w="3183"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隐患排查管理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vAlign w:val="center"/>
          </w:tcPr>
          <w:p>
            <w:pPr>
              <w:jc w:val="center"/>
              <w:rPr>
                <w:rFonts w:ascii="仿宋" w:hAnsi="仿宋" w:eastAsia="仿宋" w:cs="仿宋"/>
                <w:color w:val="000000"/>
                <w:szCs w:val="21"/>
              </w:rPr>
            </w:pPr>
          </w:p>
        </w:tc>
        <w:tc>
          <w:tcPr>
            <w:tcW w:w="1877" w:type="dxa"/>
            <w:vMerge w:val="continue"/>
            <w:vAlign w:val="center"/>
          </w:tcPr>
          <w:p>
            <w:pPr>
              <w:jc w:val="center"/>
              <w:rPr>
                <w:rFonts w:ascii="仿宋" w:hAnsi="仿宋" w:eastAsia="仿宋" w:cs="仿宋"/>
                <w:color w:val="000000"/>
                <w:szCs w:val="21"/>
              </w:rPr>
            </w:pPr>
          </w:p>
        </w:tc>
        <w:tc>
          <w:tcPr>
            <w:tcW w:w="1878"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12</w:t>
            </w:r>
          </w:p>
        </w:tc>
        <w:tc>
          <w:tcPr>
            <w:tcW w:w="3183"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事故报告、调查和处理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vAlign w:val="center"/>
          </w:tcPr>
          <w:p>
            <w:pPr>
              <w:jc w:val="center"/>
              <w:rPr>
                <w:rFonts w:ascii="仿宋" w:hAnsi="仿宋" w:eastAsia="仿宋" w:cs="仿宋"/>
                <w:color w:val="000000"/>
                <w:szCs w:val="21"/>
              </w:rPr>
            </w:pPr>
          </w:p>
        </w:tc>
        <w:tc>
          <w:tcPr>
            <w:tcW w:w="1877" w:type="dxa"/>
            <w:vMerge w:val="continue"/>
            <w:vAlign w:val="center"/>
          </w:tcPr>
          <w:p>
            <w:pPr>
              <w:jc w:val="center"/>
              <w:rPr>
                <w:rFonts w:ascii="仿宋" w:hAnsi="仿宋" w:eastAsia="仿宋" w:cs="仿宋"/>
                <w:color w:val="000000"/>
                <w:szCs w:val="21"/>
              </w:rPr>
            </w:pPr>
          </w:p>
        </w:tc>
        <w:tc>
          <w:tcPr>
            <w:tcW w:w="1878"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13</w:t>
            </w:r>
          </w:p>
        </w:tc>
        <w:tc>
          <w:tcPr>
            <w:tcW w:w="3183"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废弃管线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vAlign w:val="center"/>
          </w:tcPr>
          <w:p>
            <w:pPr>
              <w:jc w:val="center"/>
              <w:rPr>
                <w:rFonts w:ascii="仿宋" w:hAnsi="仿宋" w:eastAsia="仿宋" w:cs="仿宋"/>
                <w:color w:val="000000"/>
                <w:szCs w:val="21"/>
              </w:rPr>
            </w:pPr>
          </w:p>
        </w:tc>
        <w:tc>
          <w:tcPr>
            <w:tcW w:w="1877" w:type="dxa"/>
            <w:vMerge w:val="continue"/>
            <w:vAlign w:val="center"/>
          </w:tcPr>
          <w:p>
            <w:pPr>
              <w:jc w:val="center"/>
              <w:rPr>
                <w:rFonts w:ascii="仿宋" w:hAnsi="仿宋" w:eastAsia="仿宋" w:cs="仿宋"/>
                <w:color w:val="000000"/>
                <w:szCs w:val="21"/>
              </w:rPr>
            </w:pPr>
          </w:p>
        </w:tc>
        <w:tc>
          <w:tcPr>
            <w:tcW w:w="1878"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99</w:t>
            </w:r>
          </w:p>
        </w:tc>
        <w:tc>
          <w:tcPr>
            <w:tcW w:w="3183"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其他基础管理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restart"/>
            <w:vAlign w:val="center"/>
          </w:tcPr>
          <w:p>
            <w:pPr>
              <w:jc w:val="center"/>
              <w:rPr>
                <w:rFonts w:ascii="仿宋" w:hAnsi="仿宋" w:eastAsia="仿宋" w:cs="仿宋"/>
                <w:color w:val="000000"/>
                <w:szCs w:val="21"/>
              </w:rPr>
            </w:pPr>
            <w:r>
              <w:rPr>
                <w:rFonts w:hint="eastAsia" w:ascii="仿宋" w:hAnsi="仿宋" w:eastAsia="仿宋" w:cs="仿宋"/>
                <w:color w:val="000000"/>
                <w:szCs w:val="21"/>
              </w:rPr>
              <w:t>B</w:t>
            </w:r>
          </w:p>
        </w:tc>
        <w:tc>
          <w:tcPr>
            <w:tcW w:w="1877" w:type="dxa"/>
            <w:vMerge w:val="restart"/>
            <w:vAlign w:val="center"/>
          </w:tcPr>
          <w:p>
            <w:pPr>
              <w:jc w:val="center"/>
              <w:rPr>
                <w:rFonts w:ascii="仿宋" w:hAnsi="仿宋" w:eastAsia="仿宋" w:cs="仿宋"/>
                <w:color w:val="000000"/>
                <w:szCs w:val="21"/>
              </w:rPr>
            </w:pPr>
            <w:r>
              <w:rPr>
                <w:rFonts w:hint="eastAsia" w:ascii="仿宋" w:hAnsi="仿宋" w:eastAsia="仿宋" w:cs="仿宋"/>
                <w:color w:val="000000"/>
                <w:szCs w:val="21"/>
              </w:rPr>
              <w:t>现场管理</w:t>
            </w:r>
          </w:p>
        </w:tc>
        <w:tc>
          <w:tcPr>
            <w:tcW w:w="1878"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01</w:t>
            </w:r>
          </w:p>
        </w:tc>
        <w:tc>
          <w:tcPr>
            <w:tcW w:w="3183"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作业场所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jc w:val="center"/>
        </w:trPr>
        <w:tc>
          <w:tcPr>
            <w:tcW w:w="1877" w:type="dxa"/>
            <w:vMerge w:val="continue"/>
            <w:vAlign w:val="center"/>
          </w:tcPr>
          <w:p>
            <w:pPr>
              <w:jc w:val="center"/>
              <w:rPr>
                <w:rFonts w:ascii="仿宋" w:hAnsi="仿宋" w:eastAsia="仿宋" w:cs="仿宋"/>
                <w:color w:val="000000"/>
                <w:szCs w:val="21"/>
              </w:rPr>
            </w:pPr>
          </w:p>
        </w:tc>
        <w:tc>
          <w:tcPr>
            <w:tcW w:w="1877" w:type="dxa"/>
            <w:vMerge w:val="continue"/>
            <w:vAlign w:val="center"/>
          </w:tcPr>
          <w:p>
            <w:pPr>
              <w:jc w:val="center"/>
              <w:rPr>
                <w:rFonts w:ascii="仿宋" w:hAnsi="仿宋" w:eastAsia="仿宋" w:cs="仿宋"/>
                <w:color w:val="000000"/>
                <w:szCs w:val="21"/>
              </w:rPr>
            </w:pPr>
          </w:p>
        </w:tc>
        <w:tc>
          <w:tcPr>
            <w:tcW w:w="1878"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02</w:t>
            </w:r>
          </w:p>
        </w:tc>
        <w:tc>
          <w:tcPr>
            <w:tcW w:w="3183"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设备设施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vAlign w:val="center"/>
          </w:tcPr>
          <w:p>
            <w:pPr>
              <w:jc w:val="center"/>
              <w:rPr>
                <w:rFonts w:ascii="仿宋" w:hAnsi="仿宋" w:eastAsia="仿宋" w:cs="仿宋"/>
                <w:color w:val="000000"/>
                <w:szCs w:val="21"/>
              </w:rPr>
            </w:pPr>
          </w:p>
        </w:tc>
        <w:tc>
          <w:tcPr>
            <w:tcW w:w="1877" w:type="dxa"/>
            <w:vMerge w:val="continue"/>
            <w:vAlign w:val="center"/>
          </w:tcPr>
          <w:p>
            <w:pPr>
              <w:jc w:val="center"/>
              <w:rPr>
                <w:rFonts w:ascii="仿宋" w:hAnsi="仿宋" w:eastAsia="仿宋" w:cs="仿宋"/>
                <w:color w:val="000000"/>
                <w:szCs w:val="21"/>
              </w:rPr>
            </w:pPr>
          </w:p>
        </w:tc>
        <w:tc>
          <w:tcPr>
            <w:tcW w:w="1878"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03</w:t>
            </w:r>
          </w:p>
        </w:tc>
        <w:tc>
          <w:tcPr>
            <w:tcW w:w="3183"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防护、保险、信号等装置装备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vAlign w:val="center"/>
          </w:tcPr>
          <w:p>
            <w:pPr>
              <w:jc w:val="center"/>
              <w:rPr>
                <w:rFonts w:ascii="仿宋" w:hAnsi="仿宋" w:eastAsia="仿宋" w:cs="仿宋"/>
                <w:color w:val="000000"/>
                <w:szCs w:val="21"/>
              </w:rPr>
            </w:pPr>
          </w:p>
        </w:tc>
        <w:tc>
          <w:tcPr>
            <w:tcW w:w="1877" w:type="dxa"/>
            <w:vMerge w:val="continue"/>
            <w:vAlign w:val="center"/>
          </w:tcPr>
          <w:p>
            <w:pPr>
              <w:jc w:val="center"/>
              <w:rPr>
                <w:rFonts w:ascii="仿宋" w:hAnsi="仿宋" w:eastAsia="仿宋" w:cs="仿宋"/>
                <w:color w:val="000000"/>
                <w:szCs w:val="21"/>
              </w:rPr>
            </w:pPr>
          </w:p>
        </w:tc>
        <w:tc>
          <w:tcPr>
            <w:tcW w:w="1878"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04</w:t>
            </w:r>
          </w:p>
        </w:tc>
        <w:tc>
          <w:tcPr>
            <w:tcW w:w="3183"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原辅物料、产品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vAlign w:val="center"/>
          </w:tcPr>
          <w:p>
            <w:pPr>
              <w:jc w:val="center"/>
              <w:rPr>
                <w:rFonts w:ascii="仿宋" w:hAnsi="仿宋" w:eastAsia="仿宋" w:cs="仿宋"/>
                <w:color w:val="000000"/>
                <w:szCs w:val="21"/>
              </w:rPr>
            </w:pPr>
          </w:p>
        </w:tc>
        <w:tc>
          <w:tcPr>
            <w:tcW w:w="1877" w:type="dxa"/>
            <w:vMerge w:val="continue"/>
            <w:vAlign w:val="center"/>
          </w:tcPr>
          <w:p>
            <w:pPr>
              <w:jc w:val="center"/>
              <w:rPr>
                <w:rFonts w:ascii="仿宋" w:hAnsi="仿宋" w:eastAsia="仿宋" w:cs="仿宋"/>
                <w:color w:val="000000"/>
                <w:szCs w:val="21"/>
              </w:rPr>
            </w:pPr>
          </w:p>
        </w:tc>
        <w:tc>
          <w:tcPr>
            <w:tcW w:w="1878"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05</w:t>
            </w:r>
          </w:p>
        </w:tc>
        <w:tc>
          <w:tcPr>
            <w:tcW w:w="3183"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职业病危害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vAlign w:val="center"/>
          </w:tcPr>
          <w:p>
            <w:pPr>
              <w:jc w:val="center"/>
              <w:rPr>
                <w:rFonts w:ascii="仿宋" w:hAnsi="仿宋" w:eastAsia="仿宋" w:cs="仿宋"/>
                <w:color w:val="000000"/>
                <w:szCs w:val="21"/>
              </w:rPr>
            </w:pPr>
          </w:p>
        </w:tc>
        <w:tc>
          <w:tcPr>
            <w:tcW w:w="1877" w:type="dxa"/>
            <w:vMerge w:val="continue"/>
            <w:vAlign w:val="center"/>
          </w:tcPr>
          <w:p>
            <w:pPr>
              <w:jc w:val="center"/>
              <w:rPr>
                <w:rFonts w:ascii="仿宋" w:hAnsi="仿宋" w:eastAsia="仿宋" w:cs="仿宋"/>
                <w:color w:val="000000"/>
                <w:szCs w:val="21"/>
              </w:rPr>
            </w:pPr>
          </w:p>
        </w:tc>
        <w:tc>
          <w:tcPr>
            <w:tcW w:w="1878"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06</w:t>
            </w:r>
          </w:p>
        </w:tc>
        <w:tc>
          <w:tcPr>
            <w:tcW w:w="3183"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相关方作业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vAlign w:val="center"/>
          </w:tcPr>
          <w:p>
            <w:pPr>
              <w:jc w:val="center"/>
              <w:rPr>
                <w:rFonts w:ascii="仿宋" w:hAnsi="仿宋" w:eastAsia="仿宋" w:cs="仿宋"/>
                <w:color w:val="000000"/>
                <w:szCs w:val="21"/>
              </w:rPr>
            </w:pPr>
          </w:p>
        </w:tc>
        <w:tc>
          <w:tcPr>
            <w:tcW w:w="1877" w:type="dxa"/>
            <w:vMerge w:val="continue"/>
            <w:vAlign w:val="center"/>
          </w:tcPr>
          <w:p>
            <w:pPr>
              <w:jc w:val="center"/>
              <w:rPr>
                <w:rFonts w:ascii="仿宋" w:hAnsi="仿宋" w:eastAsia="仿宋" w:cs="仿宋"/>
                <w:color w:val="000000"/>
                <w:szCs w:val="21"/>
              </w:rPr>
            </w:pPr>
          </w:p>
        </w:tc>
        <w:tc>
          <w:tcPr>
            <w:tcW w:w="1878"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07</w:t>
            </w:r>
          </w:p>
        </w:tc>
        <w:tc>
          <w:tcPr>
            <w:tcW w:w="3183"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安全技能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vAlign w:val="center"/>
          </w:tcPr>
          <w:p>
            <w:pPr>
              <w:jc w:val="center"/>
              <w:rPr>
                <w:rFonts w:ascii="仿宋" w:hAnsi="仿宋" w:eastAsia="仿宋" w:cs="仿宋"/>
                <w:color w:val="000000"/>
                <w:szCs w:val="21"/>
              </w:rPr>
            </w:pPr>
          </w:p>
        </w:tc>
        <w:tc>
          <w:tcPr>
            <w:tcW w:w="1877" w:type="dxa"/>
            <w:vMerge w:val="continue"/>
            <w:vAlign w:val="center"/>
          </w:tcPr>
          <w:p>
            <w:pPr>
              <w:jc w:val="center"/>
              <w:rPr>
                <w:rFonts w:ascii="仿宋" w:hAnsi="仿宋" w:eastAsia="仿宋" w:cs="仿宋"/>
                <w:color w:val="000000"/>
                <w:szCs w:val="21"/>
              </w:rPr>
            </w:pPr>
          </w:p>
        </w:tc>
        <w:tc>
          <w:tcPr>
            <w:tcW w:w="1878"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08</w:t>
            </w:r>
          </w:p>
        </w:tc>
        <w:tc>
          <w:tcPr>
            <w:tcW w:w="3183"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个体防护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vAlign w:val="center"/>
          </w:tcPr>
          <w:p>
            <w:pPr>
              <w:jc w:val="center"/>
              <w:rPr>
                <w:rFonts w:ascii="仿宋" w:hAnsi="仿宋" w:eastAsia="仿宋" w:cs="仿宋"/>
                <w:color w:val="000000"/>
                <w:szCs w:val="21"/>
              </w:rPr>
            </w:pPr>
          </w:p>
        </w:tc>
        <w:tc>
          <w:tcPr>
            <w:tcW w:w="1877" w:type="dxa"/>
            <w:vMerge w:val="continue"/>
            <w:vAlign w:val="center"/>
          </w:tcPr>
          <w:p>
            <w:pPr>
              <w:jc w:val="center"/>
              <w:rPr>
                <w:rFonts w:ascii="仿宋" w:hAnsi="仿宋" w:eastAsia="仿宋" w:cs="仿宋"/>
                <w:color w:val="000000"/>
                <w:szCs w:val="21"/>
              </w:rPr>
            </w:pPr>
          </w:p>
        </w:tc>
        <w:tc>
          <w:tcPr>
            <w:tcW w:w="1878"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09</w:t>
            </w:r>
          </w:p>
        </w:tc>
        <w:tc>
          <w:tcPr>
            <w:tcW w:w="3183"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作业许可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vAlign w:val="center"/>
          </w:tcPr>
          <w:p>
            <w:pPr>
              <w:jc w:val="center"/>
              <w:rPr>
                <w:rFonts w:ascii="仿宋" w:hAnsi="仿宋" w:eastAsia="仿宋" w:cs="仿宋"/>
                <w:color w:val="000000"/>
                <w:szCs w:val="21"/>
              </w:rPr>
            </w:pPr>
          </w:p>
        </w:tc>
        <w:tc>
          <w:tcPr>
            <w:tcW w:w="1877" w:type="dxa"/>
            <w:vMerge w:val="continue"/>
            <w:vAlign w:val="center"/>
          </w:tcPr>
          <w:p>
            <w:pPr>
              <w:jc w:val="center"/>
              <w:rPr>
                <w:rFonts w:ascii="仿宋" w:hAnsi="仿宋" w:eastAsia="仿宋" w:cs="仿宋"/>
                <w:color w:val="000000"/>
                <w:szCs w:val="21"/>
              </w:rPr>
            </w:pPr>
          </w:p>
        </w:tc>
        <w:tc>
          <w:tcPr>
            <w:tcW w:w="1878"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99</w:t>
            </w:r>
          </w:p>
        </w:tc>
        <w:tc>
          <w:tcPr>
            <w:tcW w:w="3183"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其他现场管理</w:t>
            </w:r>
          </w:p>
        </w:tc>
      </w:tr>
    </w:tbl>
    <w:p>
      <w:pPr>
        <w:jc w:val="left"/>
        <w:rPr>
          <w:rFonts w:eastAsia="仿宋"/>
          <w:b/>
          <w:bCs/>
          <w:sz w:val="28"/>
          <w:szCs w:val="28"/>
        </w:rPr>
      </w:pPr>
      <w:r>
        <w:rPr>
          <w:rFonts w:hint="eastAsia" w:eastAsia="仿宋"/>
          <w:b/>
          <w:bCs/>
          <w:sz w:val="28"/>
          <w:szCs w:val="28"/>
        </w:rPr>
        <w:br w:type="page"/>
      </w:r>
    </w:p>
    <w:p>
      <w:pPr>
        <w:jc w:val="center"/>
        <w:outlineLvl w:val="1"/>
        <w:rPr>
          <w:rFonts w:eastAsia="仿宋"/>
          <w:b/>
          <w:bCs/>
          <w:sz w:val="28"/>
          <w:szCs w:val="28"/>
        </w:rPr>
      </w:pPr>
      <w:bookmarkStart w:id="1852" w:name="_Toc20370"/>
      <w:bookmarkStart w:id="1853" w:name="_Toc20272"/>
      <w:bookmarkStart w:id="1854" w:name="_Toc23799"/>
      <w:bookmarkStart w:id="1855" w:name="_Toc1079"/>
      <w:bookmarkStart w:id="1856" w:name="_Toc14053"/>
      <w:bookmarkStart w:id="1857" w:name="_Toc1242"/>
      <w:r>
        <w:rPr>
          <w:rFonts w:hint="eastAsia" w:eastAsia="仿宋"/>
          <w:b/>
          <w:bCs/>
          <w:sz w:val="28"/>
          <w:szCs w:val="28"/>
        </w:rPr>
        <w:t>附录N地下管线普查成果更新档案内容清单</w:t>
      </w:r>
      <w:bookmarkEnd w:id="1852"/>
      <w:bookmarkEnd w:id="1853"/>
      <w:bookmarkEnd w:id="1854"/>
      <w:bookmarkEnd w:id="1855"/>
      <w:bookmarkEnd w:id="1856"/>
      <w:bookmarkEnd w:id="1857"/>
    </w:p>
    <w:tbl>
      <w:tblPr>
        <w:tblStyle w:val="26"/>
        <w:tblW w:w="9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672"/>
        <w:gridCol w:w="863"/>
        <w:gridCol w:w="900"/>
        <w:gridCol w:w="975"/>
        <w:gridCol w:w="1181"/>
        <w:gridCol w:w="881"/>
        <w:gridCol w:w="1200"/>
        <w:gridCol w:w="1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gridSpan w:val="2"/>
            <w:vAlign w:val="center"/>
          </w:tcPr>
          <w:p>
            <w:pPr>
              <w:jc w:val="center"/>
              <w:rPr>
                <w:rFonts w:ascii="仿宋" w:hAnsi="仿宋" w:eastAsia="仿宋"/>
                <w:sz w:val="32"/>
                <w:szCs w:val="32"/>
              </w:rPr>
            </w:pPr>
            <w:r>
              <w:rPr>
                <w:rFonts w:hint="eastAsia" w:ascii="仿宋" w:hAnsi="仿宋" w:eastAsia="仿宋"/>
                <w:sz w:val="24"/>
              </w:rPr>
              <w:t>项目名称</w:t>
            </w:r>
          </w:p>
        </w:tc>
        <w:tc>
          <w:tcPr>
            <w:tcW w:w="7253" w:type="dxa"/>
            <w:gridSpan w:val="7"/>
            <w:vAlign w:val="center"/>
          </w:tcPr>
          <w:p>
            <w:pPr>
              <w:jc w:val="center"/>
              <w:rPr>
                <w:rFonts w:ascii="仿宋" w:hAnsi="仿宋" w:eastAsia="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gridSpan w:val="2"/>
            <w:vAlign w:val="center"/>
          </w:tcPr>
          <w:p>
            <w:pPr>
              <w:jc w:val="center"/>
              <w:rPr>
                <w:rFonts w:ascii="仿宋" w:hAnsi="仿宋" w:eastAsia="仿宋"/>
                <w:sz w:val="24"/>
              </w:rPr>
            </w:pPr>
            <w:r>
              <w:rPr>
                <w:rFonts w:hint="eastAsia" w:ascii="仿宋" w:hAnsi="仿宋" w:eastAsia="仿宋"/>
                <w:sz w:val="24"/>
              </w:rPr>
              <w:t>区（市）县牵头部门</w:t>
            </w:r>
          </w:p>
        </w:tc>
        <w:tc>
          <w:tcPr>
            <w:tcW w:w="7253" w:type="dxa"/>
            <w:gridSpan w:val="7"/>
            <w:vAlign w:val="center"/>
          </w:tcPr>
          <w:p>
            <w:pPr>
              <w:jc w:val="center"/>
              <w:rPr>
                <w:rFonts w:ascii="仿宋" w:hAnsi="仿宋" w:eastAsia="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gridSpan w:val="2"/>
            <w:vAlign w:val="center"/>
          </w:tcPr>
          <w:p>
            <w:pPr>
              <w:jc w:val="center"/>
              <w:rPr>
                <w:rFonts w:ascii="仿宋" w:hAnsi="仿宋" w:eastAsia="仿宋"/>
                <w:sz w:val="32"/>
                <w:szCs w:val="32"/>
              </w:rPr>
            </w:pPr>
            <w:r>
              <w:rPr>
                <w:rFonts w:hint="eastAsia" w:ascii="仿宋" w:hAnsi="仿宋" w:eastAsia="仿宋"/>
                <w:sz w:val="24"/>
              </w:rPr>
              <w:t>普查作业单位</w:t>
            </w:r>
          </w:p>
        </w:tc>
        <w:tc>
          <w:tcPr>
            <w:tcW w:w="1763" w:type="dxa"/>
            <w:gridSpan w:val="2"/>
            <w:vAlign w:val="center"/>
          </w:tcPr>
          <w:p>
            <w:pPr>
              <w:jc w:val="center"/>
              <w:rPr>
                <w:rFonts w:ascii="仿宋" w:hAnsi="仿宋" w:eastAsia="仿宋"/>
                <w:sz w:val="32"/>
                <w:szCs w:val="32"/>
              </w:rPr>
            </w:pPr>
          </w:p>
        </w:tc>
        <w:tc>
          <w:tcPr>
            <w:tcW w:w="2156" w:type="dxa"/>
            <w:gridSpan w:val="2"/>
            <w:vAlign w:val="center"/>
          </w:tcPr>
          <w:p>
            <w:pPr>
              <w:jc w:val="center"/>
              <w:rPr>
                <w:rFonts w:ascii="仿宋" w:hAnsi="仿宋" w:eastAsia="仿宋"/>
                <w:sz w:val="32"/>
                <w:szCs w:val="32"/>
              </w:rPr>
            </w:pPr>
            <w:r>
              <w:rPr>
                <w:rFonts w:hint="eastAsia" w:ascii="仿宋" w:hAnsi="仿宋" w:eastAsia="仿宋"/>
                <w:sz w:val="24"/>
              </w:rPr>
              <w:t>普查工作量</w:t>
            </w:r>
          </w:p>
        </w:tc>
        <w:tc>
          <w:tcPr>
            <w:tcW w:w="3334" w:type="dxa"/>
            <w:gridSpan w:val="3"/>
            <w:vAlign w:val="center"/>
          </w:tcPr>
          <w:p>
            <w:pPr>
              <w:jc w:val="center"/>
              <w:rPr>
                <w:rFonts w:ascii="仿宋" w:hAnsi="仿宋" w:eastAsia="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vAlign w:val="center"/>
          </w:tcPr>
          <w:p>
            <w:pPr>
              <w:jc w:val="center"/>
              <w:rPr>
                <w:rFonts w:ascii="仿宋" w:hAnsi="仿宋" w:eastAsia="仿宋"/>
                <w:sz w:val="32"/>
                <w:szCs w:val="32"/>
              </w:rPr>
            </w:pPr>
            <w:r>
              <w:rPr>
                <w:rFonts w:hint="eastAsia" w:ascii="仿宋" w:hAnsi="仿宋" w:eastAsia="仿宋"/>
                <w:sz w:val="24"/>
              </w:rPr>
              <w:t>序号</w:t>
            </w:r>
          </w:p>
        </w:tc>
        <w:tc>
          <w:tcPr>
            <w:tcW w:w="2535" w:type="dxa"/>
            <w:gridSpan w:val="2"/>
            <w:vAlign w:val="center"/>
          </w:tcPr>
          <w:p>
            <w:pPr>
              <w:jc w:val="center"/>
              <w:rPr>
                <w:rFonts w:ascii="仿宋" w:hAnsi="仿宋" w:eastAsia="仿宋"/>
                <w:sz w:val="32"/>
                <w:szCs w:val="32"/>
              </w:rPr>
            </w:pPr>
            <w:r>
              <w:rPr>
                <w:rFonts w:hint="eastAsia" w:ascii="仿宋" w:hAnsi="仿宋" w:eastAsia="仿宋"/>
                <w:sz w:val="24"/>
              </w:rPr>
              <w:t>资料名称</w:t>
            </w:r>
          </w:p>
        </w:tc>
        <w:tc>
          <w:tcPr>
            <w:tcW w:w="900" w:type="dxa"/>
            <w:vAlign w:val="center"/>
          </w:tcPr>
          <w:p>
            <w:pPr>
              <w:jc w:val="center"/>
              <w:rPr>
                <w:rFonts w:ascii="仿宋" w:hAnsi="仿宋" w:eastAsia="仿宋"/>
                <w:sz w:val="32"/>
                <w:szCs w:val="32"/>
              </w:rPr>
            </w:pPr>
            <w:r>
              <w:rPr>
                <w:rFonts w:hint="eastAsia" w:ascii="仿宋" w:hAnsi="仿宋" w:eastAsia="仿宋"/>
                <w:sz w:val="24"/>
              </w:rPr>
              <w:t>页数</w:t>
            </w:r>
          </w:p>
        </w:tc>
        <w:tc>
          <w:tcPr>
            <w:tcW w:w="975" w:type="dxa"/>
            <w:vAlign w:val="center"/>
          </w:tcPr>
          <w:p>
            <w:pPr>
              <w:jc w:val="center"/>
              <w:rPr>
                <w:rFonts w:ascii="仿宋" w:hAnsi="仿宋" w:eastAsia="仿宋"/>
                <w:sz w:val="32"/>
                <w:szCs w:val="32"/>
              </w:rPr>
            </w:pPr>
            <w:r>
              <w:rPr>
                <w:rFonts w:hint="eastAsia" w:ascii="仿宋" w:hAnsi="仿宋" w:eastAsia="仿宋"/>
                <w:sz w:val="24"/>
              </w:rPr>
              <w:t>份数</w:t>
            </w:r>
          </w:p>
        </w:tc>
        <w:tc>
          <w:tcPr>
            <w:tcW w:w="1181" w:type="dxa"/>
            <w:vAlign w:val="center"/>
          </w:tcPr>
          <w:p>
            <w:pPr>
              <w:jc w:val="center"/>
              <w:rPr>
                <w:rFonts w:ascii="仿宋" w:hAnsi="仿宋" w:eastAsia="仿宋"/>
                <w:sz w:val="32"/>
                <w:szCs w:val="32"/>
              </w:rPr>
            </w:pPr>
            <w:r>
              <w:rPr>
                <w:rFonts w:hint="eastAsia" w:ascii="仿宋" w:hAnsi="仿宋" w:eastAsia="仿宋"/>
                <w:sz w:val="24"/>
              </w:rPr>
              <w:t>资料介质</w:t>
            </w:r>
          </w:p>
        </w:tc>
        <w:tc>
          <w:tcPr>
            <w:tcW w:w="881" w:type="dxa"/>
            <w:vAlign w:val="center"/>
          </w:tcPr>
          <w:p>
            <w:pPr>
              <w:jc w:val="center"/>
              <w:rPr>
                <w:rFonts w:ascii="仿宋" w:hAnsi="仿宋" w:eastAsia="仿宋"/>
                <w:sz w:val="24"/>
              </w:rPr>
            </w:pPr>
            <w:r>
              <w:rPr>
                <w:rFonts w:hint="eastAsia" w:ascii="仿宋" w:hAnsi="仿宋" w:eastAsia="仿宋"/>
                <w:sz w:val="24"/>
              </w:rPr>
              <w:t>密级</w:t>
            </w:r>
          </w:p>
        </w:tc>
        <w:tc>
          <w:tcPr>
            <w:tcW w:w="1200" w:type="dxa"/>
            <w:vAlign w:val="center"/>
          </w:tcPr>
          <w:p>
            <w:pPr>
              <w:jc w:val="center"/>
              <w:rPr>
                <w:rFonts w:ascii="仿宋" w:hAnsi="仿宋" w:eastAsia="仿宋"/>
                <w:sz w:val="24"/>
              </w:rPr>
            </w:pPr>
            <w:r>
              <w:rPr>
                <w:rFonts w:hint="eastAsia" w:ascii="仿宋" w:hAnsi="仿宋" w:eastAsia="仿宋"/>
                <w:sz w:val="24"/>
              </w:rPr>
              <w:t>保密期限</w:t>
            </w:r>
          </w:p>
        </w:tc>
        <w:tc>
          <w:tcPr>
            <w:tcW w:w="1253" w:type="dxa"/>
            <w:vAlign w:val="center"/>
          </w:tcPr>
          <w:p>
            <w:pPr>
              <w:jc w:val="center"/>
              <w:rPr>
                <w:rFonts w:ascii="仿宋" w:hAnsi="仿宋" w:eastAsia="仿宋"/>
                <w:sz w:val="24"/>
              </w:rPr>
            </w:pPr>
            <w:r>
              <w:rPr>
                <w:rFonts w:hint="eastAsia" w:ascii="仿宋" w:hAnsi="仿宋" w:eastAsia="仿宋"/>
                <w:sz w:val="24"/>
              </w:rPr>
              <w:t>知悉范围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jc w:val="center"/>
              <w:rPr>
                <w:rFonts w:ascii="仿宋" w:hAnsi="仿宋" w:eastAsia="仿宋"/>
                <w:sz w:val="24"/>
              </w:rPr>
            </w:pPr>
            <w:r>
              <w:rPr>
                <w:rFonts w:hint="eastAsia" w:ascii="仿宋" w:hAnsi="仿宋" w:eastAsia="仿宋"/>
                <w:sz w:val="24"/>
              </w:rPr>
              <w:t>1</w:t>
            </w:r>
          </w:p>
        </w:tc>
        <w:tc>
          <w:tcPr>
            <w:tcW w:w="2535" w:type="dxa"/>
            <w:gridSpan w:val="2"/>
            <w:vAlign w:val="center"/>
          </w:tcPr>
          <w:p>
            <w:pPr>
              <w:jc w:val="center"/>
              <w:rPr>
                <w:rFonts w:ascii="仿宋" w:hAnsi="仿宋" w:eastAsia="仿宋"/>
                <w:sz w:val="32"/>
                <w:szCs w:val="32"/>
              </w:rPr>
            </w:pPr>
          </w:p>
        </w:tc>
        <w:tc>
          <w:tcPr>
            <w:tcW w:w="900" w:type="dxa"/>
            <w:vAlign w:val="center"/>
          </w:tcPr>
          <w:p>
            <w:pPr>
              <w:jc w:val="center"/>
              <w:rPr>
                <w:rFonts w:ascii="仿宋" w:hAnsi="仿宋" w:eastAsia="仿宋"/>
                <w:sz w:val="32"/>
                <w:szCs w:val="32"/>
              </w:rPr>
            </w:pPr>
          </w:p>
        </w:tc>
        <w:tc>
          <w:tcPr>
            <w:tcW w:w="975" w:type="dxa"/>
            <w:vAlign w:val="center"/>
          </w:tcPr>
          <w:p>
            <w:pPr>
              <w:jc w:val="center"/>
              <w:rPr>
                <w:rFonts w:ascii="仿宋" w:hAnsi="仿宋" w:eastAsia="仿宋"/>
                <w:sz w:val="32"/>
                <w:szCs w:val="32"/>
              </w:rPr>
            </w:pPr>
          </w:p>
        </w:tc>
        <w:tc>
          <w:tcPr>
            <w:tcW w:w="1181" w:type="dxa"/>
            <w:vAlign w:val="center"/>
          </w:tcPr>
          <w:p>
            <w:pPr>
              <w:jc w:val="center"/>
              <w:rPr>
                <w:rFonts w:ascii="仿宋" w:hAnsi="仿宋" w:eastAsia="仿宋"/>
                <w:sz w:val="32"/>
                <w:szCs w:val="32"/>
              </w:rPr>
            </w:pPr>
          </w:p>
        </w:tc>
        <w:tc>
          <w:tcPr>
            <w:tcW w:w="881" w:type="dxa"/>
            <w:vAlign w:val="center"/>
          </w:tcPr>
          <w:p>
            <w:pPr>
              <w:jc w:val="center"/>
              <w:rPr>
                <w:rFonts w:ascii="仿宋" w:hAnsi="仿宋" w:eastAsia="仿宋"/>
                <w:sz w:val="24"/>
              </w:rPr>
            </w:pPr>
          </w:p>
        </w:tc>
        <w:tc>
          <w:tcPr>
            <w:tcW w:w="1200" w:type="dxa"/>
            <w:vAlign w:val="center"/>
          </w:tcPr>
          <w:p>
            <w:pPr>
              <w:jc w:val="center"/>
              <w:rPr>
                <w:rFonts w:ascii="仿宋" w:hAnsi="仿宋" w:eastAsia="仿宋"/>
                <w:sz w:val="24"/>
              </w:rPr>
            </w:pPr>
          </w:p>
        </w:tc>
        <w:tc>
          <w:tcPr>
            <w:tcW w:w="1253" w:type="dxa"/>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jc w:val="center"/>
              <w:rPr>
                <w:rFonts w:ascii="仿宋" w:hAnsi="仿宋" w:eastAsia="仿宋"/>
                <w:sz w:val="24"/>
              </w:rPr>
            </w:pPr>
            <w:r>
              <w:rPr>
                <w:rFonts w:hint="eastAsia" w:ascii="仿宋" w:hAnsi="仿宋" w:eastAsia="仿宋"/>
                <w:sz w:val="24"/>
              </w:rPr>
              <w:t>2</w:t>
            </w:r>
          </w:p>
        </w:tc>
        <w:tc>
          <w:tcPr>
            <w:tcW w:w="2535" w:type="dxa"/>
            <w:gridSpan w:val="2"/>
            <w:vAlign w:val="center"/>
          </w:tcPr>
          <w:p>
            <w:pPr>
              <w:jc w:val="center"/>
              <w:rPr>
                <w:rFonts w:ascii="仿宋" w:hAnsi="仿宋" w:eastAsia="仿宋"/>
                <w:sz w:val="32"/>
                <w:szCs w:val="32"/>
              </w:rPr>
            </w:pPr>
          </w:p>
        </w:tc>
        <w:tc>
          <w:tcPr>
            <w:tcW w:w="900" w:type="dxa"/>
            <w:vAlign w:val="center"/>
          </w:tcPr>
          <w:p>
            <w:pPr>
              <w:jc w:val="center"/>
              <w:rPr>
                <w:rFonts w:ascii="仿宋" w:hAnsi="仿宋" w:eastAsia="仿宋"/>
                <w:sz w:val="32"/>
                <w:szCs w:val="32"/>
              </w:rPr>
            </w:pPr>
          </w:p>
        </w:tc>
        <w:tc>
          <w:tcPr>
            <w:tcW w:w="975" w:type="dxa"/>
            <w:vAlign w:val="center"/>
          </w:tcPr>
          <w:p>
            <w:pPr>
              <w:jc w:val="center"/>
              <w:rPr>
                <w:rFonts w:ascii="仿宋" w:hAnsi="仿宋" w:eastAsia="仿宋"/>
                <w:sz w:val="32"/>
                <w:szCs w:val="32"/>
              </w:rPr>
            </w:pPr>
          </w:p>
        </w:tc>
        <w:tc>
          <w:tcPr>
            <w:tcW w:w="1181" w:type="dxa"/>
            <w:vAlign w:val="center"/>
          </w:tcPr>
          <w:p>
            <w:pPr>
              <w:jc w:val="center"/>
              <w:rPr>
                <w:rFonts w:ascii="仿宋" w:hAnsi="仿宋" w:eastAsia="仿宋"/>
                <w:sz w:val="32"/>
                <w:szCs w:val="32"/>
              </w:rPr>
            </w:pPr>
          </w:p>
        </w:tc>
        <w:tc>
          <w:tcPr>
            <w:tcW w:w="881" w:type="dxa"/>
            <w:vAlign w:val="center"/>
          </w:tcPr>
          <w:p>
            <w:pPr>
              <w:jc w:val="center"/>
              <w:rPr>
                <w:rFonts w:ascii="仿宋" w:hAnsi="仿宋" w:eastAsia="仿宋"/>
                <w:sz w:val="24"/>
              </w:rPr>
            </w:pPr>
          </w:p>
        </w:tc>
        <w:tc>
          <w:tcPr>
            <w:tcW w:w="1200" w:type="dxa"/>
            <w:vAlign w:val="center"/>
          </w:tcPr>
          <w:p>
            <w:pPr>
              <w:jc w:val="center"/>
              <w:rPr>
                <w:rFonts w:ascii="仿宋" w:hAnsi="仿宋" w:eastAsia="仿宋"/>
                <w:sz w:val="24"/>
              </w:rPr>
            </w:pPr>
          </w:p>
        </w:tc>
        <w:tc>
          <w:tcPr>
            <w:tcW w:w="1253" w:type="dxa"/>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jc w:val="center"/>
              <w:rPr>
                <w:rFonts w:ascii="仿宋" w:hAnsi="仿宋" w:eastAsia="仿宋"/>
                <w:sz w:val="24"/>
              </w:rPr>
            </w:pPr>
            <w:r>
              <w:rPr>
                <w:rFonts w:hint="eastAsia" w:ascii="仿宋" w:hAnsi="仿宋" w:eastAsia="仿宋"/>
                <w:sz w:val="24"/>
              </w:rPr>
              <w:t>3</w:t>
            </w:r>
          </w:p>
        </w:tc>
        <w:tc>
          <w:tcPr>
            <w:tcW w:w="2535" w:type="dxa"/>
            <w:gridSpan w:val="2"/>
            <w:vAlign w:val="center"/>
          </w:tcPr>
          <w:p>
            <w:pPr>
              <w:jc w:val="center"/>
              <w:rPr>
                <w:rFonts w:ascii="仿宋" w:hAnsi="仿宋" w:eastAsia="仿宋"/>
                <w:sz w:val="32"/>
                <w:szCs w:val="32"/>
              </w:rPr>
            </w:pPr>
          </w:p>
        </w:tc>
        <w:tc>
          <w:tcPr>
            <w:tcW w:w="900" w:type="dxa"/>
            <w:vAlign w:val="center"/>
          </w:tcPr>
          <w:p>
            <w:pPr>
              <w:jc w:val="center"/>
              <w:rPr>
                <w:rFonts w:ascii="仿宋" w:hAnsi="仿宋" w:eastAsia="仿宋"/>
                <w:sz w:val="32"/>
                <w:szCs w:val="32"/>
              </w:rPr>
            </w:pPr>
          </w:p>
        </w:tc>
        <w:tc>
          <w:tcPr>
            <w:tcW w:w="975" w:type="dxa"/>
            <w:vAlign w:val="center"/>
          </w:tcPr>
          <w:p>
            <w:pPr>
              <w:jc w:val="center"/>
              <w:rPr>
                <w:rFonts w:ascii="仿宋" w:hAnsi="仿宋" w:eastAsia="仿宋"/>
                <w:sz w:val="32"/>
                <w:szCs w:val="32"/>
              </w:rPr>
            </w:pPr>
          </w:p>
        </w:tc>
        <w:tc>
          <w:tcPr>
            <w:tcW w:w="1181" w:type="dxa"/>
            <w:vAlign w:val="center"/>
          </w:tcPr>
          <w:p>
            <w:pPr>
              <w:jc w:val="center"/>
              <w:rPr>
                <w:rFonts w:ascii="仿宋" w:hAnsi="仿宋" w:eastAsia="仿宋"/>
                <w:sz w:val="32"/>
                <w:szCs w:val="32"/>
              </w:rPr>
            </w:pPr>
          </w:p>
        </w:tc>
        <w:tc>
          <w:tcPr>
            <w:tcW w:w="881" w:type="dxa"/>
            <w:vAlign w:val="center"/>
          </w:tcPr>
          <w:p>
            <w:pPr>
              <w:jc w:val="center"/>
              <w:rPr>
                <w:rFonts w:ascii="仿宋" w:hAnsi="仿宋" w:eastAsia="仿宋"/>
                <w:sz w:val="24"/>
              </w:rPr>
            </w:pPr>
          </w:p>
        </w:tc>
        <w:tc>
          <w:tcPr>
            <w:tcW w:w="1200" w:type="dxa"/>
            <w:vAlign w:val="center"/>
          </w:tcPr>
          <w:p>
            <w:pPr>
              <w:jc w:val="center"/>
              <w:rPr>
                <w:rFonts w:ascii="仿宋" w:hAnsi="仿宋" w:eastAsia="仿宋"/>
                <w:sz w:val="24"/>
              </w:rPr>
            </w:pPr>
          </w:p>
        </w:tc>
        <w:tc>
          <w:tcPr>
            <w:tcW w:w="1253" w:type="dxa"/>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jc w:val="center"/>
              <w:rPr>
                <w:rFonts w:ascii="仿宋" w:hAnsi="仿宋" w:eastAsia="仿宋"/>
                <w:sz w:val="24"/>
              </w:rPr>
            </w:pPr>
            <w:r>
              <w:rPr>
                <w:rFonts w:hint="eastAsia" w:ascii="仿宋" w:hAnsi="仿宋" w:eastAsia="仿宋"/>
                <w:sz w:val="24"/>
              </w:rPr>
              <w:t>4</w:t>
            </w:r>
          </w:p>
        </w:tc>
        <w:tc>
          <w:tcPr>
            <w:tcW w:w="2535" w:type="dxa"/>
            <w:gridSpan w:val="2"/>
            <w:vAlign w:val="center"/>
          </w:tcPr>
          <w:p>
            <w:pPr>
              <w:jc w:val="center"/>
              <w:rPr>
                <w:rFonts w:ascii="仿宋" w:hAnsi="仿宋" w:eastAsia="仿宋"/>
                <w:sz w:val="32"/>
                <w:szCs w:val="32"/>
              </w:rPr>
            </w:pPr>
          </w:p>
        </w:tc>
        <w:tc>
          <w:tcPr>
            <w:tcW w:w="900" w:type="dxa"/>
            <w:vAlign w:val="center"/>
          </w:tcPr>
          <w:p>
            <w:pPr>
              <w:jc w:val="center"/>
              <w:rPr>
                <w:rFonts w:ascii="仿宋" w:hAnsi="仿宋" w:eastAsia="仿宋"/>
                <w:sz w:val="32"/>
                <w:szCs w:val="32"/>
              </w:rPr>
            </w:pPr>
          </w:p>
        </w:tc>
        <w:tc>
          <w:tcPr>
            <w:tcW w:w="975" w:type="dxa"/>
            <w:vAlign w:val="center"/>
          </w:tcPr>
          <w:p>
            <w:pPr>
              <w:jc w:val="center"/>
              <w:rPr>
                <w:rFonts w:ascii="仿宋" w:hAnsi="仿宋" w:eastAsia="仿宋"/>
                <w:sz w:val="32"/>
                <w:szCs w:val="32"/>
              </w:rPr>
            </w:pPr>
          </w:p>
        </w:tc>
        <w:tc>
          <w:tcPr>
            <w:tcW w:w="1181" w:type="dxa"/>
            <w:vAlign w:val="center"/>
          </w:tcPr>
          <w:p>
            <w:pPr>
              <w:jc w:val="center"/>
              <w:rPr>
                <w:rFonts w:ascii="仿宋" w:hAnsi="仿宋" w:eastAsia="仿宋"/>
                <w:sz w:val="32"/>
                <w:szCs w:val="32"/>
              </w:rPr>
            </w:pPr>
          </w:p>
        </w:tc>
        <w:tc>
          <w:tcPr>
            <w:tcW w:w="881" w:type="dxa"/>
            <w:vAlign w:val="center"/>
          </w:tcPr>
          <w:p>
            <w:pPr>
              <w:jc w:val="center"/>
              <w:rPr>
                <w:rFonts w:ascii="仿宋" w:hAnsi="仿宋" w:eastAsia="仿宋"/>
                <w:sz w:val="24"/>
              </w:rPr>
            </w:pPr>
          </w:p>
        </w:tc>
        <w:tc>
          <w:tcPr>
            <w:tcW w:w="1200" w:type="dxa"/>
            <w:vAlign w:val="center"/>
          </w:tcPr>
          <w:p>
            <w:pPr>
              <w:jc w:val="center"/>
              <w:rPr>
                <w:rFonts w:ascii="仿宋" w:hAnsi="仿宋" w:eastAsia="仿宋"/>
                <w:sz w:val="24"/>
              </w:rPr>
            </w:pPr>
          </w:p>
        </w:tc>
        <w:tc>
          <w:tcPr>
            <w:tcW w:w="1253" w:type="dxa"/>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jc w:val="center"/>
              <w:rPr>
                <w:rFonts w:ascii="仿宋" w:hAnsi="仿宋" w:eastAsia="仿宋"/>
                <w:sz w:val="24"/>
              </w:rPr>
            </w:pPr>
            <w:r>
              <w:rPr>
                <w:rFonts w:hint="eastAsia" w:ascii="仿宋" w:hAnsi="仿宋" w:eastAsia="仿宋"/>
                <w:sz w:val="24"/>
              </w:rPr>
              <w:t>5</w:t>
            </w:r>
          </w:p>
        </w:tc>
        <w:tc>
          <w:tcPr>
            <w:tcW w:w="2535" w:type="dxa"/>
            <w:gridSpan w:val="2"/>
            <w:vAlign w:val="center"/>
          </w:tcPr>
          <w:p>
            <w:pPr>
              <w:jc w:val="center"/>
              <w:rPr>
                <w:rFonts w:ascii="仿宋" w:hAnsi="仿宋" w:eastAsia="仿宋"/>
                <w:sz w:val="32"/>
                <w:szCs w:val="32"/>
              </w:rPr>
            </w:pPr>
          </w:p>
        </w:tc>
        <w:tc>
          <w:tcPr>
            <w:tcW w:w="900" w:type="dxa"/>
            <w:vAlign w:val="center"/>
          </w:tcPr>
          <w:p>
            <w:pPr>
              <w:jc w:val="center"/>
              <w:rPr>
                <w:rFonts w:ascii="仿宋" w:hAnsi="仿宋" w:eastAsia="仿宋"/>
                <w:sz w:val="32"/>
                <w:szCs w:val="32"/>
              </w:rPr>
            </w:pPr>
          </w:p>
        </w:tc>
        <w:tc>
          <w:tcPr>
            <w:tcW w:w="975" w:type="dxa"/>
            <w:vAlign w:val="center"/>
          </w:tcPr>
          <w:p>
            <w:pPr>
              <w:jc w:val="center"/>
              <w:rPr>
                <w:rFonts w:ascii="仿宋" w:hAnsi="仿宋" w:eastAsia="仿宋"/>
                <w:sz w:val="32"/>
                <w:szCs w:val="32"/>
              </w:rPr>
            </w:pPr>
          </w:p>
        </w:tc>
        <w:tc>
          <w:tcPr>
            <w:tcW w:w="1181" w:type="dxa"/>
            <w:vAlign w:val="center"/>
          </w:tcPr>
          <w:p>
            <w:pPr>
              <w:jc w:val="center"/>
              <w:rPr>
                <w:rFonts w:ascii="仿宋" w:hAnsi="仿宋" w:eastAsia="仿宋"/>
                <w:sz w:val="32"/>
                <w:szCs w:val="32"/>
              </w:rPr>
            </w:pPr>
          </w:p>
        </w:tc>
        <w:tc>
          <w:tcPr>
            <w:tcW w:w="881" w:type="dxa"/>
            <w:vAlign w:val="center"/>
          </w:tcPr>
          <w:p>
            <w:pPr>
              <w:jc w:val="center"/>
              <w:rPr>
                <w:rFonts w:ascii="仿宋" w:hAnsi="仿宋" w:eastAsia="仿宋"/>
                <w:sz w:val="24"/>
              </w:rPr>
            </w:pPr>
          </w:p>
        </w:tc>
        <w:tc>
          <w:tcPr>
            <w:tcW w:w="1200" w:type="dxa"/>
            <w:vAlign w:val="center"/>
          </w:tcPr>
          <w:p>
            <w:pPr>
              <w:jc w:val="center"/>
              <w:rPr>
                <w:rFonts w:ascii="仿宋" w:hAnsi="仿宋" w:eastAsia="仿宋"/>
                <w:sz w:val="24"/>
              </w:rPr>
            </w:pPr>
          </w:p>
        </w:tc>
        <w:tc>
          <w:tcPr>
            <w:tcW w:w="1253" w:type="dxa"/>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jc w:val="center"/>
              <w:rPr>
                <w:rFonts w:ascii="仿宋" w:hAnsi="仿宋" w:eastAsia="仿宋"/>
                <w:sz w:val="24"/>
              </w:rPr>
            </w:pPr>
            <w:r>
              <w:rPr>
                <w:rFonts w:hint="eastAsia" w:ascii="仿宋" w:hAnsi="仿宋" w:eastAsia="仿宋"/>
                <w:sz w:val="24"/>
              </w:rPr>
              <w:t>6</w:t>
            </w:r>
          </w:p>
        </w:tc>
        <w:tc>
          <w:tcPr>
            <w:tcW w:w="2535" w:type="dxa"/>
            <w:gridSpan w:val="2"/>
            <w:vAlign w:val="center"/>
          </w:tcPr>
          <w:p>
            <w:pPr>
              <w:jc w:val="center"/>
              <w:rPr>
                <w:rFonts w:ascii="仿宋" w:hAnsi="仿宋" w:eastAsia="仿宋"/>
                <w:sz w:val="32"/>
                <w:szCs w:val="32"/>
              </w:rPr>
            </w:pPr>
          </w:p>
        </w:tc>
        <w:tc>
          <w:tcPr>
            <w:tcW w:w="900" w:type="dxa"/>
            <w:vAlign w:val="center"/>
          </w:tcPr>
          <w:p>
            <w:pPr>
              <w:jc w:val="center"/>
              <w:rPr>
                <w:rFonts w:ascii="仿宋" w:hAnsi="仿宋" w:eastAsia="仿宋"/>
                <w:sz w:val="32"/>
                <w:szCs w:val="32"/>
              </w:rPr>
            </w:pPr>
          </w:p>
        </w:tc>
        <w:tc>
          <w:tcPr>
            <w:tcW w:w="975" w:type="dxa"/>
            <w:vAlign w:val="center"/>
          </w:tcPr>
          <w:p>
            <w:pPr>
              <w:jc w:val="center"/>
              <w:rPr>
                <w:rFonts w:ascii="仿宋" w:hAnsi="仿宋" w:eastAsia="仿宋"/>
                <w:sz w:val="32"/>
                <w:szCs w:val="32"/>
              </w:rPr>
            </w:pPr>
          </w:p>
        </w:tc>
        <w:tc>
          <w:tcPr>
            <w:tcW w:w="1181" w:type="dxa"/>
            <w:vAlign w:val="center"/>
          </w:tcPr>
          <w:p>
            <w:pPr>
              <w:jc w:val="center"/>
              <w:rPr>
                <w:rFonts w:ascii="仿宋" w:hAnsi="仿宋" w:eastAsia="仿宋"/>
                <w:sz w:val="32"/>
                <w:szCs w:val="32"/>
              </w:rPr>
            </w:pPr>
          </w:p>
        </w:tc>
        <w:tc>
          <w:tcPr>
            <w:tcW w:w="881" w:type="dxa"/>
            <w:vAlign w:val="center"/>
          </w:tcPr>
          <w:p>
            <w:pPr>
              <w:jc w:val="center"/>
              <w:rPr>
                <w:rFonts w:ascii="仿宋" w:hAnsi="仿宋" w:eastAsia="仿宋"/>
                <w:sz w:val="24"/>
              </w:rPr>
            </w:pPr>
          </w:p>
        </w:tc>
        <w:tc>
          <w:tcPr>
            <w:tcW w:w="1200" w:type="dxa"/>
            <w:vAlign w:val="center"/>
          </w:tcPr>
          <w:p>
            <w:pPr>
              <w:jc w:val="center"/>
              <w:rPr>
                <w:rFonts w:ascii="仿宋" w:hAnsi="仿宋" w:eastAsia="仿宋"/>
                <w:sz w:val="24"/>
              </w:rPr>
            </w:pPr>
          </w:p>
        </w:tc>
        <w:tc>
          <w:tcPr>
            <w:tcW w:w="1253" w:type="dxa"/>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jc w:val="center"/>
              <w:rPr>
                <w:rFonts w:ascii="仿宋" w:hAnsi="仿宋" w:eastAsia="仿宋"/>
                <w:sz w:val="24"/>
              </w:rPr>
            </w:pPr>
            <w:r>
              <w:rPr>
                <w:rFonts w:hint="eastAsia" w:ascii="仿宋" w:hAnsi="仿宋" w:eastAsia="仿宋"/>
                <w:sz w:val="24"/>
              </w:rPr>
              <w:t>7</w:t>
            </w:r>
          </w:p>
        </w:tc>
        <w:tc>
          <w:tcPr>
            <w:tcW w:w="2535" w:type="dxa"/>
            <w:gridSpan w:val="2"/>
            <w:vAlign w:val="center"/>
          </w:tcPr>
          <w:p>
            <w:pPr>
              <w:jc w:val="center"/>
              <w:rPr>
                <w:rFonts w:ascii="仿宋" w:hAnsi="仿宋" w:eastAsia="仿宋"/>
                <w:sz w:val="32"/>
                <w:szCs w:val="32"/>
              </w:rPr>
            </w:pPr>
          </w:p>
        </w:tc>
        <w:tc>
          <w:tcPr>
            <w:tcW w:w="900" w:type="dxa"/>
            <w:vAlign w:val="center"/>
          </w:tcPr>
          <w:p>
            <w:pPr>
              <w:jc w:val="center"/>
              <w:rPr>
                <w:rFonts w:ascii="仿宋" w:hAnsi="仿宋" w:eastAsia="仿宋"/>
                <w:sz w:val="32"/>
                <w:szCs w:val="32"/>
              </w:rPr>
            </w:pPr>
          </w:p>
        </w:tc>
        <w:tc>
          <w:tcPr>
            <w:tcW w:w="975" w:type="dxa"/>
            <w:vAlign w:val="center"/>
          </w:tcPr>
          <w:p>
            <w:pPr>
              <w:jc w:val="center"/>
              <w:rPr>
                <w:rFonts w:ascii="仿宋" w:hAnsi="仿宋" w:eastAsia="仿宋"/>
                <w:sz w:val="32"/>
                <w:szCs w:val="32"/>
              </w:rPr>
            </w:pPr>
          </w:p>
        </w:tc>
        <w:tc>
          <w:tcPr>
            <w:tcW w:w="1181" w:type="dxa"/>
            <w:vAlign w:val="center"/>
          </w:tcPr>
          <w:p>
            <w:pPr>
              <w:jc w:val="center"/>
              <w:rPr>
                <w:rFonts w:ascii="仿宋" w:hAnsi="仿宋" w:eastAsia="仿宋"/>
                <w:sz w:val="32"/>
                <w:szCs w:val="32"/>
              </w:rPr>
            </w:pPr>
          </w:p>
        </w:tc>
        <w:tc>
          <w:tcPr>
            <w:tcW w:w="881" w:type="dxa"/>
            <w:vAlign w:val="center"/>
          </w:tcPr>
          <w:p>
            <w:pPr>
              <w:jc w:val="center"/>
              <w:rPr>
                <w:rFonts w:ascii="仿宋" w:hAnsi="仿宋" w:eastAsia="仿宋"/>
                <w:sz w:val="24"/>
              </w:rPr>
            </w:pPr>
          </w:p>
        </w:tc>
        <w:tc>
          <w:tcPr>
            <w:tcW w:w="1200" w:type="dxa"/>
            <w:vAlign w:val="center"/>
          </w:tcPr>
          <w:p>
            <w:pPr>
              <w:jc w:val="center"/>
              <w:rPr>
                <w:rFonts w:ascii="仿宋" w:hAnsi="仿宋" w:eastAsia="仿宋"/>
                <w:sz w:val="24"/>
              </w:rPr>
            </w:pPr>
          </w:p>
        </w:tc>
        <w:tc>
          <w:tcPr>
            <w:tcW w:w="1253" w:type="dxa"/>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jc w:val="center"/>
              <w:rPr>
                <w:rFonts w:ascii="仿宋" w:hAnsi="仿宋" w:eastAsia="仿宋"/>
                <w:sz w:val="24"/>
              </w:rPr>
            </w:pPr>
            <w:r>
              <w:rPr>
                <w:rFonts w:hint="eastAsia" w:ascii="仿宋" w:hAnsi="仿宋" w:eastAsia="仿宋"/>
                <w:sz w:val="24"/>
              </w:rPr>
              <w:t>8</w:t>
            </w:r>
          </w:p>
        </w:tc>
        <w:tc>
          <w:tcPr>
            <w:tcW w:w="2535" w:type="dxa"/>
            <w:gridSpan w:val="2"/>
            <w:vAlign w:val="center"/>
          </w:tcPr>
          <w:p>
            <w:pPr>
              <w:jc w:val="center"/>
              <w:rPr>
                <w:rFonts w:ascii="仿宋" w:hAnsi="仿宋" w:eastAsia="仿宋"/>
                <w:sz w:val="32"/>
                <w:szCs w:val="32"/>
              </w:rPr>
            </w:pPr>
          </w:p>
        </w:tc>
        <w:tc>
          <w:tcPr>
            <w:tcW w:w="900" w:type="dxa"/>
            <w:vAlign w:val="center"/>
          </w:tcPr>
          <w:p>
            <w:pPr>
              <w:jc w:val="center"/>
              <w:rPr>
                <w:rFonts w:ascii="仿宋" w:hAnsi="仿宋" w:eastAsia="仿宋"/>
                <w:sz w:val="32"/>
                <w:szCs w:val="32"/>
              </w:rPr>
            </w:pPr>
          </w:p>
        </w:tc>
        <w:tc>
          <w:tcPr>
            <w:tcW w:w="975" w:type="dxa"/>
            <w:vAlign w:val="center"/>
          </w:tcPr>
          <w:p>
            <w:pPr>
              <w:jc w:val="center"/>
              <w:rPr>
                <w:rFonts w:ascii="仿宋" w:hAnsi="仿宋" w:eastAsia="仿宋"/>
                <w:sz w:val="32"/>
                <w:szCs w:val="32"/>
              </w:rPr>
            </w:pPr>
          </w:p>
        </w:tc>
        <w:tc>
          <w:tcPr>
            <w:tcW w:w="1181" w:type="dxa"/>
            <w:vAlign w:val="center"/>
          </w:tcPr>
          <w:p>
            <w:pPr>
              <w:jc w:val="center"/>
              <w:rPr>
                <w:rFonts w:ascii="仿宋" w:hAnsi="仿宋" w:eastAsia="仿宋"/>
                <w:sz w:val="32"/>
                <w:szCs w:val="32"/>
              </w:rPr>
            </w:pPr>
          </w:p>
        </w:tc>
        <w:tc>
          <w:tcPr>
            <w:tcW w:w="881" w:type="dxa"/>
            <w:vAlign w:val="center"/>
          </w:tcPr>
          <w:p>
            <w:pPr>
              <w:jc w:val="center"/>
              <w:rPr>
                <w:rFonts w:ascii="仿宋" w:hAnsi="仿宋" w:eastAsia="仿宋"/>
                <w:sz w:val="24"/>
              </w:rPr>
            </w:pPr>
          </w:p>
        </w:tc>
        <w:tc>
          <w:tcPr>
            <w:tcW w:w="1200" w:type="dxa"/>
            <w:vAlign w:val="center"/>
          </w:tcPr>
          <w:p>
            <w:pPr>
              <w:jc w:val="center"/>
              <w:rPr>
                <w:rFonts w:ascii="仿宋" w:hAnsi="仿宋" w:eastAsia="仿宋"/>
                <w:sz w:val="24"/>
              </w:rPr>
            </w:pPr>
          </w:p>
        </w:tc>
        <w:tc>
          <w:tcPr>
            <w:tcW w:w="1253" w:type="dxa"/>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jc w:val="center"/>
              <w:rPr>
                <w:rFonts w:ascii="仿宋" w:hAnsi="仿宋" w:eastAsia="仿宋"/>
                <w:sz w:val="24"/>
              </w:rPr>
            </w:pPr>
            <w:r>
              <w:rPr>
                <w:rFonts w:hint="eastAsia" w:ascii="仿宋" w:hAnsi="仿宋" w:eastAsia="仿宋"/>
                <w:sz w:val="24"/>
              </w:rPr>
              <w:t>9</w:t>
            </w:r>
          </w:p>
        </w:tc>
        <w:tc>
          <w:tcPr>
            <w:tcW w:w="2535" w:type="dxa"/>
            <w:gridSpan w:val="2"/>
            <w:vAlign w:val="center"/>
          </w:tcPr>
          <w:p>
            <w:pPr>
              <w:jc w:val="center"/>
              <w:rPr>
                <w:rFonts w:ascii="仿宋" w:hAnsi="仿宋" w:eastAsia="仿宋"/>
                <w:sz w:val="32"/>
                <w:szCs w:val="32"/>
              </w:rPr>
            </w:pPr>
          </w:p>
        </w:tc>
        <w:tc>
          <w:tcPr>
            <w:tcW w:w="900" w:type="dxa"/>
            <w:vAlign w:val="center"/>
          </w:tcPr>
          <w:p>
            <w:pPr>
              <w:jc w:val="center"/>
              <w:rPr>
                <w:rFonts w:ascii="仿宋" w:hAnsi="仿宋" w:eastAsia="仿宋"/>
                <w:sz w:val="32"/>
                <w:szCs w:val="32"/>
              </w:rPr>
            </w:pPr>
          </w:p>
        </w:tc>
        <w:tc>
          <w:tcPr>
            <w:tcW w:w="975" w:type="dxa"/>
            <w:vAlign w:val="center"/>
          </w:tcPr>
          <w:p>
            <w:pPr>
              <w:jc w:val="center"/>
              <w:rPr>
                <w:rFonts w:ascii="仿宋" w:hAnsi="仿宋" w:eastAsia="仿宋"/>
                <w:sz w:val="32"/>
                <w:szCs w:val="32"/>
              </w:rPr>
            </w:pPr>
          </w:p>
        </w:tc>
        <w:tc>
          <w:tcPr>
            <w:tcW w:w="1181" w:type="dxa"/>
            <w:vAlign w:val="center"/>
          </w:tcPr>
          <w:p>
            <w:pPr>
              <w:jc w:val="center"/>
              <w:rPr>
                <w:rFonts w:ascii="仿宋" w:hAnsi="仿宋" w:eastAsia="仿宋"/>
                <w:sz w:val="32"/>
                <w:szCs w:val="32"/>
              </w:rPr>
            </w:pPr>
          </w:p>
        </w:tc>
        <w:tc>
          <w:tcPr>
            <w:tcW w:w="881" w:type="dxa"/>
            <w:vAlign w:val="center"/>
          </w:tcPr>
          <w:p>
            <w:pPr>
              <w:jc w:val="center"/>
              <w:rPr>
                <w:rFonts w:ascii="仿宋" w:hAnsi="仿宋" w:eastAsia="仿宋"/>
                <w:sz w:val="24"/>
              </w:rPr>
            </w:pPr>
          </w:p>
        </w:tc>
        <w:tc>
          <w:tcPr>
            <w:tcW w:w="1200" w:type="dxa"/>
            <w:vAlign w:val="center"/>
          </w:tcPr>
          <w:p>
            <w:pPr>
              <w:jc w:val="center"/>
              <w:rPr>
                <w:rFonts w:ascii="仿宋" w:hAnsi="仿宋" w:eastAsia="仿宋"/>
                <w:sz w:val="24"/>
              </w:rPr>
            </w:pPr>
          </w:p>
        </w:tc>
        <w:tc>
          <w:tcPr>
            <w:tcW w:w="1253" w:type="dxa"/>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jc w:val="center"/>
              <w:rPr>
                <w:rFonts w:ascii="仿宋" w:hAnsi="仿宋" w:eastAsia="仿宋"/>
                <w:sz w:val="24"/>
              </w:rPr>
            </w:pPr>
            <w:r>
              <w:rPr>
                <w:rFonts w:hint="eastAsia" w:ascii="仿宋" w:hAnsi="仿宋" w:eastAsia="仿宋"/>
                <w:sz w:val="24"/>
              </w:rPr>
              <w:t>10</w:t>
            </w:r>
          </w:p>
        </w:tc>
        <w:tc>
          <w:tcPr>
            <w:tcW w:w="2535" w:type="dxa"/>
            <w:gridSpan w:val="2"/>
            <w:vAlign w:val="center"/>
          </w:tcPr>
          <w:p>
            <w:pPr>
              <w:jc w:val="center"/>
              <w:rPr>
                <w:rFonts w:ascii="仿宋" w:hAnsi="仿宋" w:eastAsia="仿宋"/>
                <w:sz w:val="32"/>
                <w:szCs w:val="32"/>
              </w:rPr>
            </w:pPr>
          </w:p>
        </w:tc>
        <w:tc>
          <w:tcPr>
            <w:tcW w:w="900" w:type="dxa"/>
            <w:vAlign w:val="center"/>
          </w:tcPr>
          <w:p>
            <w:pPr>
              <w:jc w:val="center"/>
              <w:rPr>
                <w:rFonts w:ascii="仿宋" w:hAnsi="仿宋" w:eastAsia="仿宋"/>
                <w:sz w:val="32"/>
                <w:szCs w:val="32"/>
              </w:rPr>
            </w:pPr>
          </w:p>
        </w:tc>
        <w:tc>
          <w:tcPr>
            <w:tcW w:w="975" w:type="dxa"/>
            <w:vAlign w:val="center"/>
          </w:tcPr>
          <w:p>
            <w:pPr>
              <w:jc w:val="center"/>
              <w:rPr>
                <w:rFonts w:ascii="仿宋" w:hAnsi="仿宋" w:eastAsia="仿宋"/>
                <w:sz w:val="32"/>
                <w:szCs w:val="32"/>
              </w:rPr>
            </w:pPr>
          </w:p>
        </w:tc>
        <w:tc>
          <w:tcPr>
            <w:tcW w:w="1181" w:type="dxa"/>
            <w:vAlign w:val="center"/>
          </w:tcPr>
          <w:p>
            <w:pPr>
              <w:jc w:val="center"/>
              <w:rPr>
                <w:rFonts w:ascii="仿宋" w:hAnsi="仿宋" w:eastAsia="仿宋"/>
                <w:sz w:val="32"/>
                <w:szCs w:val="32"/>
              </w:rPr>
            </w:pPr>
          </w:p>
        </w:tc>
        <w:tc>
          <w:tcPr>
            <w:tcW w:w="881" w:type="dxa"/>
            <w:vAlign w:val="center"/>
          </w:tcPr>
          <w:p>
            <w:pPr>
              <w:jc w:val="center"/>
              <w:rPr>
                <w:rFonts w:ascii="仿宋" w:hAnsi="仿宋" w:eastAsia="仿宋"/>
                <w:sz w:val="24"/>
              </w:rPr>
            </w:pPr>
          </w:p>
        </w:tc>
        <w:tc>
          <w:tcPr>
            <w:tcW w:w="1200" w:type="dxa"/>
            <w:vAlign w:val="center"/>
          </w:tcPr>
          <w:p>
            <w:pPr>
              <w:jc w:val="center"/>
              <w:rPr>
                <w:rFonts w:ascii="仿宋" w:hAnsi="仿宋" w:eastAsia="仿宋"/>
                <w:sz w:val="24"/>
              </w:rPr>
            </w:pPr>
          </w:p>
        </w:tc>
        <w:tc>
          <w:tcPr>
            <w:tcW w:w="1253" w:type="dxa"/>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4" w:type="dxa"/>
            <w:gridSpan w:val="5"/>
          </w:tcPr>
          <w:p>
            <w:pPr>
              <w:autoSpaceDE w:val="0"/>
              <w:autoSpaceDN w:val="0"/>
              <w:rPr>
                <w:rFonts w:ascii="仿宋" w:hAnsi="仿宋" w:eastAsia="仿宋" w:cs="仿宋"/>
                <w:sz w:val="24"/>
              </w:rPr>
            </w:pPr>
            <w:r>
              <w:rPr>
                <w:rFonts w:hint="eastAsia" w:ascii="仿宋" w:hAnsi="仿宋" w:eastAsia="仿宋" w:cs="仿宋"/>
                <w:sz w:val="24"/>
              </w:rPr>
              <w:t>提交单位（签字）：</w:t>
            </w:r>
          </w:p>
          <w:p>
            <w:pPr>
              <w:autoSpaceDE w:val="0"/>
              <w:autoSpaceDN w:val="0"/>
              <w:rPr>
                <w:sz w:val="24"/>
              </w:rPr>
            </w:pPr>
          </w:p>
          <w:p>
            <w:pPr>
              <w:autoSpaceDE w:val="0"/>
              <w:autoSpaceDN w:val="0"/>
              <w:ind w:firstLine="960" w:firstLineChars="400"/>
              <w:rPr>
                <w:rFonts w:ascii="仿宋" w:hAnsi="仿宋" w:eastAsia="仿宋" w:cs="仿宋"/>
                <w:sz w:val="24"/>
              </w:rPr>
            </w:pPr>
            <w:r>
              <w:rPr>
                <w:rFonts w:hint="eastAsia" w:ascii="仿宋" w:hAnsi="仿宋" w:eastAsia="仿宋" w:cs="仿宋"/>
                <w:sz w:val="24"/>
              </w:rPr>
              <w:t>（盖章）：</w:t>
            </w:r>
          </w:p>
          <w:p>
            <w:pPr>
              <w:autoSpaceDE w:val="0"/>
              <w:autoSpaceDN w:val="0"/>
              <w:rPr>
                <w:rFonts w:ascii="仿宋" w:hAnsi="仿宋" w:eastAsia="仿宋" w:cs="仿宋"/>
                <w:sz w:val="24"/>
              </w:rPr>
            </w:pPr>
          </w:p>
          <w:p>
            <w:pPr>
              <w:autoSpaceDE w:val="0"/>
              <w:autoSpaceDN w:val="0"/>
              <w:jc w:val="right"/>
              <w:rPr>
                <w:rFonts w:ascii="仿宋" w:hAnsi="仿宋" w:eastAsia="仿宋" w:cs="仿宋"/>
                <w:sz w:val="24"/>
              </w:rPr>
            </w:pPr>
            <w:r>
              <w:rPr>
                <w:rFonts w:hint="eastAsia" w:ascii="仿宋" w:hAnsi="仿宋" w:eastAsia="仿宋" w:cs="仿宋"/>
                <w:sz w:val="24"/>
              </w:rPr>
              <w:t>年     月     日</w:t>
            </w:r>
          </w:p>
          <w:p>
            <w:pPr>
              <w:pStyle w:val="2"/>
              <w:rPr>
                <w:rFonts w:ascii="仿宋" w:hAnsi="仿宋" w:eastAsia="仿宋"/>
                <w:sz w:val="24"/>
              </w:rPr>
            </w:pPr>
          </w:p>
        </w:tc>
        <w:tc>
          <w:tcPr>
            <w:tcW w:w="4515" w:type="dxa"/>
            <w:gridSpan w:val="4"/>
          </w:tcPr>
          <w:p>
            <w:pPr>
              <w:autoSpaceDE w:val="0"/>
              <w:autoSpaceDN w:val="0"/>
              <w:rPr>
                <w:rFonts w:ascii="仿宋" w:hAnsi="仿宋" w:eastAsia="仿宋" w:cs="仿宋"/>
                <w:sz w:val="24"/>
              </w:rPr>
            </w:pPr>
            <w:r>
              <w:rPr>
                <w:rFonts w:hint="eastAsia" w:ascii="仿宋" w:hAnsi="仿宋" w:eastAsia="仿宋" w:cs="仿宋"/>
                <w:sz w:val="24"/>
              </w:rPr>
              <w:t>接收单位（签字）：</w:t>
            </w:r>
          </w:p>
          <w:p>
            <w:pPr>
              <w:autoSpaceDE w:val="0"/>
              <w:autoSpaceDN w:val="0"/>
              <w:rPr>
                <w:rFonts w:ascii="仿宋" w:hAnsi="仿宋" w:eastAsia="仿宋" w:cs="仿宋"/>
                <w:sz w:val="24"/>
              </w:rPr>
            </w:pPr>
          </w:p>
          <w:p>
            <w:pPr>
              <w:autoSpaceDE w:val="0"/>
              <w:autoSpaceDN w:val="0"/>
              <w:rPr>
                <w:rFonts w:ascii="仿宋" w:hAnsi="仿宋" w:eastAsia="仿宋" w:cs="仿宋"/>
                <w:sz w:val="24"/>
              </w:rPr>
            </w:pPr>
            <w:r>
              <w:rPr>
                <w:rFonts w:hint="eastAsia" w:ascii="仿宋" w:hAnsi="仿宋" w:eastAsia="仿宋" w:cs="仿宋"/>
                <w:sz w:val="24"/>
              </w:rPr>
              <w:t xml:space="preserve">            （盖章）：</w:t>
            </w:r>
          </w:p>
          <w:p>
            <w:pPr>
              <w:widowControl/>
              <w:rPr>
                <w:rFonts w:ascii="仿宋" w:hAnsi="仿宋" w:eastAsia="仿宋" w:cs="仿宋"/>
                <w:sz w:val="24"/>
              </w:rPr>
            </w:pPr>
          </w:p>
          <w:p>
            <w:pPr>
              <w:pStyle w:val="101"/>
              <w:jc w:val="right"/>
              <w:rPr>
                <w:rFonts w:ascii="仿宋" w:hAnsi="仿宋" w:eastAsia="仿宋"/>
                <w:sz w:val="24"/>
                <w:szCs w:val="24"/>
              </w:rPr>
            </w:pPr>
            <w:r>
              <w:rPr>
                <w:rFonts w:hint="eastAsia" w:ascii="仿宋" w:hAnsi="仿宋" w:eastAsia="仿宋" w:cs="仿宋"/>
                <w:sz w:val="24"/>
                <w:szCs w:val="24"/>
              </w:rPr>
              <w:t xml:space="preserve">   年     月     日</w:t>
            </w:r>
          </w:p>
        </w:tc>
      </w:tr>
    </w:tbl>
    <w:p>
      <w:pPr>
        <w:jc w:val="left"/>
        <w:rPr>
          <w:rFonts w:eastAsia="仿宋"/>
          <w:b/>
          <w:bCs/>
          <w:sz w:val="28"/>
          <w:szCs w:val="28"/>
        </w:rPr>
      </w:pPr>
    </w:p>
    <w:p>
      <w:pPr>
        <w:jc w:val="left"/>
        <w:rPr>
          <w:rFonts w:eastAsia="仿宋"/>
          <w:b/>
          <w:bCs/>
          <w:sz w:val="28"/>
          <w:szCs w:val="28"/>
        </w:rPr>
      </w:pPr>
    </w:p>
    <w:p/>
    <w:p>
      <w:pPr>
        <w:pStyle w:val="53"/>
        <w:ind w:firstLine="482"/>
      </w:pPr>
    </w:p>
    <w:p>
      <w:pPr>
        <w:pStyle w:val="53"/>
        <w:ind w:firstLine="482"/>
      </w:pPr>
    </w:p>
    <w:sectPr>
      <w:pgSz w:w="11906" w:h="16838"/>
      <w:pgMar w:top="1247" w:right="1020" w:bottom="1247" w:left="1020" w:header="851" w:footer="992" w:gutter="0"/>
      <w:cols w:space="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7CE395D-B45A-4128-B733-56A9305AD98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65CF007A-44C9-460F-8034-04FFF5CA0734}"/>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38A28217-2282-497C-AC00-A314AD8F9C68}"/>
  </w:font>
  <w:font w:name="仿宋">
    <w:panose1 w:val="02010609060101010101"/>
    <w:charset w:val="86"/>
    <w:family w:val="modern"/>
    <w:pitch w:val="default"/>
    <w:sig w:usb0="800002BF" w:usb1="38CF7CFA" w:usb2="00000016" w:usb3="00000000" w:csb0="00040001" w:csb1="00000000"/>
    <w:embedRegular r:id="rId4" w:fontKey="{C1A6A04E-9D94-4AFF-A56D-D8DE98BA859E}"/>
  </w:font>
  <w:font w:name="MingLiU">
    <w:altName w:val="PMingLiU-ExtB"/>
    <w:panose1 w:val="02020509000000000000"/>
    <w:charset w:val="88"/>
    <w:family w:val="modern"/>
    <w:pitch w:val="default"/>
    <w:sig w:usb0="00000000" w:usb1="00000000" w:usb2="00000016" w:usb3="00000000" w:csb0="00100001" w:csb1="00000000"/>
  </w:font>
  <w:font w:name="Wingdings 2">
    <w:panose1 w:val="05020102010507070707"/>
    <w:charset w:val="02"/>
    <w:family w:val="roman"/>
    <w:pitch w:val="default"/>
    <w:sig w:usb0="00000000" w:usb1="00000000" w:usb2="00000000" w:usb3="00000000" w:csb0="00000000" w:csb1="00000000"/>
    <w:embedRegular r:id="rId5" w:fontKey="{4BCB0217-39DE-4223-9657-AD017B9860A7}"/>
  </w:font>
  <w:font w:name="方正小标宋简体">
    <w:panose1 w:val="02010601030101010101"/>
    <w:charset w:val="86"/>
    <w:family w:val="auto"/>
    <w:pitch w:val="default"/>
    <w:sig w:usb0="00000000" w:usb1="00000000" w:usb2="00000000" w:usb3="00000000" w:csb0="00000000" w:csb1="00000000"/>
    <w:embedRegular r:id="rId6" w:fontKey="{6CCB79F2-EF20-43AE-BDDA-595CF0FD1E83}"/>
  </w:font>
  <w:font w:name="方正仿宋_GBK">
    <w:panose1 w:val="02000000000000000000"/>
    <w:charset w:val="86"/>
    <w:family w:val="script"/>
    <w:pitch w:val="default"/>
    <w:sig w:usb0="00000000" w:usb1="00000000" w:usb2="00000000" w:usb3="00000000" w:csb0="00000000" w:csb1="00000000"/>
    <w:embedRegular r:id="rId7" w:fontKey="{E5ACF164-7380-4AFC-AF1F-78D4CAA67FCE}"/>
  </w:font>
  <w:font w:name="方正小标宋_GBK">
    <w:panose1 w:val="03000509000000000000"/>
    <w:charset w:val="86"/>
    <w:family w:val="script"/>
    <w:pitch w:val="default"/>
    <w:sig w:usb0="00000000" w:usb1="00000000" w:usb2="00000000" w:usb3="00000000" w:csb0="00000000" w:csb1="00000000"/>
    <w:embedRegular r:id="rId8" w:fontKey="{FF0B7601-8DA9-4C87-A80D-2886B45118A4}"/>
  </w:font>
  <w:font w:name="Tahoma">
    <w:panose1 w:val="020B0604030504040204"/>
    <w:charset w:val="00"/>
    <w:family w:val="auto"/>
    <w:pitch w:val="default"/>
    <w:sig w:usb0="E1002EFF" w:usb1="C000605B" w:usb2="00000029" w:usb3="00000000" w:csb0="200101FF" w:csb1="2028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153"/>
        <w:tab w:val="right" w:pos="8306"/>
        <w:tab w:val="clear" w:pos="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153"/>
        <w:tab w:val="right" w:pos="8306"/>
        <w:tab w:val="clear" w:pos="0"/>
      </w:tabs>
      <w:ind w:right="360"/>
      <w:rPr>
        <w:sz w:val="15"/>
        <w:szCs w:val="15"/>
      </w:rPr>
    </w:pPr>
    <w:r>
      <w:rPr>
        <w:rFonts w:hAnsi="Calibri" w:cs="黑体"/>
        <w:sz w:val="15"/>
        <w:szCs w:val="20"/>
      </w:rPr>
      <mc:AlternateContent>
        <mc:Choice Requires="wps">
          <w:drawing>
            <wp:anchor distT="0" distB="0" distL="114300" distR="114300" simplePos="0" relativeHeight="251661312" behindDoc="0" locked="0" layoutInCell="1" allowOverlap="1">
              <wp:simplePos x="0" y="0"/>
              <wp:positionH relativeFrom="margin">
                <wp:posOffset>3034665</wp:posOffset>
              </wp:positionH>
              <wp:positionV relativeFrom="paragraph">
                <wp:posOffset>0</wp:posOffset>
              </wp:positionV>
              <wp:extent cx="114935" cy="147955"/>
              <wp:effectExtent l="0" t="0" r="0" b="0"/>
              <wp:wrapNone/>
              <wp:docPr id="4" name="矩形 4"/>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a:effectLst/>
                    </wps:spPr>
                    <wps:txbx>
                      <w:txbxContent>
                        <w:p>
                          <w:pPr>
                            <w:rPr>
                              <w:sz w:val="18"/>
                            </w:rPr>
                          </w:pPr>
                        </w:p>
                      </w:txbxContent>
                    </wps:txbx>
                    <wps:bodyPr wrap="none" lIns="0" tIns="0" rIns="0" bIns="0" upright="1">
                      <a:spAutoFit/>
                    </wps:bodyPr>
                  </wps:wsp>
                </a:graphicData>
              </a:graphic>
            </wp:anchor>
          </w:drawing>
        </mc:Choice>
        <mc:Fallback>
          <w:pict>
            <v:rect id="_x0000_s1026" o:spid="_x0000_s1026" o:spt="1" style="position:absolute;left:0pt;margin-left:238.95pt;margin-top:0pt;height:11.65pt;width:9.05pt;mso-position-horizontal-relative:margin;mso-wrap-style:none;z-index:251661312;mso-width-relative:page;mso-height-relative:page;" filled="f" stroked="f" coordsize="21600,21600" o:gfxdata="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8z9519YAAAAHAQAADwAAAAAAAAABACAAAAAiAAAAZHJzL2Rv&#10;d25yZXYueG1sUEsBAhQAFAAAAAgAh07iQH4kjYLKAQAAmAMAAA4AAAAAAAAAAQAgAAAAJQEAAGRy&#10;cy9lMm9Eb2MueG1sUEsFBgAAAAAGAAYAWQEAAGEFAAAAAA==&#10;">
              <v:fill on="f" focussize="0,0"/>
              <v:stroke on="f"/>
              <v:imagedata o:title=""/>
              <o:lock v:ext="edit" aspectratio="f"/>
              <v:textbox inset="0mm,0mm,0mm,0mm" style="mso-fit-shape-to-text:t;">
                <w:txbxContent>
                  <w:p>
                    <w:pPr>
                      <w:rPr>
                        <w:sz w:val="18"/>
                      </w:rPr>
                    </w:pPr>
                  </w:p>
                </w:txbxContent>
              </v:textbox>
            </v:rect>
          </w:pict>
        </mc:Fallback>
      </mc:AlternateContent>
    </w:r>
    <w:r>
      <w:rPr>
        <w:rFonts w:hint="eastAsia"/>
        <w:sz w:val="15"/>
        <w:szCs w:val="15"/>
      </w:rPr>
      <w:t>地址：</w:t>
    </w:r>
    <w:r>
      <w:rPr>
        <w:rFonts w:hint="eastAsia"/>
        <w:sz w:val="15"/>
        <w:szCs w:val="15"/>
        <w:lang w:eastAsia="zh-CN"/>
      </w:rPr>
      <w:t>成都市高新区天府大道中段1388号美年广场D座401号</w:t>
    </w:r>
    <w:r>
      <w:rPr>
        <w:rFonts w:hint="eastAsia"/>
        <w:sz w:val="15"/>
        <w:szCs w:val="15"/>
      </w:rPr>
      <w:t xml:space="preserve"> </w:t>
    </w:r>
    <w:r>
      <w:rPr>
        <w:rFonts w:hint="eastAsia"/>
        <w:sz w:val="15"/>
        <w:szCs w:val="15"/>
        <w:lang w:val="en-US" w:eastAsia="zh-CN"/>
      </w:rPr>
      <w:t xml:space="preserve">                                                        </w:t>
    </w:r>
    <w:r>
      <w:rPr>
        <w:rFonts w:hint="eastAsia"/>
        <w:sz w:val="15"/>
        <w:szCs w:val="15"/>
      </w:rPr>
      <w:t>邮政编码：610041</w:t>
    </w:r>
  </w:p>
  <w:p>
    <w:pPr>
      <w:pStyle w:val="19"/>
      <w:tabs>
        <w:tab w:val="center" w:pos="4153"/>
        <w:tab w:val="right" w:pos="8306"/>
        <w:tab w:val="clear" w:pos="0"/>
      </w:tabs>
      <w:ind w:right="360"/>
    </w:pPr>
    <w:r>
      <w:rPr>
        <w:rFonts w:hint="eastAsia"/>
        <w:sz w:val="15"/>
        <w:szCs w:val="15"/>
      </w:rPr>
      <w:t>电话(TEL)：</w:t>
    </w:r>
    <w:r>
      <w:rPr>
        <w:rFonts w:hint="eastAsia"/>
        <w:sz w:val="15"/>
        <w:szCs w:val="15"/>
        <w:lang w:val="zh-CN"/>
      </w:rPr>
      <w:t>028-85316813</w:t>
    </w:r>
    <w:r>
      <w:rPr>
        <w:rFonts w:hint="eastAsia"/>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153"/>
        <w:tab w:val="right" w:pos="8306"/>
        <w:tab w:val="clear" w:pos="0"/>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tabs>
                              <w:tab w:val="center" w:pos="4153"/>
                              <w:tab w:val="right" w:pos="8306"/>
                              <w:tab w:val="clear" w:pos="0"/>
                            </w:tabs>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19"/>
                      <w:tabs>
                        <w:tab w:val="center" w:pos="4153"/>
                        <w:tab w:val="right" w:pos="8306"/>
                        <w:tab w:val="clear" w:pos="0"/>
                      </w:tabs>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153"/>
        <w:tab w:val="right" w:pos="8306"/>
        <w:tab w:val="clear" w:pos="0"/>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tabs>
                              <w:tab w:val="center" w:pos="4153"/>
                              <w:tab w:val="right" w:pos="8306"/>
                              <w:tab w:val="clear" w:pos="0"/>
                            </w:tabs>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bowdo4AgAAb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9ujB2jgCAABvBAAADgAAAAAAAAABACAAAAAfAQAAZHJzL2Uyb0RvYy54&#10;bWxQSwUGAAAAAAYABgBZAQAAyQUAAAAA&#10;">
              <v:fill on="f" focussize="0,0"/>
              <v:stroke on="f" weight="0.5pt"/>
              <v:imagedata o:title=""/>
              <o:lock v:ext="edit" aspectratio="f"/>
              <v:textbox inset="0mm,0mm,0mm,0mm" style="mso-fit-shape-to-text:t;">
                <w:txbxContent>
                  <w:p>
                    <w:pPr>
                      <w:pStyle w:val="19"/>
                      <w:tabs>
                        <w:tab w:val="center" w:pos="4153"/>
                        <w:tab w:val="right" w:pos="8306"/>
                        <w:tab w:val="clear" w:pos="0"/>
                      </w:tabs>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153"/>
        <w:tab w:val="right" w:pos="8306"/>
        <w:tab w:val="clear" w:pos="0"/>
      </w:tabs>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72085" cy="139700"/>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172085" cy="139700"/>
                      </a:xfrm>
                      <a:prstGeom prst="rect">
                        <a:avLst/>
                      </a:prstGeom>
                      <a:noFill/>
                      <a:ln w="6350">
                        <a:noFill/>
                      </a:ln>
                      <a:effectLst/>
                    </wps:spPr>
                    <wps:txbx>
                      <w:txbxContent>
                        <w:p>
                          <w:pPr>
                            <w:pStyle w:val="19"/>
                            <w:tabs>
                              <w:tab w:val="center" w:pos="4153"/>
                              <w:tab w:val="right" w:pos="8306"/>
                              <w:tab w:val="clear" w:pos="0"/>
                            </w:tabs>
                            <w:jc w:val="center"/>
                          </w:pPr>
                          <w:r>
                            <w:fldChar w:fldCharType="begin"/>
                          </w:r>
                          <w:r>
                            <w:instrText xml:space="preserve">PAGE   \* MERGEFORMAT</w:instrText>
                          </w:r>
                          <w:r>
                            <w:fldChar w:fldCharType="separate"/>
                          </w:r>
                          <w:r>
                            <w:rPr>
                              <w:lang w:val="zh-CN"/>
                            </w:rPr>
                            <w:t>137</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pt;width:13.55pt;mso-position-horizontal:center;mso-position-horizontal-relative:margin;mso-wrap-style:none;z-index:251667456;mso-width-relative:page;mso-height-relative:page;" filled="f" stroked="f" coordsize="21600,21600" o:gfxdata="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UT9Z0QAAAAMBAAAPAAAAAAAAAAEAIAAAACIAAABkcnMvZG93bnJldi54&#10;bWxQSwECFAAUAAAACACHTuJAIBJoHzoCAABlBAAADgAAAAAAAAABACAAAAAgAQAAZHJzL2Uyb0Rv&#10;Yy54bWxQSwUGAAAAAAYABgBZAQAAzAUAAAAA&#10;">
              <v:fill on="f" focussize="0,0"/>
              <v:stroke on="f" weight="0.5pt"/>
              <v:imagedata o:title=""/>
              <o:lock v:ext="edit" aspectratio="f"/>
              <v:textbox inset="0mm,0mm,0mm,0mm" style="mso-fit-shape-to-text:t;">
                <w:txbxContent>
                  <w:p>
                    <w:pPr>
                      <w:pStyle w:val="19"/>
                      <w:tabs>
                        <w:tab w:val="center" w:pos="4153"/>
                        <w:tab w:val="right" w:pos="8306"/>
                        <w:tab w:val="clear" w:pos="0"/>
                      </w:tabs>
                      <w:jc w:val="center"/>
                    </w:pPr>
                    <w:r>
                      <w:fldChar w:fldCharType="begin"/>
                    </w:r>
                    <w:r>
                      <w:instrText xml:space="preserve">PAGE   \* MERGEFORMAT</w:instrText>
                    </w:r>
                    <w:r>
                      <w:fldChar w:fldCharType="separate"/>
                    </w:r>
                    <w:r>
                      <w:rPr>
                        <w:lang w:val="zh-CN"/>
                      </w:rPr>
                      <w:t>137</w:t>
                    </w:r>
                    <w:r>
                      <w:rPr>
                        <w:lang w:val="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153"/>
        <w:tab w:val="right" w:pos="8306"/>
        <w:tab w:val="clear" w:pos="0"/>
      </w:tabs>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73990" cy="139700"/>
              <wp:effectExtent l="0" t="0" r="0" b="0"/>
              <wp:wrapNone/>
              <wp:docPr id="224" name="文本框 224"/>
              <wp:cNvGraphicFramePr/>
              <a:graphic xmlns:a="http://schemas.openxmlformats.org/drawingml/2006/main">
                <a:graphicData uri="http://schemas.microsoft.com/office/word/2010/wordprocessingShape">
                  <wps:wsp>
                    <wps:cNvSpPr txBox="1">
                      <a:spLocks noChangeArrowheads="1"/>
                    </wps:cNvSpPr>
                    <wps:spPr bwMode="auto">
                      <a:xfrm>
                        <a:off x="0" y="0"/>
                        <a:ext cx="173990" cy="139700"/>
                      </a:xfrm>
                      <a:prstGeom prst="rect">
                        <a:avLst/>
                      </a:prstGeom>
                      <a:noFill/>
                      <a:ln>
                        <a:noFill/>
                      </a:ln>
                      <a:effectLst/>
                    </wps:spPr>
                    <wps:txbx>
                      <w:txbxContent>
                        <w:p>
                          <w:pPr>
                            <w:pStyle w:val="19"/>
                            <w:tabs>
                              <w:tab w:val="center" w:pos="4153"/>
                              <w:tab w:val="right" w:pos="8306"/>
                              <w:tab w:val="clear" w:pos="0"/>
                            </w:tabs>
                          </w:pPr>
                          <w:r>
                            <w:fldChar w:fldCharType="begin"/>
                          </w:r>
                          <w:r>
                            <w:instrText xml:space="preserve"> PAGE  \* MERGEFORMAT </w:instrText>
                          </w:r>
                          <w:r>
                            <w:fldChar w:fldCharType="separate"/>
                          </w:r>
                          <w:r>
                            <w:t>164</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pt;width:13.7pt;mso-position-horizontal:center;mso-position-horizontal-relative:margin;mso-wrap-style:none;z-index:251666432;mso-width-relative:page;mso-height-relative:page;" filled="f" stroked="f" coordsize="21600,21600" o:gfxdata="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cY7WrQAAAAAwEAAA8AAAAAAAAAAQAgAAAAIgAA&#10;AGRycy9kb3ducmV2LnhtbFBLAQIUABQAAAAIAIdO4kAGrWskEAIAABQEAAAOAAAAAAAAAAEAIAAA&#10;AB8BAABkcnMvZTJvRG9jLnhtbFBLBQYAAAAABgAGAFkBAAChBQAAAAA=&#10;">
              <v:fill on="f" focussize="0,0"/>
              <v:stroke on="f"/>
              <v:imagedata o:title=""/>
              <o:lock v:ext="edit" aspectratio="f"/>
              <v:textbox inset="0mm,0mm,0mm,0mm" style="mso-fit-shape-to-text:t;">
                <w:txbxContent>
                  <w:p>
                    <w:pPr>
                      <w:pStyle w:val="19"/>
                      <w:tabs>
                        <w:tab w:val="center" w:pos="4153"/>
                        <w:tab w:val="right" w:pos="8306"/>
                        <w:tab w:val="clear" w:pos="0"/>
                      </w:tabs>
                    </w:pPr>
                    <w:r>
                      <w:fldChar w:fldCharType="begin"/>
                    </w:r>
                    <w:r>
                      <w:instrText xml:space="preserve"> PAGE  \* MERGEFORMAT </w:instrText>
                    </w:r>
                    <w:r>
                      <w:fldChar w:fldCharType="separate"/>
                    </w:r>
                    <w:r>
                      <w:t>164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153"/>
        <w:tab w:val="right" w:pos="8306"/>
        <w:tab w:val="clear" w:pos="0"/>
      </w:tabs>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67640" cy="131445"/>
              <wp:effectExtent l="0" t="0" r="0" b="0"/>
              <wp:wrapNone/>
              <wp:docPr id="226" name="文本框 226"/>
              <wp:cNvGraphicFramePr/>
              <a:graphic xmlns:a="http://schemas.openxmlformats.org/drawingml/2006/main">
                <a:graphicData uri="http://schemas.microsoft.com/office/word/2010/wordprocessingShape">
                  <wps:wsp>
                    <wps:cNvSpPr txBox="1">
                      <a:spLocks noChangeArrowheads="1"/>
                    </wps:cNvSpPr>
                    <wps:spPr bwMode="auto">
                      <a:xfrm>
                        <a:off x="0" y="0"/>
                        <a:ext cx="167640" cy="131445"/>
                      </a:xfrm>
                      <a:prstGeom prst="rect">
                        <a:avLst/>
                      </a:prstGeom>
                      <a:noFill/>
                      <a:ln>
                        <a:noFill/>
                      </a:ln>
                      <a:effectLst/>
                    </wps:spPr>
                    <wps:txbx>
                      <w:txbxContent>
                        <w:p>
                          <w:pPr>
                            <w:pStyle w:val="19"/>
                            <w:tabs>
                              <w:tab w:val="center" w:pos="4153"/>
                              <w:tab w:val="right" w:pos="8306"/>
                              <w:tab w:val="clear" w:pos="0"/>
                            </w:tabs>
                          </w:pPr>
                          <w:r>
                            <w:fldChar w:fldCharType="begin"/>
                          </w:r>
                          <w:r>
                            <w:instrText xml:space="preserve"> PAGE  \* MERGEFORMAT </w:instrText>
                          </w:r>
                          <w:r>
                            <w:fldChar w:fldCharType="separate"/>
                          </w:r>
                          <w:r>
                            <w:t>202</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13.2pt;mso-position-horizontal:center;mso-position-horizontal-relative:margin;mso-wrap-style:none;z-index:251665408;mso-width-relative:page;mso-height-relative:page;" filled="f" stroked="f" coordsize="21600,21600" o:gfxdata="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NGKjr0QAAAAMBAAAPAAAAAAAAAAEAIAAAACIA&#10;AABkcnMvZG93bnJldi54bWxQSwECFAAUAAAACACHTuJAPewC7xACAAAUBAAADgAAAAAAAAABACAA&#10;AAAgAQAAZHJzL2Uyb0RvYy54bWxQSwUGAAAAAAYABgBZAQAAogUAAAAA&#10;">
              <v:fill on="f" focussize="0,0"/>
              <v:stroke on="f"/>
              <v:imagedata o:title=""/>
              <o:lock v:ext="edit" aspectratio="f"/>
              <v:textbox inset="0mm,0mm,0mm,0mm" style="mso-fit-shape-to-text:t;">
                <w:txbxContent>
                  <w:p>
                    <w:pPr>
                      <w:pStyle w:val="19"/>
                      <w:tabs>
                        <w:tab w:val="center" w:pos="4153"/>
                        <w:tab w:val="right" w:pos="8306"/>
                        <w:tab w:val="clear" w:pos="0"/>
                      </w:tabs>
                    </w:pPr>
                    <w:r>
                      <w:fldChar w:fldCharType="begin"/>
                    </w:r>
                    <w:r>
                      <w:instrText xml:space="preserve"> PAGE  \* MERGEFORMAT </w:instrText>
                    </w:r>
                    <w:r>
                      <w:fldChar w:fldCharType="separate"/>
                    </w:r>
                    <w:r>
                      <w:t>202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tabs>
        <w:tab w:val="center" w:pos="4153"/>
        <w:tab w:val="right" w:pos="8306"/>
        <w:tab w:val="clear" w:pos="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enter" w:pos="4153"/>
        <w:tab w:val="right" w:pos="8306"/>
        <w:tab w:val="clear" w:pos="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tabs>
        <w:tab w:val="center" w:pos="4153"/>
        <w:tab w:val="right" w:pos="8306"/>
        <w:tab w:val="clear" w:pos="0"/>
      </w:tabs>
      <w:jc w:val="left"/>
      <w:rPr>
        <w:rFonts w:hint="eastAsia" w:eastAsia="宋体"/>
        <w:b/>
        <w:bCs/>
        <w:lang w:eastAsia="zh-CN"/>
      </w:rPr>
    </w:pPr>
    <w:r>
      <w:rPr>
        <w:rFonts w:hint="eastAsia"/>
        <w:b/>
        <w:bCs/>
        <w:lang w:eastAsia="zh-CN"/>
      </w:rPr>
      <w:t>四川意惠采购招标代理有限公司</w:t>
    </w:r>
  </w:p>
  <w:p>
    <w:pPr>
      <w:pStyle w:val="20"/>
      <w:pBdr>
        <w:bottom w:val="single" w:color="auto" w:sz="4" w:space="1"/>
      </w:pBdr>
      <w:tabs>
        <w:tab w:val="center" w:pos="4153"/>
        <w:tab w:val="right" w:pos="8306"/>
        <w:tab w:val="clear" w:pos="0"/>
      </w:tabs>
      <w:jc w:val="left"/>
    </w:pPr>
    <w:r>
      <w:rPr>
        <w:rFonts w:hint="eastAsia"/>
        <w:b/>
        <w:bCs/>
      </w:rPr>
      <w:t xml:space="preserve">Si Chuan </w:t>
    </w:r>
    <w:r>
      <w:rPr>
        <w:rFonts w:hint="eastAsia"/>
        <w:b/>
        <w:bCs/>
        <w:lang w:val="en-US" w:eastAsia="zh-CN"/>
      </w:rPr>
      <w:t>Yi Hui</w:t>
    </w:r>
    <w:r>
      <w:rPr>
        <w:rFonts w:hint="eastAsia"/>
        <w:b/>
        <w:bCs/>
      </w:rPr>
      <w:t xml:space="preserve"> Tendering and Bidding Agency Co.Ltd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tabs>
        <w:tab w:val="center" w:pos="4153"/>
        <w:tab w:val="right" w:pos="8306"/>
        <w:tab w:val="clear" w:pos="0"/>
      </w:tabs>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tabs>
        <w:tab w:val="center" w:pos="4153"/>
        <w:tab w:val="right" w:pos="8306"/>
        <w:tab w:val="clear" w:pos="0"/>
      </w:tabs>
      <w:jc w:val="left"/>
      <w:rPr>
        <w:rFonts w:asciiTheme="minorEastAsia" w:hAnsiTheme="minorEastAsia" w:cstheme="min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1FE097"/>
    <w:multiLevelType w:val="singleLevel"/>
    <w:tmpl w:val="881FE097"/>
    <w:lvl w:ilvl="0" w:tentative="0">
      <w:start w:val="1"/>
      <w:numFmt w:val="decimal"/>
      <w:lvlText w:val="%1."/>
      <w:lvlJc w:val="left"/>
      <w:pPr>
        <w:tabs>
          <w:tab w:val="left" w:pos="312"/>
        </w:tabs>
      </w:pPr>
    </w:lvl>
  </w:abstractNum>
  <w:abstractNum w:abstractNumId="1">
    <w:nsid w:val="8A56274B"/>
    <w:multiLevelType w:val="singleLevel"/>
    <w:tmpl w:val="8A56274B"/>
    <w:lvl w:ilvl="0" w:tentative="0">
      <w:start w:val="1"/>
      <w:numFmt w:val="decimal"/>
      <w:lvlText w:val="%1."/>
      <w:lvlJc w:val="left"/>
      <w:pPr>
        <w:tabs>
          <w:tab w:val="left" w:pos="312"/>
        </w:tabs>
      </w:pPr>
    </w:lvl>
  </w:abstractNum>
  <w:abstractNum w:abstractNumId="2">
    <w:nsid w:val="9F267563"/>
    <w:multiLevelType w:val="singleLevel"/>
    <w:tmpl w:val="9F267563"/>
    <w:lvl w:ilvl="0" w:tentative="0">
      <w:start w:val="1"/>
      <w:numFmt w:val="decimal"/>
      <w:lvlText w:val="%1."/>
      <w:lvlJc w:val="left"/>
      <w:pPr>
        <w:tabs>
          <w:tab w:val="left" w:pos="312"/>
        </w:tabs>
      </w:pPr>
    </w:lvl>
  </w:abstractNum>
  <w:abstractNum w:abstractNumId="3">
    <w:nsid w:val="B04D8E0A"/>
    <w:multiLevelType w:val="multilevel"/>
    <w:tmpl w:val="B04D8E0A"/>
    <w:lvl w:ilvl="0" w:tentative="0">
      <w:start w:val="1"/>
      <w:numFmt w:val="chineseCounting"/>
      <w:pStyle w:val="54"/>
      <w:suff w:val="nothing"/>
      <w:lvlText w:val="第%1章 "/>
      <w:lvlJc w:val="left"/>
      <w:pPr>
        <w:tabs>
          <w:tab w:val="left" w:pos="0"/>
        </w:tabs>
        <w:ind w:left="0" w:firstLine="0"/>
      </w:pPr>
      <w:rPr>
        <w:rFonts w:hint="eastAsia" w:ascii="宋体" w:hAnsi="宋体" w:eastAsia="宋体" w:cs="宋体"/>
      </w:rPr>
    </w:lvl>
    <w:lvl w:ilvl="1" w:tentative="0">
      <w:start w:val="1"/>
      <w:numFmt w:val="chineseCounting"/>
      <w:pStyle w:val="41"/>
      <w:suff w:val="nothing"/>
      <w:lvlText w:val="%2、"/>
      <w:lvlJc w:val="left"/>
      <w:pPr>
        <w:ind w:left="0" w:firstLine="0"/>
      </w:pPr>
      <w:rPr>
        <w:rFonts w:hint="eastAsia" w:ascii="宋体" w:hAnsi="宋体" w:eastAsia="宋体" w:cs="宋体"/>
      </w:rPr>
    </w:lvl>
    <w:lvl w:ilvl="2" w:tentative="0">
      <w:start w:val="1"/>
      <w:numFmt w:val="chineseCounting"/>
      <w:pStyle w:val="55"/>
      <w:suff w:val="nothing"/>
      <w:lvlText w:val="(%3)"/>
      <w:lvlJc w:val="left"/>
      <w:pPr>
        <w:tabs>
          <w:tab w:val="left" w:pos="0"/>
        </w:tabs>
        <w:ind w:left="0" w:firstLine="0"/>
      </w:pPr>
      <w:rPr>
        <w:rFonts w:hint="eastAsia" w:ascii="宋体" w:hAnsi="宋体" w:eastAsia="宋体" w:cs="宋体"/>
      </w:rPr>
    </w:lvl>
    <w:lvl w:ilvl="3" w:tentative="0">
      <w:start w:val="1"/>
      <w:numFmt w:val="decimal"/>
      <w:pStyle w:val="69"/>
      <w:suff w:val="nothing"/>
      <w:lvlText w:val="%4."/>
      <w:lvlJc w:val="left"/>
      <w:pPr>
        <w:tabs>
          <w:tab w:val="left" w:pos="0"/>
        </w:tabs>
        <w:ind w:left="0" w:firstLine="0"/>
      </w:pPr>
      <w:rPr>
        <w:rFonts w:hint="eastAsia" w:ascii="宋体" w:hAnsi="宋体" w:eastAsia="宋体" w:cs="宋体"/>
      </w:rPr>
    </w:lvl>
    <w:lvl w:ilvl="4" w:tentative="0">
      <w:start w:val="1"/>
      <w:numFmt w:val="decimal"/>
      <w:pStyle w:val="70"/>
      <w:suff w:val="nothing"/>
      <w:lvlText w:val="%4.%5"/>
      <w:lvlJc w:val="left"/>
      <w:pPr>
        <w:ind w:left="0" w:firstLine="0"/>
      </w:pPr>
      <w:rPr>
        <w:rFonts w:hint="eastAsia" w:ascii="宋体" w:hAnsi="宋体" w:eastAsia="宋体" w:cs="宋体"/>
      </w:rPr>
    </w:lvl>
    <w:lvl w:ilvl="5" w:tentative="0">
      <w:start w:val="1"/>
      <w:numFmt w:val="decimal"/>
      <w:pStyle w:val="71"/>
      <w:suff w:val="nothing"/>
      <w:lvlText w:val="(%6)"/>
      <w:lvlJc w:val="left"/>
      <w:pPr>
        <w:ind w:left="0" w:firstLine="0"/>
      </w:pPr>
      <w:rPr>
        <w:rFonts w:hint="eastAsia" w:ascii="宋体" w:hAnsi="宋体" w:eastAsia="宋体" w:cs="宋体"/>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4">
    <w:nsid w:val="C7F53590"/>
    <w:multiLevelType w:val="multilevel"/>
    <w:tmpl w:val="C7F53590"/>
    <w:lvl w:ilvl="0" w:tentative="0">
      <w:start w:val="1"/>
      <w:numFmt w:val="decimal"/>
      <w:pStyle w:val="45"/>
      <w:suff w:val="nothing"/>
      <w:lvlText w:val="%1."/>
      <w:lvlJc w:val="left"/>
      <w:pPr>
        <w:tabs>
          <w:tab w:val="left" w:pos="420"/>
        </w:tabs>
        <w:ind w:left="0" w:firstLine="0"/>
      </w:pPr>
      <w:rPr>
        <w:rFonts w:hint="default" w:ascii="宋体" w:hAnsi="宋体" w:eastAsia="宋体" w:cs="宋体"/>
      </w:rPr>
    </w:lvl>
    <w:lvl w:ilvl="1" w:tentative="0">
      <w:start w:val="1"/>
      <w:numFmt w:val="decimal"/>
      <w:pStyle w:val="46"/>
      <w:suff w:val="nothing"/>
      <w:lvlText w:val="%1.%2"/>
      <w:lvlJc w:val="left"/>
      <w:pPr>
        <w:tabs>
          <w:tab w:val="left" w:pos="420"/>
        </w:tabs>
        <w:ind w:left="0" w:firstLine="0"/>
      </w:pPr>
      <w:rPr>
        <w:rFonts w:hint="default" w:ascii="宋体" w:hAnsi="宋体" w:eastAsia="宋体" w:cs="宋体"/>
      </w:rPr>
    </w:lvl>
    <w:lvl w:ilvl="2" w:tentative="0">
      <w:start w:val="1"/>
      <w:numFmt w:val="decimal"/>
      <w:pStyle w:val="33"/>
      <w:suff w:val="nothing"/>
      <w:lvlText w:val="%1.%2.%3"/>
      <w:lvlJc w:val="left"/>
      <w:pPr>
        <w:tabs>
          <w:tab w:val="left" w:pos="420"/>
        </w:tabs>
        <w:ind w:left="0" w:firstLine="0"/>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CA240A61"/>
    <w:multiLevelType w:val="singleLevel"/>
    <w:tmpl w:val="CA240A61"/>
    <w:lvl w:ilvl="0" w:tentative="0">
      <w:start w:val="1"/>
      <w:numFmt w:val="chineseCounting"/>
      <w:pStyle w:val="79"/>
      <w:suff w:val="nothing"/>
      <w:lvlText w:val="(%1)"/>
      <w:lvlJc w:val="left"/>
      <w:pPr>
        <w:ind w:left="0" w:firstLine="0"/>
      </w:pPr>
      <w:rPr>
        <w:rFonts w:hint="eastAsia"/>
      </w:rPr>
    </w:lvl>
  </w:abstractNum>
  <w:abstractNum w:abstractNumId="6">
    <w:nsid w:val="D2F3B81A"/>
    <w:multiLevelType w:val="singleLevel"/>
    <w:tmpl w:val="D2F3B81A"/>
    <w:lvl w:ilvl="0" w:tentative="0">
      <w:start w:val="1"/>
      <w:numFmt w:val="chineseCounting"/>
      <w:pStyle w:val="49"/>
      <w:suff w:val="nothing"/>
      <w:lvlText w:val="%1、"/>
      <w:lvlJc w:val="left"/>
      <w:pPr>
        <w:ind w:left="0" w:firstLine="0"/>
      </w:pPr>
      <w:rPr>
        <w:rFonts w:hint="eastAsia"/>
      </w:rPr>
    </w:lvl>
  </w:abstractNum>
  <w:abstractNum w:abstractNumId="7">
    <w:nsid w:val="DCCDE3B6"/>
    <w:multiLevelType w:val="singleLevel"/>
    <w:tmpl w:val="DCCDE3B6"/>
    <w:lvl w:ilvl="0" w:tentative="0">
      <w:start w:val="1"/>
      <w:numFmt w:val="decimal"/>
      <w:lvlText w:val="%1"/>
      <w:lvlJc w:val="left"/>
      <w:pPr>
        <w:tabs>
          <w:tab w:val="left" w:pos="0"/>
        </w:tabs>
        <w:ind w:left="0" w:firstLine="0"/>
      </w:pPr>
      <w:rPr>
        <w:rFonts w:hint="default"/>
      </w:rPr>
    </w:lvl>
  </w:abstractNum>
  <w:abstractNum w:abstractNumId="8">
    <w:nsid w:val="E1C6327C"/>
    <w:multiLevelType w:val="multilevel"/>
    <w:tmpl w:val="E1C6327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pStyle w:val="39"/>
      <w:suff w:val="nothing"/>
      <w:lvlText w:val="(%2)"/>
      <w:lvlJc w:val="left"/>
      <w:pPr>
        <w:ind w:left="0" w:firstLine="0"/>
      </w:pPr>
      <w:rPr>
        <w:rFonts w:hint="eastAsia" w:ascii="宋体" w:hAnsi="宋体" w:eastAsia="宋体" w:cs="宋体"/>
      </w:rPr>
    </w:lvl>
    <w:lvl w:ilvl="2" w:tentative="0">
      <w:start w:val="1"/>
      <w:numFmt w:val="decimal"/>
      <w:pStyle w:val="42"/>
      <w:suff w:val="nothing"/>
      <w:lvlText w:val="%3."/>
      <w:lvlJc w:val="left"/>
      <w:pPr>
        <w:ind w:left="0" w:firstLine="0"/>
      </w:pPr>
      <w:rPr>
        <w:rFonts w:hint="eastAsia" w:ascii="宋体" w:hAnsi="宋体" w:eastAsia="宋体" w:cs="宋体"/>
      </w:rPr>
    </w:lvl>
    <w:lvl w:ilvl="3" w:tentative="0">
      <w:start w:val="1"/>
      <w:numFmt w:val="decimal"/>
      <w:pStyle w:val="43"/>
      <w:suff w:val="nothing"/>
      <w:lvlText w:val="%3.%4"/>
      <w:lvlJc w:val="left"/>
      <w:pPr>
        <w:ind w:left="0" w:firstLine="0"/>
      </w:pPr>
      <w:rPr>
        <w:rFonts w:hint="eastAsia" w:ascii="宋体" w:hAnsi="宋体" w:eastAsia="宋体" w:cs="宋体"/>
      </w:rPr>
    </w:lvl>
    <w:lvl w:ilvl="4" w:tentative="0">
      <w:start w:val="1"/>
      <w:numFmt w:val="decimal"/>
      <w:pStyle w:val="44"/>
      <w:suff w:val="nothing"/>
      <w:lvlText w:val="(%5)"/>
      <w:lvlJc w:val="left"/>
      <w:pPr>
        <w:ind w:left="0" w:firstLine="0"/>
      </w:pPr>
      <w:rPr>
        <w:rFonts w:hint="eastAsia" w:ascii="宋体" w:hAnsi="宋体" w:eastAsia="宋体" w:cs="宋体"/>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9">
    <w:nsid w:val="E69990DB"/>
    <w:multiLevelType w:val="singleLevel"/>
    <w:tmpl w:val="E69990DB"/>
    <w:lvl w:ilvl="0" w:tentative="0">
      <w:start w:val="1"/>
      <w:numFmt w:val="chineseCounting"/>
      <w:suff w:val="nothing"/>
      <w:lvlText w:val="%1、"/>
      <w:lvlJc w:val="left"/>
      <w:pPr>
        <w:ind w:left="0" w:firstLine="420"/>
      </w:pPr>
      <w:rPr>
        <w:rFonts w:hint="eastAsia"/>
      </w:rPr>
    </w:lvl>
  </w:abstractNum>
  <w:abstractNum w:abstractNumId="10">
    <w:nsid w:val="FABA3C29"/>
    <w:multiLevelType w:val="singleLevel"/>
    <w:tmpl w:val="FABA3C29"/>
    <w:lvl w:ilvl="0" w:tentative="0">
      <w:start w:val="1"/>
      <w:numFmt w:val="chineseCounting"/>
      <w:suff w:val="nothing"/>
      <w:lvlText w:val="%1、"/>
      <w:lvlJc w:val="left"/>
      <w:pPr>
        <w:ind w:left="0" w:firstLine="420"/>
      </w:pPr>
      <w:rPr>
        <w:rFonts w:hint="eastAsia"/>
      </w:rPr>
    </w:lvl>
  </w:abstractNum>
  <w:abstractNum w:abstractNumId="11">
    <w:nsid w:val="FD1041EA"/>
    <w:multiLevelType w:val="singleLevel"/>
    <w:tmpl w:val="FD1041EA"/>
    <w:lvl w:ilvl="0" w:tentative="0">
      <w:start w:val="1"/>
      <w:numFmt w:val="decimal"/>
      <w:lvlText w:val="(%1)"/>
      <w:lvlJc w:val="left"/>
      <w:pPr>
        <w:tabs>
          <w:tab w:val="left" w:pos="312"/>
        </w:tabs>
      </w:pPr>
    </w:lvl>
  </w:abstractNum>
  <w:abstractNum w:abstractNumId="12">
    <w:nsid w:val="0000000D"/>
    <w:multiLevelType w:val="singleLevel"/>
    <w:tmpl w:val="0000000D"/>
    <w:lvl w:ilvl="0" w:tentative="0">
      <w:start w:val="1"/>
      <w:numFmt w:val="decimal"/>
      <w:suff w:val="nothing"/>
      <w:lvlText w:val="（%1）"/>
      <w:lvlJc w:val="left"/>
    </w:lvl>
  </w:abstractNum>
  <w:abstractNum w:abstractNumId="13">
    <w:nsid w:val="0000000F"/>
    <w:multiLevelType w:val="singleLevel"/>
    <w:tmpl w:val="0000000F"/>
    <w:lvl w:ilvl="0" w:tentative="0">
      <w:start w:val="1"/>
      <w:numFmt w:val="decimal"/>
      <w:lvlText w:val="%1、"/>
      <w:lvlJc w:val="left"/>
      <w:pPr>
        <w:tabs>
          <w:tab w:val="left" w:pos="990"/>
        </w:tabs>
        <w:ind w:left="990" w:hanging="420"/>
      </w:pPr>
      <w:rPr>
        <w:rFonts w:hint="eastAsia"/>
      </w:rPr>
    </w:lvl>
  </w:abstractNum>
  <w:abstractNum w:abstractNumId="14">
    <w:nsid w:val="04BC4D67"/>
    <w:multiLevelType w:val="multilevel"/>
    <w:tmpl w:val="04BC4D6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5F83103"/>
    <w:multiLevelType w:val="multilevel"/>
    <w:tmpl w:val="05F8310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7C0D5F4"/>
    <w:multiLevelType w:val="singleLevel"/>
    <w:tmpl w:val="07C0D5F4"/>
    <w:lvl w:ilvl="0" w:tentative="0">
      <w:start w:val="1"/>
      <w:numFmt w:val="chineseCounting"/>
      <w:suff w:val="nothing"/>
      <w:lvlText w:val="%1、"/>
      <w:lvlJc w:val="left"/>
      <w:pPr>
        <w:ind w:left="0" w:firstLine="420"/>
      </w:pPr>
      <w:rPr>
        <w:rFonts w:hint="eastAsia"/>
      </w:rPr>
    </w:lvl>
  </w:abstractNum>
  <w:abstractNum w:abstractNumId="17">
    <w:nsid w:val="0D3DD0CB"/>
    <w:multiLevelType w:val="singleLevel"/>
    <w:tmpl w:val="0D3DD0CB"/>
    <w:lvl w:ilvl="0" w:tentative="0">
      <w:start w:val="1"/>
      <w:numFmt w:val="decimal"/>
      <w:lvlText w:val="%1."/>
      <w:lvlJc w:val="left"/>
      <w:pPr>
        <w:tabs>
          <w:tab w:val="left" w:pos="312"/>
        </w:tabs>
      </w:pPr>
    </w:lvl>
  </w:abstractNum>
  <w:abstractNum w:abstractNumId="18">
    <w:nsid w:val="1C7E47F4"/>
    <w:multiLevelType w:val="singleLevel"/>
    <w:tmpl w:val="1C7E47F4"/>
    <w:lvl w:ilvl="0" w:tentative="0">
      <w:start w:val="1"/>
      <w:numFmt w:val="decimal"/>
      <w:lvlText w:val="%1."/>
      <w:lvlJc w:val="left"/>
      <w:pPr>
        <w:ind w:left="420" w:hanging="420"/>
      </w:pPr>
    </w:lvl>
  </w:abstractNum>
  <w:abstractNum w:abstractNumId="19">
    <w:nsid w:val="2FB32FBB"/>
    <w:multiLevelType w:val="singleLevel"/>
    <w:tmpl w:val="2FB32FBB"/>
    <w:lvl w:ilvl="0" w:tentative="0">
      <w:start w:val="1"/>
      <w:numFmt w:val="decimal"/>
      <w:lvlText w:val="%1."/>
      <w:lvlJc w:val="left"/>
      <w:pPr>
        <w:ind w:left="420" w:hanging="420"/>
      </w:pPr>
    </w:lvl>
  </w:abstractNum>
  <w:abstractNum w:abstractNumId="20">
    <w:nsid w:val="39DD1069"/>
    <w:multiLevelType w:val="multilevel"/>
    <w:tmpl w:val="39DD106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4"/>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22">
    <w:nsid w:val="425CD2EF"/>
    <w:multiLevelType w:val="singleLevel"/>
    <w:tmpl w:val="425CD2EF"/>
    <w:lvl w:ilvl="0" w:tentative="0">
      <w:start w:val="1"/>
      <w:numFmt w:val="decimal"/>
      <w:lvlText w:val="%1."/>
      <w:lvlJc w:val="left"/>
      <w:pPr>
        <w:tabs>
          <w:tab w:val="left" w:pos="312"/>
        </w:tabs>
      </w:pPr>
    </w:lvl>
  </w:abstractNum>
  <w:abstractNum w:abstractNumId="23">
    <w:nsid w:val="5D053081"/>
    <w:multiLevelType w:val="singleLevel"/>
    <w:tmpl w:val="5D053081"/>
    <w:lvl w:ilvl="0" w:tentative="0">
      <w:start w:val="1"/>
      <w:numFmt w:val="chineseCounting"/>
      <w:suff w:val="nothing"/>
      <w:lvlText w:val="%1、"/>
      <w:lvlJc w:val="left"/>
      <w:pPr>
        <w:ind w:left="0" w:firstLine="420"/>
      </w:pPr>
      <w:rPr>
        <w:rFonts w:hint="eastAsia"/>
      </w:rPr>
    </w:lvl>
  </w:abstractNum>
  <w:abstractNum w:abstractNumId="24">
    <w:nsid w:val="5DB958A1"/>
    <w:multiLevelType w:val="multilevel"/>
    <w:tmpl w:val="5DB958A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60DD4B0A"/>
    <w:multiLevelType w:val="multilevel"/>
    <w:tmpl w:val="60DD4B0A"/>
    <w:lvl w:ilvl="0" w:tentative="0">
      <w:start w:val="1"/>
      <w:numFmt w:val="decimal"/>
      <w:lvlText w:val="%1."/>
      <w:lvlJc w:val="left"/>
      <w:pPr>
        <w:ind w:left="600" w:hanging="420"/>
      </w:pPr>
    </w:lvl>
    <w:lvl w:ilvl="1" w:tentative="0">
      <w:start w:val="1"/>
      <w:numFmt w:val="lowerLetter"/>
      <w:lvlText w:val="%2)"/>
      <w:lvlJc w:val="left"/>
      <w:pPr>
        <w:ind w:left="1020" w:hanging="420"/>
      </w:pPr>
    </w:lvl>
    <w:lvl w:ilvl="2" w:tentative="0">
      <w:start w:val="1"/>
      <w:numFmt w:val="lowerRoman"/>
      <w:lvlText w:val="%3."/>
      <w:lvlJc w:val="right"/>
      <w:pPr>
        <w:ind w:left="1440" w:hanging="420"/>
      </w:pPr>
    </w:lvl>
    <w:lvl w:ilvl="3" w:tentative="0">
      <w:start w:val="1"/>
      <w:numFmt w:val="decimal"/>
      <w:lvlText w:val="%4."/>
      <w:lvlJc w:val="left"/>
      <w:pPr>
        <w:ind w:left="1860" w:hanging="420"/>
      </w:pPr>
    </w:lvl>
    <w:lvl w:ilvl="4" w:tentative="0">
      <w:start w:val="1"/>
      <w:numFmt w:val="lowerLetter"/>
      <w:lvlText w:val="%5)"/>
      <w:lvlJc w:val="left"/>
      <w:pPr>
        <w:ind w:left="2280" w:hanging="420"/>
      </w:pPr>
    </w:lvl>
    <w:lvl w:ilvl="5" w:tentative="0">
      <w:start w:val="1"/>
      <w:numFmt w:val="lowerRoman"/>
      <w:lvlText w:val="%6."/>
      <w:lvlJc w:val="right"/>
      <w:pPr>
        <w:ind w:left="2700" w:hanging="420"/>
      </w:pPr>
    </w:lvl>
    <w:lvl w:ilvl="6" w:tentative="0">
      <w:start w:val="1"/>
      <w:numFmt w:val="decimal"/>
      <w:lvlText w:val="%7."/>
      <w:lvlJc w:val="left"/>
      <w:pPr>
        <w:ind w:left="3120" w:hanging="420"/>
      </w:pPr>
    </w:lvl>
    <w:lvl w:ilvl="7" w:tentative="0">
      <w:start w:val="1"/>
      <w:numFmt w:val="lowerLetter"/>
      <w:lvlText w:val="%8)"/>
      <w:lvlJc w:val="left"/>
      <w:pPr>
        <w:ind w:left="3540" w:hanging="420"/>
      </w:pPr>
    </w:lvl>
    <w:lvl w:ilvl="8" w:tentative="0">
      <w:start w:val="1"/>
      <w:numFmt w:val="lowerRoman"/>
      <w:lvlText w:val="%9."/>
      <w:lvlJc w:val="right"/>
      <w:pPr>
        <w:ind w:left="3960" w:hanging="420"/>
      </w:pPr>
    </w:lvl>
  </w:abstractNum>
  <w:abstractNum w:abstractNumId="26">
    <w:nsid w:val="692B5B47"/>
    <w:multiLevelType w:val="singleLevel"/>
    <w:tmpl w:val="692B5B47"/>
    <w:lvl w:ilvl="0" w:tentative="0">
      <w:start w:val="1"/>
      <w:numFmt w:val="chineseCounting"/>
      <w:suff w:val="nothing"/>
      <w:lvlText w:val="%1、"/>
      <w:lvlJc w:val="left"/>
      <w:rPr>
        <w:rFonts w:hint="eastAsia"/>
      </w:rPr>
    </w:lvl>
  </w:abstractNum>
  <w:abstractNum w:abstractNumId="27">
    <w:nsid w:val="6DE64C98"/>
    <w:multiLevelType w:val="singleLevel"/>
    <w:tmpl w:val="6DE64C98"/>
    <w:lvl w:ilvl="0" w:tentative="0">
      <w:start w:val="3"/>
      <w:numFmt w:val="decimal"/>
      <w:lvlText w:val="(%1)"/>
      <w:lvlJc w:val="left"/>
      <w:pPr>
        <w:tabs>
          <w:tab w:val="left" w:pos="312"/>
        </w:tabs>
      </w:pPr>
    </w:lvl>
  </w:abstractNum>
  <w:num w:numId="1">
    <w:abstractNumId w:val="8"/>
  </w:num>
  <w:num w:numId="2">
    <w:abstractNumId w:val="4"/>
  </w:num>
  <w:num w:numId="3">
    <w:abstractNumId w:val="21"/>
  </w:num>
  <w:num w:numId="4">
    <w:abstractNumId w:val="3"/>
  </w:num>
  <w:num w:numId="5">
    <w:abstractNumId w:val="6"/>
  </w:num>
  <w:num w:numId="6">
    <w:abstractNumId w:val="5"/>
  </w:num>
  <w:num w:numId="7">
    <w:abstractNumId w:val="16"/>
  </w:num>
  <w:num w:numId="8">
    <w:abstractNumId w:val="27"/>
  </w:num>
  <w:num w:numId="9">
    <w:abstractNumId w:val="7"/>
  </w:num>
  <w:num w:numId="10">
    <w:abstractNumId w:val="0"/>
  </w:num>
  <w:num w:numId="11">
    <w:abstractNumId w:val="11"/>
  </w:num>
  <w:num w:numId="12">
    <w:abstractNumId w:val="26"/>
  </w:num>
  <w:num w:numId="13">
    <w:abstractNumId w:val="17"/>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0"/>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1"/>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
  </w:num>
  <w:num w:numId="56">
    <w:abstractNumId w:val="14"/>
  </w:num>
  <w:num w:numId="57">
    <w:abstractNumId w:val="18"/>
  </w:num>
  <w:num w:numId="58">
    <w:abstractNumId w:val="19"/>
  </w:num>
  <w:num w:numId="59">
    <w:abstractNumId w:val="24"/>
  </w:num>
  <w:num w:numId="60">
    <w:abstractNumId w:val="25"/>
  </w:num>
  <w:num w:numId="61">
    <w:abstractNumId w:val="20"/>
  </w:num>
  <w:num w:numId="62">
    <w:abstractNumId w:val="12"/>
  </w:num>
  <w:num w:numId="6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0"/>
  <w:drawingGridHorizontalSpacing w:val="210"/>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00A"/>
    <w:rsid w:val="000168D4"/>
    <w:rsid w:val="00040C8A"/>
    <w:rsid w:val="000504D4"/>
    <w:rsid w:val="00050929"/>
    <w:rsid w:val="00071F90"/>
    <w:rsid w:val="00080967"/>
    <w:rsid w:val="00083410"/>
    <w:rsid w:val="00083A85"/>
    <w:rsid w:val="000952C1"/>
    <w:rsid w:val="000A22EE"/>
    <w:rsid w:val="000C01AE"/>
    <w:rsid w:val="000D7DD0"/>
    <w:rsid w:val="0010191C"/>
    <w:rsid w:val="001025A9"/>
    <w:rsid w:val="0010309E"/>
    <w:rsid w:val="0012071D"/>
    <w:rsid w:val="00127F82"/>
    <w:rsid w:val="00152049"/>
    <w:rsid w:val="00172A27"/>
    <w:rsid w:val="001747EE"/>
    <w:rsid w:val="00177915"/>
    <w:rsid w:val="00180AAC"/>
    <w:rsid w:val="00190708"/>
    <w:rsid w:val="001B6050"/>
    <w:rsid w:val="001B7BB6"/>
    <w:rsid w:val="001C42C5"/>
    <w:rsid w:val="001E2AED"/>
    <w:rsid w:val="001E6880"/>
    <w:rsid w:val="001E6888"/>
    <w:rsid w:val="002214E7"/>
    <w:rsid w:val="00225683"/>
    <w:rsid w:val="00234073"/>
    <w:rsid w:val="002435A0"/>
    <w:rsid w:val="00243FF7"/>
    <w:rsid w:val="00247B38"/>
    <w:rsid w:val="0025536B"/>
    <w:rsid w:val="002565E2"/>
    <w:rsid w:val="00267611"/>
    <w:rsid w:val="00282CD9"/>
    <w:rsid w:val="00290AF1"/>
    <w:rsid w:val="002B5D9A"/>
    <w:rsid w:val="002B6675"/>
    <w:rsid w:val="002B6AE7"/>
    <w:rsid w:val="002B79CA"/>
    <w:rsid w:val="002C53EF"/>
    <w:rsid w:val="002E06BF"/>
    <w:rsid w:val="002E1A1C"/>
    <w:rsid w:val="002E5F48"/>
    <w:rsid w:val="002F05A6"/>
    <w:rsid w:val="002F3BB7"/>
    <w:rsid w:val="00315B60"/>
    <w:rsid w:val="003274CB"/>
    <w:rsid w:val="00346B27"/>
    <w:rsid w:val="00347724"/>
    <w:rsid w:val="00353E82"/>
    <w:rsid w:val="00396369"/>
    <w:rsid w:val="003B2228"/>
    <w:rsid w:val="003C13E4"/>
    <w:rsid w:val="003C32D9"/>
    <w:rsid w:val="003D21F1"/>
    <w:rsid w:val="003E1DCC"/>
    <w:rsid w:val="003F4651"/>
    <w:rsid w:val="00410967"/>
    <w:rsid w:val="00411E40"/>
    <w:rsid w:val="00415E21"/>
    <w:rsid w:val="00427090"/>
    <w:rsid w:val="00445ADF"/>
    <w:rsid w:val="0046727E"/>
    <w:rsid w:val="00482071"/>
    <w:rsid w:val="00483674"/>
    <w:rsid w:val="004861AE"/>
    <w:rsid w:val="00486D20"/>
    <w:rsid w:val="00495036"/>
    <w:rsid w:val="004A6781"/>
    <w:rsid w:val="004A7D40"/>
    <w:rsid w:val="004B4092"/>
    <w:rsid w:val="004E0FDD"/>
    <w:rsid w:val="004F2F95"/>
    <w:rsid w:val="004F4409"/>
    <w:rsid w:val="00506600"/>
    <w:rsid w:val="00526D76"/>
    <w:rsid w:val="00551430"/>
    <w:rsid w:val="00554499"/>
    <w:rsid w:val="00557A19"/>
    <w:rsid w:val="00570E40"/>
    <w:rsid w:val="00573162"/>
    <w:rsid w:val="005F3F05"/>
    <w:rsid w:val="0060449E"/>
    <w:rsid w:val="006058A4"/>
    <w:rsid w:val="006109FE"/>
    <w:rsid w:val="00614BF4"/>
    <w:rsid w:val="00616B6E"/>
    <w:rsid w:val="00633858"/>
    <w:rsid w:val="00670841"/>
    <w:rsid w:val="006708EE"/>
    <w:rsid w:val="006934B4"/>
    <w:rsid w:val="00694C4F"/>
    <w:rsid w:val="006B1D4C"/>
    <w:rsid w:val="006C21DD"/>
    <w:rsid w:val="006F6EF3"/>
    <w:rsid w:val="00714248"/>
    <w:rsid w:val="00722E70"/>
    <w:rsid w:val="00735F80"/>
    <w:rsid w:val="0074524D"/>
    <w:rsid w:val="00784579"/>
    <w:rsid w:val="007B1F36"/>
    <w:rsid w:val="007C0C82"/>
    <w:rsid w:val="007D09EC"/>
    <w:rsid w:val="007F300C"/>
    <w:rsid w:val="008003F4"/>
    <w:rsid w:val="008016F9"/>
    <w:rsid w:val="008062AE"/>
    <w:rsid w:val="00811328"/>
    <w:rsid w:val="00815C57"/>
    <w:rsid w:val="00815F35"/>
    <w:rsid w:val="0082614F"/>
    <w:rsid w:val="00850B71"/>
    <w:rsid w:val="0085639C"/>
    <w:rsid w:val="0087454D"/>
    <w:rsid w:val="00890D7F"/>
    <w:rsid w:val="008A0EB1"/>
    <w:rsid w:val="008A2076"/>
    <w:rsid w:val="008E659E"/>
    <w:rsid w:val="008F1529"/>
    <w:rsid w:val="008F1CB6"/>
    <w:rsid w:val="008F717E"/>
    <w:rsid w:val="008F74EB"/>
    <w:rsid w:val="00902627"/>
    <w:rsid w:val="00931981"/>
    <w:rsid w:val="00932AFD"/>
    <w:rsid w:val="00942ED3"/>
    <w:rsid w:val="00945986"/>
    <w:rsid w:val="00946F94"/>
    <w:rsid w:val="00990893"/>
    <w:rsid w:val="009C43E6"/>
    <w:rsid w:val="009D01D2"/>
    <w:rsid w:val="009E1E4F"/>
    <w:rsid w:val="009F4A8A"/>
    <w:rsid w:val="009F5992"/>
    <w:rsid w:val="00A23AFB"/>
    <w:rsid w:val="00A3273B"/>
    <w:rsid w:val="00A44283"/>
    <w:rsid w:val="00A466E6"/>
    <w:rsid w:val="00A47F1F"/>
    <w:rsid w:val="00A75A1A"/>
    <w:rsid w:val="00A837A5"/>
    <w:rsid w:val="00A95C07"/>
    <w:rsid w:val="00AA51C1"/>
    <w:rsid w:val="00AB65CA"/>
    <w:rsid w:val="00AB67D8"/>
    <w:rsid w:val="00AC2F78"/>
    <w:rsid w:val="00AC5E59"/>
    <w:rsid w:val="00AE67F6"/>
    <w:rsid w:val="00AF3998"/>
    <w:rsid w:val="00B07B2E"/>
    <w:rsid w:val="00B31CC3"/>
    <w:rsid w:val="00B6648B"/>
    <w:rsid w:val="00BA69F4"/>
    <w:rsid w:val="00BA6D13"/>
    <w:rsid w:val="00BB299F"/>
    <w:rsid w:val="00BE1766"/>
    <w:rsid w:val="00BF4E9E"/>
    <w:rsid w:val="00C00F81"/>
    <w:rsid w:val="00C17A63"/>
    <w:rsid w:val="00C2174B"/>
    <w:rsid w:val="00C35487"/>
    <w:rsid w:val="00C43BC1"/>
    <w:rsid w:val="00C574F1"/>
    <w:rsid w:val="00CA0AAA"/>
    <w:rsid w:val="00CD401B"/>
    <w:rsid w:val="00CD437E"/>
    <w:rsid w:val="00CD43B3"/>
    <w:rsid w:val="00CD58A7"/>
    <w:rsid w:val="00CE226F"/>
    <w:rsid w:val="00CF53F3"/>
    <w:rsid w:val="00D174EB"/>
    <w:rsid w:val="00D21306"/>
    <w:rsid w:val="00D23AEC"/>
    <w:rsid w:val="00D373B2"/>
    <w:rsid w:val="00D37D24"/>
    <w:rsid w:val="00D80201"/>
    <w:rsid w:val="00D827D3"/>
    <w:rsid w:val="00D87B92"/>
    <w:rsid w:val="00D87C93"/>
    <w:rsid w:val="00DA65C9"/>
    <w:rsid w:val="00DB5C76"/>
    <w:rsid w:val="00DC4298"/>
    <w:rsid w:val="00DC68DD"/>
    <w:rsid w:val="00DD654B"/>
    <w:rsid w:val="00DE5C5F"/>
    <w:rsid w:val="00DF10BC"/>
    <w:rsid w:val="00E04823"/>
    <w:rsid w:val="00E057B6"/>
    <w:rsid w:val="00E2173D"/>
    <w:rsid w:val="00E374A6"/>
    <w:rsid w:val="00E52593"/>
    <w:rsid w:val="00E53568"/>
    <w:rsid w:val="00E74CE9"/>
    <w:rsid w:val="00E7539A"/>
    <w:rsid w:val="00E83C3F"/>
    <w:rsid w:val="00E86078"/>
    <w:rsid w:val="00E87BB1"/>
    <w:rsid w:val="00E93F48"/>
    <w:rsid w:val="00E965F8"/>
    <w:rsid w:val="00EB31E1"/>
    <w:rsid w:val="00EE2E61"/>
    <w:rsid w:val="00EE2E62"/>
    <w:rsid w:val="00EF4699"/>
    <w:rsid w:val="00F025B2"/>
    <w:rsid w:val="00F0340D"/>
    <w:rsid w:val="00F140D0"/>
    <w:rsid w:val="00F2183F"/>
    <w:rsid w:val="00F22D2F"/>
    <w:rsid w:val="00F23715"/>
    <w:rsid w:val="00F32329"/>
    <w:rsid w:val="00F4295B"/>
    <w:rsid w:val="00F714C7"/>
    <w:rsid w:val="00F9177B"/>
    <w:rsid w:val="01051DA8"/>
    <w:rsid w:val="012B7796"/>
    <w:rsid w:val="013D1C8A"/>
    <w:rsid w:val="013F0F7C"/>
    <w:rsid w:val="01464694"/>
    <w:rsid w:val="015258FF"/>
    <w:rsid w:val="0156446F"/>
    <w:rsid w:val="01576628"/>
    <w:rsid w:val="0157675C"/>
    <w:rsid w:val="016A18CE"/>
    <w:rsid w:val="01782F69"/>
    <w:rsid w:val="0186780C"/>
    <w:rsid w:val="01876A1F"/>
    <w:rsid w:val="018F03FE"/>
    <w:rsid w:val="019377A3"/>
    <w:rsid w:val="01A96BB6"/>
    <w:rsid w:val="01AA6553"/>
    <w:rsid w:val="01B763DC"/>
    <w:rsid w:val="01BC53AC"/>
    <w:rsid w:val="01C11184"/>
    <w:rsid w:val="01C43DE1"/>
    <w:rsid w:val="01C91C5F"/>
    <w:rsid w:val="01E366FD"/>
    <w:rsid w:val="02132164"/>
    <w:rsid w:val="02195753"/>
    <w:rsid w:val="02202821"/>
    <w:rsid w:val="02286712"/>
    <w:rsid w:val="0229654E"/>
    <w:rsid w:val="023372E3"/>
    <w:rsid w:val="02362CC5"/>
    <w:rsid w:val="0241752C"/>
    <w:rsid w:val="02492A96"/>
    <w:rsid w:val="02676F4A"/>
    <w:rsid w:val="026D704D"/>
    <w:rsid w:val="02735026"/>
    <w:rsid w:val="027655B6"/>
    <w:rsid w:val="02792F82"/>
    <w:rsid w:val="02825F13"/>
    <w:rsid w:val="028430AA"/>
    <w:rsid w:val="028879D9"/>
    <w:rsid w:val="02932615"/>
    <w:rsid w:val="02A14D74"/>
    <w:rsid w:val="02A9227A"/>
    <w:rsid w:val="02AA5D42"/>
    <w:rsid w:val="02AA787F"/>
    <w:rsid w:val="02AD3237"/>
    <w:rsid w:val="02AE7975"/>
    <w:rsid w:val="02B43DAD"/>
    <w:rsid w:val="02BB62A0"/>
    <w:rsid w:val="02C8779F"/>
    <w:rsid w:val="02D904A0"/>
    <w:rsid w:val="02DC1FED"/>
    <w:rsid w:val="02DD3DF1"/>
    <w:rsid w:val="02E02D5C"/>
    <w:rsid w:val="02E213EC"/>
    <w:rsid w:val="02E247AD"/>
    <w:rsid w:val="02E3266E"/>
    <w:rsid w:val="02F3030A"/>
    <w:rsid w:val="02F71628"/>
    <w:rsid w:val="0302424D"/>
    <w:rsid w:val="030514DF"/>
    <w:rsid w:val="030662A1"/>
    <w:rsid w:val="0312038B"/>
    <w:rsid w:val="03132B33"/>
    <w:rsid w:val="031C70D4"/>
    <w:rsid w:val="03200E37"/>
    <w:rsid w:val="0321449C"/>
    <w:rsid w:val="03262BDB"/>
    <w:rsid w:val="032E5E62"/>
    <w:rsid w:val="03486A36"/>
    <w:rsid w:val="0350391F"/>
    <w:rsid w:val="03532C0C"/>
    <w:rsid w:val="035B6560"/>
    <w:rsid w:val="036670F2"/>
    <w:rsid w:val="036E7CB0"/>
    <w:rsid w:val="03770FAA"/>
    <w:rsid w:val="039261BA"/>
    <w:rsid w:val="03972591"/>
    <w:rsid w:val="0399335B"/>
    <w:rsid w:val="03A1062D"/>
    <w:rsid w:val="03AA4C9A"/>
    <w:rsid w:val="03B25307"/>
    <w:rsid w:val="03C20B25"/>
    <w:rsid w:val="03C23BAF"/>
    <w:rsid w:val="03C40ABE"/>
    <w:rsid w:val="03D3535E"/>
    <w:rsid w:val="03D60077"/>
    <w:rsid w:val="03D942A6"/>
    <w:rsid w:val="03E3449B"/>
    <w:rsid w:val="03ED7A5F"/>
    <w:rsid w:val="03F050BD"/>
    <w:rsid w:val="03F22B46"/>
    <w:rsid w:val="03F7077E"/>
    <w:rsid w:val="03FB00F1"/>
    <w:rsid w:val="03FF78BC"/>
    <w:rsid w:val="04053316"/>
    <w:rsid w:val="041E23EC"/>
    <w:rsid w:val="04200D5F"/>
    <w:rsid w:val="04237D4F"/>
    <w:rsid w:val="042E0EC7"/>
    <w:rsid w:val="0431295A"/>
    <w:rsid w:val="043C7F61"/>
    <w:rsid w:val="044D771D"/>
    <w:rsid w:val="044F225E"/>
    <w:rsid w:val="0453127A"/>
    <w:rsid w:val="045C025A"/>
    <w:rsid w:val="04652152"/>
    <w:rsid w:val="04671AF4"/>
    <w:rsid w:val="0467789F"/>
    <w:rsid w:val="046D5C58"/>
    <w:rsid w:val="046F52E9"/>
    <w:rsid w:val="047B1E84"/>
    <w:rsid w:val="04802939"/>
    <w:rsid w:val="04841778"/>
    <w:rsid w:val="04892F7A"/>
    <w:rsid w:val="049C59A1"/>
    <w:rsid w:val="04A111B3"/>
    <w:rsid w:val="04B830C1"/>
    <w:rsid w:val="04BC54CF"/>
    <w:rsid w:val="04C756B4"/>
    <w:rsid w:val="04C81FF0"/>
    <w:rsid w:val="04DE5CC1"/>
    <w:rsid w:val="04F51041"/>
    <w:rsid w:val="04FB6CA5"/>
    <w:rsid w:val="04FF4175"/>
    <w:rsid w:val="050D38D8"/>
    <w:rsid w:val="0518586F"/>
    <w:rsid w:val="05204AF2"/>
    <w:rsid w:val="05232BB3"/>
    <w:rsid w:val="05291A4F"/>
    <w:rsid w:val="052A62FE"/>
    <w:rsid w:val="053C2598"/>
    <w:rsid w:val="054A2BA3"/>
    <w:rsid w:val="05533444"/>
    <w:rsid w:val="055C36F3"/>
    <w:rsid w:val="056D77F4"/>
    <w:rsid w:val="057C1154"/>
    <w:rsid w:val="057F04BE"/>
    <w:rsid w:val="05845294"/>
    <w:rsid w:val="0586026D"/>
    <w:rsid w:val="05A74ED3"/>
    <w:rsid w:val="05AA6ECF"/>
    <w:rsid w:val="05B55267"/>
    <w:rsid w:val="05C14E93"/>
    <w:rsid w:val="05C869EB"/>
    <w:rsid w:val="05D65E1E"/>
    <w:rsid w:val="05DF3352"/>
    <w:rsid w:val="05EE7A21"/>
    <w:rsid w:val="05F74FD6"/>
    <w:rsid w:val="05FA747D"/>
    <w:rsid w:val="06015BFD"/>
    <w:rsid w:val="06205349"/>
    <w:rsid w:val="062E1A31"/>
    <w:rsid w:val="06341AEA"/>
    <w:rsid w:val="063D7723"/>
    <w:rsid w:val="0644691C"/>
    <w:rsid w:val="06473E71"/>
    <w:rsid w:val="064C13DA"/>
    <w:rsid w:val="064E2053"/>
    <w:rsid w:val="064E6F75"/>
    <w:rsid w:val="06607022"/>
    <w:rsid w:val="06621D45"/>
    <w:rsid w:val="06640B64"/>
    <w:rsid w:val="06657762"/>
    <w:rsid w:val="06681512"/>
    <w:rsid w:val="066D09E8"/>
    <w:rsid w:val="066D20E0"/>
    <w:rsid w:val="06756DF3"/>
    <w:rsid w:val="06791870"/>
    <w:rsid w:val="068B4BC1"/>
    <w:rsid w:val="068E4102"/>
    <w:rsid w:val="069B7D6F"/>
    <w:rsid w:val="06AB7088"/>
    <w:rsid w:val="06C14990"/>
    <w:rsid w:val="06C255FB"/>
    <w:rsid w:val="06C27DB7"/>
    <w:rsid w:val="06C466BB"/>
    <w:rsid w:val="06CC4655"/>
    <w:rsid w:val="06CF005C"/>
    <w:rsid w:val="06D216AB"/>
    <w:rsid w:val="06D2689F"/>
    <w:rsid w:val="06D323DF"/>
    <w:rsid w:val="06DC4238"/>
    <w:rsid w:val="06E16933"/>
    <w:rsid w:val="06E554EF"/>
    <w:rsid w:val="06E66FD9"/>
    <w:rsid w:val="06E91B3A"/>
    <w:rsid w:val="06F23D1E"/>
    <w:rsid w:val="06FF392B"/>
    <w:rsid w:val="07057562"/>
    <w:rsid w:val="07061E5C"/>
    <w:rsid w:val="07065AD5"/>
    <w:rsid w:val="070F00B4"/>
    <w:rsid w:val="07144A09"/>
    <w:rsid w:val="072209DC"/>
    <w:rsid w:val="07282D9A"/>
    <w:rsid w:val="072A238A"/>
    <w:rsid w:val="073561EB"/>
    <w:rsid w:val="073B634E"/>
    <w:rsid w:val="073C2D1E"/>
    <w:rsid w:val="074C58DC"/>
    <w:rsid w:val="075615A8"/>
    <w:rsid w:val="07572B35"/>
    <w:rsid w:val="075F0056"/>
    <w:rsid w:val="07641D0D"/>
    <w:rsid w:val="07662674"/>
    <w:rsid w:val="0767483A"/>
    <w:rsid w:val="07821D74"/>
    <w:rsid w:val="078C436E"/>
    <w:rsid w:val="079C55C8"/>
    <w:rsid w:val="07A31B05"/>
    <w:rsid w:val="07C36603"/>
    <w:rsid w:val="07C40FCD"/>
    <w:rsid w:val="07C65804"/>
    <w:rsid w:val="07D7335A"/>
    <w:rsid w:val="07D879E1"/>
    <w:rsid w:val="07E0507A"/>
    <w:rsid w:val="07E761B7"/>
    <w:rsid w:val="080E6C62"/>
    <w:rsid w:val="080F372F"/>
    <w:rsid w:val="081A6BAD"/>
    <w:rsid w:val="08273974"/>
    <w:rsid w:val="082A73B9"/>
    <w:rsid w:val="082F56F4"/>
    <w:rsid w:val="08372ED5"/>
    <w:rsid w:val="08400F85"/>
    <w:rsid w:val="084278DD"/>
    <w:rsid w:val="084D1037"/>
    <w:rsid w:val="085049F9"/>
    <w:rsid w:val="08541F2D"/>
    <w:rsid w:val="085C1F47"/>
    <w:rsid w:val="086379DD"/>
    <w:rsid w:val="08795873"/>
    <w:rsid w:val="08870A1E"/>
    <w:rsid w:val="08872D9E"/>
    <w:rsid w:val="08885FE3"/>
    <w:rsid w:val="08903BD8"/>
    <w:rsid w:val="08A23037"/>
    <w:rsid w:val="08A4283A"/>
    <w:rsid w:val="08B0513C"/>
    <w:rsid w:val="08B40F9A"/>
    <w:rsid w:val="08BE07C4"/>
    <w:rsid w:val="08C0336E"/>
    <w:rsid w:val="08C203AB"/>
    <w:rsid w:val="08D539E3"/>
    <w:rsid w:val="08DB73B0"/>
    <w:rsid w:val="08DE1C47"/>
    <w:rsid w:val="08E720D9"/>
    <w:rsid w:val="08E86909"/>
    <w:rsid w:val="08EC63BA"/>
    <w:rsid w:val="08EE6DAF"/>
    <w:rsid w:val="08FD0364"/>
    <w:rsid w:val="09102109"/>
    <w:rsid w:val="09117007"/>
    <w:rsid w:val="091D71CF"/>
    <w:rsid w:val="09203EE5"/>
    <w:rsid w:val="09341893"/>
    <w:rsid w:val="093B5F9E"/>
    <w:rsid w:val="09474FBC"/>
    <w:rsid w:val="094D4667"/>
    <w:rsid w:val="096B0AA9"/>
    <w:rsid w:val="096B10A6"/>
    <w:rsid w:val="096B20A4"/>
    <w:rsid w:val="098E57E7"/>
    <w:rsid w:val="09947B08"/>
    <w:rsid w:val="09994596"/>
    <w:rsid w:val="099B0E28"/>
    <w:rsid w:val="09B024F6"/>
    <w:rsid w:val="09BA746C"/>
    <w:rsid w:val="09CC3BAD"/>
    <w:rsid w:val="09CC461B"/>
    <w:rsid w:val="09D12789"/>
    <w:rsid w:val="09E05714"/>
    <w:rsid w:val="09E244D3"/>
    <w:rsid w:val="09E44204"/>
    <w:rsid w:val="09EE22B5"/>
    <w:rsid w:val="09F410FD"/>
    <w:rsid w:val="09F568C1"/>
    <w:rsid w:val="0A05590D"/>
    <w:rsid w:val="0A0E02AF"/>
    <w:rsid w:val="0A141092"/>
    <w:rsid w:val="0A18215B"/>
    <w:rsid w:val="0A197DF4"/>
    <w:rsid w:val="0A1C206E"/>
    <w:rsid w:val="0A1F3AFB"/>
    <w:rsid w:val="0A21089F"/>
    <w:rsid w:val="0A2763EA"/>
    <w:rsid w:val="0A3D4730"/>
    <w:rsid w:val="0A406793"/>
    <w:rsid w:val="0A4F2112"/>
    <w:rsid w:val="0A562EAD"/>
    <w:rsid w:val="0A88671B"/>
    <w:rsid w:val="0A941E7B"/>
    <w:rsid w:val="0ABF45E0"/>
    <w:rsid w:val="0AC2238D"/>
    <w:rsid w:val="0AC55D93"/>
    <w:rsid w:val="0AD029E3"/>
    <w:rsid w:val="0AD20D78"/>
    <w:rsid w:val="0AD95FEE"/>
    <w:rsid w:val="0AEB1D55"/>
    <w:rsid w:val="0AEC273E"/>
    <w:rsid w:val="0AEF28BE"/>
    <w:rsid w:val="0AFD2BCB"/>
    <w:rsid w:val="0B030A0E"/>
    <w:rsid w:val="0B165FCB"/>
    <w:rsid w:val="0B180ECD"/>
    <w:rsid w:val="0B1C1A41"/>
    <w:rsid w:val="0B373A25"/>
    <w:rsid w:val="0B490628"/>
    <w:rsid w:val="0B4C4953"/>
    <w:rsid w:val="0B4D084E"/>
    <w:rsid w:val="0B5001FD"/>
    <w:rsid w:val="0B52083E"/>
    <w:rsid w:val="0B5D62E7"/>
    <w:rsid w:val="0B5E6C1B"/>
    <w:rsid w:val="0B781E3E"/>
    <w:rsid w:val="0B7C78A1"/>
    <w:rsid w:val="0B8A2E8C"/>
    <w:rsid w:val="0B94665C"/>
    <w:rsid w:val="0B9B3CCE"/>
    <w:rsid w:val="0BA527D4"/>
    <w:rsid w:val="0BA62356"/>
    <w:rsid w:val="0BCF0D6E"/>
    <w:rsid w:val="0BDD0790"/>
    <w:rsid w:val="0BDD4638"/>
    <w:rsid w:val="0BF05CF9"/>
    <w:rsid w:val="0BF5093F"/>
    <w:rsid w:val="0BF740B1"/>
    <w:rsid w:val="0C095932"/>
    <w:rsid w:val="0C0D7E74"/>
    <w:rsid w:val="0C0E3CFD"/>
    <w:rsid w:val="0C154760"/>
    <w:rsid w:val="0C166DCE"/>
    <w:rsid w:val="0C1E09F1"/>
    <w:rsid w:val="0C3D3005"/>
    <w:rsid w:val="0C5815BD"/>
    <w:rsid w:val="0C593A85"/>
    <w:rsid w:val="0C6447F3"/>
    <w:rsid w:val="0C6658D4"/>
    <w:rsid w:val="0C6F3B75"/>
    <w:rsid w:val="0C833C3C"/>
    <w:rsid w:val="0C866B45"/>
    <w:rsid w:val="0C8C56BB"/>
    <w:rsid w:val="0C9F74EE"/>
    <w:rsid w:val="0CA53F3A"/>
    <w:rsid w:val="0CA87886"/>
    <w:rsid w:val="0CAF57CC"/>
    <w:rsid w:val="0CB0086B"/>
    <w:rsid w:val="0CC06DC6"/>
    <w:rsid w:val="0CC12374"/>
    <w:rsid w:val="0CC5099D"/>
    <w:rsid w:val="0CDC30C8"/>
    <w:rsid w:val="0CE94F94"/>
    <w:rsid w:val="0CED067B"/>
    <w:rsid w:val="0CFC6488"/>
    <w:rsid w:val="0D1158BC"/>
    <w:rsid w:val="0D1D5BF4"/>
    <w:rsid w:val="0D1E59D9"/>
    <w:rsid w:val="0D2E7CDA"/>
    <w:rsid w:val="0D383D5D"/>
    <w:rsid w:val="0D4A61F6"/>
    <w:rsid w:val="0D5A4C9D"/>
    <w:rsid w:val="0D5B744E"/>
    <w:rsid w:val="0D5E127F"/>
    <w:rsid w:val="0D6147B8"/>
    <w:rsid w:val="0D636535"/>
    <w:rsid w:val="0D6E0969"/>
    <w:rsid w:val="0D741C11"/>
    <w:rsid w:val="0D790005"/>
    <w:rsid w:val="0D793F75"/>
    <w:rsid w:val="0D8323B8"/>
    <w:rsid w:val="0D8D3FD0"/>
    <w:rsid w:val="0D9174C8"/>
    <w:rsid w:val="0D947DEF"/>
    <w:rsid w:val="0D9960F6"/>
    <w:rsid w:val="0D9B3836"/>
    <w:rsid w:val="0D9D017D"/>
    <w:rsid w:val="0DB87064"/>
    <w:rsid w:val="0DD37D4F"/>
    <w:rsid w:val="0DDE2D32"/>
    <w:rsid w:val="0E105F97"/>
    <w:rsid w:val="0E1D4C94"/>
    <w:rsid w:val="0E1E01D2"/>
    <w:rsid w:val="0E237ECF"/>
    <w:rsid w:val="0E2C57A6"/>
    <w:rsid w:val="0E3B4AAC"/>
    <w:rsid w:val="0E3D63C6"/>
    <w:rsid w:val="0E444E25"/>
    <w:rsid w:val="0E4528EE"/>
    <w:rsid w:val="0E463F6A"/>
    <w:rsid w:val="0E4E095A"/>
    <w:rsid w:val="0E533A22"/>
    <w:rsid w:val="0E5400D2"/>
    <w:rsid w:val="0E5D50FC"/>
    <w:rsid w:val="0E5E0B3E"/>
    <w:rsid w:val="0E601CEF"/>
    <w:rsid w:val="0E6C2D82"/>
    <w:rsid w:val="0E767DF8"/>
    <w:rsid w:val="0E8D2FCC"/>
    <w:rsid w:val="0E9944EA"/>
    <w:rsid w:val="0EB331E4"/>
    <w:rsid w:val="0EB5186D"/>
    <w:rsid w:val="0EB968BD"/>
    <w:rsid w:val="0ECF6E99"/>
    <w:rsid w:val="0ED45063"/>
    <w:rsid w:val="0ED57EB9"/>
    <w:rsid w:val="0ED923CE"/>
    <w:rsid w:val="0F090320"/>
    <w:rsid w:val="0F155C7F"/>
    <w:rsid w:val="0F3E4FBF"/>
    <w:rsid w:val="0F4527B9"/>
    <w:rsid w:val="0F456F43"/>
    <w:rsid w:val="0F4F7F5C"/>
    <w:rsid w:val="0F552295"/>
    <w:rsid w:val="0F555D3E"/>
    <w:rsid w:val="0F7331B1"/>
    <w:rsid w:val="0F830CF9"/>
    <w:rsid w:val="0F845AA7"/>
    <w:rsid w:val="0F8807D3"/>
    <w:rsid w:val="0F985025"/>
    <w:rsid w:val="0FA355C9"/>
    <w:rsid w:val="0FA715B7"/>
    <w:rsid w:val="0FAA2BE2"/>
    <w:rsid w:val="0FAB0735"/>
    <w:rsid w:val="0FAB73CF"/>
    <w:rsid w:val="0FB02E75"/>
    <w:rsid w:val="0FBA136E"/>
    <w:rsid w:val="0FBD3F9D"/>
    <w:rsid w:val="0FC44457"/>
    <w:rsid w:val="0FC67596"/>
    <w:rsid w:val="0FD23538"/>
    <w:rsid w:val="0FE07CE6"/>
    <w:rsid w:val="0FE3702F"/>
    <w:rsid w:val="0FE866A2"/>
    <w:rsid w:val="0FEA7956"/>
    <w:rsid w:val="0FF2619D"/>
    <w:rsid w:val="10002E78"/>
    <w:rsid w:val="10047624"/>
    <w:rsid w:val="100A088B"/>
    <w:rsid w:val="100A74E7"/>
    <w:rsid w:val="1014463D"/>
    <w:rsid w:val="101E557F"/>
    <w:rsid w:val="10220902"/>
    <w:rsid w:val="102915EA"/>
    <w:rsid w:val="1030329B"/>
    <w:rsid w:val="103E347A"/>
    <w:rsid w:val="10464329"/>
    <w:rsid w:val="105E4D49"/>
    <w:rsid w:val="107921C2"/>
    <w:rsid w:val="107E07FE"/>
    <w:rsid w:val="10804B06"/>
    <w:rsid w:val="10897B59"/>
    <w:rsid w:val="108B5C75"/>
    <w:rsid w:val="10927871"/>
    <w:rsid w:val="109A0EBC"/>
    <w:rsid w:val="109B2457"/>
    <w:rsid w:val="10A86948"/>
    <w:rsid w:val="10BD4B6E"/>
    <w:rsid w:val="10D11D52"/>
    <w:rsid w:val="10D8733A"/>
    <w:rsid w:val="10E55858"/>
    <w:rsid w:val="10E8122E"/>
    <w:rsid w:val="10F16B8E"/>
    <w:rsid w:val="10F371A5"/>
    <w:rsid w:val="10F561ED"/>
    <w:rsid w:val="10FD57A5"/>
    <w:rsid w:val="11002024"/>
    <w:rsid w:val="1101215E"/>
    <w:rsid w:val="11051170"/>
    <w:rsid w:val="1107086A"/>
    <w:rsid w:val="110944F8"/>
    <w:rsid w:val="111D7A3C"/>
    <w:rsid w:val="112673D2"/>
    <w:rsid w:val="11272A81"/>
    <w:rsid w:val="11343C71"/>
    <w:rsid w:val="1135344F"/>
    <w:rsid w:val="113B7B50"/>
    <w:rsid w:val="113E6869"/>
    <w:rsid w:val="113F2FF0"/>
    <w:rsid w:val="1140061F"/>
    <w:rsid w:val="11511756"/>
    <w:rsid w:val="1166278E"/>
    <w:rsid w:val="116D186E"/>
    <w:rsid w:val="116D53E1"/>
    <w:rsid w:val="1170715C"/>
    <w:rsid w:val="11763534"/>
    <w:rsid w:val="118151C6"/>
    <w:rsid w:val="11835203"/>
    <w:rsid w:val="11A3453B"/>
    <w:rsid w:val="11AD53AD"/>
    <w:rsid w:val="11B13A44"/>
    <w:rsid w:val="11B64B9D"/>
    <w:rsid w:val="11B9527B"/>
    <w:rsid w:val="11C34C5A"/>
    <w:rsid w:val="11CC4CDF"/>
    <w:rsid w:val="11CF686B"/>
    <w:rsid w:val="11D7281B"/>
    <w:rsid w:val="11D93657"/>
    <w:rsid w:val="11D97E6A"/>
    <w:rsid w:val="11E62926"/>
    <w:rsid w:val="11E7019B"/>
    <w:rsid w:val="12041F1C"/>
    <w:rsid w:val="120B15F0"/>
    <w:rsid w:val="121D2DB8"/>
    <w:rsid w:val="121F121F"/>
    <w:rsid w:val="12267236"/>
    <w:rsid w:val="12361718"/>
    <w:rsid w:val="125255DD"/>
    <w:rsid w:val="126F5ED9"/>
    <w:rsid w:val="1277414C"/>
    <w:rsid w:val="12970BC5"/>
    <w:rsid w:val="1299328B"/>
    <w:rsid w:val="12A04B9A"/>
    <w:rsid w:val="12A30DA6"/>
    <w:rsid w:val="12B7748B"/>
    <w:rsid w:val="12C23A7C"/>
    <w:rsid w:val="12D37006"/>
    <w:rsid w:val="12D919C1"/>
    <w:rsid w:val="12E94BA8"/>
    <w:rsid w:val="12EE1E72"/>
    <w:rsid w:val="12F0221C"/>
    <w:rsid w:val="12F55F70"/>
    <w:rsid w:val="130A3353"/>
    <w:rsid w:val="13127492"/>
    <w:rsid w:val="131B0C66"/>
    <w:rsid w:val="13256FDD"/>
    <w:rsid w:val="132B0100"/>
    <w:rsid w:val="13380869"/>
    <w:rsid w:val="135E60A9"/>
    <w:rsid w:val="13755EB2"/>
    <w:rsid w:val="13877DCB"/>
    <w:rsid w:val="13887B1A"/>
    <w:rsid w:val="13895A4A"/>
    <w:rsid w:val="139617FD"/>
    <w:rsid w:val="139F2E5E"/>
    <w:rsid w:val="13A35911"/>
    <w:rsid w:val="13A47BFE"/>
    <w:rsid w:val="13B773EB"/>
    <w:rsid w:val="13C4002F"/>
    <w:rsid w:val="13E67824"/>
    <w:rsid w:val="13E73A66"/>
    <w:rsid w:val="13ED6898"/>
    <w:rsid w:val="13F75382"/>
    <w:rsid w:val="13FB4175"/>
    <w:rsid w:val="1408504F"/>
    <w:rsid w:val="14166484"/>
    <w:rsid w:val="14197E9B"/>
    <w:rsid w:val="14242A9B"/>
    <w:rsid w:val="14293FDD"/>
    <w:rsid w:val="142C4E25"/>
    <w:rsid w:val="14335E33"/>
    <w:rsid w:val="145D7218"/>
    <w:rsid w:val="14663754"/>
    <w:rsid w:val="1470604A"/>
    <w:rsid w:val="14857BC8"/>
    <w:rsid w:val="148A09EC"/>
    <w:rsid w:val="14921567"/>
    <w:rsid w:val="14A03AE1"/>
    <w:rsid w:val="14BE3BD0"/>
    <w:rsid w:val="14C15D37"/>
    <w:rsid w:val="14CF2CA5"/>
    <w:rsid w:val="14D234DF"/>
    <w:rsid w:val="14D53920"/>
    <w:rsid w:val="14E36FB1"/>
    <w:rsid w:val="14E4157B"/>
    <w:rsid w:val="14E44A7F"/>
    <w:rsid w:val="14E60E10"/>
    <w:rsid w:val="14F62DB0"/>
    <w:rsid w:val="14F71157"/>
    <w:rsid w:val="14F95A36"/>
    <w:rsid w:val="15072773"/>
    <w:rsid w:val="151D60E3"/>
    <w:rsid w:val="1530340C"/>
    <w:rsid w:val="15376A6C"/>
    <w:rsid w:val="15443470"/>
    <w:rsid w:val="154D2C83"/>
    <w:rsid w:val="155D44F6"/>
    <w:rsid w:val="1568195A"/>
    <w:rsid w:val="156825AE"/>
    <w:rsid w:val="156A365B"/>
    <w:rsid w:val="157648A9"/>
    <w:rsid w:val="157D25F1"/>
    <w:rsid w:val="158013B3"/>
    <w:rsid w:val="1580388D"/>
    <w:rsid w:val="15897466"/>
    <w:rsid w:val="159D2AA8"/>
    <w:rsid w:val="15AE3BF2"/>
    <w:rsid w:val="15B347FD"/>
    <w:rsid w:val="15B61C1D"/>
    <w:rsid w:val="15BC3A0F"/>
    <w:rsid w:val="15CE2F37"/>
    <w:rsid w:val="15CF3C06"/>
    <w:rsid w:val="15CF6FF0"/>
    <w:rsid w:val="15DF1441"/>
    <w:rsid w:val="15E40909"/>
    <w:rsid w:val="15F97B47"/>
    <w:rsid w:val="16034EBB"/>
    <w:rsid w:val="16071DD9"/>
    <w:rsid w:val="160C5D02"/>
    <w:rsid w:val="16184098"/>
    <w:rsid w:val="161F7166"/>
    <w:rsid w:val="16290D5F"/>
    <w:rsid w:val="162C4C37"/>
    <w:rsid w:val="163409FD"/>
    <w:rsid w:val="164925E6"/>
    <w:rsid w:val="16564ED8"/>
    <w:rsid w:val="16695F27"/>
    <w:rsid w:val="166B2C03"/>
    <w:rsid w:val="166B2D98"/>
    <w:rsid w:val="16753E20"/>
    <w:rsid w:val="167A093E"/>
    <w:rsid w:val="167E6CA3"/>
    <w:rsid w:val="167F4B95"/>
    <w:rsid w:val="168C1642"/>
    <w:rsid w:val="168D0D42"/>
    <w:rsid w:val="16980ACF"/>
    <w:rsid w:val="16996BD1"/>
    <w:rsid w:val="169B0F51"/>
    <w:rsid w:val="169D0E74"/>
    <w:rsid w:val="16A0455F"/>
    <w:rsid w:val="16A45B30"/>
    <w:rsid w:val="16A63B54"/>
    <w:rsid w:val="16B0603A"/>
    <w:rsid w:val="16C10A6C"/>
    <w:rsid w:val="16C63741"/>
    <w:rsid w:val="16C96046"/>
    <w:rsid w:val="16DB09CD"/>
    <w:rsid w:val="16E21427"/>
    <w:rsid w:val="16F335D2"/>
    <w:rsid w:val="17017CA0"/>
    <w:rsid w:val="17033117"/>
    <w:rsid w:val="17044C1E"/>
    <w:rsid w:val="1705416A"/>
    <w:rsid w:val="170C751B"/>
    <w:rsid w:val="17156B21"/>
    <w:rsid w:val="17174AB2"/>
    <w:rsid w:val="1718056E"/>
    <w:rsid w:val="171D3139"/>
    <w:rsid w:val="17273AF9"/>
    <w:rsid w:val="172C1D05"/>
    <w:rsid w:val="172F59B8"/>
    <w:rsid w:val="173A64BB"/>
    <w:rsid w:val="173C59AC"/>
    <w:rsid w:val="173F20E2"/>
    <w:rsid w:val="1760681F"/>
    <w:rsid w:val="176A3D3B"/>
    <w:rsid w:val="17705AEC"/>
    <w:rsid w:val="17792B60"/>
    <w:rsid w:val="177F62FA"/>
    <w:rsid w:val="178C4A39"/>
    <w:rsid w:val="178E0BAF"/>
    <w:rsid w:val="17C271C7"/>
    <w:rsid w:val="17C641EB"/>
    <w:rsid w:val="17D178A3"/>
    <w:rsid w:val="17E15BCD"/>
    <w:rsid w:val="17E25684"/>
    <w:rsid w:val="17FA253A"/>
    <w:rsid w:val="18071145"/>
    <w:rsid w:val="180D1861"/>
    <w:rsid w:val="181D1D9B"/>
    <w:rsid w:val="1824021D"/>
    <w:rsid w:val="182727AA"/>
    <w:rsid w:val="182C3C1D"/>
    <w:rsid w:val="183968EB"/>
    <w:rsid w:val="184D5870"/>
    <w:rsid w:val="185335C0"/>
    <w:rsid w:val="18690252"/>
    <w:rsid w:val="186A253C"/>
    <w:rsid w:val="187602DD"/>
    <w:rsid w:val="18764A71"/>
    <w:rsid w:val="18782953"/>
    <w:rsid w:val="187A35BD"/>
    <w:rsid w:val="188123CF"/>
    <w:rsid w:val="18865DF7"/>
    <w:rsid w:val="18886008"/>
    <w:rsid w:val="18921538"/>
    <w:rsid w:val="18981291"/>
    <w:rsid w:val="189E12C3"/>
    <w:rsid w:val="189E32A4"/>
    <w:rsid w:val="18A74AD6"/>
    <w:rsid w:val="18AB7CF3"/>
    <w:rsid w:val="18BD055D"/>
    <w:rsid w:val="18C04A46"/>
    <w:rsid w:val="18C4037B"/>
    <w:rsid w:val="18C82853"/>
    <w:rsid w:val="18D764B0"/>
    <w:rsid w:val="18D92B7A"/>
    <w:rsid w:val="18F3652A"/>
    <w:rsid w:val="18F74349"/>
    <w:rsid w:val="18FF308F"/>
    <w:rsid w:val="19263C11"/>
    <w:rsid w:val="19364034"/>
    <w:rsid w:val="194B6D06"/>
    <w:rsid w:val="19580F07"/>
    <w:rsid w:val="19635F44"/>
    <w:rsid w:val="196C060A"/>
    <w:rsid w:val="197226D6"/>
    <w:rsid w:val="197315F4"/>
    <w:rsid w:val="197B045A"/>
    <w:rsid w:val="197F6FC8"/>
    <w:rsid w:val="198F583E"/>
    <w:rsid w:val="19911370"/>
    <w:rsid w:val="19A06826"/>
    <w:rsid w:val="19A14097"/>
    <w:rsid w:val="19A60597"/>
    <w:rsid w:val="19A659A4"/>
    <w:rsid w:val="19A748CE"/>
    <w:rsid w:val="19AD326C"/>
    <w:rsid w:val="19B53F29"/>
    <w:rsid w:val="19BB4AC7"/>
    <w:rsid w:val="19C57724"/>
    <w:rsid w:val="19D25674"/>
    <w:rsid w:val="19ED1019"/>
    <w:rsid w:val="19F30FD0"/>
    <w:rsid w:val="1A084634"/>
    <w:rsid w:val="1A0931E6"/>
    <w:rsid w:val="1A0B22C7"/>
    <w:rsid w:val="1A1D39FB"/>
    <w:rsid w:val="1A2C6661"/>
    <w:rsid w:val="1A2D7316"/>
    <w:rsid w:val="1A33410B"/>
    <w:rsid w:val="1A35339E"/>
    <w:rsid w:val="1A3D4066"/>
    <w:rsid w:val="1A3D556D"/>
    <w:rsid w:val="1A422421"/>
    <w:rsid w:val="1A4F3F49"/>
    <w:rsid w:val="1A5846A0"/>
    <w:rsid w:val="1A5B4BCF"/>
    <w:rsid w:val="1A5B75BD"/>
    <w:rsid w:val="1A5C1E8C"/>
    <w:rsid w:val="1A5E2541"/>
    <w:rsid w:val="1A684E92"/>
    <w:rsid w:val="1A70610F"/>
    <w:rsid w:val="1A8A4647"/>
    <w:rsid w:val="1A9723B6"/>
    <w:rsid w:val="1AA04200"/>
    <w:rsid w:val="1AA34AA6"/>
    <w:rsid w:val="1AA93183"/>
    <w:rsid w:val="1AAC781B"/>
    <w:rsid w:val="1AB17D65"/>
    <w:rsid w:val="1AB44A07"/>
    <w:rsid w:val="1AB71515"/>
    <w:rsid w:val="1AC434F9"/>
    <w:rsid w:val="1AD41623"/>
    <w:rsid w:val="1ADA1B4E"/>
    <w:rsid w:val="1AED05E1"/>
    <w:rsid w:val="1AF00F47"/>
    <w:rsid w:val="1AF046CF"/>
    <w:rsid w:val="1B074284"/>
    <w:rsid w:val="1B0B1052"/>
    <w:rsid w:val="1B24725D"/>
    <w:rsid w:val="1B2B048F"/>
    <w:rsid w:val="1B2D4F2D"/>
    <w:rsid w:val="1B301CAE"/>
    <w:rsid w:val="1B4D4C2F"/>
    <w:rsid w:val="1B5752AC"/>
    <w:rsid w:val="1B5B58A8"/>
    <w:rsid w:val="1B67625B"/>
    <w:rsid w:val="1B6B336B"/>
    <w:rsid w:val="1B866F2B"/>
    <w:rsid w:val="1B9369D7"/>
    <w:rsid w:val="1B9E5564"/>
    <w:rsid w:val="1BAF5377"/>
    <w:rsid w:val="1BCB3B13"/>
    <w:rsid w:val="1BDB57C2"/>
    <w:rsid w:val="1BE6442C"/>
    <w:rsid w:val="1BF149CB"/>
    <w:rsid w:val="1C0B4EE0"/>
    <w:rsid w:val="1C19483C"/>
    <w:rsid w:val="1C213008"/>
    <w:rsid w:val="1C24525B"/>
    <w:rsid w:val="1C25739C"/>
    <w:rsid w:val="1C347AE7"/>
    <w:rsid w:val="1C3709C2"/>
    <w:rsid w:val="1C73352D"/>
    <w:rsid w:val="1C7F0A0D"/>
    <w:rsid w:val="1C883EE2"/>
    <w:rsid w:val="1C8A5704"/>
    <w:rsid w:val="1C993644"/>
    <w:rsid w:val="1CA30814"/>
    <w:rsid w:val="1CA411B8"/>
    <w:rsid w:val="1CA53BB3"/>
    <w:rsid w:val="1CA91C58"/>
    <w:rsid w:val="1CAF1665"/>
    <w:rsid w:val="1CBE1A22"/>
    <w:rsid w:val="1CC86944"/>
    <w:rsid w:val="1CCD2FB0"/>
    <w:rsid w:val="1CD11261"/>
    <w:rsid w:val="1CD6675B"/>
    <w:rsid w:val="1CED15B5"/>
    <w:rsid w:val="1CF23DFC"/>
    <w:rsid w:val="1CF333E6"/>
    <w:rsid w:val="1D0565E2"/>
    <w:rsid w:val="1D130803"/>
    <w:rsid w:val="1D1C269E"/>
    <w:rsid w:val="1D2122A1"/>
    <w:rsid w:val="1D2357FD"/>
    <w:rsid w:val="1D2D51F1"/>
    <w:rsid w:val="1D37486F"/>
    <w:rsid w:val="1D42071E"/>
    <w:rsid w:val="1D4856D1"/>
    <w:rsid w:val="1D5A0C54"/>
    <w:rsid w:val="1D677324"/>
    <w:rsid w:val="1D6E2D29"/>
    <w:rsid w:val="1D8C6A7E"/>
    <w:rsid w:val="1D8E167F"/>
    <w:rsid w:val="1DB95872"/>
    <w:rsid w:val="1DC15568"/>
    <w:rsid w:val="1DC476CF"/>
    <w:rsid w:val="1DC77F7C"/>
    <w:rsid w:val="1DCB6F08"/>
    <w:rsid w:val="1DD0335C"/>
    <w:rsid w:val="1DD71602"/>
    <w:rsid w:val="1DFC3B16"/>
    <w:rsid w:val="1E077895"/>
    <w:rsid w:val="1E096B47"/>
    <w:rsid w:val="1E144418"/>
    <w:rsid w:val="1E1E21E7"/>
    <w:rsid w:val="1E2566DA"/>
    <w:rsid w:val="1E2D48C4"/>
    <w:rsid w:val="1E32366D"/>
    <w:rsid w:val="1E3A413D"/>
    <w:rsid w:val="1E3C1D79"/>
    <w:rsid w:val="1E4B2A17"/>
    <w:rsid w:val="1E510853"/>
    <w:rsid w:val="1E5A7CA4"/>
    <w:rsid w:val="1E635018"/>
    <w:rsid w:val="1E7177FA"/>
    <w:rsid w:val="1E740181"/>
    <w:rsid w:val="1E814CED"/>
    <w:rsid w:val="1E8469F9"/>
    <w:rsid w:val="1E88172A"/>
    <w:rsid w:val="1E9C5BFF"/>
    <w:rsid w:val="1EA420FF"/>
    <w:rsid w:val="1EAD2E47"/>
    <w:rsid w:val="1EAE16ED"/>
    <w:rsid w:val="1ECC3FFD"/>
    <w:rsid w:val="1ED2384F"/>
    <w:rsid w:val="1EDB225F"/>
    <w:rsid w:val="1EDC5F38"/>
    <w:rsid w:val="1EDD43FA"/>
    <w:rsid w:val="1EDF476D"/>
    <w:rsid w:val="1EE05BF9"/>
    <w:rsid w:val="1EE4747D"/>
    <w:rsid w:val="1EE5476E"/>
    <w:rsid w:val="1EEA697A"/>
    <w:rsid w:val="1EEC0C5C"/>
    <w:rsid w:val="1F0D3297"/>
    <w:rsid w:val="1F161D81"/>
    <w:rsid w:val="1F176E60"/>
    <w:rsid w:val="1F231A08"/>
    <w:rsid w:val="1F323AEE"/>
    <w:rsid w:val="1F353082"/>
    <w:rsid w:val="1F37018C"/>
    <w:rsid w:val="1F504C1A"/>
    <w:rsid w:val="1F51433D"/>
    <w:rsid w:val="1F5500CB"/>
    <w:rsid w:val="1F565BFA"/>
    <w:rsid w:val="1F6A2F89"/>
    <w:rsid w:val="1F6D044E"/>
    <w:rsid w:val="1F6F2934"/>
    <w:rsid w:val="1F725879"/>
    <w:rsid w:val="1F726313"/>
    <w:rsid w:val="1F855BFF"/>
    <w:rsid w:val="1F8A437C"/>
    <w:rsid w:val="1F9A340A"/>
    <w:rsid w:val="1FA15385"/>
    <w:rsid w:val="1FB31A5F"/>
    <w:rsid w:val="1FC24AF3"/>
    <w:rsid w:val="1FC93095"/>
    <w:rsid w:val="1FC97C87"/>
    <w:rsid w:val="1FCC023A"/>
    <w:rsid w:val="1FDA5CF1"/>
    <w:rsid w:val="1FDE3F49"/>
    <w:rsid w:val="1FE4377C"/>
    <w:rsid w:val="1FE715FA"/>
    <w:rsid w:val="1FE933AA"/>
    <w:rsid w:val="1FF468DA"/>
    <w:rsid w:val="201051B9"/>
    <w:rsid w:val="201613EF"/>
    <w:rsid w:val="201A1AFF"/>
    <w:rsid w:val="2021267D"/>
    <w:rsid w:val="20225914"/>
    <w:rsid w:val="20362CA5"/>
    <w:rsid w:val="20383FF4"/>
    <w:rsid w:val="2040794E"/>
    <w:rsid w:val="20451EFA"/>
    <w:rsid w:val="20460DDC"/>
    <w:rsid w:val="204D6F6C"/>
    <w:rsid w:val="20506C8E"/>
    <w:rsid w:val="205879D9"/>
    <w:rsid w:val="205C2533"/>
    <w:rsid w:val="206B3216"/>
    <w:rsid w:val="206C678C"/>
    <w:rsid w:val="207A6FC2"/>
    <w:rsid w:val="207F3ABC"/>
    <w:rsid w:val="207F43D9"/>
    <w:rsid w:val="209128E5"/>
    <w:rsid w:val="20A506B5"/>
    <w:rsid w:val="20A84AFD"/>
    <w:rsid w:val="20B336D0"/>
    <w:rsid w:val="20C90DBB"/>
    <w:rsid w:val="20D878C9"/>
    <w:rsid w:val="20DA452F"/>
    <w:rsid w:val="20DE519E"/>
    <w:rsid w:val="20E326AB"/>
    <w:rsid w:val="20E40D06"/>
    <w:rsid w:val="20E70DDA"/>
    <w:rsid w:val="20EE5292"/>
    <w:rsid w:val="20EE7A98"/>
    <w:rsid w:val="20F012DA"/>
    <w:rsid w:val="20F91B22"/>
    <w:rsid w:val="2102118F"/>
    <w:rsid w:val="210643F0"/>
    <w:rsid w:val="2106576D"/>
    <w:rsid w:val="21101023"/>
    <w:rsid w:val="21126A1E"/>
    <w:rsid w:val="21150ACD"/>
    <w:rsid w:val="211822BD"/>
    <w:rsid w:val="211A3117"/>
    <w:rsid w:val="211D6ED8"/>
    <w:rsid w:val="21365E4F"/>
    <w:rsid w:val="213F57A3"/>
    <w:rsid w:val="21432762"/>
    <w:rsid w:val="21591E72"/>
    <w:rsid w:val="215F5D66"/>
    <w:rsid w:val="21640DC1"/>
    <w:rsid w:val="219B228D"/>
    <w:rsid w:val="219C7087"/>
    <w:rsid w:val="219D2205"/>
    <w:rsid w:val="21A2770F"/>
    <w:rsid w:val="21AF4DC3"/>
    <w:rsid w:val="21C06F92"/>
    <w:rsid w:val="21C84E9E"/>
    <w:rsid w:val="21CB5CF6"/>
    <w:rsid w:val="21D17696"/>
    <w:rsid w:val="21D51AA2"/>
    <w:rsid w:val="21E1049A"/>
    <w:rsid w:val="21E5632B"/>
    <w:rsid w:val="21F143E4"/>
    <w:rsid w:val="21F718D2"/>
    <w:rsid w:val="220643AF"/>
    <w:rsid w:val="22077889"/>
    <w:rsid w:val="220C644E"/>
    <w:rsid w:val="220F06E1"/>
    <w:rsid w:val="22104944"/>
    <w:rsid w:val="22121D33"/>
    <w:rsid w:val="2225695B"/>
    <w:rsid w:val="222B4A26"/>
    <w:rsid w:val="22316996"/>
    <w:rsid w:val="224503BF"/>
    <w:rsid w:val="224944DA"/>
    <w:rsid w:val="224C1EE4"/>
    <w:rsid w:val="224E5006"/>
    <w:rsid w:val="225F71CC"/>
    <w:rsid w:val="226E0F46"/>
    <w:rsid w:val="227D046A"/>
    <w:rsid w:val="228869BB"/>
    <w:rsid w:val="228B7D1B"/>
    <w:rsid w:val="22BB1853"/>
    <w:rsid w:val="22E305BB"/>
    <w:rsid w:val="22EE7034"/>
    <w:rsid w:val="23167EA3"/>
    <w:rsid w:val="231B17F9"/>
    <w:rsid w:val="232510F6"/>
    <w:rsid w:val="233A304E"/>
    <w:rsid w:val="23491976"/>
    <w:rsid w:val="234D6E93"/>
    <w:rsid w:val="235511EA"/>
    <w:rsid w:val="23644A96"/>
    <w:rsid w:val="23690609"/>
    <w:rsid w:val="237A3E4E"/>
    <w:rsid w:val="237E1230"/>
    <w:rsid w:val="238A29AB"/>
    <w:rsid w:val="238F40D9"/>
    <w:rsid w:val="23933508"/>
    <w:rsid w:val="239504D4"/>
    <w:rsid w:val="23950A3C"/>
    <w:rsid w:val="23A92C60"/>
    <w:rsid w:val="23AE700C"/>
    <w:rsid w:val="23B03FD9"/>
    <w:rsid w:val="23BA7F5A"/>
    <w:rsid w:val="23C13739"/>
    <w:rsid w:val="23E11DA2"/>
    <w:rsid w:val="23E235B0"/>
    <w:rsid w:val="23F66BE1"/>
    <w:rsid w:val="24044813"/>
    <w:rsid w:val="240B3355"/>
    <w:rsid w:val="240D2E7E"/>
    <w:rsid w:val="241C508B"/>
    <w:rsid w:val="241F3B4A"/>
    <w:rsid w:val="2428389C"/>
    <w:rsid w:val="242C5780"/>
    <w:rsid w:val="2439617A"/>
    <w:rsid w:val="244A2922"/>
    <w:rsid w:val="245005B3"/>
    <w:rsid w:val="24661A7D"/>
    <w:rsid w:val="246B069B"/>
    <w:rsid w:val="247339F1"/>
    <w:rsid w:val="248169C6"/>
    <w:rsid w:val="248F4D47"/>
    <w:rsid w:val="24934502"/>
    <w:rsid w:val="24940315"/>
    <w:rsid w:val="249604BE"/>
    <w:rsid w:val="24A31E88"/>
    <w:rsid w:val="24C504EE"/>
    <w:rsid w:val="24D14521"/>
    <w:rsid w:val="24E164AF"/>
    <w:rsid w:val="24E41B08"/>
    <w:rsid w:val="24E65466"/>
    <w:rsid w:val="24E944A8"/>
    <w:rsid w:val="24F54BAD"/>
    <w:rsid w:val="24F61130"/>
    <w:rsid w:val="24FC5064"/>
    <w:rsid w:val="24FF450D"/>
    <w:rsid w:val="250B6C88"/>
    <w:rsid w:val="250D16FB"/>
    <w:rsid w:val="25207316"/>
    <w:rsid w:val="2528631C"/>
    <w:rsid w:val="252F052A"/>
    <w:rsid w:val="25373204"/>
    <w:rsid w:val="253A1C68"/>
    <w:rsid w:val="253C7281"/>
    <w:rsid w:val="25551F1D"/>
    <w:rsid w:val="255A4BBE"/>
    <w:rsid w:val="255E4A9F"/>
    <w:rsid w:val="25627611"/>
    <w:rsid w:val="25636FED"/>
    <w:rsid w:val="25645A54"/>
    <w:rsid w:val="25772EBB"/>
    <w:rsid w:val="257A7A06"/>
    <w:rsid w:val="257F0628"/>
    <w:rsid w:val="25832019"/>
    <w:rsid w:val="259331FE"/>
    <w:rsid w:val="25957FF8"/>
    <w:rsid w:val="25A149AC"/>
    <w:rsid w:val="25AE6649"/>
    <w:rsid w:val="25AF3F32"/>
    <w:rsid w:val="25B22A3B"/>
    <w:rsid w:val="25BA2D11"/>
    <w:rsid w:val="25C654B7"/>
    <w:rsid w:val="25C76E87"/>
    <w:rsid w:val="25D97596"/>
    <w:rsid w:val="25E37902"/>
    <w:rsid w:val="25F044F9"/>
    <w:rsid w:val="25F74971"/>
    <w:rsid w:val="26040109"/>
    <w:rsid w:val="26061962"/>
    <w:rsid w:val="260F672F"/>
    <w:rsid w:val="26175540"/>
    <w:rsid w:val="26200FD2"/>
    <w:rsid w:val="262C56B0"/>
    <w:rsid w:val="262E6827"/>
    <w:rsid w:val="262F455F"/>
    <w:rsid w:val="263A525F"/>
    <w:rsid w:val="263F201C"/>
    <w:rsid w:val="2642755C"/>
    <w:rsid w:val="264A0CB7"/>
    <w:rsid w:val="26507D69"/>
    <w:rsid w:val="26590788"/>
    <w:rsid w:val="265D1B10"/>
    <w:rsid w:val="26640280"/>
    <w:rsid w:val="26664CB6"/>
    <w:rsid w:val="266D04E0"/>
    <w:rsid w:val="267D0DD4"/>
    <w:rsid w:val="26900E65"/>
    <w:rsid w:val="269308F5"/>
    <w:rsid w:val="269E1A8D"/>
    <w:rsid w:val="26A0140A"/>
    <w:rsid w:val="26A05ED5"/>
    <w:rsid w:val="26A4480F"/>
    <w:rsid w:val="26AB027E"/>
    <w:rsid w:val="26AE73BF"/>
    <w:rsid w:val="26B3402C"/>
    <w:rsid w:val="26BD3478"/>
    <w:rsid w:val="26C5427E"/>
    <w:rsid w:val="26C91AA2"/>
    <w:rsid w:val="26CB5BEC"/>
    <w:rsid w:val="26D17EE9"/>
    <w:rsid w:val="26D26B3A"/>
    <w:rsid w:val="26E70819"/>
    <w:rsid w:val="26F614FF"/>
    <w:rsid w:val="27085698"/>
    <w:rsid w:val="2722517B"/>
    <w:rsid w:val="2726309C"/>
    <w:rsid w:val="27325E70"/>
    <w:rsid w:val="27341B93"/>
    <w:rsid w:val="27430D53"/>
    <w:rsid w:val="27437ADB"/>
    <w:rsid w:val="27537702"/>
    <w:rsid w:val="27644968"/>
    <w:rsid w:val="27661057"/>
    <w:rsid w:val="27752950"/>
    <w:rsid w:val="2778764E"/>
    <w:rsid w:val="278B23EE"/>
    <w:rsid w:val="27911388"/>
    <w:rsid w:val="279657AA"/>
    <w:rsid w:val="2798045F"/>
    <w:rsid w:val="279C7ABE"/>
    <w:rsid w:val="27A11A16"/>
    <w:rsid w:val="27AE21B9"/>
    <w:rsid w:val="27AE5060"/>
    <w:rsid w:val="27B52D32"/>
    <w:rsid w:val="27C22234"/>
    <w:rsid w:val="27C817BE"/>
    <w:rsid w:val="27D30046"/>
    <w:rsid w:val="27D4336A"/>
    <w:rsid w:val="27F60128"/>
    <w:rsid w:val="28100970"/>
    <w:rsid w:val="28130FC3"/>
    <w:rsid w:val="281C5C13"/>
    <w:rsid w:val="28242AFE"/>
    <w:rsid w:val="282D4DA2"/>
    <w:rsid w:val="284327FC"/>
    <w:rsid w:val="284661A2"/>
    <w:rsid w:val="284763CA"/>
    <w:rsid w:val="284C1CF1"/>
    <w:rsid w:val="285259C3"/>
    <w:rsid w:val="285570E5"/>
    <w:rsid w:val="286F0F65"/>
    <w:rsid w:val="28810C2F"/>
    <w:rsid w:val="28832153"/>
    <w:rsid w:val="288C402F"/>
    <w:rsid w:val="288C615D"/>
    <w:rsid w:val="289A71C9"/>
    <w:rsid w:val="28AF56E0"/>
    <w:rsid w:val="28BF2E88"/>
    <w:rsid w:val="28E35480"/>
    <w:rsid w:val="28EE01A4"/>
    <w:rsid w:val="28F364BD"/>
    <w:rsid w:val="28F5415C"/>
    <w:rsid w:val="28FC38FD"/>
    <w:rsid w:val="29034D8E"/>
    <w:rsid w:val="2903673E"/>
    <w:rsid w:val="290D640A"/>
    <w:rsid w:val="29177E97"/>
    <w:rsid w:val="291A4C7E"/>
    <w:rsid w:val="291F0427"/>
    <w:rsid w:val="291F3DE6"/>
    <w:rsid w:val="292B2DD6"/>
    <w:rsid w:val="293C79A7"/>
    <w:rsid w:val="29454D6E"/>
    <w:rsid w:val="294F4DA4"/>
    <w:rsid w:val="295449EC"/>
    <w:rsid w:val="29554FB8"/>
    <w:rsid w:val="29580A24"/>
    <w:rsid w:val="29591EF6"/>
    <w:rsid w:val="295D23DB"/>
    <w:rsid w:val="2969051B"/>
    <w:rsid w:val="296C6F88"/>
    <w:rsid w:val="296F263E"/>
    <w:rsid w:val="297172A8"/>
    <w:rsid w:val="29753781"/>
    <w:rsid w:val="2983564B"/>
    <w:rsid w:val="2986365A"/>
    <w:rsid w:val="29897F36"/>
    <w:rsid w:val="298F2D60"/>
    <w:rsid w:val="299A5939"/>
    <w:rsid w:val="299E2EE4"/>
    <w:rsid w:val="29A0654A"/>
    <w:rsid w:val="29BE52CE"/>
    <w:rsid w:val="29DB2E13"/>
    <w:rsid w:val="29DB795F"/>
    <w:rsid w:val="29DF3FB6"/>
    <w:rsid w:val="29F43C64"/>
    <w:rsid w:val="29FA25C8"/>
    <w:rsid w:val="29FD19B7"/>
    <w:rsid w:val="2A112438"/>
    <w:rsid w:val="2A1808B1"/>
    <w:rsid w:val="2A1C72FC"/>
    <w:rsid w:val="2A1E7273"/>
    <w:rsid w:val="2A2A3042"/>
    <w:rsid w:val="2A415E9B"/>
    <w:rsid w:val="2A4A5617"/>
    <w:rsid w:val="2A4E0052"/>
    <w:rsid w:val="2A5A55D9"/>
    <w:rsid w:val="2A600C3F"/>
    <w:rsid w:val="2A6021EF"/>
    <w:rsid w:val="2A681EB6"/>
    <w:rsid w:val="2A6D6D04"/>
    <w:rsid w:val="2A7A5040"/>
    <w:rsid w:val="2A7D6E95"/>
    <w:rsid w:val="2A900B35"/>
    <w:rsid w:val="2A94612D"/>
    <w:rsid w:val="2A9A4051"/>
    <w:rsid w:val="2A9C5B40"/>
    <w:rsid w:val="2AA400F4"/>
    <w:rsid w:val="2AA45E35"/>
    <w:rsid w:val="2AAC54BB"/>
    <w:rsid w:val="2AB57FF9"/>
    <w:rsid w:val="2ABA6371"/>
    <w:rsid w:val="2AC329D5"/>
    <w:rsid w:val="2ACC28DA"/>
    <w:rsid w:val="2ACC7B98"/>
    <w:rsid w:val="2AD855B7"/>
    <w:rsid w:val="2ADE063F"/>
    <w:rsid w:val="2AE11D66"/>
    <w:rsid w:val="2AEB102F"/>
    <w:rsid w:val="2AF24565"/>
    <w:rsid w:val="2AFA470A"/>
    <w:rsid w:val="2AFB6113"/>
    <w:rsid w:val="2B0C20F7"/>
    <w:rsid w:val="2B0F5533"/>
    <w:rsid w:val="2B1B65B9"/>
    <w:rsid w:val="2B1C282C"/>
    <w:rsid w:val="2B2706A2"/>
    <w:rsid w:val="2B274543"/>
    <w:rsid w:val="2B28252F"/>
    <w:rsid w:val="2B361E34"/>
    <w:rsid w:val="2B461FAE"/>
    <w:rsid w:val="2B4D31F0"/>
    <w:rsid w:val="2B4F71D5"/>
    <w:rsid w:val="2B527EE3"/>
    <w:rsid w:val="2B5433AC"/>
    <w:rsid w:val="2B580D2F"/>
    <w:rsid w:val="2B581625"/>
    <w:rsid w:val="2B5E1A74"/>
    <w:rsid w:val="2B667187"/>
    <w:rsid w:val="2B6B6CC8"/>
    <w:rsid w:val="2B6F75C5"/>
    <w:rsid w:val="2B7D4228"/>
    <w:rsid w:val="2B7D5456"/>
    <w:rsid w:val="2B8B70C4"/>
    <w:rsid w:val="2B9576E2"/>
    <w:rsid w:val="2B985550"/>
    <w:rsid w:val="2B9A4D5A"/>
    <w:rsid w:val="2BA41CAA"/>
    <w:rsid w:val="2BA45400"/>
    <w:rsid w:val="2BBA0680"/>
    <w:rsid w:val="2BC2082C"/>
    <w:rsid w:val="2BD25B6F"/>
    <w:rsid w:val="2BEC51D8"/>
    <w:rsid w:val="2BEF1A87"/>
    <w:rsid w:val="2C01687B"/>
    <w:rsid w:val="2C0368C6"/>
    <w:rsid w:val="2C05500E"/>
    <w:rsid w:val="2C1134D0"/>
    <w:rsid w:val="2C246940"/>
    <w:rsid w:val="2C25692B"/>
    <w:rsid w:val="2C290D81"/>
    <w:rsid w:val="2C2E78B5"/>
    <w:rsid w:val="2C387203"/>
    <w:rsid w:val="2C3C1EC1"/>
    <w:rsid w:val="2C42462B"/>
    <w:rsid w:val="2C4F7878"/>
    <w:rsid w:val="2C5B41CA"/>
    <w:rsid w:val="2C704F2D"/>
    <w:rsid w:val="2C7F23AB"/>
    <w:rsid w:val="2C8A6306"/>
    <w:rsid w:val="2CA350BE"/>
    <w:rsid w:val="2CA423D8"/>
    <w:rsid w:val="2CA50223"/>
    <w:rsid w:val="2CA96082"/>
    <w:rsid w:val="2CB85977"/>
    <w:rsid w:val="2CBB5644"/>
    <w:rsid w:val="2CBE1462"/>
    <w:rsid w:val="2CC44205"/>
    <w:rsid w:val="2CC47DED"/>
    <w:rsid w:val="2CCF5DDE"/>
    <w:rsid w:val="2CD3710B"/>
    <w:rsid w:val="2CD86730"/>
    <w:rsid w:val="2CDB0944"/>
    <w:rsid w:val="2CE27267"/>
    <w:rsid w:val="2CE74D39"/>
    <w:rsid w:val="2CE8150A"/>
    <w:rsid w:val="2CF20BDC"/>
    <w:rsid w:val="2D016444"/>
    <w:rsid w:val="2D0B00A7"/>
    <w:rsid w:val="2D0B6221"/>
    <w:rsid w:val="2D12077C"/>
    <w:rsid w:val="2D1B3E5F"/>
    <w:rsid w:val="2D270FD0"/>
    <w:rsid w:val="2D277EFB"/>
    <w:rsid w:val="2D31047C"/>
    <w:rsid w:val="2D3178DC"/>
    <w:rsid w:val="2D324DB9"/>
    <w:rsid w:val="2D4E3F0C"/>
    <w:rsid w:val="2D646B9E"/>
    <w:rsid w:val="2D700E9E"/>
    <w:rsid w:val="2D976683"/>
    <w:rsid w:val="2D9B7AEB"/>
    <w:rsid w:val="2DA93130"/>
    <w:rsid w:val="2DB27C81"/>
    <w:rsid w:val="2DB70397"/>
    <w:rsid w:val="2DCB3D94"/>
    <w:rsid w:val="2DE35338"/>
    <w:rsid w:val="2E113FBC"/>
    <w:rsid w:val="2E137ADD"/>
    <w:rsid w:val="2E194F3D"/>
    <w:rsid w:val="2E2E5E39"/>
    <w:rsid w:val="2E3E0198"/>
    <w:rsid w:val="2E3F0BEE"/>
    <w:rsid w:val="2E560939"/>
    <w:rsid w:val="2E574D85"/>
    <w:rsid w:val="2E5A7CD6"/>
    <w:rsid w:val="2E5E648E"/>
    <w:rsid w:val="2E790DE1"/>
    <w:rsid w:val="2E7D7C1F"/>
    <w:rsid w:val="2E8330D0"/>
    <w:rsid w:val="2E8665B7"/>
    <w:rsid w:val="2E9136EE"/>
    <w:rsid w:val="2EB61C7F"/>
    <w:rsid w:val="2EC56BE5"/>
    <w:rsid w:val="2EE20386"/>
    <w:rsid w:val="2EF00893"/>
    <w:rsid w:val="2EF82AEC"/>
    <w:rsid w:val="2EF9324C"/>
    <w:rsid w:val="2EFE3E2D"/>
    <w:rsid w:val="2EFF3E52"/>
    <w:rsid w:val="2F08433B"/>
    <w:rsid w:val="2F0D7AB0"/>
    <w:rsid w:val="2F136646"/>
    <w:rsid w:val="2F34595E"/>
    <w:rsid w:val="2F363704"/>
    <w:rsid w:val="2F61762B"/>
    <w:rsid w:val="2F6A2071"/>
    <w:rsid w:val="2F7002C7"/>
    <w:rsid w:val="2F730662"/>
    <w:rsid w:val="2F846F0C"/>
    <w:rsid w:val="2F853097"/>
    <w:rsid w:val="2F8F26F5"/>
    <w:rsid w:val="2F941189"/>
    <w:rsid w:val="2F962068"/>
    <w:rsid w:val="2F9E5E02"/>
    <w:rsid w:val="2FA87A96"/>
    <w:rsid w:val="2FA92ACB"/>
    <w:rsid w:val="2FA94971"/>
    <w:rsid w:val="2FB30E01"/>
    <w:rsid w:val="2FBC3413"/>
    <w:rsid w:val="2FC12E0D"/>
    <w:rsid w:val="2FC57321"/>
    <w:rsid w:val="2FD32C7E"/>
    <w:rsid w:val="2FD3657A"/>
    <w:rsid w:val="2FDD2E8E"/>
    <w:rsid w:val="2FDE3125"/>
    <w:rsid w:val="2FE505AF"/>
    <w:rsid w:val="2FE96982"/>
    <w:rsid w:val="2FED2320"/>
    <w:rsid w:val="2FF3094F"/>
    <w:rsid w:val="2FF954CE"/>
    <w:rsid w:val="2FFD0C0E"/>
    <w:rsid w:val="2FFF2318"/>
    <w:rsid w:val="300D20E3"/>
    <w:rsid w:val="300D36B9"/>
    <w:rsid w:val="300F3090"/>
    <w:rsid w:val="301B2328"/>
    <w:rsid w:val="302241FA"/>
    <w:rsid w:val="30225849"/>
    <w:rsid w:val="30253FFF"/>
    <w:rsid w:val="30322E5C"/>
    <w:rsid w:val="30396D27"/>
    <w:rsid w:val="3044003E"/>
    <w:rsid w:val="30455CDD"/>
    <w:rsid w:val="30505F70"/>
    <w:rsid w:val="305703F6"/>
    <w:rsid w:val="305E4539"/>
    <w:rsid w:val="30636F29"/>
    <w:rsid w:val="30645CFC"/>
    <w:rsid w:val="30665E9F"/>
    <w:rsid w:val="30675208"/>
    <w:rsid w:val="306C7EFE"/>
    <w:rsid w:val="3072328C"/>
    <w:rsid w:val="30787874"/>
    <w:rsid w:val="307D24DF"/>
    <w:rsid w:val="30833D57"/>
    <w:rsid w:val="30A57B99"/>
    <w:rsid w:val="30B141D5"/>
    <w:rsid w:val="30B556A1"/>
    <w:rsid w:val="30B97331"/>
    <w:rsid w:val="30BA6D63"/>
    <w:rsid w:val="30BB7213"/>
    <w:rsid w:val="30C23A3B"/>
    <w:rsid w:val="30D6503C"/>
    <w:rsid w:val="30DE6F2C"/>
    <w:rsid w:val="30E24933"/>
    <w:rsid w:val="30E9446C"/>
    <w:rsid w:val="30ED69B7"/>
    <w:rsid w:val="30F5319F"/>
    <w:rsid w:val="30F859A5"/>
    <w:rsid w:val="31083396"/>
    <w:rsid w:val="310C35ED"/>
    <w:rsid w:val="310D031B"/>
    <w:rsid w:val="31186793"/>
    <w:rsid w:val="312955F9"/>
    <w:rsid w:val="313B3958"/>
    <w:rsid w:val="31496258"/>
    <w:rsid w:val="314B0B14"/>
    <w:rsid w:val="31594B69"/>
    <w:rsid w:val="315B0515"/>
    <w:rsid w:val="31607AF5"/>
    <w:rsid w:val="316B6CEE"/>
    <w:rsid w:val="3182440D"/>
    <w:rsid w:val="31881438"/>
    <w:rsid w:val="318C3787"/>
    <w:rsid w:val="31913A69"/>
    <w:rsid w:val="31922F44"/>
    <w:rsid w:val="319B3CAA"/>
    <w:rsid w:val="319C66CB"/>
    <w:rsid w:val="31A474A9"/>
    <w:rsid w:val="31B01187"/>
    <w:rsid w:val="31B36D87"/>
    <w:rsid w:val="31B70966"/>
    <w:rsid w:val="31D35C81"/>
    <w:rsid w:val="31DA7CEA"/>
    <w:rsid w:val="31ED3136"/>
    <w:rsid w:val="31FD406A"/>
    <w:rsid w:val="31FE2FC8"/>
    <w:rsid w:val="32066C5B"/>
    <w:rsid w:val="3214416F"/>
    <w:rsid w:val="3216466A"/>
    <w:rsid w:val="321743EE"/>
    <w:rsid w:val="32373F2E"/>
    <w:rsid w:val="32415501"/>
    <w:rsid w:val="324276A3"/>
    <w:rsid w:val="32440A8B"/>
    <w:rsid w:val="324639D0"/>
    <w:rsid w:val="32472605"/>
    <w:rsid w:val="32484049"/>
    <w:rsid w:val="32495F55"/>
    <w:rsid w:val="325719E8"/>
    <w:rsid w:val="325E6DEC"/>
    <w:rsid w:val="326124EC"/>
    <w:rsid w:val="326170B4"/>
    <w:rsid w:val="3264531C"/>
    <w:rsid w:val="32665466"/>
    <w:rsid w:val="326B38EB"/>
    <w:rsid w:val="327D79D8"/>
    <w:rsid w:val="32892A4B"/>
    <w:rsid w:val="32A63CB7"/>
    <w:rsid w:val="32AB0069"/>
    <w:rsid w:val="32B1077D"/>
    <w:rsid w:val="32B63AE8"/>
    <w:rsid w:val="32B736BD"/>
    <w:rsid w:val="32B865A2"/>
    <w:rsid w:val="32BE6E92"/>
    <w:rsid w:val="32DF641E"/>
    <w:rsid w:val="32E70824"/>
    <w:rsid w:val="32FE6CC1"/>
    <w:rsid w:val="330E2F53"/>
    <w:rsid w:val="331C1158"/>
    <w:rsid w:val="331F2416"/>
    <w:rsid w:val="33291ECF"/>
    <w:rsid w:val="333B39A9"/>
    <w:rsid w:val="33435FD9"/>
    <w:rsid w:val="3345063A"/>
    <w:rsid w:val="33461261"/>
    <w:rsid w:val="33482D94"/>
    <w:rsid w:val="335121B9"/>
    <w:rsid w:val="33554305"/>
    <w:rsid w:val="335544F7"/>
    <w:rsid w:val="3371608F"/>
    <w:rsid w:val="337829B0"/>
    <w:rsid w:val="337A0742"/>
    <w:rsid w:val="337C0BAD"/>
    <w:rsid w:val="33835519"/>
    <w:rsid w:val="33923816"/>
    <w:rsid w:val="33960E31"/>
    <w:rsid w:val="339766EC"/>
    <w:rsid w:val="33A02864"/>
    <w:rsid w:val="33A07FCF"/>
    <w:rsid w:val="33A13F7B"/>
    <w:rsid w:val="33A22E78"/>
    <w:rsid w:val="33A8589B"/>
    <w:rsid w:val="33A932A0"/>
    <w:rsid w:val="33B95F01"/>
    <w:rsid w:val="33B96650"/>
    <w:rsid w:val="33BF1D10"/>
    <w:rsid w:val="33C07D0A"/>
    <w:rsid w:val="33DE0862"/>
    <w:rsid w:val="33E170B6"/>
    <w:rsid w:val="33E541A9"/>
    <w:rsid w:val="33E93BB1"/>
    <w:rsid w:val="33F75282"/>
    <w:rsid w:val="33FB6405"/>
    <w:rsid w:val="3402383D"/>
    <w:rsid w:val="34051260"/>
    <w:rsid w:val="340A53E6"/>
    <w:rsid w:val="340B4FDB"/>
    <w:rsid w:val="34110143"/>
    <w:rsid w:val="34223F33"/>
    <w:rsid w:val="342E505E"/>
    <w:rsid w:val="34367751"/>
    <w:rsid w:val="34414B42"/>
    <w:rsid w:val="34457A14"/>
    <w:rsid w:val="34476BB2"/>
    <w:rsid w:val="34517714"/>
    <w:rsid w:val="346E1392"/>
    <w:rsid w:val="347362F2"/>
    <w:rsid w:val="348A1DB8"/>
    <w:rsid w:val="34980D1E"/>
    <w:rsid w:val="34B033E7"/>
    <w:rsid w:val="34B52354"/>
    <w:rsid w:val="34BD350C"/>
    <w:rsid w:val="34BF74EA"/>
    <w:rsid w:val="34C03C3B"/>
    <w:rsid w:val="34D766B0"/>
    <w:rsid w:val="34DB2B4D"/>
    <w:rsid w:val="34E16316"/>
    <w:rsid w:val="34E467C1"/>
    <w:rsid w:val="34E75F12"/>
    <w:rsid w:val="34F32500"/>
    <w:rsid w:val="350623F2"/>
    <w:rsid w:val="350A5CF4"/>
    <w:rsid w:val="351F2F82"/>
    <w:rsid w:val="352C0860"/>
    <w:rsid w:val="352D3D79"/>
    <w:rsid w:val="3535293E"/>
    <w:rsid w:val="3536502B"/>
    <w:rsid w:val="353665BD"/>
    <w:rsid w:val="353F4910"/>
    <w:rsid w:val="355610B1"/>
    <w:rsid w:val="355B65B2"/>
    <w:rsid w:val="355D4F81"/>
    <w:rsid w:val="3567202C"/>
    <w:rsid w:val="35705AE4"/>
    <w:rsid w:val="35793904"/>
    <w:rsid w:val="35824905"/>
    <w:rsid w:val="35843F72"/>
    <w:rsid w:val="358D478E"/>
    <w:rsid w:val="35970273"/>
    <w:rsid w:val="359E7055"/>
    <w:rsid w:val="35A628BF"/>
    <w:rsid w:val="35A640C3"/>
    <w:rsid w:val="35A8616F"/>
    <w:rsid w:val="35AC4C37"/>
    <w:rsid w:val="35C1500F"/>
    <w:rsid w:val="35C74E47"/>
    <w:rsid w:val="35C93FD1"/>
    <w:rsid w:val="35E24DF5"/>
    <w:rsid w:val="35EB2A94"/>
    <w:rsid w:val="35EE0BFA"/>
    <w:rsid w:val="35FC0320"/>
    <w:rsid w:val="35FC78A0"/>
    <w:rsid w:val="35FF463C"/>
    <w:rsid w:val="36033597"/>
    <w:rsid w:val="360C5EC0"/>
    <w:rsid w:val="360D4DD7"/>
    <w:rsid w:val="361124A4"/>
    <w:rsid w:val="36132896"/>
    <w:rsid w:val="36251E52"/>
    <w:rsid w:val="36280F4A"/>
    <w:rsid w:val="363407F7"/>
    <w:rsid w:val="363627D3"/>
    <w:rsid w:val="3638445C"/>
    <w:rsid w:val="36400122"/>
    <w:rsid w:val="364A0E13"/>
    <w:rsid w:val="364A43D8"/>
    <w:rsid w:val="364D39D1"/>
    <w:rsid w:val="365612E8"/>
    <w:rsid w:val="36611770"/>
    <w:rsid w:val="36612B90"/>
    <w:rsid w:val="36631030"/>
    <w:rsid w:val="366513C8"/>
    <w:rsid w:val="36692433"/>
    <w:rsid w:val="3686608C"/>
    <w:rsid w:val="368A7B73"/>
    <w:rsid w:val="369D01F1"/>
    <w:rsid w:val="36AD62EF"/>
    <w:rsid w:val="36BD0318"/>
    <w:rsid w:val="36C142BF"/>
    <w:rsid w:val="36CA1F25"/>
    <w:rsid w:val="36DE0951"/>
    <w:rsid w:val="36E1021E"/>
    <w:rsid w:val="36EF3FFC"/>
    <w:rsid w:val="36F210B1"/>
    <w:rsid w:val="36FA6519"/>
    <w:rsid w:val="36FD5A14"/>
    <w:rsid w:val="37007AC7"/>
    <w:rsid w:val="37073B9A"/>
    <w:rsid w:val="371D1C1E"/>
    <w:rsid w:val="371F5B4E"/>
    <w:rsid w:val="371F6EDC"/>
    <w:rsid w:val="372A09FA"/>
    <w:rsid w:val="37330115"/>
    <w:rsid w:val="373529C0"/>
    <w:rsid w:val="37363185"/>
    <w:rsid w:val="375A58F4"/>
    <w:rsid w:val="375F2D0C"/>
    <w:rsid w:val="376B4FBE"/>
    <w:rsid w:val="37807A1C"/>
    <w:rsid w:val="37866CAA"/>
    <w:rsid w:val="378E3BE4"/>
    <w:rsid w:val="379837CA"/>
    <w:rsid w:val="37994C24"/>
    <w:rsid w:val="37A4695E"/>
    <w:rsid w:val="37AA79A3"/>
    <w:rsid w:val="37B253AC"/>
    <w:rsid w:val="37B73B33"/>
    <w:rsid w:val="37C87091"/>
    <w:rsid w:val="37C93E18"/>
    <w:rsid w:val="37D42B5B"/>
    <w:rsid w:val="37E11252"/>
    <w:rsid w:val="37E8004A"/>
    <w:rsid w:val="37F048A0"/>
    <w:rsid w:val="37F27E10"/>
    <w:rsid w:val="37FD1CC4"/>
    <w:rsid w:val="38223AA8"/>
    <w:rsid w:val="382932C1"/>
    <w:rsid w:val="382A51FA"/>
    <w:rsid w:val="382F4B08"/>
    <w:rsid w:val="38312A30"/>
    <w:rsid w:val="383B53FE"/>
    <w:rsid w:val="383D58E5"/>
    <w:rsid w:val="38526F11"/>
    <w:rsid w:val="38544E85"/>
    <w:rsid w:val="38605BE7"/>
    <w:rsid w:val="387845AF"/>
    <w:rsid w:val="38A00A0E"/>
    <w:rsid w:val="38A23923"/>
    <w:rsid w:val="38A81139"/>
    <w:rsid w:val="38A83ADF"/>
    <w:rsid w:val="38B10FD3"/>
    <w:rsid w:val="38BF21DB"/>
    <w:rsid w:val="38CE4F70"/>
    <w:rsid w:val="38D25AA5"/>
    <w:rsid w:val="38DC7DB9"/>
    <w:rsid w:val="38DF7F36"/>
    <w:rsid w:val="38E12A24"/>
    <w:rsid w:val="38E7522B"/>
    <w:rsid w:val="38F03DE8"/>
    <w:rsid w:val="38F172EC"/>
    <w:rsid w:val="38FF3D9D"/>
    <w:rsid w:val="390D588D"/>
    <w:rsid w:val="391F2C63"/>
    <w:rsid w:val="391F5244"/>
    <w:rsid w:val="392029D3"/>
    <w:rsid w:val="39225CE4"/>
    <w:rsid w:val="392635CF"/>
    <w:rsid w:val="392876F4"/>
    <w:rsid w:val="392A377B"/>
    <w:rsid w:val="393120C7"/>
    <w:rsid w:val="393E362D"/>
    <w:rsid w:val="395E6FAD"/>
    <w:rsid w:val="396252C6"/>
    <w:rsid w:val="396D0C84"/>
    <w:rsid w:val="397F27D6"/>
    <w:rsid w:val="39980102"/>
    <w:rsid w:val="399F0B08"/>
    <w:rsid w:val="39AE1A04"/>
    <w:rsid w:val="39B54FFE"/>
    <w:rsid w:val="39B7679D"/>
    <w:rsid w:val="39C550B5"/>
    <w:rsid w:val="39C62DFD"/>
    <w:rsid w:val="39CE51AC"/>
    <w:rsid w:val="39DC14C7"/>
    <w:rsid w:val="39DC32CF"/>
    <w:rsid w:val="39DC5B33"/>
    <w:rsid w:val="39E53811"/>
    <w:rsid w:val="39EF3377"/>
    <w:rsid w:val="39F63CA8"/>
    <w:rsid w:val="3A0C76D7"/>
    <w:rsid w:val="3A127640"/>
    <w:rsid w:val="3A19194C"/>
    <w:rsid w:val="3A1E479F"/>
    <w:rsid w:val="3A204AEC"/>
    <w:rsid w:val="3A2200E6"/>
    <w:rsid w:val="3A233648"/>
    <w:rsid w:val="3A256D7A"/>
    <w:rsid w:val="3A2D4580"/>
    <w:rsid w:val="3A3E0D77"/>
    <w:rsid w:val="3A4E34CE"/>
    <w:rsid w:val="3A504D64"/>
    <w:rsid w:val="3A5610C1"/>
    <w:rsid w:val="3A6234A0"/>
    <w:rsid w:val="3A627DF4"/>
    <w:rsid w:val="3A6F415E"/>
    <w:rsid w:val="3A791CD8"/>
    <w:rsid w:val="3A7E250A"/>
    <w:rsid w:val="3A7F5346"/>
    <w:rsid w:val="3A895FAF"/>
    <w:rsid w:val="3A9611FB"/>
    <w:rsid w:val="3A9E7E6E"/>
    <w:rsid w:val="3AB06356"/>
    <w:rsid w:val="3AC20A9E"/>
    <w:rsid w:val="3ACA5143"/>
    <w:rsid w:val="3ACC7E1E"/>
    <w:rsid w:val="3AD546AF"/>
    <w:rsid w:val="3ADC43DB"/>
    <w:rsid w:val="3AEB018A"/>
    <w:rsid w:val="3AF64329"/>
    <w:rsid w:val="3B000900"/>
    <w:rsid w:val="3B047A2C"/>
    <w:rsid w:val="3B0D012B"/>
    <w:rsid w:val="3B101F22"/>
    <w:rsid w:val="3B124C1B"/>
    <w:rsid w:val="3B144FE3"/>
    <w:rsid w:val="3B1725D5"/>
    <w:rsid w:val="3B1B785B"/>
    <w:rsid w:val="3B2A3136"/>
    <w:rsid w:val="3B2B31E1"/>
    <w:rsid w:val="3B3245B6"/>
    <w:rsid w:val="3B3E7BB5"/>
    <w:rsid w:val="3B43293D"/>
    <w:rsid w:val="3B4604BD"/>
    <w:rsid w:val="3B5F6BF9"/>
    <w:rsid w:val="3B5F7EA1"/>
    <w:rsid w:val="3B622EBC"/>
    <w:rsid w:val="3B697A40"/>
    <w:rsid w:val="3B733F3E"/>
    <w:rsid w:val="3B7B6258"/>
    <w:rsid w:val="3B7C16F1"/>
    <w:rsid w:val="3B7D36E1"/>
    <w:rsid w:val="3B8A52AF"/>
    <w:rsid w:val="3B8A6A1F"/>
    <w:rsid w:val="3B910482"/>
    <w:rsid w:val="3B9B6F13"/>
    <w:rsid w:val="3BB16615"/>
    <w:rsid w:val="3BBD1447"/>
    <w:rsid w:val="3BC05AA5"/>
    <w:rsid w:val="3BCE0130"/>
    <w:rsid w:val="3BD6160A"/>
    <w:rsid w:val="3BE5760A"/>
    <w:rsid w:val="3BED1959"/>
    <w:rsid w:val="3BED69ED"/>
    <w:rsid w:val="3BF736C7"/>
    <w:rsid w:val="3BF91A21"/>
    <w:rsid w:val="3C04103F"/>
    <w:rsid w:val="3C0D7EBC"/>
    <w:rsid w:val="3C130B57"/>
    <w:rsid w:val="3C176715"/>
    <w:rsid w:val="3C190282"/>
    <w:rsid w:val="3C1E1BA0"/>
    <w:rsid w:val="3C20170F"/>
    <w:rsid w:val="3C35789E"/>
    <w:rsid w:val="3C3A17EA"/>
    <w:rsid w:val="3C3E6D60"/>
    <w:rsid w:val="3C413B35"/>
    <w:rsid w:val="3C441041"/>
    <w:rsid w:val="3C4D4524"/>
    <w:rsid w:val="3C5639DE"/>
    <w:rsid w:val="3C571C05"/>
    <w:rsid w:val="3C64352B"/>
    <w:rsid w:val="3C672E2C"/>
    <w:rsid w:val="3C6B0FA1"/>
    <w:rsid w:val="3C731673"/>
    <w:rsid w:val="3C764FC0"/>
    <w:rsid w:val="3C8B3A72"/>
    <w:rsid w:val="3C8B5507"/>
    <w:rsid w:val="3C8D58BE"/>
    <w:rsid w:val="3C8E5FED"/>
    <w:rsid w:val="3C973C0D"/>
    <w:rsid w:val="3C9E20B1"/>
    <w:rsid w:val="3CB53A65"/>
    <w:rsid w:val="3CC102AC"/>
    <w:rsid w:val="3CC87300"/>
    <w:rsid w:val="3CE03742"/>
    <w:rsid w:val="3CE360F2"/>
    <w:rsid w:val="3CE543AA"/>
    <w:rsid w:val="3CEE5C15"/>
    <w:rsid w:val="3CF5496B"/>
    <w:rsid w:val="3D01019C"/>
    <w:rsid w:val="3D056133"/>
    <w:rsid w:val="3D115586"/>
    <w:rsid w:val="3D197739"/>
    <w:rsid w:val="3D2871B7"/>
    <w:rsid w:val="3D2B2775"/>
    <w:rsid w:val="3D372F70"/>
    <w:rsid w:val="3D500385"/>
    <w:rsid w:val="3D576CFB"/>
    <w:rsid w:val="3D5A44CB"/>
    <w:rsid w:val="3D6012BD"/>
    <w:rsid w:val="3D6025AF"/>
    <w:rsid w:val="3D636B57"/>
    <w:rsid w:val="3D647CD4"/>
    <w:rsid w:val="3D7042C3"/>
    <w:rsid w:val="3D7B49B3"/>
    <w:rsid w:val="3D800D8A"/>
    <w:rsid w:val="3D84454D"/>
    <w:rsid w:val="3D8720EB"/>
    <w:rsid w:val="3D8D259B"/>
    <w:rsid w:val="3D8D2E74"/>
    <w:rsid w:val="3D940183"/>
    <w:rsid w:val="3D94569F"/>
    <w:rsid w:val="3DA64C20"/>
    <w:rsid w:val="3DB328C2"/>
    <w:rsid w:val="3DCC12F0"/>
    <w:rsid w:val="3DE41CDC"/>
    <w:rsid w:val="3DE85142"/>
    <w:rsid w:val="3DEB52FD"/>
    <w:rsid w:val="3DFC38E9"/>
    <w:rsid w:val="3E016AE6"/>
    <w:rsid w:val="3E187D1F"/>
    <w:rsid w:val="3E1C3525"/>
    <w:rsid w:val="3E200B4B"/>
    <w:rsid w:val="3E225DB0"/>
    <w:rsid w:val="3E2658AC"/>
    <w:rsid w:val="3E2B1230"/>
    <w:rsid w:val="3E3D069E"/>
    <w:rsid w:val="3E483582"/>
    <w:rsid w:val="3E4F50F0"/>
    <w:rsid w:val="3E5337D0"/>
    <w:rsid w:val="3E537DE4"/>
    <w:rsid w:val="3E554154"/>
    <w:rsid w:val="3E5F165E"/>
    <w:rsid w:val="3E650A83"/>
    <w:rsid w:val="3E6547E9"/>
    <w:rsid w:val="3E677FE5"/>
    <w:rsid w:val="3E6A28BE"/>
    <w:rsid w:val="3E6A6BB5"/>
    <w:rsid w:val="3E6B1778"/>
    <w:rsid w:val="3E6D548C"/>
    <w:rsid w:val="3E8939E2"/>
    <w:rsid w:val="3E8C7718"/>
    <w:rsid w:val="3E8D2247"/>
    <w:rsid w:val="3E904009"/>
    <w:rsid w:val="3E947135"/>
    <w:rsid w:val="3E996659"/>
    <w:rsid w:val="3E9E1FC0"/>
    <w:rsid w:val="3EA300A7"/>
    <w:rsid w:val="3EC3043C"/>
    <w:rsid w:val="3EC8679C"/>
    <w:rsid w:val="3EDC3881"/>
    <w:rsid w:val="3EE5288B"/>
    <w:rsid w:val="3EEE3010"/>
    <w:rsid w:val="3F027DD0"/>
    <w:rsid w:val="3F232D0D"/>
    <w:rsid w:val="3F2E1337"/>
    <w:rsid w:val="3F2E2497"/>
    <w:rsid w:val="3F3303B1"/>
    <w:rsid w:val="3F3607B2"/>
    <w:rsid w:val="3F380D4D"/>
    <w:rsid w:val="3F4A339D"/>
    <w:rsid w:val="3F5E47EB"/>
    <w:rsid w:val="3F6351E6"/>
    <w:rsid w:val="3F66563F"/>
    <w:rsid w:val="3F6775AE"/>
    <w:rsid w:val="3F6C5444"/>
    <w:rsid w:val="3F6E7773"/>
    <w:rsid w:val="3F780590"/>
    <w:rsid w:val="3F9F1936"/>
    <w:rsid w:val="3FA05939"/>
    <w:rsid w:val="3FAB5086"/>
    <w:rsid w:val="3FBD2DA4"/>
    <w:rsid w:val="3FBF2FE8"/>
    <w:rsid w:val="3FCD21AF"/>
    <w:rsid w:val="3FDE02D2"/>
    <w:rsid w:val="3FE672B3"/>
    <w:rsid w:val="3FED00AC"/>
    <w:rsid w:val="4002562A"/>
    <w:rsid w:val="400D69C0"/>
    <w:rsid w:val="401E1F88"/>
    <w:rsid w:val="40266EE6"/>
    <w:rsid w:val="402D166A"/>
    <w:rsid w:val="40366200"/>
    <w:rsid w:val="403E203C"/>
    <w:rsid w:val="40406945"/>
    <w:rsid w:val="405733C5"/>
    <w:rsid w:val="4059146F"/>
    <w:rsid w:val="40595063"/>
    <w:rsid w:val="405B2555"/>
    <w:rsid w:val="40653402"/>
    <w:rsid w:val="40654256"/>
    <w:rsid w:val="406E2D1C"/>
    <w:rsid w:val="4075475E"/>
    <w:rsid w:val="407A1956"/>
    <w:rsid w:val="407C3AE5"/>
    <w:rsid w:val="407E45ED"/>
    <w:rsid w:val="407F1C79"/>
    <w:rsid w:val="4083477A"/>
    <w:rsid w:val="409B660A"/>
    <w:rsid w:val="409C3A4D"/>
    <w:rsid w:val="40A843C0"/>
    <w:rsid w:val="40A93DFB"/>
    <w:rsid w:val="40A96AA7"/>
    <w:rsid w:val="40B04F11"/>
    <w:rsid w:val="40C04B53"/>
    <w:rsid w:val="40C27447"/>
    <w:rsid w:val="40D641E4"/>
    <w:rsid w:val="40D65312"/>
    <w:rsid w:val="40DD7A15"/>
    <w:rsid w:val="40EF3B05"/>
    <w:rsid w:val="40F676A4"/>
    <w:rsid w:val="40FF5264"/>
    <w:rsid w:val="4104251E"/>
    <w:rsid w:val="41080CDA"/>
    <w:rsid w:val="411266A1"/>
    <w:rsid w:val="41162C62"/>
    <w:rsid w:val="41220943"/>
    <w:rsid w:val="412D7B4F"/>
    <w:rsid w:val="413362A7"/>
    <w:rsid w:val="41356368"/>
    <w:rsid w:val="413A07A9"/>
    <w:rsid w:val="414311A9"/>
    <w:rsid w:val="414D6033"/>
    <w:rsid w:val="415E7F1E"/>
    <w:rsid w:val="4163168B"/>
    <w:rsid w:val="4163256C"/>
    <w:rsid w:val="41645CF3"/>
    <w:rsid w:val="41684FED"/>
    <w:rsid w:val="41705CAC"/>
    <w:rsid w:val="41714948"/>
    <w:rsid w:val="417852FE"/>
    <w:rsid w:val="41792489"/>
    <w:rsid w:val="418718DD"/>
    <w:rsid w:val="41933D70"/>
    <w:rsid w:val="41975AE6"/>
    <w:rsid w:val="419A0534"/>
    <w:rsid w:val="41A7672E"/>
    <w:rsid w:val="41AB30BD"/>
    <w:rsid w:val="41B65EE7"/>
    <w:rsid w:val="41C16449"/>
    <w:rsid w:val="41E82F0A"/>
    <w:rsid w:val="41EA07BD"/>
    <w:rsid w:val="41F22E27"/>
    <w:rsid w:val="41F45A1C"/>
    <w:rsid w:val="42101E16"/>
    <w:rsid w:val="421337A1"/>
    <w:rsid w:val="422C1E62"/>
    <w:rsid w:val="4238215D"/>
    <w:rsid w:val="42387696"/>
    <w:rsid w:val="426E0E54"/>
    <w:rsid w:val="42746CC9"/>
    <w:rsid w:val="42782D0E"/>
    <w:rsid w:val="427C3379"/>
    <w:rsid w:val="42812BEB"/>
    <w:rsid w:val="428759CF"/>
    <w:rsid w:val="42917131"/>
    <w:rsid w:val="42BE31F4"/>
    <w:rsid w:val="42C23654"/>
    <w:rsid w:val="42CA6FBD"/>
    <w:rsid w:val="42E23496"/>
    <w:rsid w:val="42E87A95"/>
    <w:rsid w:val="42EB6FAA"/>
    <w:rsid w:val="43011432"/>
    <w:rsid w:val="43037E1E"/>
    <w:rsid w:val="431567DE"/>
    <w:rsid w:val="431B24E0"/>
    <w:rsid w:val="431F46B8"/>
    <w:rsid w:val="432129E2"/>
    <w:rsid w:val="43224918"/>
    <w:rsid w:val="4337416F"/>
    <w:rsid w:val="43441D8D"/>
    <w:rsid w:val="43441DEB"/>
    <w:rsid w:val="4345375F"/>
    <w:rsid w:val="434B6E74"/>
    <w:rsid w:val="435436B7"/>
    <w:rsid w:val="4357300A"/>
    <w:rsid w:val="43654953"/>
    <w:rsid w:val="43675239"/>
    <w:rsid w:val="43683AE3"/>
    <w:rsid w:val="437300B3"/>
    <w:rsid w:val="438028DB"/>
    <w:rsid w:val="438D25B3"/>
    <w:rsid w:val="43933756"/>
    <w:rsid w:val="439C453E"/>
    <w:rsid w:val="43B001FE"/>
    <w:rsid w:val="43B13CDD"/>
    <w:rsid w:val="43BB1566"/>
    <w:rsid w:val="43BE6232"/>
    <w:rsid w:val="43C91A5D"/>
    <w:rsid w:val="43CA4D0A"/>
    <w:rsid w:val="43CF6547"/>
    <w:rsid w:val="43D349E2"/>
    <w:rsid w:val="43D34DCA"/>
    <w:rsid w:val="43D951C6"/>
    <w:rsid w:val="43D95633"/>
    <w:rsid w:val="43DA1716"/>
    <w:rsid w:val="43FB5DD1"/>
    <w:rsid w:val="44011F00"/>
    <w:rsid w:val="440D376B"/>
    <w:rsid w:val="441C152A"/>
    <w:rsid w:val="44236F4F"/>
    <w:rsid w:val="44385C50"/>
    <w:rsid w:val="44415838"/>
    <w:rsid w:val="44442356"/>
    <w:rsid w:val="4449591C"/>
    <w:rsid w:val="445439C0"/>
    <w:rsid w:val="446F1124"/>
    <w:rsid w:val="447C700B"/>
    <w:rsid w:val="447F27A2"/>
    <w:rsid w:val="44982F38"/>
    <w:rsid w:val="44A76CF6"/>
    <w:rsid w:val="44AC1EE5"/>
    <w:rsid w:val="44AD1FCC"/>
    <w:rsid w:val="44B81444"/>
    <w:rsid w:val="44BD0353"/>
    <w:rsid w:val="44CD31E2"/>
    <w:rsid w:val="44DD2005"/>
    <w:rsid w:val="44DD62F3"/>
    <w:rsid w:val="44DF60D4"/>
    <w:rsid w:val="44E04549"/>
    <w:rsid w:val="44F32FB8"/>
    <w:rsid w:val="45010547"/>
    <w:rsid w:val="450A37A6"/>
    <w:rsid w:val="453A3D5A"/>
    <w:rsid w:val="454B22CD"/>
    <w:rsid w:val="455E543A"/>
    <w:rsid w:val="456526DC"/>
    <w:rsid w:val="456B6252"/>
    <w:rsid w:val="45722531"/>
    <w:rsid w:val="45733DC0"/>
    <w:rsid w:val="45912560"/>
    <w:rsid w:val="45BA3A4B"/>
    <w:rsid w:val="45BC2451"/>
    <w:rsid w:val="45C168FC"/>
    <w:rsid w:val="45C95507"/>
    <w:rsid w:val="45D0102E"/>
    <w:rsid w:val="45E42AD7"/>
    <w:rsid w:val="45F21CCB"/>
    <w:rsid w:val="45FE6567"/>
    <w:rsid w:val="46177320"/>
    <w:rsid w:val="46226875"/>
    <w:rsid w:val="46317741"/>
    <w:rsid w:val="46423CE6"/>
    <w:rsid w:val="46426157"/>
    <w:rsid w:val="464B7691"/>
    <w:rsid w:val="464E4459"/>
    <w:rsid w:val="464F7D9C"/>
    <w:rsid w:val="46510993"/>
    <w:rsid w:val="46597DAF"/>
    <w:rsid w:val="465D4024"/>
    <w:rsid w:val="4660270E"/>
    <w:rsid w:val="466C2849"/>
    <w:rsid w:val="468119D1"/>
    <w:rsid w:val="468A7785"/>
    <w:rsid w:val="46A80D82"/>
    <w:rsid w:val="46AD46D2"/>
    <w:rsid w:val="46B26810"/>
    <w:rsid w:val="46B86404"/>
    <w:rsid w:val="46BB7BAE"/>
    <w:rsid w:val="46BF304B"/>
    <w:rsid w:val="46C20EBF"/>
    <w:rsid w:val="46CB3B16"/>
    <w:rsid w:val="46D06061"/>
    <w:rsid w:val="46DA25C3"/>
    <w:rsid w:val="46DB4025"/>
    <w:rsid w:val="46E813A4"/>
    <w:rsid w:val="46E94533"/>
    <w:rsid w:val="46E97115"/>
    <w:rsid w:val="46F575B9"/>
    <w:rsid w:val="46FF6008"/>
    <w:rsid w:val="470457E6"/>
    <w:rsid w:val="47095731"/>
    <w:rsid w:val="47173C62"/>
    <w:rsid w:val="47185071"/>
    <w:rsid w:val="472530E4"/>
    <w:rsid w:val="47293E0F"/>
    <w:rsid w:val="47307DD7"/>
    <w:rsid w:val="473C1E11"/>
    <w:rsid w:val="473E2FCD"/>
    <w:rsid w:val="473F409F"/>
    <w:rsid w:val="4741268A"/>
    <w:rsid w:val="47496A9E"/>
    <w:rsid w:val="474C23A8"/>
    <w:rsid w:val="475029D2"/>
    <w:rsid w:val="475603F6"/>
    <w:rsid w:val="476C7B45"/>
    <w:rsid w:val="476D0C9F"/>
    <w:rsid w:val="47722A18"/>
    <w:rsid w:val="47741D0C"/>
    <w:rsid w:val="47805970"/>
    <w:rsid w:val="47876B9F"/>
    <w:rsid w:val="478B55C7"/>
    <w:rsid w:val="478C0EC4"/>
    <w:rsid w:val="479236A7"/>
    <w:rsid w:val="47953EA1"/>
    <w:rsid w:val="47A213C0"/>
    <w:rsid w:val="47B57B67"/>
    <w:rsid w:val="47B76453"/>
    <w:rsid w:val="47C2640D"/>
    <w:rsid w:val="47D52482"/>
    <w:rsid w:val="47DC4284"/>
    <w:rsid w:val="47DF7B1C"/>
    <w:rsid w:val="47E8372E"/>
    <w:rsid w:val="47F21EF0"/>
    <w:rsid w:val="47F5197C"/>
    <w:rsid w:val="47F95DB7"/>
    <w:rsid w:val="480F66E3"/>
    <w:rsid w:val="481D120F"/>
    <w:rsid w:val="482105C0"/>
    <w:rsid w:val="48211E7E"/>
    <w:rsid w:val="48342F88"/>
    <w:rsid w:val="483510C7"/>
    <w:rsid w:val="48554F42"/>
    <w:rsid w:val="485C39F4"/>
    <w:rsid w:val="485E7ACC"/>
    <w:rsid w:val="4862142D"/>
    <w:rsid w:val="48626E30"/>
    <w:rsid w:val="48636ED0"/>
    <w:rsid w:val="48680479"/>
    <w:rsid w:val="486A4A47"/>
    <w:rsid w:val="48766E5E"/>
    <w:rsid w:val="487835F2"/>
    <w:rsid w:val="487A69DB"/>
    <w:rsid w:val="4889205F"/>
    <w:rsid w:val="488D5062"/>
    <w:rsid w:val="48952A5D"/>
    <w:rsid w:val="489701E4"/>
    <w:rsid w:val="4898120E"/>
    <w:rsid w:val="489C5552"/>
    <w:rsid w:val="48AB0568"/>
    <w:rsid w:val="48AB63B2"/>
    <w:rsid w:val="48B23A8E"/>
    <w:rsid w:val="48BA110B"/>
    <w:rsid w:val="48C170BE"/>
    <w:rsid w:val="48CD0CC0"/>
    <w:rsid w:val="48D376B5"/>
    <w:rsid w:val="48D42363"/>
    <w:rsid w:val="48D949EA"/>
    <w:rsid w:val="48E1069F"/>
    <w:rsid w:val="48E67B9D"/>
    <w:rsid w:val="48EA3BF7"/>
    <w:rsid w:val="48F73D54"/>
    <w:rsid w:val="48FA28F1"/>
    <w:rsid w:val="48FB457E"/>
    <w:rsid w:val="4905290C"/>
    <w:rsid w:val="49063785"/>
    <w:rsid w:val="491A0D1D"/>
    <w:rsid w:val="491C548A"/>
    <w:rsid w:val="491D1B81"/>
    <w:rsid w:val="492F531F"/>
    <w:rsid w:val="492F6636"/>
    <w:rsid w:val="492F7E36"/>
    <w:rsid w:val="49405D5E"/>
    <w:rsid w:val="49561E92"/>
    <w:rsid w:val="495C45A3"/>
    <w:rsid w:val="496A1DB8"/>
    <w:rsid w:val="497016DD"/>
    <w:rsid w:val="4971045B"/>
    <w:rsid w:val="4979031F"/>
    <w:rsid w:val="497976FA"/>
    <w:rsid w:val="49833A3E"/>
    <w:rsid w:val="49866405"/>
    <w:rsid w:val="49896678"/>
    <w:rsid w:val="49A42C3A"/>
    <w:rsid w:val="49A67E4A"/>
    <w:rsid w:val="49AE68B8"/>
    <w:rsid w:val="49C60139"/>
    <w:rsid w:val="49C63B01"/>
    <w:rsid w:val="49C91107"/>
    <w:rsid w:val="49DE40B1"/>
    <w:rsid w:val="49E6704C"/>
    <w:rsid w:val="49E82A35"/>
    <w:rsid w:val="49EE6A1F"/>
    <w:rsid w:val="49EF23AD"/>
    <w:rsid w:val="49F14CC3"/>
    <w:rsid w:val="49FD6413"/>
    <w:rsid w:val="49FE1236"/>
    <w:rsid w:val="4A0B698C"/>
    <w:rsid w:val="4A192C26"/>
    <w:rsid w:val="4A3B617B"/>
    <w:rsid w:val="4A3D4FF8"/>
    <w:rsid w:val="4A3F629B"/>
    <w:rsid w:val="4A400106"/>
    <w:rsid w:val="4A416D23"/>
    <w:rsid w:val="4A4C1621"/>
    <w:rsid w:val="4A546A31"/>
    <w:rsid w:val="4A5F5280"/>
    <w:rsid w:val="4A691BA3"/>
    <w:rsid w:val="4A75264F"/>
    <w:rsid w:val="4A8622B6"/>
    <w:rsid w:val="4A925CA1"/>
    <w:rsid w:val="4AA13962"/>
    <w:rsid w:val="4AB27100"/>
    <w:rsid w:val="4AC73EF8"/>
    <w:rsid w:val="4ADB40EF"/>
    <w:rsid w:val="4ADD4949"/>
    <w:rsid w:val="4ADF3B00"/>
    <w:rsid w:val="4AE04B06"/>
    <w:rsid w:val="4AE44288"/>
    <w:rsid w:val="4AE775D1"/>
    <w:rsid w:val="4AE86A3E"/>
    <w:rsid w:val="4AF37F3C"/>
    <w:rsid w:val="4AF7270C"/>
    <w:rsid w:val="4AFC08D7"/>
    <w:rsid w:val="4AFC315D"/>
    <w:rsid w:val="4B0C10BD"/>
    <w:rsid w:val="4B252E26"/>
    <w:rsid w:val="4B33627A"/>
    <w:rsid w:val="4B356505"/>
    <w:rsid w:val="4B3A331C"/>
    <w:rsid w:val="4B3A4DD8"/>
    <w:rsid w:val="4B3D32A5"/>
    <w:rsid w:val="4B503E7D"/>
    <w:rsid w:val="4B5526A6"/>
    <w:rsid w:val="4B6A739A"/>
    <w:rsid w:val="4B6B2FC4"/>
    <w:rsid w:val="4B6E666B"/>
    <w:rsid w:val="4B816AF3"/>
    <w:rsid w:val="4B8273E2"/>
    <w:rsid w:val="4B84080B"/>
    <w:rsid w:val="4B96268C"/>
    <w:rsid w:val="4B972903"/>
    <w:rsid w:val="4B9F32A8"/>
    <w:rsid w:val="4BBA5C6F"/>
    <w:rsid w:val="4BC3761F"/>
    <w:rsid w:val="4BE01CB1"/>
    <w:rsid w:val="4BEE2702"/>
    <w:rsid w:val="4BF1539E"/>
    <w:rsid w:val="4BF72B06"/>
    <w:rsid w:val="4BF94856"/>
    <w:rsid w:val="4C0700C6"/>
    <w:rsid w:val="4C0D69A5"/>
    <w:rsid w:val="4C114E73"/>
    <w:rsid w:val="4C15308B"/>
    <w:rsid w:val="4C276414"/>
    <w:rsid w:val="4C2F0BD5"/>
    <w:rsid w:val="4C30348B"/>
    <w:rsid w:val="4C457E06"/>
    <w:rsid w:val="4C482B52"/>
    <w:rsid w:val="4C486022"/>
    <w:rsid w:val="4C4C1638"/>
    <w:rsid w:val="4C5653EF"/>
    <w:rsid w:val="4C6E490F"/>
    <w:rsid w:val="4C761AE5"/>
    <w:rsid w:val="4C7A3E0A"/>
    <w:rsid w:val="4C7A5DC9"/>
    <w:rsid w:val="4C927C67"/>
    <w:rsid w:val="4C992C68"/>
    <w:rsid w:val="4C9A24A5"/>
    <w:rsid w:val="4CB4751A"/>
    <w:rsid w:val="4CB63D04"/>
    <w:rsid w:val="4CCE05D1"/>
    <w:rsid w:val="4CD715B6"/>
    <w:rsid w:val="4CE239C2"/>
    <w:rsid w:val="4CE34671"/>
    <w:rsid w:val="4CFE58B7"/>
    <w:rsid w:val="4D0D5045"/>
    <w:rsid w:val="4D142642"/>
    <w:rsid w:val="4D176CED"/>
    <w:rsid w:val="4D241DA1"/>
    <w:rsid w:val="4D2A6DE6"/>
    <w:rsid w:val="4D2D4F3D"/>
    <w:rsid w:val="4D5C35DB"/>
    <w:rsid w:val="4D694853"/>
    <w:rsid w:val="4D6A5234"/>
    <w:rsid w:val="4D6E3730"/>
    <w:rsid w:val="4D6E6050"/>
    <w:rsid w:val="4D7B7388"/>
    <w:rsid w:val="4D7D0B22"/>
    <w:rsid w:val="4D7D596E"/>
    <w:rsid w:val="4D933D82"/>
    <w:rsid w:val="4D964BDE"/>
    <w:rsid w:val="4DA22F6F"/>
    <w:rsid w:val="4DA366F2"/>
    <w:rsid w:val="4DC43E1F"/>
    <w:rsid w:val="4DCA651D"/>
    <w:rsid w:val="4DD455C4"/>
    <w:rsid w:val="4DD46851"/>
    <w:rsid w:val="4DED17F1"/>
    <w:rsid w:val="4DEE1BA4"/>
    <w:rsid w:val="4DF85277"/>
    <w:rsid w:val="4DFC5B74"/>
    <w:rsid w:val="4E00643A"/>
    <w:rsid w:val="4E1A5E9B"/>
    <w:rsid w:val="4E206385"/>
    <w:rsid w:val="4E220315"/>
    <w:rsid w:val="4E2B750E"/>
    <w:rsid w:val="4E394DF5"/>
    <w:rsid w:val="4E3A7F99"/>
    <w:rsid w:val="4E525C89"/>
    <w:rsid w:val="4E5912BC"/>
    <w:rsid w:val="4E623E5F"/>
    <w:rsid w:val="4E69351D"/>
    <w:rsid w:val="4E6C7842"/>
    <w:rsid w:val="4E7146D6"/>
    <w:rsid w:val="4E716DD6"/>
    <w:rsid w:val="4E7D41EF"/>
    <w:rsid w:val="4E7D7214"/>
    <w:rsid w:val="4E8743CF"/>
    <w:rsid w:val="4E8A19A2"/>
    <w:rsid w:val="4E8B6297"/>
    <w:rsid w:val="4E8D2B5B"/>
    <w:rsid w:val="4EA47ED4"/>
    <w:rsid w:val="4EA73499"/>
    <w:rsid w:val="4EAF6660"/>
    <w:rsid w:val="4EB70230"/>
    <w:rsid w:val="4EC112A5"/>
    <w:rsid w:val="4EC273B5"/>
    <w:rsid w:val="4EC27DC2"/>
    <w:rsid w:val="4EC31609"/>
    <w:rsid w:val="4ECD7A91"/>
    <w:rsid w:val="4EE520BF"/>
    <w:rsid w:val="4EEE423D"/>
    <w:rsid w:val="4F05494C"/>
    <w:rsid w:val="4F0D50A9"/>
    <w:rsid w:val="4F1535E3"/>
    <w:rsid w:val="4F1867DF"/>
    <w:rsid w:val="4F1A62E3"/>
    <w:rsid w:val="4F1B56B5"/>
    <w:rsid w:val="4F20737B"/>
    <w:rsid w:val="4F274B63"/>
    <w:rsid w:val="4F311C64"/>
    <w:rsid w:val="4F4022BC"/>
    <w:rsid w:val="4F460289"/>
    <w:rsid w:val="4F50081E"/>
    <w:rsid w:val="4F737BC5"/>
    <w:rsid w:val="4F8306AF"/>
    <w:rsid w:val="4F897829"/>
    <w:rsid w:val="4F8E053B"/>
    <w:rsid w:val="4F970DE9"/>
    <w:rsid w:val="4F971FC4"/>
    <w:rsid w:val="4F9B749E"/>
    <w:rsid w:val="4FA5141E"/>
    <w:rsid w:val="4FA5268C"/>
    <w:rsid w:val="4FC804D5"/>
    <w:rsid w:val="4FCC1A25"/>
    <w:rsid w:val="4FE31A0B"/>
    <w:rsid w:val="4FF22676"/>
    <w:rsid w:val="4FFE1B06"/>
    <w:rsid w:val="50047F66"/>
    <w:rsid w:val="50090729"/>
    <w:rsid w:val="500A40D7"/>
    <w:rsid w:val="502138A5"/>
    <w:rsid w:val="502640D2"/>
    <w:rsid w:val="502723B7"/>
    <w:rsid w:val="5048257B"/>
    <w:rsid w:val="505A67EB"/>
    <w:rsid w:val="507157DD"/>
    <w:rsid w:val="50750658"/>
    <w:rsid w:val="50765757"/>
    <w:rsid w:val="507B5639"/>
    <w:rsid w:val="507E656B"/>
    <w:rsid w:val="508C15FC"/>
    <w:rsid w:val="50A76EC8"/>
    <w:rsid w:val="50AF43C1"/>
    <w:rsid w:val="50B63FD8"/>
    <w:rsid w:val="50BB47E0"/>
    <w:rsid w:val="50BD18A9"/>
    <w:rsid w:val="50C142A9"/>
    <w:rsid w:val="50C4646F"/>
    <w:rsid w:val="50C46BEE"/>
    <w:rsid w:val="50E02CFE"/>
    <w:rsid w:val="50E33CEC"/>
    <w:rsid w:val="50FC73BD"/>
    <w:rsid w:val="5104794E"/>
    <w:rsid w:val="5107352A"/>
    <w:rsid w:val="510F1A3E"/>
    <w:rsid w:val="5110524E"/>
    <w:rsid w:val="511C56B7"/>
    <w:rsid w:val="511D153D"/>
    <w:rsid w:val="51205FD8"/>
    <w:rsid w:val="513C4376"/>
    <w:rsid w:val="51400930"/>
    <w:rsid w:val="51435D0C"/>
    <w:rsid w:val="51446169"/>
    <w:rsid w:val="514F5C22"/>
    <w:rsid w:val="516B6A17"/>
    <w:rsid w:val="516E22FB"/>
    <w:rsid w:val="517765FC"/>
    <w:rsid w:val="51893EC7"/>
    <w:rsid w:val="51935212"/>
    <w:rsid w:val="519A032B"/>
    <w:rsid w:val="519E21FD"/>
    <w:rsid w:val="51AA50F9"/>
    <w:rsid w:val="51B06B92"/>
    <w:rsid w:val="51B07591"/>
    <w:rsid w:val="51B43002"/>
    <w:rsid w:val="51BA4306"/>
    <w:rsid w:val="51BB1A11"/>
    <w:rsid w:val="51BD6C11"/>
    <w:rsid w:val="51BF6DF9"/>
    <w:rsid w:val="51C770AC"/>
    <w:rsid w:val="51D12A33"/>
    <w:rsid w:val="51D5080E"/>
    <w:rsid w:val="51DA58AE"/>
    <w:rsid w:val="51E247EE"/>
    <w:rsid w:val="51E5449B"/>
    <w:rsid w:val="51E66508"/>
    <w:rsid w:val="51E847AF"/>
    <w:rsid w:val="51E94EA3"/>
    <w:rsid w:val="51EA7907"/>
    <w:rsid w:val="52017EFE"/>
    <w:rsid w:val="52106D19"/>
    <w:rsid w:val="521B44C0"/>
    <w:rsid w:val="521E5FFD"/>
    <w:rsid w:val="52217DB8"/>
    <w:rsid w:val="52230F41"/>
    <w:rsid w:val="524450A3"/>
    <w:rsid w:val="52510CC8"/>
    <w:rsid w:val="52583CBA"/>
    <w:rsid w:val="52643FB3"/>
    <w:rsid w:val="526D7E77"/>
    <w:rsid w:val="5270414C"/>
    <w:rsid w:val="528331E0"/>
    <w:rsid w:val="52884091"/>
    <w:rsid w:val="52A770BB"/>
    <w:rsid w:val="52B224F0"/>
    <w:rsid w:val="52B41F04"/>
    <w:rsid w:val="52C660C9"/>
    <w:rsid w:val="52C93B57"/>
    <w:rsid w:val="52CF29D7"/>
    <w:rsid w:val="52D94139"/>
    <w:rsid w:val="52E249FF"/>
    <w:rsid w:val="52E3567F"/>
    <w:rsid w:val="52ED06D4"/>
    <w:rsid w:val="53001BB3"/>
    <w:rsid w:val="530265E4"/>
    <w:rsid w:val="5303553A"/>
    <w:rsid w:val="53143779"/>
    <w:rsid w:val="53170772"/>
    <w:rsid w:val="531B3817"/>
    <w:rsid w:val="53264D65"/>
    <w:rsid w:val="532931AC"/>
    <w:rsid w:val="5333135D"/>
    <w:rsid w:val="5335141B"/>
    <w:rsid w:val="53400B7B"/>
    <w:rsid w:val="5340573E"/>
    <w:rsid w:val="534555A6"/>
    <w:rsid w:val="53501B3A"/>
    <w:rsid w:val="536129FA"/>
    <w:rsid w:val="53671704"/>
    <w:rsid w:val="5367646B"/>
    <w:rsid w:val="536B0CB9"/>
    <w:rsid w:val="537514ED"/>
    <w:rsid w:val="53764081"/>
    <w:rsid w:val="537E4B8D"/>
    <w:rsid w:val="53812044"/>
    <w:rsid w:val="53815461"/>
    <w:rsid w:val="53987838"/>
    <w:rsid w:val="53AA3B4C"/>
    <w:rsid w:val="53AB168D"/>
    <w:rsid w:val="53AC30B8"/>
    <w:rsid w:val="53AD1FC2"/>
    <w:rsid w:val="53B07B30"/>
    <w:rsid w:val="53CD3590"/>
    <w:rsid w:val="53D32C63"/>
    <w:rsid w:val="53D83A0A"/>
    <w:rsid w:val="53DE6F83"/>
    <w:rsid w:val="53E17EA9"/>
    <w:rsid w:val="53EA2B5E"/>
    <w:rsid w:val="53EF3446"/>
    <w:rsid w:val="53F01264"/>
    <w:rsid w:val="53FC0EC4"/>
    <w:rsid w:val="5400395F"/>
    <w:rsid w:val="54062707"/>
    <w:rsid w:val="541233D7"/>
    <w:rsid w:val="541C389D"/>
    <w:rsid w:val="541F29DD"/>
    <w:rsid w:val="543F7F1E"/>
    <w:rsid w:val="54452630"/>
    <w:rsid w:val="5448592B"/>
    <w:rsid w:val="544C7BFD"/>
    <w:rsid w:val="544D75B2"/>
    <w:rsid w:val="545029C2"/>
    <w:rsid w:val="5450301F"/>
    <w:rsid w:val="5450471C"/>
    <w:rsid w:val="546A3A38"/>
    <w:rsid w:val="547651B8"/>
    <w:rsid w:val="54780EBC"/>
    <w:rsid w:val="547F33FC"/>
    <w:rsid w:val="54800440"/>
    <w:rsid w:val="548379B4"/>
    <w:rsid w:val="54913870"/>
    <w:rsid w:val="54963630"/>
    <w:rsid w:val="54B409B1"/>
    <w:rsid w:val="54C2646B"/>
    <w:rsid w:val="54C72B03"/>
    <w:rsid w:val="54CC69D9"/>
    <w:rsid w:val="54CD0339"/>
    <w:rsid w:val="54D65F23"/>
    <w:rsid w:val="54E94703"/>
    <w:rsid w:val="54EA17CF"/>
    <w:rsid w:val="54EF0AAE"/>
    <w:rsid w:val="54F65EB5"/>
    <w:rsid w:val="54F77F3B"/>
    <w:rsid w:val="54F9507D"/>
    <w:rsid w:val="55090AE5"/>
    <w:rsid w:val="550A6C14"/>
    <w:rsid w:val="550E65CB"/>
    <w:rsid w:val="550F6D7E"/>
    <w:rsid w:val="5518442B"/>
    <w:rsid w:val="55234AAE"/>
    <w:rsid w:val="552611B1"/>
    <w:rsid w:val="552F37C9"/>
    <w:rsid w:val="553271D3"/>
    <w:rsid w:val="55434CE1"/>
    <w:rsid w:val="554B700A"/>
    <w:rsid w:val="554F2666"/>
    <w:rsid w:val="55535008"/>
    <w:rsid w:val="556C60B3"/>
    <w:rsid w:val="55754E2B"/>
    <w:rsid w:val="55945D37"/>
    <w:rsid w:val="55AA0F8C"/>
    <w:rsid w:val="55BD3C85"/>
    <w:rsid w:val="55BE4988"/>
    <w:rsid w:val="55C87E5B"/>
    <w:rsid w:val="55CD5E8D"/>
    <w:rsid w:val="55D50823"/>
    <w:rsid w:val="55D8660A"/>
    <w:rsid w:val="55DB4561"/>
    <w:rsid w:val="55EB1F25"/>
    <w:rsid w:val="55F22B97"/>
    <w:rsid w:val="560018F2"/>
    <w:rsid w:val="562231D6"/>
    <w:rsid w:val="563E5AB2"/>
    <w:rsid w:val="5641535E"/>
    <w:rsid w:val="56444D5D"/>
    <w:rsid w:val="564C522B"/>
    <w:rsid w:val="56516667"/>
    <w:rsid w:val="56752FC4"/>
    <w:rsid w:val="56974290"/>
    <w:rsid w:val="56987115"/>
    <w:rsid w:val="56A24E81"/>
    <w:rsid w:val="56A501F8"/>
    <w:rsid w:val="56AB617D"/>
    <w:rsid w:val="56BE75E9"/>
    <w:rsid w:val="56C055FC"/>
    <w:rsid w:val="56C41E6D"/>
    <w:rsid w:val="56CC638C"/>
    <w:rsid w:val="56D16450"/>
    <w:rsid w:val="56D3410E"/>
    <w:rsid w:val="56D51BC3"/>
    <w:rsid w:val="56DB67A7"/>
    <w:rsid w:val="56DE76AA"/>
    <w:rsid w:val="56F22C90"/>
    <w:rsid w:val="57034083"/>
    <w:rsid w:val="570573AC"/>
    <w:rsid w:val="570C46B0"/>
    <w:rsid w:val="570D273C"/>
    <w:rsid w:val="573518D3"/>
    <w:rsid w:val="5738404A"/>
    <w:rsid w:val="57384249"/>
    <w:rsid w:val="57427A11"/>
    <w:rsid w:val="57501DED"/>
    <w:rsid w:val="57634140"/>
    <w:rsid w:val="576524BB"/>
    <w:rsid w:val="577F5FA9"/>
    <w:rsid w:val="577F68C1"/>
    <w:rsid w:val="57812F5F"/>
    <w:rsid w:val="578201E9"/>
    <w:rsid w:val="57A1557A"/>
    <w:rsid w:val="57A50BBD"/>
    <w:rsid w:val="57B62664"/>
    <w:rsid w:val="57C24C91"/>
    <w:rsid w:val="57DC2F5F"/>
    <w:rsid w:val="57DC4977"/>
    <w:rsid w:val="57E431F5"/>
    <w:rsid w:val="57E91CD3"/>
    <w:rsid w:val="57EE6662"/>
    <w:rsid w:val="57F64F6B"/>
    <w:rsid w:val="57FC57BD"/>
    <w:rsid w:val="57FF6155"/>
    <w:rsid w:val="580140A6"/>
    <w:rsid w:val="580B6E3C"/>
    <w:rsid w:val="580C1C8E"/>
    <w:rsid w:val="580E0C7E"/>
    <w:rsid w:val="58120B37"/>
    <w:rsid w:val="581E5ECA"/>
    <w:rsid w:val="581E62DD"/>
    <w:rsid w:val="58291B84"/>
    <w:rsid w:val="58322456"/>
    <w:rsid w:val="58342026"/>
    <w:rsid w:val="583A4ECC"/>
    <w:rsid w:val="58457294"/>
    <w:rsid w:val="58527C59"/>
    <w:rsid w:val="58532CF4"/>
    <w:rsid w:val="585673E9"/>
    <w:rsid w:val="58597459"/>
    <w:rsid w:val="586C3CC6"/>
    <w:rsid w:val="586D7141"/>
    <w:rsid w:val="587448B9"/>
    <w:rsid w:val="58783CFA"/>
    <w:rsid w:val="589275AB"/>
    <w:rsid w:val="58950814"/>
    <w:rsid w:val="58951088"/>
    <w:rsid w:val="58961A67"/>
    <w:rsid w:val="58990FC0"/>
    <w:rsid w:val="58A14C54"/>
    <w:rsid w:val="58A64233"/>
    <w:rsid w:val="58BB3DC0"/>
    <w:rsid w:val="58BB6E11"/>
    <w:rsid w:val="58C579F9"/>
    <w:rsid w:val="58D95B4A"/>
    <w:rsid w:val="58E236F3"/>
    <w:rsid w:val="58E55D25"/>
    <w:rsid w:val="58EA38F6"/>
    <w:rsid w:val="58F1068B"/>
    <w:rsid w:val="58FC1414"/>
    <w:rsid w:val="5906339C"/>
    <w:rsid w:val="59131292"/>
    <w:rsid w:val="59232A72"/>
    <w:rsid w:val="59307312"/>
    <w:rsid w:val="59397AD5"/>
    <w:rsid w:val="5940416A"/>
    <w:rsid w:val="59410FBD"/>
    <w:rsid w:val="5942577F"/>
    <w:rsid w:val="594B1241"/>
    <w:rsid w:val="596A0C5D"/>
    <w:rsid w:val="59924FF5"/>
    <w:rsid w:val="59B56492"/>
    <w:rsid w:val="59BB26F4"/>
    <w:rsid w:val="59C35ACF"/>
    <w:rsid w:val="59E66C46"/>
    <w:rsid w:val="59E87613"/>
    <w:rsid w:val="5A02182B"/>
    <w:rsid w:val="5A03666B"/>
    <w:rsid w:val="5A086181"/>
    <w:rsid w:val="5A0D509A"/>
    <w:rsid w:val="5A18540C"/>
    <w:rsid w:val="5A2400DF"/>
    <w:rsid w:val="5A2E6F93"/>
    <w:rsid w:val="5A3A3B1E"/>
    <w:rsid w:val="5A3B140A"/>
    <w:rsid w:val="5A4777C5"/>
    <w:rsid w:val="5A552EDD"/>
    <w:rsid w:val="5A64740A"/>
    <w:rsid w:val="5A664CCE"/>
    <w:rsid w:val="5A746011"/>
    <w:rsid w:val="5A8A5E83"/>
    <w:rsid w:val="5AA20ED6"/>
    <w:rsid w:val="5AA708CA"/>
    <w:rsid w:val="5AAC551A"/>
    <w:rsid w:val="5AB362A3"/>
    <w:rsid w:val="5AB37F0E"/>
    <w:rsid w:val="5AC12B18"/>
    <w:rsid w:val="5AD04D28"/>
    <w:rsid w:val="5AE17238"/>
    <w:rsid w:val="5AF15610"/>
    <w:rsid w:val="5AF17F45"/>
    <w:rsid w:val="5AF26392"/>
    <w:rsid w:val="5AFD5309"/>
    <w:rsid w:val="5B0212D6"/>
    <w:rsid w:val="5B2A28AF"/>
    <w:rsid w:val="5B2D4026"/>
    <w:rsid w:val="5B2E4BDA"/>
    <w:rsid w:val="5B3B4BE1"/>
    <w:rsid w:val="5B415759"/>
    <w:rsid w:val="5B530EFF"/>
    <w:rsid w:val="5B5E6F93"/>
    <w:rsid w:val="5B6160B4"/>
    <w:rsid w:val="5B691244"/>
    <w:rsid w:val="5B6F014B"/>
    <w:rsid w:val="5B736AF3"/>
    <w:rsid w:val="5B7C1860"/>
    <w:rsid w:val="5B7F50BF"/>
    <w:rsid w:val="5B867F38"/>
    <w:rsid w:val="5B9207A8"/>
    <w:rsid w:val="5B945549"/>
    <w:rsid w:val="5B9F7DAC"/>
    <w:rsid w:val="5BB075A4"/>
    <w:rsid w:val="5BB77E50"/>
    <w:rsid w:val="5BBB37E1"/>
    <w:rsid w:val="5BBB3896"/>
    <w:rsid w:val="5BCD6444"/>
    <w:rsid w:val="5BD86FF7"/>
    <w:rsid w:val="5BEF5AC5"/>
    <w:rsid w:val="5C006DD5"/>
    <w:rsid w:val="5C0553DC"/>
    <w:rsid w:val="5C111495"/>
    <w:rsid w:val="5C165947"/>
    <w:rsid w:val="5C1739FF"/>
    <w:rsid w:val="5C2B05FE"/>
    <w:rsid w:val="5C321A84"/>
    <w:rsid w:val="5C3405B2"/>
    <w:rsid w:val="5C374381"/>
    <w:rsid w:val="5C4863C1"/>
    <w:rsid w:val="5C61437B"/>
    <w:rsid w:val="5C6C3BD8"/>
    <w:rsid w:val="5C7B0A0E"/>
    <w:rsid w:val="5C8C06C1"/>
    <w:rsid w:val="5C964412"/>
    <w:rsid w:val="5C992D62"/>
    <w:rsid w:val="5CAD65A1"/>
    <w:rsid w:val="5CB02287"/>
    <w:rsid w:val="5CB2756A"/>
    <w:rsid w:val="5CB37841"/>
    <w:rsid w:val="5CC24B59"/>
    <w:rsid w:val="5CC26ECC"/>
    <w:rsid w:val="5CCC5196"/>
    <w:rsid w:val="5CD56D30"/>
    <w:rsid w:val="5CDF5473"/>
    <w:rsid w:val="5CEF196B"/>
    <w:rsid w:val="5CF71428"/>
    <w:rsid w:val="5D1773C9"/>
    <w:rsid w:val="5D26128D"/>
    <w:rsid w:val="5D34149D"/>
    <w:rsid w:val="5D3B5726"/>
    <w:rsid w:val="5D4178A2"/>
    <w:rsid w:val="5D4601B1"/>
    <w:rsid w:val="5D494DBC"/>
    <w:rsid w:val="5D55588E"/>
    <w:rsid w:val="5D5A0839"/>
    <w:rsid w:val="5D645705"/>
    <w:rsid w:val="5D6C6D20"/>
    <w:rsid w:val="5D703A41"/>
    <w:rsid w:val="5D7863E2"/>
    <w:rsid w:val="5D7A5CAC"/>
    <w:rsid w:val="5D7B0085"/>
    <w:rsid w:val="5D7B50D7"/>
    <w:rsid w:val="5D811B5C"/>
    <w:rsid w:val="5D900FDD"/>
    <w:rsid w:val="5D932479"/>
    <w:rsid w:val="5DAB27C9"/>
    <w:rsid w:val="5DB46EC8"/>
    <w:rsid w:val="5DCB6A18"/>
    <w:rsid w:val="5DD371C8"/>
    <w:rsid w:val="5DED633B"/>
    <w:rsid w:val="5DF82CFE"/>
    <w:rsid w:val="5DF84E51"/>
    <w:rsid w:val="5E0013E1"/>
    <w:rsid w:val="5E1B308C"/>
    <w:rsid w:val="5E3422D3"/>
    <w:rsid w:val="5E3564A3"/>
    <w:rsid w:val="5E39617D"/>
    <w:rsid w:val="5E401CD4"/>
    <w:rsid w:val="5E422D64"/>
    <w:rsid w:val="5E43222F"/>
    <w:rsid w:val="5E4A295D"/>
    <w:rsid w:val="5E5A73BB"/>
    <w:rsid w:val="5E6572A9"/>
    <w:rsid w:val="5E692294"/>
    <w:rsid w:val="5E6F4588"/>
    <w:rsid w:val="5E790CA0"/>
    <w:rsid w:val="5E7945FC"/>
    <w:rsid w:val="5E930082"/>
    <w:rsid w:val="5EB351E3"/>
    <w:rsid w:val="5EB6009E"/>
    <w:rsid w:val="5ECB5E0F"/>
    <w:rsid w:val="5ED32946"/>
    <w:rsid w:val="5EDA08BE"/>
    <w:rsid w:val="5EE278D0"/>
    <w:rsid w:val="5F0D3ABE"/>
    <w:rsid w:val="5F0E22EC"/>
    <w:rsid w:val="5F1800E8"/>
    <w:rsid w:val="5F1A3C82"/>
    <w:rsid w:val="5F1C0991"/>
    <w:rsid w:val="5F1E10BC"/>
    <w:rsid w:val="5F3838CF"/>
    <w:rsid w:val="5F413F0A"/>
    <w:rsid w:val="5F4911FC"/>
    <w:rsid w:val="5F4A7918"/>
    <w:rsid w:val="5F4B3934"/>
    <w:rsid w:val="5F4C162A"/>
    <w:rsid w:val="5F6F6111"/>
    <w:rsid w:val="5F701D7B"/>
    <w:rsid w:val="5F727FC6"/>
    <w:rsid w:val="5F781B5A"/>
    <w:rsid w:val="5F7B0DE0"/>
    <w:rsid w:val="5FBE789B"/>
    <w:rsid w:val="5FC469D3"/>
    <w:rsid w:val="5FD47E63"/>
    <w:rsid w:val="5FD862BD"/>
    <w:rsid w:val="5FDA0CA9"/>
    <w:rsid w:val="5FDD0F28"/>
    <w:rsid w:val="5FE16EF1"/>
    <w:rsid w:val="5FF973E1"/>
    <w:rsid w:val="5FFE36F1"/>
    <w:rsid w:val="60085D90"/>
    <w:rsid w:val="60265BCA"/>
    <w:rsid w:val="603A2B07"/>
    <w:rsid w:val="603B585C"/>
    <w:rsid w:val="60443A82"/>
    <w:rsid w:val="60447295"/>
    <w:rsid w:val="6054527B"/>
    <w:rsid w:val="60622528"/>
    <w:rsid w:val="607F45F5"/>
    <w:rsid w:val="607F6BA2"/>
    <w:rsid w:val="608E4E60"/>
    <w:rsid w:val="60A35595"/>
    <w:rsid w:val="60A652C9"/>
    <w:rsid w:val="60AB1090"/>
    <w:rsid w:val="60B3575F"/>
    <w:rsid w:val="60BE3971"/>
    <w:rsid w:val="60C36BAA"/>
    <w:rsid w:val="60DA02C2"/>
    <w:rsid w:val="60E471F1"/>
    <w:rsid w:val="60F600EF"/>
    <w:rsid w:val="60F864F0"/>
    <w:rsid w:val="610244AA"/>
    <w:rsid w:val="611304E9"/>
    <w:rsid w:val="611727E7"/>
    <w:rsid w:val="61186287"/>
    <w:rsid w:val="611F5FBC"/>
    <w:rsid w:val="612811FE"/>
    <w:rsid w:val="613045F7"/>
    <w:rsid w:val="613E6D9F"/>
    <w:rsid w:val="614100E3"/>
    <w:rsid w:val="6145645F"/>
    <w:rsid w:val="614B50C1"/>
    <w:rsid w:val="61517443"/>
    <w:rsid w:val="61705093"/>
    <w:rsid w:val="618A3CF6"/>
    <w:rsid w:val="618F5E5F"/>
    <w:rsid w:val="61B00A1E"/>
    <w:rsid w:val="61C44FB6"/>
    <w:rsid w:val="61CA606C"/>
    <w:rsid w:val="61D5069C"/>
    <w:rsid w:val="61DE243F"/>
    <w:rsid w:val="61EC1029"/>
    <w:rsid w:val="61FA79CB"/>
    <w:rsid w:val="62006316"/>
    <w:rsid w:val="621A51B1"/>
    <w:rsid w:val="621B7911"/>
    <w:rsid w:val="62244482"/>
    <w:rsid w:val="622446F8"/>
    <w:rsid w:val="622B7DC9"/>
    <w:rsid w:val="622C2A0D"/>
    <w:rsid w:val="62364403"/>
    <w:rsid w:val="62387CD2"/>
    <w:rsid w:val="623D3483"/>
    <w:rsid w:val="62436960"/>
    <w:rsid w:val="62543E3D"/>
    <w:rsid w:val="625B4A75"/>
    <w:rsid w:val="625C6B16"/>
    <w:rsid w:val="625F53CD"/>
    <w:rsid w:val="62604FDE"/>
    <w:rsid w:val="6270008C"/>
    <w:rsid w:val="62721912"/>
    <w:rsid w:val="627B5880"/>
    <w:rsid w:val="6294124F"/>
    <w:rsid w:val="629F5000"/>
    <w:rsid w:val="62B806AC"/>
    <w:rsid w:val="62C018A7"/>
    <w:rsid w:val="62C2147C"/>
    <w:rsid w:val="62C535DD"/>
    <w:rsid w:val="62D17676"/>
    <w:rsid w:val="62D32BA1"/>
    <w:rsid w:val="62F176C2"/>
    <w:rsid w:val="62F21B94"/>
    <w:rsid w:val="63022A0D"/>
    <w:rsid w:val="63027145"/>
    <w:rsid w:val="63073853"/>
    <w:rsid w:val="63075750"/>
    <w:rsid w:val="630E3157"/>
    <w:rsid w:val="63170F7C"/>
    <w:rsid w:val="63217423"/>
    <w:rsid w:val="632400BA"/>
    <w:rsid w:val="633571CC"/>
    <w:rsid w:val="6337416D"/>
    <w:rsid w:val="633B709F"/>
    <w:rsid w:val="6348512C"/>
    <w:rsid w:val="634D0FFB"/>
    <w:rsid w:val="634D4E50"/>
    <w:rsid w:val="634D53B6"/>
    <w:rsid w:val="635A49D5"/>
    <w:rsid w:val="63607B63"/>
    <w:rsid w:val="63626B0F"/>
    <w:rsid w:val="636451F8"/>
    <w:rsid w:val="637C603C"/>
    <w:rsid w:val="63861D33"/>
    <w:rsid w:val="63864396"/>
    <w:rsid w:val="638B469B"/>
    <w:rsid w:val="638D54CB"/>
    <w:rsid w:val="63900B3B"/>
    <w:rsid w:val="63AC40B1"/>
    <w:rsid w:val="63AC7B01"/>
    <w:rsid w:val="63B069B7"/>
    <w:rsid w:val="63C02AAE"/>
    <w:rsid w:val="63C85E2C"/>
    <w:rsid w:val="63D20D97"/>
    <w:rsid w:val="63D44AC6"/>
    <w:rsid w:val="63D92960"/>
    <w:rsid w:val="63E16321"/>
    <w:rsid w:val="63E35F3A"/>
    <w:rsid w:val="63EC4F0E"/>
    <w:rsid w:val="63FF4C2E"/>
    <w:rsid w:val="640E5FB2"/>
    <w:rsid w:val="6419743D"/>
    <w:rsid w:val="641E2FFD"/>
    <w:rsid w:val="6423241E"/>
    <w:rsid w:val="642D197F"/>
    <w:rsid w:val="64351649"/>
    <w:rsid w:val="64415265"/>
    <w:rsid w:val="64456823"/>
    <w:rsid w:val="64505561"/>
    <w:rsid w:val="6451172E"/>
    <w:rsid w:val="645B218B"/>
    <w:rsid w:val="646949A2"/>
    <w:rsid w:val="64752152"/>
    <w:rsid w:val="64786CCF"/>
    <w:rsid w:val="64802D6E"/>
    <w:rsid w:val="6481513B"/>
    <w:rsid w:val="6481537F"/>
    <w:rsid w:val="648D06CB"/>
    <w:rsid w:val="64A37A75"/>
    <w:rsid w:val="64B7696A"/>
    <w:rsid w:val="64B858A0"/>
    <w:rsid w:val="64BF2823"/>
    <w:rsid w:val="64D30230"/>
    <w:rsid w:val="64D81ED5"/>
    <w:rsid w:val="64D85ADD"/>
    <w:rsid w:val="64E25D83"/>
    <w:rsid w:val="64E45A26"/>
    <w:rsid w:val="64F74413"/>
    <w:rsid w:val="64FA0716"/>
    <w:rsid w:val="650B4776"/>
    <w:rsid w:val="65123851"/>
    <w:rsid w:val="65163A2B"/>
    <w:rsid w:val="65182A1E"/>
    <w:rsid w:val="65194470"/>
    <w:rsid w:val="65341AB7"/>
    <w:rsid w:val="653863C9"/>
    <w:rsid w:val="653D34A1"/>
    <w:rsid w:val="654C0A01"/>
    <w:rsid w:val="654C400E"/>
    <w:rsid w:val="65510B4D"/>
    <w:rsid w:val="655C6B59"/>
    <w:rsid w:val="6561233A"/>
    <w:rsid w:val="65620663"/>
    <w:rsid w:val="656F497A"/>
    <w:rsid w:val="65891C7A"/>
    <w:rsid w:val="65931D3A"/>
    <w:rsid w:val="659822DD"/>
    <w:rsid w:val="659E0CD8"/>
    <w:rsid w:val="65A3380C"/>
    <w:rsid w:val="65AB663F"/>
    <w:rsid w:val="65B44DD6"/>
    <w:rsid w:val="65D21F83"/>
    <w:rsid w:val="65D36CD9"/>
    <w:rsid w:val="65D55F41"/>
    <w:rsid w:val="65D60201"/>
    <w:rsid w:val="65D95B4E"/>
    <w:rsid w:val="65DC4F6E"/>
    <w:rsid w:val="65E174B2"/>
    <w:rsid w:val="65EC2F32"/>
    <w:rsid w:val="65F01AB4"/>
    <w:rsid w:val="65FE7F42"/>
    <w:rsid w:val="660B3DE6"/>
    <w:rsid w:val="66100967"/>
    <w:rsid w:val="661800B4"/>
    <w:rsid w:val="662720D2"/>
    <w:rsid w:val="66300DE0"/>
    <w:rsid w:val="663219D1"/>
    <w:rsid w:val="663A5586"/>
    <w:rsid w:val="664D4E89"/>
    <w:rsid w:val="66527316"/>
    <w:rsid w:val="6653533F"/>
    <w:rsid w:val="6655292C"/>
    <w:rsid w:val="66646397"/>
    <w:rsid w:val="66652580"/>
    <w:rsid w:val="666B183F"/>
    <w:rsid w:val="666D301C"/>
    <w:rsid w:val="66892A30"/>
    <w:rsid w:val="669C06FE"/>
    <w:rsid w:val="669D0FFF"/>
    <w:rsid w:val="66A37B86"/>
    <w:rsid w:val="66B13045"/>
    <w:rsid w:val="66B87247"/>
    <w:rsid w:val="66BA77D5"/>
    <w:rsid w:val="66C1139D"/>
    <w:rsid w:val="66D12486"/>
    <w:rsid w:val="66D4710B"/>
    <w:rsid w:val="66D87459"/>
    <w:rsid w:val="66DC5B3F"/>
    <w:rsid w:val="66E03F2D"/>
    <w:rsid w:val="66E36BE5"/>
    <w:rsid w:val="66F12872"/>
    <w:rsid w:val="67105321"/>
    <w:rsid w:val="671C652D"/>
    <w:rsid w:val="67381AD5"/>
    <w:rsid w:val="674711AB"/>
    <w:rsid w:val="675E2286"/>
    <w:rsid w:val="676E7F3D"/>
    <w:rsid w:val="67704FAD"/>
    <w:rsid w:val="67740045"/>
    <w:rsid w:val="677E4332"/>
    <w:rsid w:val="67836156"/>
    <w:rsid w:val="679119E4"/>
    <w:rsid w:val="67A27CC2"/>
    <w:rsid w:val="67A60B9C"/>
    <w:rsid w:val="67AD0F3F"/>
    <w:rsid w:val="67BA62C0"/>
    <w:rsid w:val="67C271FD"/>
    <w:rsid w:val="67EF30B3"/>
    <w:rsid w:val="68000F49"/>
    <w:rsid w:val="68061993"/>
    <w:rsid w:val="68067108"/>
    <w:rsid w:val="680B1828"/>
    <w:rsid w:val="680B2E8B"/>
    <w:rsid w:val="680D0939"/>
    <w:rsid w:val="68237FD2"/>
    <w:rsid w:val="68286E52"/>
    <w:rsid w:val="6834098F"/>
    <w:rsid w:val="68394CF3"/>
    <w:rsid w:val="684557CE"/>
    <w:rsid w:val="68466D27"/>
    <w:rsid w:val="68642F50"/>
    <w:rsid w:val="686D127F"/>
    <w:rsid w:val="687067F6"/>
    <w:rsid w:val="68747A3A"/>
    <w:rsid w:val="68802A41"/>
    <w:rsid w:val="68864EF9"/>
    <w:rsid w:val="68901B29"/>
    <w:rsid w:val="689078F6"/>
    <w:rsid w:val="689304A0"/>
    <w:rsid w:val="689E7816"/>
    <w:rsid w:val="68B93D81"/>
    <w:rsid w:val="68DD5028"/>
    <w:rsid w:val="68E32D1E"/>
    <w:rsid w:val="68E3352F"/>
    <w:rsid w:val="68E6046D"/>
    <w:rsid w:val="68E65278"/>
    <w:rsid w:val="68EA0D10"/>
    <w:rsid w:val="68EC04DE"/>
    <w:rsid w:val="68FC7FC0"/>
    <w:rsid w:val="69022832"/>
    <w:rsid w:val="69093CAF"/>
    <w:rsid w:val="690B7520"/>
    <w:rsid w:val="691200AE"/>
    <w:rsid w:val="69152147"/>
    <w:rsid w:val="693154EC"/>
    <w:rsid w:val="69317031"/>
    <w:rsid w:val="69413B3B"/>
    <w:rsid w:val="694F1C0F"/>
    <w:rsid w:val="69594552"/>
    <w:rsid w:val="695C7E7A"/>
    <w:rsid w:val="69636B13"/>
    <w:rsid w:val="69647D29"/>
    <w:rsid w:val="697046EC"/>
    <w:rsid w:val="697E74B0"/>
    <w:rsid w:val="69822FB8"/>
    <w:rsid w:val="69880A72"/>
    <w:rsid w:val="6992357A"/>
    <w:rsid w:val="69AB1271"/>
    <w:rsid w:val="69B82F3E"/>
    <w:rsid w:val="69B868E7"/>
    <w:rsid w:val="69C76718"/>
    <w:rsid w:val="69C7697A"/>
    <w:rsid w:val="69C93883"/>
    <w:rsid w:val="69CF00C0"/>
    <w:rsid w:val="69D85016"/>
    <w:rsid w:val="69DA61FE"/>
    <w:rsid w:val="69E67C99"/>
    <w:rsid w:val="69F36455"/>
    <w:rsid w:val="6A001FE4"/>
    <w:rsid w:val="6A0456C2"/>
    <w:rsid w:val="6A0A518E"/>
    <w:rsid w:val="6A0B1654"/>
    <w:rsid w:val="6A220495"/>
    <w:rsid w:val="6A272D1B"/>
    <w:rsid w:val="6A2D657D"/>
    <w:rsid w:val="6A305C56"/>
    <w:rsid w:val="6A441179"/>
    <w:rsid w:val="6A5318E5"/>
    <w:rsid w:val="6A5339AC"/>
    <w:rsid w:val="6A623645"/>
    <w:rsid w:val="6A6D40BC"/>
    <w:rsid w:val="6A764BC4"/>
    <w:rsid w:val="6A817C93"/>
    <w:rsid w:val="6A83685F"/>
    <w:rsid w:val="6A871F0C"/>
    <w:rsid w:val="6A90546D"/>
    <w:rsid w:val="6AA320BF"/>
    <w:rsid w:val="6AB5211E"/>
    <w:rsid w:val="6ABC2C72"/>
    <w:rsid w:val="6ABD3824"/>
    <w:rsid w:val="6ABF0E6A"/>
    <w:rsid w:val="6AD21B25"/>
    <w:rsid w:val="6AD97F5A"/>
    <w:rsid w:val="6AE40967"/>
    <w:rsid w:val="6AF42FD3"/>
    <w:rsid w:val="6AFB7E7A"/>
    <w:rsid w:val="6B05038A"/>
    <w:rsid w:val="6B132584"/>
    <w:rsid w:val="6B1B74FE"/>
    <w:rsid w:val="6B2B66DF"/>
    <w:rsid w:val="6B2C5B02"/>
    <w:rsid w:val="6B2F0A5D"/>
    <w:rsid w:val="6B6533D4"/>
    <w:rsid w:val="6B705245"/>
    <w:rsid w:val="6B776695"/>
    <w:rsid w:val="6B8829BB"/>
    <w:rsid w:val="6B8A0EE1"/>
    <w:rsid w:val="6B9A59AF"/>
    <w:rsid w:val="6BA076F0"/>
    <w:rsid w:val="6BA27C6A"/>
    <w:rsid w:val="6BA93836"/>
    <w:rsid w:val="6BB22AFA"/>
    <w:rsid w:val="6BB46EEB"/>
    <w:rsid w:val="6BB74503"/>
    <w:rsid w:val="6BC3763E"/>
    <w:rsid w:val="6BC568DE"/>
    <w:rsid w:val="6BCA00F3"/>
    <w:rsid w:val="6BCA4A4A"/>
    <w:rsid w:val="6BCF78BD"/>
    <w:rsid w:val="6BD86E61"/>
    <w:rsid w:val="6BDA0C2C"/>
    <w:rsid w:val="6BDA756C"/>
    <w:rsid w:val="6BE76664"/>
    <w:rsid w:val="6BEA45EB"/>
    <w:rsid w:val="6BEB340B"/>
    <w:rsid w:val="6BED2201"/>
    <w:rsid w:val="6BF132EB"/>
    <w:rsid w:val="6BFA18AE"/>
    <w:rsid w:val="6BFE0F82"/>
    <w:rsid w:val="6BFF36AF"/>
    <w:rsid w:val="6C1328AA"/>
    <w:rsid w:val="6C144674"/>
    <w:rsid w:val="6C292952"/>
    <w:rsid w:val="6C2A0C03"/>
    <w:rsid w:val="6C2B5857"/>
    <w:rsid w:val="6C2E38EE"/>
    <w:rsid w:val="6C3811AE"/>
    <w:rsid w:val="6C4A4F10"/>
    <w:rsid w:val="6C4B21DF"/>
    <w:rsid w:val="6C4E6D95"/>
    <w:rsid w:val="6C5164C2"/>
    <w:rsid w:val="6C576A17"/>
    <w:rsid w:val="6C602F3C"/>
    <w:rsid w:val="6C647BD2"/>
    <w:rsid w:val="6C6D225A"/>
    <w:rsid w:val="6C774EA5"/>
    <w:rsid w:val="6C77611C"/>
    <w:rsid w:val="6C7D1340"/>
    <w:rsid w:val="6C813B69"/>
    <w:rsid w:val="6C8A7F22"/>
    <w:rsid w:val="6C8E2466"/>
    <w:rsid w:val="6C9D26A9"/>
    <w:rsid w:val="6CAE3BE5"/>
    <w:rsid w:val="6CB561E6"/>
    <w:rsid w:val="6CC02E2E"/>
    <w:rsid w:val="6CCC1137"/>
    <w:rsid w:val="6CD04B41"/>
    <w:rsid w:val="6CD4339A"/>
    <w:rsid w:val="6CD9608A"/>
    <w:rsid w:val="6CD96E67"/>
    <w:rsid w:val="6CE27AF9"/>
    <w:rsid w:val="6CE30221"/>
    <w:rsid w:val="6CE66A55"/>
    <w:rsid w:val="6CF83B19"/>
    <w:rsid w:val="6D001895"/>
    <w:rsid w:val="6D155BCB"/>
    <w:rsid w:val="6D1B06DE"/>
    <w:rsid w:val="6D1B4843"/>
    <w:rsid w:val="6D242CB5"/>
    <w:rsid w:val="6D324CAD"/>
    <w:rsid w:val="6D347EA9"/>
    <w:rsid w:val="6D396037"/>
    <w:rsid w:val="6D3A1767"/>
    <w:rsid w:val="6D3B587B"/>
    <w:rsid w:val="6D4658F8"/>
    <w:rsid w:val="6D470E62"/>
    <w:rsid w:val="6D594AFC"/>
    <w:rsid w:val="6D5B1BDC"/>
    <w:rsid w:val="6D696D90"/>
    <w:rsid w:val="6D7B5BAD"/>
    <w:rsid w:val="6D815288"/>
    <w:rsid w:val="6D8B4DB4"/>
    <w:rsid w:val="6DBB120B"/>
    <w:rsid w:val="6DBE1A43"/>
    <w:rsid w:val="6DCF476F"/>
    <w:rsid w:val="6DD2377C"/>
    <w:rsid w:val="6DE216EC"/>
    <w:rsid w:val="6DF04651"/>
    <w:rsid w:val="6DF218DD"/>
    <w:rsid w:val="6DF825E5"/>
    <w:rsid w:val="6DFB4166"/>
    <w:rsid w:val="6E010E59"/>
    <w:rsid w:val="6E097FD1"/>
    <w:rsid w:val="6E0D3650"/>
    <w:rsid w:val="6E19169F"/>
    <w:rsid w:val="6E282CF9"/>
    <w:rsid w:val="6E290FBC"/>
    <w:rsid w:val="6E2D2C94"/>
    <w:rsid w:val="6E461B04"/>
    <w:rsid w:val="6E4B0A78"/>
    <w:rsid w:val="6E4C6624"/>
    <w:rsid w:val="6E582A2C"/>
    <w:rsid w:val="6E6011F9"/>
    <w:rsid w:val="6E6E1524"/>
    <w:rsid w:val="6E7E2890"/>
    <w:rsid w:val="6E825693"/>
    <w:rsid w:val="6EA13BFA"/>
    <w:rsid w:val="6EAA5CFF"/>
    <w:rsid w:val="6EC15B86"/>
    <w:rsid w:val="6EC33B32"/>
    <w:rsid w:val="6EC45E34"/>
    <w:rsid w:val="6EC543D7"/>
    <w:rsid w:val="6EE46EFA"/>
    <w:rsid w:val="6EE54ACA"/>
    <w:rsid w:val="6EEC7DA0"/>
    <w:rsid w:val="6EFF229C"/>
    <w:rsid w:val="6F1A2251"/>
    <w:rsid w:val="6F287FD3"/>
    <w:rsid w:val="6F2A5224"/>
    <w:rsid w:val="6F2A675D"/>
    <w:rsid w:val="6F2F50D6"/>
    <w:rsid w:val="6F335839"/>
    <w:rsid w:val="6F5B539B"/>
    <w:rsid w:val="6F5C6265"/>
    <w:rsid w:val="6F714A2A"/>
    <w:rsid w:val="6F7C531C"/>
    <w:rsid w:val="6F844DBC"/>
    <w:rsid w:val="6F8715EB"/>
    <w:rsid w:val="6F8725F7"/>
    <w:rsid w:val="6F8A3070"/>
    <w:rsid w:val="6F8C1686"/>
    <w:rsid w:val="6F8E6F35"/>
    <w:rsid w:val="6F9260E1"/>
    <w:rsid w:val="6F951972"/>
    <w:rsid w:val="6F9D5F64"/>
    <w:rsid w:val="6FBD6232"/>
    <w:rsid w:val="6FC01F8F"/>
    <w:rsid w:val="6FC82C63"/>
    <w:rsid w:val="6FDC1942"/>
    <w:rsid w:val="6FE06C43"/>
    <w:rsid w:val="6FE20202"/>
    <w:rsid w:val="6FE64BBA"/>
    <w:rsid w:val="6FEC283D"/>
    <w:rsid w:val="6FF93153"/>
    <w:rsid w:val="6FFA2C08"/>
    <w:rsid w:val="700C21C5"/>
    <w:rsid w:val="701557A0"/>
    <w:rsid w:val="702A275D"/>
    <w:rsid w:val="702C220D"/>
    <w:rsid w:val="70315516"/>
    <w:rsid w:val="70363200"/>
    <w:rsid w:val="703663BA"/>
    <w:rsid w:val="703D65DA"/>
    <w:rsid w:val="703F5BF3"/>
    <w:rsid w:val="704C260E"/>
    <w:rsid w:val="70543CE2"/>
    <w:rsid w:val="70561F0A"/>
    <w:rsid w:val="706458F5"/>
    <w:rsid w:val="707675BB"/>
    <w:rsid w:val="70780A97"/>
    <w:rsid w:val="709D2DEC"/>
    <w:rsid w:val="709F20B3"/>
    <w:rsid w:val="70A01767"/>
    <w:rsid w:val="70AA1CC9"/>
    <w:rsid w:val="70AA46DF"/>
    <w:rsid w:val="70AE02B7"/>
    <w:rsid w:val="70AE6CA6"/>
    <w:rsid w:val="70B82FD3"/>
    <w:rsid w:val="70B94FF9"/>
    <w:rsid w:val="70B95679"/>
    <w:rsid w:val="70C224AB"/>
    <w:rsid w:val="70C432B4"/>
    <w:rsid w:val="70CC28E1"/>
    <w:rsid w:val="70CF4244"/>
    <w:rsid w:val="70D676F5"/>
    <w:rsid w:val="70D82848"/>
    <w:rsid w:val="70DF7ED0"/>
    <w:rsid w:val="70E471B7"/>
    <w:rsid w:val="70EC65A4"/>
    <w:rsid w:val="70F71B54"/>
    <w:rsid w:val="70F82D59"/>
    <w:rsid w:val="710515F9"/>
    <w:rsid w:val="711501FC"/>
    <w:rsid w:val="71152AFE"/>
    <w:rsid w:val="711606F7"/>
    <w:rsid w:val="71275730"/>
    <w:rsid w:val="713043DC"/>
    <w:rsid w:val="7135076B"/>
    <w:rsid w:val="7136359B"/>
    <w:rsid w:val="714F1722"/>
    <w:rsid w:val="71566372"/>
    <w:rsid w:val="71593DA9"/>
    <w:rsid w:val="71655EBC"/>
    <w:rsid w:val="7175261E"/>
    <w:rsid w:val="7193246D"/>
    <w:rsid w:val="7198256C"/>
    <w:rsid w:val="719C7B18"/>
    <w:rsid w:val="719E7939"/>
    <w:rsid w:val="71BB5741"/>
    <w:rsid w:val="71C30E32"/>
    <w:rsid w:val="71CE7B26"/>
    <w:rsid w:val="71D55662"/>
    <w:rsid w:val="71E02D3A"/>
    <w:rsid w:val="71E93A2C"/>
    <w:rsid w:val="71EB7849"/>
    <w:rsid w:val="71F24FB3"/>
    <w:rsid w:val="71F52906"/>
    <w:rsid w:val="720D1F2F"/>
    <w:rsid w:val="72134EA2"/>
    <w:rsid w:val="72256327"/>
    <w:rsid w:val="726A18B5"/>
    <w:rsid w:val="726D6FD7"/>
    <w:rsid w:val="726F7296"/>
    <w:rsid w:val="727D4077"/>
    <w:rsid w:val="727F0D1C"/>
    <w:rsid w:val="72863AA7"/>
    <w:rsid w:val="728F7ACD"/>
    <w:rsid w:val="72943159"/>
    <w:rsid w:val="72953AF1"/>
    <w:rsid w:val="729C07FE"/>
    <w:rsid w:val="729C1ED0"/>
    <w:rsid w:val="729D10E3"/>
    <w:rsid w:val="72B20521"/>
    <w:rsid w:val="72B80B69"/>
    <w:rsid w:val="72BF19FA"/>
    <w:rsid w:val="72C4162D"/>
    <w:rsid w:val="72C9473B"/>
    <w:rsid w:val="72DC7380"/>
    <w:rsid w:val="72DE30C9"/>
    <w:rsid w:val="72E328D4"/>
    <w:rsid w:val="72E43F2E"/>
    <w:rsid w:val="73124218"/>
    <w:rsid w:val="73150018"/>
    <w:rsid w:val="7316313D"/>
    <w:rsid w:val="731F472C"/>
    <w:rsid w:val="73225980"/>
    <w:rsid w:val="73321811"/>
    <w:rsid w:val="733351D5"/>
    <w:rsid w:val="734C1455"/>
    <w:rsid w:val="73673DAA"/>
    <w:rsid w:val="73691C33"/>
    <w:rsid w:val="7373536B"/>
    <w:rsid w:val="73770563"/>
    <w:rsid w:val="737D37CC"/>
    <w:rsid w:val="73821391"/>
    <w:rsid w:val="738C4998"/>
    <w:rsid w:val="739F2A38"/>
    <w:rsid w:val="73A24FAD"/>
    <w:rsid w:val="73AA47FB"/>
    <w:rsid w:val="73AD7669"/>
    <w:rsid w:val="73B04BCD"/>
    <w:rsid w:val="73B65D64"/>
    <w:rsid w:val="73BC476F"/>
    <w:rsid w:val="73D14BBF"/>
    <w:rsid w:val="73E26FB6"/>
    <w:rsid w:val="73EC4687"/>
    <w:rsid w:val="73FD0584"/>
    <w:rsid w:val="740F5F9E"/>
    <w:rsid w:val="74126BC0"/>
    <w:rsid w:val="74150779"/>
    <w:rsid w:val="74273790"/>
    <w:rsid w:val="743720DF"/>
    <w:rsid w:val="743D1E3C"/>
    <w:rsid w:val="74432E49"/>
    <w:rsid w:val="744A263B"/>
    <w:rsid w:val="744D309E"/>
    <w:rsid w:val="745C1017"/>
    <w:rsid w:val="745C2583"/>
    <w:rsid w:val="746022ED"/>
    <w:rsid w:val="74636492"/>
    <w:rsid w:val="74662ED2"/>
    <w:rsid w:val="747B47C1"/>
    <w:rsid w:val="747B6FB9"/>
    <w:rsid w:val="748568CD"/>
    <w:rsid w:val="748969B2"/>
    <w:rsid w:val="74A76C06"/>
    <w:rsid w:val="74A97CAE"/>
    <w:rsid w:val="74B1185B"/>
    <w:rsid w:val="74C11875"/>
    <w:rsid w:val="74C16799"/>
    <w:rsid w:val="74C177D1"/>
    <w:rsid w:val="74C24867"/>
    <w:rsid w:val="74D329FB"/>
    <w:rsid w:val="74D57736"/>
    <w:rsid w:val="74D76582"/>
    <w:rsid w:val="74E30911"/>
    <w:rsid w:val="74E41769"/>
    <w:rsid w:val="74E73B3A"/>
    <w:rsid w:val="74FC0326"/>
    <w:rsid w:val="74FD6AF9"/>
    <w:rsid w:val="750C6A6D"/>
    <w:rsid w:val="7511631A"/>
    <w:rsid w:val="7514582F"/>
    <w:rsid w:val="751477C0"/>
    <w:rsid w:val="75207767"/>
    <w:rsid w:val="752A262E"/>
    <w:rsid w:val="75426BFA"/>
    <w:rsid w:val="754B359F"/>
    <w:rsid w:val="754C0C60"/>
    <w:rsid w:val="755334CE"/>
    <w:rsid w:val="75581162"/>
    <w:rsid w:val="756C77A6"/>
    <w:rsid w:val="756E671D"/>
    <w:rsid w:val="756F6104"/>
    <w:rsid w:val="757156EB"/>
    <w:rsid w:val="757815C3"/>
    <w:rsid w:val="757D1E86"/>
    <w:rsid w:val="758C5B29"/>
    <w:rsid w:val="75971833"/>
    <w:rsid w:val="75C24F30"/>
    <w:rsid w:val="75C37CF1"/>
    <w:rsid w:val="75C97A4F"/>
    <w:rsid w:val="75CA6FC2"/>
    <w:rsid w:val="75CB3753"/>
    <w:rsid w:val="75D0102D"/>
    <w:rsid w:val="75D72FE8"/>
    <w:rsid w:val="75D9071B"/>
    <w:rsid w:val="75DA0B91"/>
    <w:rsid w:val="75DD11C7"/>
    <w:rsid w:val="75EE0DA0"/>
    <w:rsid w:val="75FE1C7F"/>
    <w:rsid w:val="75FE78F7"/>
    <w:rsid w:val="7608238C"/>
    <w:rsid w:val="76082BC1"/>
    <w:rsid w:val="76094850"/>
    <w:rsid w:val="762A6911"/>
    <w:rsid w:val="762B7BC5"/>
    <w:rsid w:val="762E71A9"/>
    <w:rsid w:val="76387218"/>
    <w:rsid w:val="763B5742"/>
    <w:rsid w:val="764A13AC"/>
    <w:rsid w:val="76504B2A"/>
    <w:rsid w:val="76515480"/>
    <w:rsid w:val="765A05FE"/>
    <w:rsid w:val="76742690"/>
    <w:rsid w:val="767B137A"/>
    <w:rsid w:val="767D65DB"/>
    <w:rsid w:val="768D6682"/>
    <w:rsid w:val="768E090F"/>
    <w:rsid w:val="76950660"/>
    <w:rsid w:val="76A03B34"/>
    <w:rsid w:val="76B51A95"/>
    <w:rsid w:val="76CB270C"/>
    <w:rsid w:val="76D97BC5"/>
    <w:rsid w:val="76DF4EBD"/>
    <w:rsid w:val="76E00191"/>
    <w:rsid w:val="76F15F05"/>
    <w:rsid w:val="76F529B8"/>
    <w:rsid w:val="76FB6A51"/>
    <w:rsid w:val="76FF20AF"/>
    <w:rsid w:val="770E298E"/>
    <w:rsid w:val="77210CB8"/>
    <w:rsid w:val="77233EFD"/>
    <w:rsid w:val="7727603A"/>
    <w:rsid w:val="772E7C91"/>
    <w:rsid w:val="773310E3"/>
    <w:rsid w:val="77511B2F"/>
    <w:rsid w:val="77523C83"/>
    <w:rsid w:val="77546499"/>
    <w:rsid w:val="775D7B58"/>
    <w:rsid w:val="776B358A"/>
    <w:rsid w:val="77764CA1"/>
    <w:rsid w:val="778243A7"/>
    <w:rsid w:val="77880CD0"/>
    <w:rsid w:val="77885880"/>
    <w:rsid w:val="778A3949"/>
    <w:rsid w:val="779043E2"/>
    <w:rsid w:val="779150B9"/>
    <w:rsid w:val="779D7FD8"/>
    <w:rsid w:val="77A67511"/>
    <w:rsid w:val="77A83023"/>
    <w:rsid w:val="77B203F2"/>
    <w:rsid w:val="77B34168"/>
    <w:rsid w:val="77B853CE"/>
    <w:rsid w:val="77BE1E71"/>
    <w:rsid w:val="77C362D1"/>
    <w:rsid w:val="77C36C3C"/>
    <w:rsid w:val="77C6634D"/>
    <w:rsid w:val="77CB0788"/>
    <w:rsid w:val="77D721DC"/>
    <w:rsid w:val="77DF0EAD"/>
    <w:rsid w:val="77EA3CA6"/>
    <w:rsid w:val="78064466"/>
    <w:rsid w:val="78102276"/>
    <w:rsid w:val="78164B46"/>
    <w:rsid w:val="783A5958"/>
    <w:rsid w:val="784D556E"/>
    <w:rsid w:val="784E76DC"/>
    <w:rsid w:val="78515669"/>
    <w:rsid w:val="78612919"/>
    <w:rsid w:val="786A010A"/>
    <w:rsid w:val="787C42DD"/>
    <w:rsid w:val="788952D7"/>
    <w:rsid w:val="788A5451"/>
    <w:rsid w:val="789D4FA3"/>
    <w:rsid w:val="78A504C8"/>
    <w:rsid w:val="78B13B0E"/>
    <w:rsid w:val="78B8775D"/>
    <w:rsid w:val="78B91416"/>
    <w:rsid w:val="78C83E5D"/>
    <w:rsid w:val="78C84750"/>
    <w:rsid w:val="78CE5CDC"/>
    <w:rsid w:val="78D61A4D"/>
    <w:rsid w:val="78DA2088"/>
    <w:rsid w:val="78DF5B2B"/>
    <w:rsid w:val="78DF77D5"/>
    <w:rsid w:val="78E656E7"/>
    <w:rsid w:val="78E75646"/>
    <w:rsid w:val="78EB5EFD"/>
    <w:rsid w:val="78F8672E"/>
    <w:rsid w:val="79062161"/>
    <w:rsid w:val="790D20C1"/>
    <w:rsid w:val="79162D4D"/>
    <w:rsid w:val="792D38DD"/>
    <w:rsid w:val="793149BC"/>
    <w:rsid w:val="793C27D0"/>
    <w:rsid w:val="79481F08"/>
    <w:rsid w:val="79496D88"/>
    <w:rsid w:val="794C1DA6"/>
    <w:rsid w:val="794F110E"/>
    <w:rsid w:val="795874B4"/>
    <w:rsid w:val="795C05B5"/>
    <w:rsid w:val="79605CAC"/>
    <w:rsid w:val="7961710C"/>
    <w:rsid w:val="796226B7"/>
    <w:rsid w:val="798736BF"/>
    <w:rsid w:val="798813F5"/>
    <w:rsid w:val="79905A88"/>
    <w:rsid w:val="79957516"/>
    <w:rsid w:val="799C1CF1"/>
    <w:rsid w:val="799C5797"/>
    <w:rsid w:val="79A156EC"/>
    <w:rsid w:val="79A31A75"/>
    <w:rsid w:val="79B44348"/>
    <w:rsid w:val="79B84757"/>
    <w:rsid w:val="79C32FEF"/>
    <w:rsid w:val="79D13944"/>
    <w:rsid w:val="79D30053"/>
    <w:rsid w:val="79D55D7F"/>
    <w:rsid w:val="79DE7C8F"/>
    <w:rsid w:val="79E52441"/>
    <w:rsid w:val="7A0A209D"/>
    <w:rsid w:val="7A1213EE"/>
    <w:rsid w:val="7A183A02"/>
    <w:rsid w:val="7A1B41A4"/>
    <w:rsid w:val="7A2013FC"/>
    <w:rsid w:val="7A215327"/>
    <w:rsid w:val="7A293534"/>
    <w:rsid w:val="7A293831"/>
    <w:rsid w:val="7A3643BA"/>
    <w:rsid w:val="7A380C3F"/>
    <w:rsid w:val="7A3B042E"/>
    <w:rsid w:val="7A3F3DCE"/>
    <w:rsid w:val="7A4C0DA0"/>
    <w:rsid w:val="7A4D23E4"/>
    <w:rsid w:val="7A560030"/>
    <w:rsid w:val="7A576A80"/>
    <w:rsid w:val="7A5C7ABE"/>
    <w:rsid w:val="7A6840CE"/>
    <w:rsid w:val="7A74304F"/>
    <w:rsid w:val="7A7F4BEA"/>
    <w:rsid w:val="7A894151"/>
    <w:rsid w:val="7A9379F9"/>
    <w:rsid w:val="7A975B0F"/>
    <w:rsid w:val="7AA9318C"/>
    <w:rsid w:val="7ABB45F6"/>
    <w:rsid w:val="7ABD6E5B"/>
    <w:rsid w:val="7AC10096"/>
    <w:rsid w:val="7AC330B7"/>
    <w:rsid w:val="7ACC2256"/>
    <w:rsid w:val="7ACE7B72"/>
    <w:rsid w:val="7ADB19DB"/>
    <w:rsid w:val="7ADC193F"/>
    <w:rsid w:val="7AE832A5"/>
    <w:rsid w:val="7AEE7D5A"/>
    <w:rsid w:val="7AF119DB"/>
    <w:rsid w:val="7B036EB4"/>
    <w:rsid w:val="7B0B05F7"/>
    <w:rsid w:val="7B0D3C52"/>
    <w:rsid w:val="7B1810CF"/>
    <w:rsid w:val="7B2C15CA"/>
    <w:rsid w:val="7B2C61C2"/>
    <w:rsid w:val="7B390BF2"/>
    <w:rsid w:val="7B4162C7"/>
    <w:rsid w:val="7B4C7AD1"/>
    <w:rsid w:val="7B534E2D"/>
    <w:rsid w:val="7B5C622D"/>
    <w:rsid w:val="7B683189"/>
    <w:rsid w:val="7B6A3E7D"/>
    <w:rsid w:val="7B88567D"/>
    <w:rsid w:val="7B8F0AFD"/>
    <w:rsid w:val="7B98535A"/>
    <w:rsid w:val="7BA57FBA"/>
    <w:rsid w:val="7BA821FD"/>
    <w:rsid w:val="7BAE48FC"/>
    <w:rsid w:val="7BB32376"/>
    <w:rsid w:val="7BB83DF8"/>
    <w:rsid w:val="7BBA2E35"/>
    <w:rsid w:val="7BC76B4E"/>
    <w:rsid w:val="7BC84704"/>
    <w:rsid w:val="7BCC163B"/>
    <w:rsid w:val="7BCC236D"/>
    <w:rsid w:val="7BCC7CAA"/>
    <w:rsid w:val="7BD525E2"/>
    <w:rsid w:val="7BE10D04"/>
    <w:rsid w:val="7BE66796"/>
    <w:rsid w:val="7BF939BE"/>
    <w:rsid w:val="7BFF4559"/>
    <w:rsid w:val="7C0827FE"/>
    <w:rsid w:val="7C084E85"/>
    <w:rsid w:val="7C164F89"/>
    <w:rsid w:val="7C1A756B"/>
    <w:rsid w:val="7C1B1028"/>
    <w:rsid w:val="7C226546"/>
    <w:rsid w:val="7C251562"/>
    <w:rsid w:val="7C2B2034"/>
    <w:rsid w:val="7C3043FE"/>
    <w:rsid w:val="7C3C0747"/>
    <w:rsid w:val="7C4569BE"/>
    <w:rsid w:val="7C4F0BB7"/>
    <w:rsid w:val="7C4F607B"/>
    <w:rsid w:val="7C583982"/>
    <w:rsid w:val="7C6972EC"/>
    <w:rsid w:val="7C6B22AE"/>
    <w:rsid w:val="7C7412F3"/>
    <w:rsid w:val="7C7D0B32"/>
    <w:rsid w:val="7C8B1147"/>
    <w:rsid w:val="7C8C5EFB"/>
    <w:rsid w:val="7C9F1C4C"/>
    <w:rsid w:val="7CA07913"/>
    <w:rsid w:val="7CA31AB6"/>
    <w:rsid w:val="7CA4518D"/>
    <w:rsid w:val="7CA50BAD"/>
    <w:rsid w:val="7CB47910"/>
    <w:rsid w:val="7CBE5D37"/>
    <w:rsid w:val="7CD17149"/>
    <w:rsid w:val="7CD27243"/>
    <w:rsid w:val="7CD730F8"/>
    <w:rsid w:val="7CE95DFB"/>
    <w:rsid w:val="7CEF6F02"/>
    <w:rsid w:val="7CF11D62"/>
    <w:rsid w:val="7CFB6A2F"/>
    <w:rsid w:val="7D027F2A"/>
    <w:rsid w:val="7D061726"/>
    <w:rsid w:val="7D0A1A32"/>
    <w:rsid w:val="7D0C1069"/>
    <w:rsid w:val="7D0E4B5B"/>
    <w:rsid w:val="7D33504E"/>
    <w:rsid w:val="7D362C54"/>
    <w:rsid w:val="7D3B012B"/>
    <w:rsid w:val="7D3C08AA"/>
    <w:rsid w:val="7D4928DE"/>
    <w:rsid w:val="7D4C641E"/>
    <w:rsid w:val="7D4D2034"/>
    <w:rsid w:val="7D5C493C"/>
    <w:rsid w:val="7D7C3D68"/>
    <w:rsid w:val="7DA90486"/>
    <w:rsid w:val="7DAE540F"/>
    <w:rsid w:val="7DB07FBB"/>
    <w:rsid w:val="7DC767AB"/>
    <w:rsid w:val="7DD112B2"/>
    <w:rsid w:val="7DD318F4"/>
    <w:rsid w:val="7DEA41A0"/>
    <w:rsid w:val="7DF5241B"/>
    <w:rsid w:val="7DF7247F"/>
    <w:rsid w:val="7E0E7855"/>
    <w:rsid w:val="7E1F2DD5"/>
    <w:rsid w:val="7E4030AD"/>
    <w:rsid w:val="7E4313B6"/>
    <w:rsid w:val="7E480690"/>
    <w:rsid w:val="7E574A6E"/>
    <w:rsid w:val="7E701D11"/>
    <w:rsid w:val="7E762791"/>
    <w:rsid w:val="7E804FCB"/>
    <w:rsid w:val="7E8533A3"/>
    <w:rsid w:val="7E8E42BF"/>
    <w:rsid w:val="7E9212CE"/>
    <w:rsid w:val="7E971EEC"/>
    <w:rsid w:val="7EA737EF"/>
    <w:rsid w:val="7EB819E3"/>
    <w:rsid w:val="7ED44F77"/>
    <w:rsid w:val="7ED544B5"/>
    <w:rsid w:val="7EDA5E1F"/>
    <w:rsid w:val="7EDB49B6"/>
    <w:rsid w:val="7EF249D0"/>
    <w:rsid w:val="7F0D0F48"/>
    <w:rsid w:val="7F14671E"/>
    <w:rsid w:val="7F1B5E8E"/>
    <w:rsid w:val="7F2E4552"/>
    <w:rsid w:val="7F3A609B"/>
    <w:rsid w:val="7F5117A9"/>
    <w:rsid w:val="7F7119F3"/>
    <w:rsid w:val="7F8029CE"/>
    <w:rsid w:val="7F853AB6"/>
    <w:rsid w:val="7F8D4C51"/>
    <w:rsid w:val="7F8E5DD1"/>
    <w:rsid w:val="7F942BE1"/>
    <w:rsid w:val="7FA23687"/>
    <w:rsid w:val="7FA71F3A"/>
    <w:rsid w:val="7FB16B07"/>
    <w:rsid w:val="7FC379A1"/>
    <w:rsid w:val="7FC638A9"/>
    <w:rsid w:val="7FCA1117"/>
    <w:rsid w:val="7FD540F2"/>
    <w:rsid w:val="7FE15B6A"/>
    <w:rsid w:val="7FF07C1F"/>
    <w:rsid w:val="7FF67C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tabs>
        <w:tab w:val="left" w:pos="0"/>
      </w:tabs>
      <w:adjustRightInd w:val="0"/>
      <w:snapToGrid w:val="0"/>
      <w:spacing w:line="440" w:lineRule="exact"/>
    </w:pPr>
    <w:rPr>
      <w:rFonts w:ascii="宋体" w:hAnsi="宋体" w:eastAsia="宋体" w:cstheme="minorBidi"/>
      <w:kern w:val="2"/>
      <w:sz w:val="24"/>
      <w:szCs w:val="24"/>
      <w:lang w:val="en-US" w:eastAsia="zh-CN" w:bidi="ar-SA"/>
    </w:rPr>
  </w:style>
  <w:style w:type="paragraph" w:styleId="3">
    <w:name w:val="heading 1"/>
    <w:basedOn w:val="1"/>
    <w:next w:val="1"/>
    <w:qFormat/>
    <w:uiPriority w:val="0"/>
    <w:pPr>
      <w:keepNext/>
      <w:keepLines/>
      <w:outlineLvl w:val="0"/>
    </w:pPr>
    <w:rPr>
      <w:b/>
      <w:kern w:val="44"/>
      <w:sz w:val="44"/>
    </w:rPr>
  </w:style>
  <w:style w:type="paragraph" w:styleId="4">
    <w:name w:val="heading 2"/>
    <w:basedOn w:val="1"/>
    <w:next w:val="1"/>
    <w:link w:val="38"/>
    <w:unhideWhenUsed/>
    <w:qFormat/>
    <w:uiPriority w:val="0"/>
    <w:pPr>
      <w:keepNext/>
      <w:keepLines/>
      <w:spacing w:line="500" w:lineRule="exact"/>
      <w:outlineLvl w:val="1"/>
    </w:pPr>
    <w:rPr>
      <w:rFonts w:ascii="Arial" w:hAnsi="Arial" w:eastAsia="黑体"/>
      <w:b/>
      <w:sz w:val="28"/>
    </w:rPr>
  </w:style>
  <w:style w:type="paragraph" w:styleId="5">
    <w:name w:val="heading 3"/>
    <w:basedOn w:val="1"/>
    <w:next w:val="1"/>
    <w:unhideWhenUsed/>
    <w:qFormat/>
    <w:uiPriority w:val="0"/>
    <w:pPr>
      <w:outlineLvl w:val="2"/>
    </w:pPr>
    <w:rPr>
      <w:rFonts w:hint="eastAsia" w:cs="Times New Roman"/>
      <w:b/>
      <w:kern w:val="0"/>
      <w:sz w:val="27"/>
      <w:szCs w:val="27"/>
    </w:rPr>
  </w:style>
  <w:style w:type="paragraph" w:styleId="6">
    <w:name w:val="heading 4"/>
    <w:basedOn w:val="1"/>
    <w:next w:val="1"/>
    <w:qFormat/>
    <w:uiPriority w:val="0"/>
    <w:pPr>
      <w:keepNext/>
      <w:keepLines/>
      <w:spacing w:before="280" w:after="290" w:line="372" w:lineRule="auto"/>
      <w:ind w:firstLine="200" w:firstLineChars="200"/>
      <w:outlineLvl w:val="3"/>
    </w:pPr>
    <w:rPr>
      <w:rFonts w:ascii="Arial" w:hAnsi="Arial" w:eastAsia="黑体"/>
      <w:b/>
      <w:sz w:val="24"/>
      <w:szCs w:val="24"/>
    </w:rPr>
  </w:style>
  <w:style w:type="paragraph" w:styleId="7">
    <w:name w:val="heading 6"/>
    <w:basedOn w:val="1"/>
    <w:next w:val="1"/>
    <w:semiHidden/>
    <w:unhideWhenUsed/>
    <w:qFormat/>
    <w:uiPriority w:val="0"/>
    <w:pPr>
      <w:keepNext/>
      <w:keepLines/>
      <w:numPr>
        <w:ilvl w:val="5"/>
        <w:numId w:val="1"/>
      </w:numPr>
      <w:spacing w:line="317" w:lineRule="auto"/>
      <w:outlineLvl w:val="5"/>
    </w:pPr>
    <w:rPr>
      <w:rFonts w:ascii="Arial" w:hAnsi="Arial" w:eastAsia="黑体"/>
      <w:b/>
    </w:rPr>
  </w:style>
  <w:style w:type="paragraph" w:styleId="8">
    <w:name w:val="heading 7"/>
    <w:basedOn w:val="1"/>
    <w:next w:val="1"/>
    <w:semiHidden/>
    <w:unhideWhenUsed/>
    <w:qFormat/>
    <w:uiPriority w:val="0"/>
    <w:pPr>
      <w:keepNext/>
      <w:keepLines/>
      <w:numPr>
        <w:ilvl w:val="6"/>
        <w:numId w:val="1"/>
      </w:numPr>
      <w:spacing w:line="317" w:lineRule="auto"/>
      <w:outlineLvl w:val="6"/>
    </w:pPr>
    <w:rPr>
      <w:b/>
    </w:rPr>
  </w:style>
  <w:style w:type="paragraph" w:styleId="9">
    <w:name w:val="heading 8"/>
    <w:basedOn w:val="1"/>
    <w:next w:val="1"/>
    <w:semiHidden/>
    <w:unhideWhenUsed/>
    <w:qFormat/>
    <w:uiPriority w:val="0"/>
    <w:pPr>
      <w:keepNext/>
      <w:keepLines/>
      <w:numPr>
        <w:ilvl w:val="7"/>
        <w:numId w:val="1"/>
      </w:numPr>
      <w:spacing w:line="317" w:lineRule="auto"/>
      <w:outlineLvl w:val="7"/>
    </w:pPr>
    <w:rPr>
      <w:rFonts w:ascii="Arial" w:hAnsi="Arial" w:eastAsia="黑体"/>
    </w:rPr>
  </w:style>
  <w:style w:type="paragraph" w:styleId="10">
    <w:name w:val="heading 9"/>
    <w:basedOn w:val="1"/>
    <w:next w:val="1"/>
    <w:semiHidden/>
    <w:unhideWhenUsed/>
    <w:qFormat/>
    <w:uiPriority w:val="0"/>
    <w:pPr>
      <w:keepNext/>
      <w:keepLines/>
      <w:numPr>
        <w:ilvl w:val="8"/>
        <w:numId w:val="1"/>
      </w:numPr>
      <w:spacing w:line="317" w:lineRule="auto"/>
      <w:outlineLvl w:val="8"/>
    </w:pPr>
    <w:rPr>
      <w:rFonts w:ascii="Arial" w:hAnsi="Arial" w:eastAsia="黑体"/>
      <w:sz w:val="21"/>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rPr>
      <w:rFonts w:ascii="Times New Roman"/>
    </w:rPr>
  </w:style>
  <w:style w:type="paragraph" w:styleId="11">
    <w:name w:val="Normal Indent"/>
    <w:basedOn w:val="1"/>
    <w:qFormat/>
    <w:uiPriority w:val="0"/>
    <w:pPr>
      <w:spacing w:line="360" w:lineRule="auto"/>
      <w:ind w:firstLine="420"/>
    </w:pPr>
    <w:rPr>
      <w:rFonts w:ascii="宋体" w:hAnsi="Calibri" w:eastAsia="宋体" w:cs="Times New Roman"/>
    </w:rPr>
  </w:style>
  <w:style w:type="paragraph" w:styleId="12">
    <w:name w:val="Document Map"/>
    <w:basedOn w:val="1"/>
    <w:link w:val="88"/>
    <w:qFormat/>
    <w:uiPriority w:val="0"/>
    <w:rPr>
      <w:sz w:val="18"/>
      <w:szCs w:val="18"/>
    </w:rPr>
  </w:style>
  <w:style w:type="paragraph" w:styleId="13">
    <w:name w:val="annotation text"/>
    <w:basedOn w:val="1"/>
    <w:link w:val="89"/>
    <w:qFormat/>
    <w:uiPriority w:val="0"/>
  </w:style>
  <w:style w:type="paragraph" w:styleId="14">
    <w:name w:val="Salutation"/>
    <w:basedOn w:val="1"/>
    <w:next w:val="1"/>
    <w:qFormat/>
    <w:uiPriority w:val="0"/>
    <w:pPr>
      <w:overflowPunct w:val="0"/>
      <w:autoSpaceDE w:val="0"/>
      <w:autoSpaceDN w:val="0"/>
    </w:pPr>
    <w:rPr>
      <w:rFonts w:ascii="Times New Roman" w:hAnsi="Times New Roman" w:cs="Times New Roman"/>
    </w:rPr>
  </w:style>
  <w:style w:type="paragraph" w:styleId="15">
    <w:name w:val="Body Text Indent"/>
    <w:basedOn w:val="1"/>
    <w:qFormat/>
    <w:uiPriority w:val="0"/>
    <w:pPr>
      <w:ind w:firstLine="538" w:firstLineChars="168"/>
    </w:pPr>
    <w:rPr>
      <w:rFonts w:ascii="仿宋_GB2312" w:eastAsia="仿宋_GB2312"/>
      <w:sz w:val="32"/>
    </w:rPr>
  </w:style>
  <w:style w:type="paragraph" w:styleId="16">
    <w:name w:val="toc 3"/>
    <w:basedOn w:val="1"/>
    <w:next w:val="1"/>
    <w:qFormat/>
    <w:uiPriority w:val="0"/>
    <w:pPr>
      <w:wordWrap w:val="0"/>
      <w:topLinePunct/>
      <w:spacing w:line="400" w:lineRule="exact"/>
      <w:ind w:left="840" w:leftChars="400"/>
    </w:pPr>
    <w:rPr>
      <w:sz w:val="21"/>
    </w:rPr>
  </w:style>
  <w:style w:type="paragraph" w:styleId="17">
    <w:name w:val="Plain Text"/>
    <w:basedOn w:val="1"/>
    <w:qFormat/>
    <w:uiPriority w:val="0"/>
    <w:rPr>
      <w:rFonts w:ascii="宋体" w:hAnsi="Courier New" w:eastAsiaTheme="minorEastAsia" w:cstheme="minorBidi"/>
      <w:szCs w:val="22"/>
    </w:rPr>
  </w:style>
  <w:style w:type="paragraph" w:styleId="18">
    <w:name w:val="Balloon Text"/>
    <w:basedOn w:val="1"/>
    <w:link w:val="87"/>
    <w:qFormat/>
    <w:uiPriority w:val="0"/>
    <w:pPr>
      <w:spacing w:line="240" w:lineRule="auto"/>
    </w:pPr>
    <w:rPr>
      <w:sz w:val="18"/>
      <w:szCs w:val="18"/>
    </w:rPr>
  </w:style>
  <w:style w:type="paragraph" w:styleId="19">
    <w:name w:val="footer"/>
    <w:basedOn w:val="1"/>
    <w:link w:val="37"/>
    <w:qFormat/>
    <w:uiPriority w:val="0"/>
    <w:pPr>
      <w:spacing w:line="240" w:lineRule="auto"/>
    </w:pPr>
    <w:rPr>
      <w:sz w:val="18"/>
      <w:szCs w:val="18"/>
    </w:rPr>
  </w:style>
  <w:style w:type="paragraph" w:styleId="20">
    <w:name w:val="header"/>
    <w:basedOn w:val="1"/>
    <w:link w:val="36"/>
    <w:qFormat/>
    <w:uiPriority w:val="0"/>
    <w:pPr>
      <w:pBdr>
        <w:bottom w:val="single" w:color="auto" w:sz="6" w:space="1"/>
      </w:pBdr>
      <w:wordWrap w:val="0"/>
      <w:topLinePunct/>
      <w:spacing w:line="240" w:lineRule="auto"/>
      <w:jc w:val="center"/>
    </w:pPr>
    <w:rPr>
      <w:sz w:val="18"/>
      <w:szCs w:val="18"/>
    </w:rPr>
  </w:style>
  <w:style w:type="paragraph" w:styleId="21">
    <w:name w:val="toc 1"/>
    <w:basedOn w:val="1"/>
    <w:next w:val="1"/>
    <w:qFormat/>
    <w:uiPriority w:val="0"/>
    <w:pPr>
      <w:tabs>
        <w:tab w:val="right" w:leader="dot" w:pos="0"/>
        <w:tab w:val="right" w:leader="dot" w:pos="9746"/>
      </w:tabs>
      <w:wordWrap w:val="0"/>
      <w:topLinePunct/>
      <w:spacing w:line="400" w:lineRule="exact"/>
    </w:pPr>
    <w:rPr>
      <w:sz w:val="21"/>
    </w:rPr>
  </w:style>
  <w:style w:type="paragraph" w:styleId="22">
    <w:name w:val="toc 2"/>
    <w:basedOn w:val="1"/>
    <w:next w:val="1"/>
    <w:qFormat/>
    <w:uiPriority w:val="0"/>
    <w:pPr>
      <w:wordWrap w:val="0"/>
      <w:topLinePunct/>
      <w:spacing w:line="400" w:lineRule="exact"/>
      <w:ind w:left="420" w:leftChars="200"/>
    </w:pPr>
    <w:rPr>
      <w:sz w:val="21"/>
    </w:rPr>
  </w:style>
  <w:style w:type="paragraph" w:styleId="23">
    <w:name w:val="Normal (Web)"/>
    <w:basedOn w:val="1"/>
    <w:qFormat/>
    <w:uiPriority w:val="0"/>
    <w:pPr>
      <w:spacing w:beforeAutospacing="1" w:afterAutospacing="1"/>
    </w:pPr>
    <w:rPr>
      <w:rFonts w:cs="Times New Roman"/>
      <w:kern w:val="0"/>
    </w:rPr>
  </w:style>
  <w:style w:type="paragraph" w:styleId="24">
    <w:name w:val="annotation subject"/>
    <w:basedOn w:val="13"/>
    <w:next w:val="13"/>
    <w:link w:val="90"/>
    <w:qFormat/>
    <w:uiPriority w:val="0"/>
    <w:rPr>
      <w:b/>
      <w:bCs/>
    </w:rPr>
  </w:style>
  <w:style w:type="paragraph" w:styleId="25">
    <w:name w:val="Body Text First Indent 2"/>
    <w:basedOn w:val="15"/>
    <w:unhideWhenUsed/>
    <w:qFormat/>
    <w:uiPriority w:val="99"/>
    <w:pPr>
      <w:spacing w:before="50"/>
      <w:ind w:firstLine="200" w:firstLineChars="200"/>
    </w:p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FollowedHyperlink"/>
    <w:basedOn w:val="28"/>
    <w:qFormat/>
    <w:uiPriority w:val="0"/>
    <w:rPr>
      <w:rFonts w:hint="eastAsia" w:ascii="微软雅黑" w:hAnsi="微软雅黑" w:eastAsia="微软雅黑" w:cs="微软雅黑"/>
      <w:color w:val="02396F"/>
      <w:u w:val="single"/>
    </w:rPr>
  </w:style>
  <w:style w:type="character" w:styleId="30">
    <w:name w:val="Hyperlink"/>
    <w:basedOn w:val="28"/>
    <w:qFormat/>
    <w:uiPriority w:val="0"/>
    <w:rPr>
      <w:color w:val="0000FF"/>
      <w:u w:val="single"/>
    </w:rPr>
  </w:style>
  <w:style w:type="character" w:styleId="31">
    <w:name w:val="annotation reference"/>
    <w:basedOn w:val="28"/>
    <w:qFormat/>
    <w:uiPriority w:val="0"/>
    <w:rPr>
      <w:sz w:val="21"/>
      <w:szCs w:val="21"/>
    </w:rPr>
  </w:style>
  <w:style w:type="character" w:styleId="32">
    <w:name w:val="HTML Sample"/>
    <w:basedOn w:val="28"/>
    <w:qFormat/>
    <w:uiPriority w:val="0"/>
    <w:rPr>
      <w:rFonts w:ascii="Courier New" w:hAnsi="Courier New"/>
    </w:rPr>
  </w:style>
  <w:style w:type="paragraph" w:customStyle="1" w:styleId="33">
    <w:name w:val="11、“1.1.1”表格内三级标题"/>
    <w:basedOn w:val="1"/>
    <w:qFormat/>
    <w:uiPriority w:val="0"/>
    <w:pPr>
      <w:numPr>
        <w:ilvl w:val="2"/>
        <w:numId w:val="2"/>
      </w:numPr>
      <w:wordWrap w:val="0"/>
      <w:topLinePunct/>
      <w:spacing w:line="360" w:lineRule="exact"/>
      <w:ind w:left="48" w:leftChars="20"/>
    </w:pPr>
    <w:rPr>
      <w:snapToGrid w:val="0"/>
      <w:sz w:val="21"/>
    </w:rPr>
  </w:style>
  <w:style w:type="paragraph" w:customStyle="1" w:styleId="34">
    <w:name w:val="标题 5（有编号）（绿盟科技）"/>
    <w:basedOn w:val="1"/>
    <w:next w:val="35"/>
    <w:qFormat/>
    <w:uiPriority w:val="0"/>
    <w:pPr>
      <w:keepNext/>
      <w:keepLines/>
      <w:numPr>
        <w:ilvl w:val="4"/>
        <w:numId w:val="3"/>
      </w:numPr>
      <w:spacing w:before="280" w:after="156" w:line="377" w:lineRule="auto"/>
      <w:outlineLvl w:val="4"/>
    </w:pPr>
    <w:rPr>
      <w:rFonts w:ascii="Arial" w:hAnsi="Arial" w:eastAsia="黑体"/>
      <w:b/>
      <w:kern w:val="0"/>
      <w:szCs w:val="28"/>
    </w:rPr>
  </w:style>
  <w:style w:type="paragraph" w:customStyle="1" w:styleId="35">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36">
    <w:name w:val="页眉 Char"/>
    <w:basedOn w:val="28"/>
    <w:link w:val="20"/>
    <w:qFormat/>
    <w:uiPriority w:val="0"/>
    <w:rPr>
      <w:rFonts w:ascii="宋体" w:hAnsi="宋体" w:eastAsia="宋体" w:cstheme="minorBidi"/>
      <w:kern w:val="2"/>
      <w:sz w:val="18"/>
      <w:szCs w:val="18"/>
    </w:rPr>
  </w:style>
  <w:style w:type="character" w:customStyle="1" w:styleId="37">
    <w:name w:val="页脚 Char"/>
    <w:basedOn w:val="28"/>
    <w:link w:val="19"/>
    <w:qFormat/>
    <w:uiPriority w:val="0"/>
    <w:rPr>
      <w:rFonts w:ascii="宋体" w:hAnsi="宋体" w:eastAsia="宋体" w:cstheme="minorBidi"/>
      <w:kern w:val="2"/>
      <w:sz w:val="18"/>
      <w:szCs w:val="18"/>
    </w:rPr>
  </w:style>
  <w:style w:type="character" w:customStyle="1" w:styleId="38">
    <w:name w:val="标题 2 Char"/>
    <w:basedOn w:val="28"/>
    <w:link w:val="4"/>
    <w:qFormat/>
    <w:uiPriority w:val="0"/>
    <w:rPr>
      <w:rFonts w:ascii="Arial" w:hAnsi="Arial" w:eastAsia="黑体"/>
      <w:b/>
      <w:sz w:val="28"/>
    </w:rPr>
  </w:style>
  <w:style w:type="paragraph" w:customStyle="1" w:styleId="39">
    <w:name w:val="05、“(一)”正文三级标题"/>
    <w:basedOn w:val="1"/>
    <w:link w:val="64"/>
    <w:qFormat/>
    <w:uiPriority w:val="0"/>
    <w:pPr>
      <w:numPr>
        <w:ilvl w:val="1"/>
        <w:numId w:val="1"/>
      </w:numPr>
      <w:wordWrap w:val="0"/>
      <w:topLinePunct/>
      <w:ind w:firstLine="803" w:firstLineChars="200"/>
    </w:pPr>
  </w:style>
  <w:style w:type="paragraph" w:customStyle="1" w:styleId="40">
    <w:name w:val="00、封面正文(与其他内容无关的格式)"/>
    <w:basedOn w:val="1"/>
    <w:qFormat/>
    <w:uiPriority w:val="0"/>
  </w:style>
  <w:style w:type="paragraph" w:customStyle="1" w:styleId="41">
    <w:name w:val="15、“一、”二级标题"/>
    <w:basedOn w:val="1"/>
    <w:qFormat/>
    <w:uiPriority w:val="0"/>
    <w:pPr>
      <w:numPr>
        <w:ilvl w:val="1"/>
        <w:numId w:val="4"/>
      </w:numPr>
      <w:wordWrap w:val="0"/>
      <w:topLinePunct/>
      <w:ind w:firstLine="803" w:firstLineChars="200"/>
      <w:outlineLvl w:val="1"/>
    </w:pPr>
    <w:rPr>
      <w:b/>
    </w:rPr>
  </w:style>
  <w:style w:type="paragraph" w:customStyle="1" w:styleId="42">
    <w:name w:val="06、“1.”正文四级标题"/>
    <w:basedOn w:val="1"/>
    <w:link w:val="66"/>
    <w:qFormat/>
    <w:uiPriority w:val="0"/>
    <w:pPr>
      <w:numPr>
        <w:ilvl w:val="2"/>
        <w:numId w:val="1"/>
      </w:numPr>
      <w:wordWrap w:val="0"/>
      <w:topLinePunct/>
      <w:ind w:firstLine="803" w:firstLineChars="200"/>
    </w:pPr>
    <w:rPr>
      <w:snapToGrid w:val="0"/>
    </w:rPr>
  </w:style>
  <w:style w:type="paragraph" w:customStyle="1" w:styleId="43">
    <w:name w:val="07、“1.1”正文五级标题"/>
    <w:basedOn w:val="1"/>
    <w:link w:val="58"/>
    <w:qFormat/>
    <w:uiPriority w:val="0"/>
    <w:pPr>
      <w:numPr>
        <w:ilvl w:val="3"/>
        <w:numId w:val="1"/>
      </w:numPr>
      <w:ind w:firstLine="803" w:firstLineChars="200"/>
    </w:pPr>
  </w:style>
  <w:style w:type="paragraph" w:customStyle="1" w:styleId="44">
    <w:name w:val="08、“(1)”正文六级标题"/>
    <w:basedOn w:val="1"/>
    <w:link w:val="67"/>
    <w:qFormat/>
    <w:uiPriority w:val="0"/>
    <w:pPr>
      <w:numPr>
        <w:ilvl w:val="4"/>
        <w:numId w:val="1"/>
      </w:numPr>
      <w:ind w:firstLine="803" w:firstLineChars="200"/>
    </w:pPr>
    <w:rPr>
      <w:snapToGrid w:val="0"/>
    </w:rPr>
  </w:style>
  <w:style w:type="paragraph" w:customStyle="1" w:styleId="45">
    <w:name w:val="09、“1.”表格内一级标题"/>
    <w:basedOn w:val="1"/>
    <w:qFormat/>
    <w:uiPriority w:val="0"/>
    <w:pPr>
      <w:numPr>
        <w:ilvl w:val="0"/>
        <w:numId w:val="2"/>
      </w:numPr>
      <w:wordWrap w:val="0"/>
      <w:topLinePunct/>
      <w:spacing w:line="360" w:lineRule="exact"/>
      <w:ind w:left="48" w:leftChars="20"/>
    </w:pPr>
    <w:rPr>
      <w:snapToGrid w:val="0"/>
      <w:sz w:val="21"/>
    </w:rPr>
  </w:style>
  <w:style w:type="paragraph" w:customStyle="1" w:styleId="46">
    <w:name w:val="10、“1.1”表格内二级标题"/>
    <w:basedOn w:val="1"/>
    <w:link w:val="57"/>
    <w:qFormat/>
    <w:uiPriority w:val="0"/>
    <w:pPr>
      <w:numPr>
        <w:ilvl w:val="1"/>
        <w:numId w:val="2"/>
      </w:numPr>
      <w:wordWrap w:val="0"/>
      <w:topLinePunct/>
      <w:spacing w:line="360" w:lineRule="exact"/>
      <w:ind w:left="48" w:leftChars="20"/>
    </w:pPr>
    <w:rPr>
      <w:snapToGrid w:val="0"/>
      <w:sz w:val="21"/>
    </w:rPr>
  </w:style>
  <w:style w:type="paragraph" w:customStyle="1" w:styleId="47">
    <w:name w:val="12、表格内左对齐正文"/>
    <w:basedOn w:val="1"/>
    <w:link w:val="68"/>
    <w:qFormat/>
    <w:uiPriority w:val="0"/>
    <w:pPr>
      <w:wordWrap w:val="0"/>
      <w:topLinePunct/>
      <w:spacing w:line="360" w:lineRule="exact"/>
      <w:ind w:left="48" w:leftChars="20"/>
    </w:pPr>
    <w:rPr>
      <w:snapToGrid w:val="0"/>
      <w:sz w:val="21"/>
    </w:rPr>
  </w:style>
  <w:style w:type="paragraph" w:customStyle="1" w:styleId="48">
    <w:name w:val="01、普通正文"/>
    <w:basedOn w:val="1"/>
    <w:link w:val="62"/>
    <w:qFormat/>
    <w:uiPriority w:val="0"/>
    <w:pPr>
      <w:wordWrap w:val="0"/>
      <w:topLinePunct/>
    </w:pPr>
    <w:rPr>
      <w:snapToGrid w:val="0"/>
    </w:rPr>
  </w:style>
  <w:style w:type="paragraph" w:customStyle="1" w:styleId="49">
    <w:name w:val="20、第二章“一、”二级标题"/>
    <w:basedOn w:val="48"/>
    <w:qFormat/>
    <w:uiPriority w:val="0"/>
    <w:pPr>
      <w:numPr>
        <w:ilvl w:val="0"/>
        <w:numId w:val="5"/>
      </w:numPr>
      <w:spacing w:beforeLines="50" w:afterLines="50"/>
      <w:jc w:val="center"/>
      <w:outlineLvl w:val="1"/>
    </w:pPr>
    <w:rPr>
      <w:b/>
      <w:sz w:val="32"/>
    </w:rPr>
  </w:style>
  <w:style w:type="paragraph" w:customStyle="1" w:styleId="50">
    <w:name w:val="21、第三章“(一)”三级标题"/>
    <w:basedOn w:val="48"/>
    <w:link w:val="59"/>
    <w:qFormat/>
    <w:uiPriority w:val="0"/>
    <w:pPr>
      <w:pageBreakBefore/>
      <w:spacing w:beforeLines="50" w:afterLines="50"/>
      <w:jc w:val="center"/>
      <w:outlineLvl w:val="2"/>
    </w:pPr>
    <w:rPr>
      <w:b/>
      <w:sz w:val="28"/>
    </w:rPr>
  </w:style>
  <w:style w:type="paragraph" w:customStyle="1" w:styleId="51">
    <w:name w:val="13、表格内居中正文"/>
    <w:basedOn w:val="1"/>
    <w:qFormat/>
    <w:uiPriority w:val="0"/>
    <w:pPr>
      <w:wordWrap w:val="0"/>
      <w:topLinePunct/>
      <w:spacing w:line="360" w:lineRule="exact"/>
      <w:jc w:val="center"/>
    </w:pPr>
    <w:rPr>
      <w:sz w:val="21"/>
    </w:rPr>
  </w:style>
  <w:style w:type="paragraph" w:customStyle="1" w:styleId="52">
    <w:name w:val="02、首行缩进2字符正文"/>
    <w:basedOn w:val="1"/>
    <w:link w:val="61"/>
    <w:qFormat/>
    <w:uiPriority w:val="0"/>
    <w:pPr>
      <w:wordWrap w:val="0"/>
      <w:topLinePunct/>
      <w:ind w:firstLine="480" w:firstLineChars="200"/>
    </w:pPr>
  </w:style>
  <w:style w:type="paragraph" w:customStyle="1" w:styleId="53">
    <w:name w:val="03、“注：”正文(加粗，首行缩进2字符)"/>
    <w:basedOn w:val="48"/>
    <w:link w:val="63"/>
    <w:qFormat/>
    <w:uiPriority w:val="0"/>
    <w:pPr>
      <w:ind w:firstLine="480" w:firstLineChars="200"/>
    </w:pPr>
    <w:rPr>
      <w:b/>
    </w:rPr>
  </w:style>
  <w:style w:type="paragraph" w:customStyle="1" w:styleId="54">
    <w:name w:val="14、“第一章”一级标题"/>
    <w:basedOn w:val="48"/>
    <w:qFormat/>
    <w:uiPriority w:val="0"/>
    <w:pPr>
      <w:numPr>
        <w:ilvl w:val="0"/>
        <w:numId w:val="4"/>
      </w:numPr>
      <w:spacing w:beforeLines="50" w:afterLines="50" w:line="240" w:lineRule="auto"/>
      <w:jc w:val="center"/>
      <w:outlineLvl w:val="0"/>
    </w:pPr>
    <w:rPr>
      <w:b/>
      <w:sz w:val="36"/>
    </w:rPr>
  </w:style>
  <w:style w:type="paragraph" w:customStyle="1" w:styleId="55">
    <w:name w:val="16、“(一)”三级标题"/>
    <w:basedOn w:val="48"/>
    <w:link w:val="60"/>
    <w:qFormat/>
    <w:uiPriority w:val="0"/>
    <w:pPr>
      <w:numPr>
        <w:ilvl w:val="2"/>
        <w:numId w:val="4"/>
      </w:numPr>
      <w:ind w:firstLine="803" w:firstLineChars="200"/>
      <w:outlineLvl w:val="2"/>
    </w:pPr>
    <w:rPr>
      <w:b/>
    </w:rPr>
  </w:style>
  <w:style w:type="paragraph" w:customStyle="1" w:styleId="56">
    <w:name w:val="04“一、”正文二级标题"/>
    <w:basedOn w:val="48"/>
    <w:link w:val="65"/>
    <w:qFormat/>
    <w:uiPriority w:val="0"/>
    <w:pPr>
      <w:ind w:firstLine="803" w:firstLineChars="200"/>
    </w:pPr>
  </w:style>
  <w:style w:type="character" w:customStyle="1" w:styleId="57">
    <w:name w:val="10、“1.1”表格内二级标题 Char"/>
    <w:link w:val="46"/>
    <w:qFormat/>
    <w:uiPriority w:val="0"/>
    <w:rPr>
      <w:rFonts w:ascii="宋体" w:hAnsi="宋体" w:eastAsia="宋体"/>
      <w:snapToGrid w:val="0"/>
      <w:sz w:val="21"/>
    </w:rPr>
  </w:style>
  <w:style w:type="character" w:customStyle="1" w:styleId="58">
    <w:name w:val="07、“1.1”正文五级标题 Char"/>
    <w:link w:val="43"/>
    <w:qFormat/>
    <w:uiPriority w:val="0"/>
    <w:rPr>
      <w:rFonts w:ascii="宋体" w:hAnsi="宋体" w:eastAsia="宋体"/>
    </w:rPr>
  </w:style>
  <w:style w:type="character" w:customStyle="1" w:styleId="59">
    <w:name w:val="18、第三章“(一)”三级标题 Char"/>
    <w:link w:val="50"/>
    <w:qFormat/>
    <w:uiPriority w:val="0"/>
    <w:rPr>
      <w:rFonts w:ascii="宋体" w:hAnsi="宋体" w:cstheme="minorBidi"/>
      <w:b/>
      <w:snapToGrid w:val="0"/>
      <w:kern w:val="2"/>
      <w:sz w:val="28"/>
      <w:szCs w:val="24"/>
    </w:rPr>
  </w:style>
  <w:style w:type="character" w:customStyle="1" w:styleId="60">
    <w:name w:val="16、“(一)”三级标题 Char"/>
    <w:link w:val="55"/>
    <w:qFormat/>
    <w:uiPriority w:val="0"/>
    <w:rPr>
      <w:rFonts w:ascii="宋体" w:hAnsi="宋体" w:eastAsia="宋体"/>
      <w:b/>
    </w:rPr>
  </w:style>
  <w:style w:type="character" w:customStyle="1" w:styleId="61">
    <w:name w:val="02、首行缩进2字符正文 Char"/>
    <w:link w:val="52"/>
    <w:qFormat/>
    <w:uiPriority w:val="0"/>
    <w:rPr>
      <w:rFonts w:ascii="宋体" w:hAnsi="宋体" w:eastAsia="宋体"/>
    </w:rPr>
  </w:style>
  <w:style w:type="character" w:customStyle="1" w:styleId="62">
    <w:name w:val="01、普通正文 Char"/>
    <w:link w:val="48"/>
    <w:qFormat/>
    <w:uiPriority w:val="0"/>
    <w:rPr>
      <w:rFonts w:ascii="宋体" w:hAnsi="宋体" w:eastAsia="宋体"/>
      <w:snapToGrid w:val="0"/>
    </w:rPr>
  </w:style>
  <w:style w:type="character" w:customStyle="1" w:styleId="63">
    <w:name w:val="03、“注：”正文(加粗，首行缩进2字符) Char"/>
    <w:link w:val="53"/>
    <w:qFormat/>
    <w:uiPriority w:val="0"/>
    <w:rPr>
      <w:b/>
    </w:rPr>
  </w:style>
  <w:style w:type="character" w:customStyle="1" w:styleId="64">
    <w:name w:val="05、“(一)”正文三级标题 Char"/>
    <w:link w:val="39"/>
    <w:qFormat/>
    <w:uiPriority w:val="0"/>
    <w:rPr>
      <w:rFonts w:ascii="宋体" w:hAnsi="宋体" w:eastAsia="宋体"/>
    </w:rPr>
  </w:style>
  <w:style w:type="character" w:customStyle="1" w:styleId="65">
    <w:name w:val="04“一、”正文二级标题 Char"/>
    <w:link w:val="56"/>
    <w:qFormat/>
    <w:uiPriority w:val="0"/>
  </w:style>
  <w:style w:type="character" w:customStyle="1" w:styleId="66">
    <w:name w:val="06、“1.”正文四级标题 Char"/>
    <w:link w:val="42"/>
    <w:qFormat/>
    <w:uiPriority w:val="0"/>
    <w:rPr>
      <w:rFonts w:ascii="宋体" w:hAnsi="宋体" w:eastAsia="宋体"/>
      <w:snapToGrid w:val="0"/>
    </w:rPr>
  </w:style>
  <w:style w:type="character" w:customStyle="1" w:styleId="67">
    <w:name w:val="08、“(1)”正文六级标题 Char"/>
    <w:link w:val="44"/>
    <w:qFormat/>
    <w:uiPriority w:val="0"/>
    <w:rPr>
      <w:rFonts w:ascii="宋体" w:hAnsi="宋体" w:eastAsia="宋体"/>
      <w:snapToGrid w:val="0"/>
    </w:rPr>
  </w:style>
  <w:style w:type="character" w:customStyle="1" w:styleId="68">
    <w:name w:val="12、表格内左对齐正文 Char"/>
    <w:link w:val="47"/>
    <w:qFormat/>
    <w:uiPriority w:val="0"/>
    <w:rPr>
      <w:rFonts w:ascii="宋体" w:hAnsi="宋体" w:eastAsia="宋体"/>
      <w:snapToGrid w:val="0"/>
      <w:sz w:val="21"/>
    </w:rPr>
  </w:style>
  <w:style w:type="paragraph" w:customStyle="1" w:styleId="69">
    <w:name w:val="17“1.”四级标题"/>
    <w:basedOn w:val="52"/>
    <w:qFormat/>
    <w:uiPriority w:val="0"/>
    <w:pPr>
      <w:numPr>
        <w:ilvl w:val="3"/>
        <w:numId w:val="4"/>
      </w:numPr>
      <w:ind w:firstLine="803"/>
    </w:pPr>
  </w:style>
  <w:style w:type="paragraph" w:customStyle="1" w:styleId="70">
    <w:name w:val="18、“1.1”五级标题"/>
    <w:basedOn w:val="69"/>
    <w:link w:val="86"/>
    <w:qFormat/>
    <w:uiPriority w:val="0"/>
    <w:pPr>
      <w:numPr>
        <w:ilvl w:val="4"/>
      </w:numPr>
      <w:ind w:firstLine="803"/>
    </w:pPr>
  </w:style>
  <w:style w:type="paragraph" w:customStyle="1" w:styleId="71">
    <w:name w:val="19、“(1)”六级标题"/>
    <w:basedOn w:val="69"/>
    <w:qFormat/>
    <w:uiPriority w:val="0"/>
    <w:pPr>
      <w:numPr>
        <w:ilvl w:val="5"/>
      </w:numPr>
      <w:ind w:firstLine="803"/>
    </w:pPr>
  </w:style>
  <w:style w:type="paragraph" w:customStyle="1" w:styleId="72">
    <w:name w:val="样式 首行缩进:  2 字符"/>
    <w:basedOn w:val="1"/>
    <w:qFormat/>
    <w:uiPriority w:val="0"/>
    <w:pPr>
      <w:spacing w:line="400" w:lineRule="exact"/>
      <w:ind w:firstLine="200" w:firstLineChars="200"/>
    </w:pPr>
    <w:rPr>
      <w:rFonts w:cs="宋体"/>
    </w:rPr>
  </w:style>
  <w:style w:type="character" w:customStyle="1" w:styleId="73">
    <w:name w:val="redfilefwwh"/>
    <w:basedOn w:val="28"/>
    <w:qFormat/>
    <w:uiPriority w:val="0"/>
    <w:rPr>
      <w:color w:val="BA2636"/>
      <w:sz w:val="12"/>
      <w:szCs w:val="12"/>
    </w:rPr>
  </w:style>
  <w:style w:type="character" w:customStyle="1" w:styleId="74">
    <w:name w:val="qxdate"/>
    <w:basedOn w:val="28"/>
    <w:qFormat/>
    <w:uiPriority w:val="0"/>
    <w:rPr>
      <w:color w:val="333333"/>
      <w:sz w:val="12"/>
      <w:szCs w:val="12"/>
    </w:rPr>
  </w:style>
  <w:style w:type="character" w:customStyle="1" w:styleId="75">
    <w:name w:val="cfdate"/>
    <w:basedOn w:val="28"/>
    <w:qFormat/>
    <w:uiPriority w:val="0"/>
    <w:rPr>
      <w:color w:val="333333"/>
      <w:sz w:val="12"/>
      <w:szCs w:val="12"/>
    </w:rPr>
  </w:style>
  <w:style w:type="character" w:customStyle="1" w:styleId="76">
    <w:name w:val="gjfg"/>
    <w:basedOn w:val="28"/>
    <w:qFormat/>
    <w:uiPriority w:val="0"/>
  </w:style>
  <w:style w:type="character" w:customStyle="1" w:styleId="77">
    <w:name w:val="displayarti"/>
    <w:basedOn w:val="28"/>
    <w:qFormat/>
    <w:uiPriority w:val="0"/>
    <w:rPr>
      <w:color w:val="FFFFFF"/>
      <w:shd w:val="clear" w:color="auto" w:fill="A00000"/>
    </w:rPr>
  </w:style>
  <w:style w:type="character" w:customStyle="1" w:styleId="78">
    <w:name w:val="redfilenumber"/>
    <w:basedOn w:val="28"/>
    <w:qFormat/>
    <w:uiPriority w:val="0"/>
    <w:rPr>
      <w:color w:val="BA2636"/>
      <w:sz w:val="12"/>
      <w:szCs w:val="12"/>
    </w:rPr>
  </w:style>
  <w:style w:type="paragraph" w:customStyle="1" w:styleId="79">
    <w:name w:val="20、第五章“(一)”三级标题"/>
    <w:basedOn w:val="48"/>
    <w:qFormat/>
    <w:uiPriority w:val="0"/>
    <w:pPr>
      <w:pageBreakBefore/>
      <w:numPr>
        <w:ilvl w:val="0"/>
        <w:numId w:val="6"/>
      </w:numPr>
      <w:spacing w:beforeLines="50" w:afterLines="50"/>
      <w:jc w:val="center"/>
      <w:outlineLvl w:val="2"/>
    </w:pPr>
    <w:rPr>
      <w:b/>
      <w:sz w:val="28"/>
    </w:rPr>
  </w:style>
  <w:style w:type="paragraph" w:styleId="80">
    <w:name w:val="List Paragraph"/>
    <w:basedOn w:val="1"/>
    <w:qFormat/>
    <w:uiPriority w:val="1"/>
    <w:pPr>
      <w:ind w:left="205" w:right="169" w:firstLine="655"/>
    </w:pPr>
    <w:rPr>
      <w:rFonts w:ascii="仿宋" w:hAnsi="仿宋" w:eastAsia="仿宋" w:cs="仿宋"/>
      <w:u w:val="single" w:color="000000"/>
      <w:lang w:val="zh-CN" w:bidi="zh-CN"/>
    </w:rPr>
  </w:style>
  <w:style w:type="paragraph" w:customStyle="1" w:styleId="81">
    <w:name w:val="Dist 正文"/>
    <w:basedOn w:val="1"/>
    <w:qFormat/>
    <w:uiPriority w:val="0"/>
    <w:pPr>
      <w:widowControl/>
      <w:spacing w:line="360" w:lineRule="auto"/>
    </w:pPr>
    <w:rPr>
      <w:sz w:val="20"/>
      <w:szCs w:val="20"/>
    </w:rPr>
  </w:style>
  <w:style w:type="paragraph" w:customStyle="1" w:styleId="82">
    <w:name w:val="列出段落1"/>
    <w:basedOn w:val="1"/>
    <w:qFormat/>
    <w:uiPriority w:val="99"/>
    <w:pPr>
      <w:ind w:firstLine="420" w:firstLineChars="200"/>
    </w:pPr>
  </w:style>
  <w:style w:type="paragraph" w:customStyle="1" w:styleId="83">
    <w:name w:val="reader-word-layer"/>
    <w:basedOn w:val="1"/>
    <w:qFormat/>
    <w:uiPriority w:val="0"/>
    <w:pPr>
      <w:widowControl/>
      <w:spacing w:before="100" w:beforeAutospacing="1" w:after="100" w:afterAutospacing="1"/>
    </w:pPr>
  </w:style>
  <w:style w:type="paragraph" w:customStyle="1" w:styleId="84">
    <w:name w:val="无间隔1"/>
    <w:qFormat/>
    <w:uiPriority w:val="0"/>
    <w:pPr>
      <w:widowControl w:val="0"/>
      <w:jc w:val="both"/>
    </w:pPr>
    <w:rPr>
      <w:rFonts w:ascii="Calibri" w:hAnsi="Calibri" w:eastAsia="宋体" w:cs="Calibri"/>
      <w:kern w:val="2"/>
      <w:sz w:val="21"/>
      <w:szCs w:val="21"/>
      <w:lang w:val="en-US" w:eastAsia="zh-CN" w:bidi="ar-SA"/>
    </w:rPr>
  </w:style>
  <w:style w:type="paragraph" w:customStyle="1" w:styleId="85">
    <w:name w:val="列出段落11"/>
    <w:basedOn w:val="1"/>
    <w:qFormat/>
    <w:uiPriority w:val="34"/>
    <w:pPr>
      <w:ind w:firstLine="420" w:firstLineChars="200"/>
    </w:pPr>
    <w:rPr>
      <w:rFonts w:ascii="Times New Roman" w:eastAsia="仿宋_GB2312"/>
      <w:color w:val="000000"/>
      <w:sz w:val="28"/>
      <w:szCs w:val="28"/>
    </w:rPr>
  </w:style>
  <w:style w:type="character" w:customStyle="1" w:styleId="86">
    <w:name w:val="18、“1.1”五级标题 Char"/>
    <w:link w:val="70"/>
    <w:qFormat/>
    <w:uiPriority w:val="0"/>
  </w:style>
  <w:style w:type="character" w:customStyle="1" w:styleId="87">
    <w:name w:val="批注框文本 Char"/>
    <w:basedOn w:val="28"/>
    <w:link w:val="18"/>
    <w:qFormat/>
    <w:uiPriority w:val="0"/>
    <w:rPr>
      <w:rFonts w:ascii="宋体" w:hAnsi="宋体" w:cstheme="minorBidi"/>
      <w:kern w:val="2"/>
      <w:sz w:val="18"/>
      <w:szCs w:val="18"/>
    </w:rPr>
  </w:style>
  <w:style w:type="character" w:customStyle="1" w:styleId="88">
    <w:name w:val="文档结构图 Char"/>
    <w:basedOn w:val="28"/>
    <w:link w:val="12"/>
    <w:qFormat/>
    <w:uiPriority w:val="0"/>
    <w:rPr>
      <w:rFonts w:ascii="宋体" w:hAnsi="宋体" w:cstheme="minorBidi"/>
      <w:kern w:val="2"/>
      <w:sz w:val="18"/>
      <w:szCs w:val="18"/>
    </w:rPr>
  </w:style>
  <w:style w:type="character" w:customStyle="1" w:styleId="89">
    <w:name w:val="批注文字 Char"/>
    <w:basedOn w:val="28"/>
    <w:link w:val="13"/>
    <w:qFormat/>
    <w:uiPriority w:val="0"/>
    <w:rPr>
      <w:rFonts w:ascii="宋体" w:hAnsi="宋体" w:cstheme="minorBidi"/>
      <w:kern w:val="2"/>
      <w:sz w:val="24"/>
      <w:szCs w:val="24"/>
    </w:rPr>
  </w:style>
  <w:style w:type="character" w:customStyle="1" w:styleId="90">
    <w:name w:val="批注主题 Char"/>
    <w:basedOn w:val="89"/>
    <w:link w:val="24"/>
    <w:qFormat/>
    <w:uiPriority w:val="0"/>
  </w:style>
  <w:style w:type="paragraph" w:customStyle="1" w:styleId="91">
    <w:name w:val="Revision"/>
    <w:hidden/>
    <w:unhideWhenUsed/>
    <w:qFormat/>
    <w:uiPriority w:val="99"/>
    <w:rPr>
      <w:rFonts w:ascii="宋体" w:hAnsi="宋体" w:eastAsia="宋体" w:cstheme="minorBidi"/>
      <w:kern w:val="2"/>
      <w:sz w:val="24"/>
      <w:szCs w:val="24"/>
      <w:lang w:val="en-US" w:eastAsia="zh-CN" w:bidi="ar-SA"/>
    </w:rPr>
  </w:style>
  <w:style w:type="paragraph" w:customStyle="1" w:styleId="92">
    <w:name w:val="Body text|1"/>
    <w:basedOn w:val="1"/>
    <w:qFormat/>
    <w:uiPriority w:val="0"/>
    <w:pPr>
      <w:spacing w:line="408" w:lineRule="auto"/>
      <w:jc w:val="left"/>
    </w:pPr>
    <w:rPr>
      <w:rFonts w:ascii="宋体" w:hAnsi="宋体" w:eastAsia="宋体" w:cs="宋体"/>
      <w:sz w:val="18"/>
      <w:szCs w:val="18"/>
    </w:rPr>
  </w:style>
  <w:style w:type="paragraph" w:customStyle="1" w:styleId="93">
    <w:name w:val="AA"/>
    <w:basedOn w:val="1"/>
    <w:qFormat/>
    <w:uiPriority w:val="0"/>
    <w:pPr>
      <w:spacing w:line="360" w:lineRule="auto"/>
      <w:ind w:firstLine="480" w:firstLineChars="200"/>
      <w:jc w:val="left"/>
    </w:pPr>
    <w:rPr>
      <w:rFonts w:ascii="宋体" w:hAnsi="宋体"/>
      <w:sz w:val="24"/>
      <w:szCs w:val="24"/>
    </w:rPr>
  </w:style>
  <w:style w:type="paragraph" w:customStyle="1" w:styleId="94">
    <w:name w:val="Table Paragraph"/>
    <w:basedOn w:val="1"/>
    <w:qFormat/>
    <w:uiPriority w:val="1"/>
  </w:style>
  <w:style w:type="paragraph" w:customStyle="1" w:styleId="95">
    <w:name w:val="列出段落2"/>
    <w:basedOn w:val="1"/>
    <w:qFormat/>
    <w:uiPriority w:val="0"/>
    <w:pPr>
      <w:widowControl/>
      <w:ind w:firstLine="420" w:firstLineChars="200"/>
      <w:jc w:val="left"/>
    </w:pPr>
    <w:rPr>
      <w:rFonts w:ascii="宋体" w:hAnsi="宋体" w:cs="宋体"/>
      <w:kern w:val="0"/>
      <w:sz w:val="24"/>
    </w:rPr>
  </w:style>
  <w:style w:type="paragraph" w:customStyle="1" w:styleId="96">
    <w:name w:val="表内文字"/>
    <w:basedOn w:val="1"/>
    <w:qFormat/>
    <w:uiPriority w:val="0"/>
    <w:pPr>
      <w:adjustRightInd w:val="0"/>
      <w:snapToGrid w:val="0"/>
      <w:spacing w:line="312" w:lineRule="auto"/>
      <w:jc w:val="center"/>
    </w:pPr>
    <w:rPr>
      <w:color w:val="000000"/>
      <w:szCs w:val="20"/>
    </w:rPr>
  </w:style>
  <w:style w:type="paragraph" w:customStyle="1" w:styleId="97">
    <w:name w:val="p0"/>
    <w:basedOn w:val="1"/>
    <w:qFormat/>
    <w:uiPriority w:val="0"/>
    <w:pPr>
      <w:widowControl/>
    </w:pPr>
    <w:rPr>
      <w:kern w:val="0"/>
    </w:rPr>
  </w:style>
  <w:style w:type="paragraph" w:customStyle="1" w:styleId="98">
    <w:name w:val="段"/>
    <w:qFormat/>
    <w:uiPriority w:val="0"/>
    <w:pPr>
      <w:autoSpaceDE w:val="0"/>
      <w:autoSpaceDN w:val="0"/>
      <w:ind w:firstLine="200" w:firstLineChars="200"/>
      <w:jc w:val="both"/>
    </w:pPr>
    <w:rPr>
      <w:rFonts w:ascii="宋体" w:hAnsiTheme="minorHAnsi" w:eastAsiaTheme="minorEastAsia" w:cstheme="minorBidi"/>
      <w:kern w:val="2"/>
      <w:sz w:val="21"/>
      <w:szCs w:val="22"/>
      <w:lang w:val="en-US" w:eastAsia="zh-CN" w:bidi="ar-SA"/>
    </w:rPr>
  </w:style>
  <w:style w:type="paragraph" w:customStyle="1" w:styleId="99">
    <w:name w:val="正文文本 (2)1"/>
    <w:basedOn w:val="1"/>
    <w:qFormat/>
    <w:uiPriority w:val="99"/>
    <w:pPr>
      <w:shd w:val="clear" w:color="auto" w:fill="FFFFFF"/>
      <w:spacing w:before="300" w:line="310" w:lineRule="exact"/>
      <w:ind w:hanging="2140"/>
      <w:jc w:val="left"/>
    </w:pPr>
    <w:rPr>
      <w:rFonts w:ascii="MingLiU" w:eastAsia="MingLiU" w:cs="MingLiU" w:hAnsiTheme="minorHAnsi"/>
      <w:szCs w:val="21"/>
      <w:shd w:val="clear" w:color="auto" w:fill="FFFFFF"/>
    </w:rPr>
  </w:style>
  <w:style w:type="character" w:customStyle="1" w:styleId="100">
    <w:name w:val="正文文本 (2) + 7.5 pt6"/>
    <w:qFormat/>
    <w:uiPriority w:val="0"/>
    <w:rPr>
      <w:rFonts w:hint="eastAsia" w:ascii="MingLiU" w:eastAsia="MingLiU"/>
      <w:sz w:val="15"/>
      <w:shd w:val="clear" w:color="auto" w:fill="FFFFFF"/>
    </w:rPr>
  </w:style>
  <w:style w:type="paragraph" w:customStyle="1" w:styleId="101">
    <w:name w:val="纯文本1"/>
    <w:basedOn w:val="1"/>
    <w:qFormat/>
    <w:uiPriority w:val="0"/>
    <w:rPr>
      <w:rFonts w:ascii="宋体" w:hAnsi="Courier New" w:eastAsia="仿宋_GB2312"/>
      <w:sz w:val="1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70.png"/><Relationship Id="rId98" Type="http://schemas.openxmlformats.org/officeDocument/2006/relationships/image" Target="media/image69.png"/><Relationship Id="rId97" Type="http://schemas.openxmlformats.org/officeDocument/2006/relationships/image" Target="media/image68.png"/><Relationship Id="rId96" Type="http://schemas.openxmlformats.org/officeDocument/2006/relationships/image" Target="media/image67.wmf"/><Relationship Id="rId95" Type="http://schemas.openxmlformats.org/officeDocument/2006/relationships/image" Target="media/image66.png"/><Relationship Id="rId94" Type="http://schemas.openxmlformats.org/officeDocument/2006/relationships/image" Target="media/image65.wmf"/><Relationship Id="rId93" Type="http://schemas.openxmlformats.org/officeDocument/2006/relationships/image" Target="media/image64.png"/><Relationship Id="rId92" Type="http://schemas.openxmlformats.org/officeDocument/2006/relationships/image" Target="media/image63.png"/><Relationship Id="rId91" Type="http://schemas.openxmlformats.org/officeDocument/2006/relationships/image" Target="media/image62.png"/><Relationship Id="rId90" Type="http://schemas.openxmlformats.org/officeDocument/2006/relationships/image" Target="media/image61.png"/><Relationship Id="rId9" Type="http://schemas.openxmlformats.org/officeDocument/2006/relationships/footer" Target="footer2.xml"/><Relationship Id="rId89" Type="http://schemas.openxmlformats.org/officeDocument/2006/relationships/image" Target="media/image60.png"/><Relationship Id="rId88" Type="http://schemas.openxmlformats.org/officeDocument/2006/relationships/image" Target="media/image59.png"/><Relationship Id="rId87" Type="http://schemas.openxmlformats.org/officeDocument/2006/relationships/image" Target="media/image58.png"/><Relationship Id="rId86" Type="http://schemas.openxmlformats.org/officeDocument/2006/relationships/image" Target="media/image57.png"/><Relationship Id="rId85" Type="http://schemas.openxmlformats.org/officeDocument/2006/relationships/image" Target="media/image56.png"/><Relationship Id="rId84" Type="http://schemas.openxmlformats.org/officeDocument/2006/relationships/image" Target="media/image55.wmf"/><Relationship Id="rId83" Type="http://schemas.openxmlformats.org/officeDocument/2006/relationships/image" Target="media/image54.png"/><Relationship Id="rId82" Type="http://schemas.openxmlformats.org/officeDocument/2006/relationships/image" Target="media/image53.emf"/><Relationship Id="rId81" Type="http://schemas.openxmlformats.org/officeDocument/2006/relationships/image" Target="media/image52.emf"/><Relationship Id="rId80" Type="http://schemas.openxmlformats.org/officeDocument/2006/relationships/image" Target="media/image51.wmf"/><Relationship Id="rId8" Type="http://schemas.openxmlformats.org/officeDocument/2006/relationships/footer" Target="footer1.xml"/><Relationship Id="rId79" Type="http://schemas.openxmlformats.org/officeDocument/2006/relationships/image" Target="media/image50.emf"/><Relationship Id="rId78" Type="http://schemas.openxmlformats.org/officeDocument/2006/relationships/image" Target="media/image49.wmf"/><Relationship Id="rId77" Type="http://schemas.openxmlformats.org/officeDocument/2006/relationships/image" Target="media/image48.emf"/><Relationship Id="rId76" Type="http://schemas.openxmlformats.org/officeDocument/2006/relationships/image" Target="media/image47.emf"/><Relationship Id="rId75" Type="http://schemas.openxmlformats.org/officeDocument/2006/relationships/image" Target="media/image46.emf"/><Relationship Id="rId74" Type="http://schemas.openxmlformats.org/officeDocument/2006/relationships/image" Target="media/image45.png"/><Relationship Id="rId73" Type="http://schemas.openxmlformats.org/officeDocument/2006/relationships/image" Target="media/image44.png"/><Relationship Id="rId72" Type="http://schemas.openxmlformats.org/officeDocument/2006/relationships/image" Target="media/image43.png"/><Relationship Id="rId71" Type="http://schemas.openxmlformats.org/officeDocument/2006/relationships/image" Target="media/image42.png"/><Relationship Id="rId70" Type="http://schemas.openxmlformats.org/officeDocument/2006/relationships/image" Target="media/image41.wmf"/><Relationship Id="rId7" Type="http://schemas.openxmlformats.org/officeDocument/2006/relationships/header" Target="header3.xml"/><Relationship Id="rId69" Type="http://schemas.openxmlformats.org/officeDocument/2006/relationships/oleObject" Target="embeddings/oleObject12.bin"/><Relationship Id="rId68" Type="http://schemas.openxmlformats.org/officeDocument/2006/relationships/image" Target="media/image40.jpeg"/><Relationship Id="rId67" Type="http://schemas.openxmlformats.org/officeDocument/2006/relationships/image" Target="media/image39.emf"/><Relationship Id="rId66" Type="http://schemas.openxmlformats.org/officeDocument/2006/relationships/image" Target="media/image38.png"/><Relationship Id="rId65" Type="http://schemas.openxmlformats.org/officeDocument/2006/relationships/image" Target="media/image37.png"/><Relationship Id="rId64" Type="http://schemas.openxmlformats.org/officeDocument/2006/relationships/image" Target="media/image36.emf"/><Relationship Id="rId63" Type="http://schemas.openxmlformats.org/officeDocument/2006/relationships/image" Target="media/image35.emf"/><Relationship Id="rId62" Type="http://schemas.openxmlformats.org/officeDocument/2006/relationships/image" Target="media/image34.png"/><Relationship Id="rId61" Type="http://schemas.openxmlformats.org/officeDocument/2006/relationships/image" Target="media/image33.jpeg"/><Relationship Id="rId60" Type="http://schemas.openxmlformats.org/officeDocument/2006/relationships/image" Target="media/image32.png"/><Relationship Id="rId6" Type="http://schemas.openxmlformats.org/officeDocument/2006/relationships/header" Target="header2.xml"/><Relationship Id="rId59" Type="http://schemas.openxmlformats.org/officeDocument/2006/relationships/image" Target="media/image31.jpeg"/><Relationship Id="rId58" Type="http://schemas.openxmlformats.org/officeDocument/2006/relationships/image" Target="media/image30.png"/><Relationship Id="rId57" Type="http://schemas.openxmlformats.org/officeDocument/2006/relationships/image" Target="media/image29.emf"/><Relationship Id="rId56" Type="http://schemas.openxmlformats.org/officeDocument/2006/relationships/image" Target="media/image28.emf"/><Relationship Id="rId55" Type="http://schemas.openxmlformats.org/officeDocument/2006/relationships/image" Target="media/image27.png"/><Relationship Id="rId54" Type="http://schemas.openxmlformats.org/officeDocument/2006/relationships/image" Target="media/image26.png"/><Relationship Id="rId53" Type="http://schemas.openxmlformats.org/officeDocument/2006/relationships/image" Target="media/image25.emf"/><Relationship Id="rId52" Type="http://schemas.openxmlformats.org/officeDocument/2006/relationships/image" Target="media/image24.emf"/><Relationship Id="rId51" Type="http://schemas.openxmlformats.org/officeDocument/2006/relationships/image" Target="media/image23.png"/><Relationship Id="rId50" Type="http://schemas.openxmlformats.org/officeDocument/2006/relationships/image" Target="media/image22.png"/><Relationship Id="rId5" Type="http://schemas.openxmlformats.org/officeDocument/2006/relationships/header" Target="header1.xml"/><Relationship Id="rId49" Type="http://schemas.openxmlformats.org/officeDocument/2006/relationships/image" Target="media/image21.png"/><Relationship Id="rId48" Type="http://schemas.openxmlformats.org/officeDocument/2006/relationships/image" Target="media/image20.png"/><Relationship Id="rId47" Type="http://schemas.openxmlformats.org/officeDocument/2006/relationships/image" Target="media/image19.png"/><Relationship Id="rId46" Type="http://schemas.openxmlformats.org/officeDocument/2006/relationships/image" Target="media/image18.png"/><Relationship Id="rId45" Type="http://schemas.openxmlformats.org/officeDocument/2006/relationships/image" Target="media/image17.png"/><Relationship Id="rId44" Type="http://schemas.openxmlformats.org/officeDocument/2006/relationships/image" Target="media/image16.jpeg"/><Relationship Id="rId43" Type="http://schemas.openxmlformats.org/officeDocument/2006/relationships/image" Target="media/image15.jpeg"/><Relationship Id="rId42" Type="http://schemas.openxmlformats.org/officeDocument/2006/relationships/image" Target="media/image14.GIF"/><Relationship Id="rId41" Type="http://schemas.openxmlformats.org/officeDocument/2006/relationships/image" Target="media/image13.GIF"/><Relationship Id="rId40" Type="http://schemas.openxmlformats.org/officeDocument/2006/relationships/image" Target="media/image12.wmf"/><Relationship Id="rId4" Type="http://schemas.openxmlformats.org/officeDocument/2006/relationships/endnotes" Target="endnotes.xml"/><Relationship Id="rId39" Type="http://schemas.openxmlformats.org/officeDocument/2006/relationships/oleObject" Target="embeddings/oleObject11.bin"/><Relationship Id="rId38" Type="http://schemas.openxmlformats.org/officeDocument/2006/relationships/image" Target="media/image11.wmf"/><Relationship Id="rId37" Type="http://schemas.openxmlformats.org/officeDocument/2006/relationships/oleObject" Target="embeddings/oleObject10.bin"/><Relationship Id="rId36" Type="http://schemas.openxmlformats.org/officeDocument/2006/relationships/image" Target="media/image10.wmf"/><Relationship Id="rId35" Type="http://schemas.openxmlformats.org/officeDocument/2006/relationships/oleObject" Target="embeddings/oleObject9.bin"/><Relationship Id="rId34" Type="http://schemas.openxmlformats.org/officeDocument/2006/relationships/image" Target="media/image9.wmf"/><Relationship Id="rId33" Type="http://schemas.openxmlformats.org/officeDocument/2006/relationships/oleObject" Target="embeddings/oleObject8.bin"/><Relationship Id="rId32" Type="http://schemas.openxmlformats.org/officeDocument/2006/relationships/image" Target="media/image8.wmf"/><Relationship Id="rId31" Type="http://schemas.openxmlformats.org/officeDocument/2006/relationships/oleObject" Target="embeddings/oleObject7.bin"/><Relationship Id="rId30" Type="http://schemas.openxmlformats.org/officeDocument/2006/relationships/image" Target="media/image7.wmf"/><Relationship Id="rId3" Type="http://schemas.openxmlformats.org/officeDocument/2006/relationships/footnotes" Target="footnotes.xml"/><Relationship Id="rId29" Type="http://schemas.openxmlformats.org/officeDocument/2006/relationships/oleObject" Target="embeddings/oleObject6.bin"/><Relationship Id="rId28" Type="http://schemas.openxmlformats.org/officeDocument/2006/relationships/image" Target="media/image6.wmf"/><Relationship Id="rId27" Type="http://schemas.openxmlformats.org/officeDocument/2006/relationships/oleObject" Target="embeddings/oleObject5.bin"/><Relationship Id="rId26" Type="http://schemas.openxmlformats.org/officeDocument/2006/relationships/image" Target="media/image5.wmf"/><Relationship Id="rId25" Type="http://schemas.openxmlformats.org/officeDocument/2006/relationships/oleObject" Target="embeddings/oleObject4.bin"/><Relationship Id="rId24" Type="http://schemas.openxmlformats.org/officeDocument/2006/relationships/image" Target="media/image4.wmf"/><Relationship Id="rId23" Type="http://schemas.openxmlformats.org/officeDocument/2006/relationships/oleObject" Target="embeddings/oleObject3.bin"/><Relationship Id="rId22" Type="http://schemas.openxmlformats.org/officeDocument/2006/relationships/image" Target="media/image3.wmf"/><Relationship Id="rId21" Type="http://schemas.openxmlformats.org/officeDocument/2006/relationships/oleObject" Target="embeddings/oleObject2.bin"/><Relationship Id="rId20" Type="http://schemas.openxmlformats.org/officeDocument/2006/relationships/image" Target="media/image2.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footer" Target="footer6.xml"/><Relationship Id="rId146" Type="http://schemas.openxmlformats.org/officeDocument/2006/relationships/fontTable" Target="fontTable.xml"/><Relationship Id="rId145" Type="http://schemas.openxmlformats.org/officeDocument/2006/relationships/customXml" Target="../customXml/item2.xml"/><Relationship Id="rId144" Type="http://schemas.openxmlformats.org/officeDocument/2006/relationships/numbering" Target="numbering.xml"/><Relationship Id="rId143" Type="http://schemas.openxmlformats.org/officeDocument/2006/relationships/customXml" Target="../customXml/item1.xml"/><Relationship Id="rId142" Type="http://schemas.openxmlformats.org/officeDocument/2006/relationships/image" Target="media/image113.jpeg"/><Relationship Id="rId141" Type="http://schemas.openxmlformats.org/officeDocument/2006/relationships/image" Target="media/image112.jpeg"/><Relationship Id="rId140" Type="http://schemas.openxmlformats.org/officeDocument/2006/relationships/image" Target="media/image111.jpeg"/><Relationship Id="rId14" Type="http://schemas.openxmlformats.org/officeDocument/2006/relationships/footer" Target="footer5.xml"/><Relationship Id="rId139" Type="http://schemas.openxmlformats.org/officeDocument/2006/relationships/image" Target="media/image110.png"/><Relationship Id="rId138" Type="http://schemas.openxmlformats.org/officeDocument/2006/relationships/image" Target="media/image109.png"/><Relationship Id="rId137" Type="http://schemas.openxmlformats.org/officeDocument/2006/relationships/image" Target="media/image108.png"/><Relationship Id="rId136" Type="http://schemas.openxmlformats.org/officeDocument/2006/relationships/image" Target="media/image107.png"/><Relationship Id="rId135" Type="http://schemas.openxmlformats.org/officeDocument/2006/relationships/image" Target="media/image106.png"/><Relationship Id="rId134" Type="http://schemas.openxmlformats.org/officeDocument/2006/relationships/image" Target="media/image105.png"/><Relationship Id="rId133" Type="http://schemas.openxmlformats.org/officeDocument/2006/relationships/image" Target="media/image104.png"/><Relationship Id="rId132" Type="http://schemas.openxmlformats.org/officeDocument/2006/relationships/image" Target="media/image103.png"/><Relationship Id="rId131" Type="http://schemas.openxmlformats.org/officeDocument/2006/relationships/image" Target="media/image102.png"/><Relationship Id="rId130" Type="http://schemas.openxmlformats.org/officeDocument/2006/relationships/image" Target="media/image101.png"/><Relationship Id="rId13" Type="http://schemas.openxmlformats.org/officeDocument/2006/relationships/footer" Target="footer4.xml"/><Relationship Id="rId129" Type="http://schemas.openxmlformats.org/officeDocument/2006/relationships/image" Target="media/image100.png"/><Relationship Id="rId128" Type="http://schemas.openxmlformats.org/officeDocument/2006/relationships/image" Target="media/image99.png"/><Relationship Id="rId127" Type="http://schemas.openxmlformats.org/officeDocument/2006/relationships/image" Target="media/image98.jpeg"/><Relationship Id="rId126" Type="http://schemas.openxmlformats.org/officeDocument/2006/relationships/image" Target="media/image97.png"/><Relationship Id="rId125" Type="http://schemas.openxmlformats.org/officeDocument/2006/relationships/image" Target="media/image96.png"/><Relationship Id="rId124" Type="http://schemas.openxmlformats.org/officeDocument/2006/relationships/image" Target="media/image95.emf"/><Relationship Id="rId123" Type="http://schemas.openxmlformats.org/officeDocument/2006/relationships/image" Target="media/image94.emf"/><Relationship Id="rId122" Type="http://schemas.openxmlformats.org/officeDocument/2006/relationships/image" Target="media/image93.png"/><Relationship Id="rId121" Type="http://schemas.openxmlformats.org/officeDocument/2006/relationships/image" Target="media/image92.png"/><Relationship Id="rId120" Type="http://schemas.openxmlformats.org/officeDocument/2006/relationships/image" Target="media/image91.png"/><Relationship Id="rId12" Type="http://schemas.openxmlformats.org/officeDocument/2006/relationships/footer" Target="footer3.xml"/><Relationship Id="rId119" Type="http://schemas.openxmlformats.org/officeDocument/2006/relationships/image" Target="media/image90.png"/><Relationship Id="rId118" Type="http://schemas.openxmlformats.org/officeDocument/2006/relationships/image" Target="media/image89.png"/><Relationship Id="rId117" Type="http://schemas.openxmlformats.org/officeDocument/2006/relationships/image" Target="media/image88.png"/><Relationship Id="rId116" Type="http://schemas.openxmlformats.org/officeDocument/2006/relationships/image" Target="media/image87.emf"/><Relationship Id="rId115" Type="http://schemas.openxmlformats.org/officeDocument/2006/relationships/image" Target="media/image86.png"/><Relationship Id="rId114" Type="http://schemas.openxmlformats.org/officeDocument/2006/relationships/image" Target="media/image85.png"/><Relationship Id="rId113" Type="http://schemas.openxmlformats.org/officeDocument/2006/relationships/image" Target="media/image84.png"/><Relationship Id="rId112" Type="http://schemas.openxmlformats.org/officeDocument/2006/relationships/image" Target="media/image83.png"/><Relationship Id="rId111" Type="http://schemas.openxmlformats.org/officeDocument/2006/relationships/image" Target="media/image82.png"/><Relationship Id="rId110" Type="http://schemas.openxmlformats.org/officeDocument/2006/relationships/image" Target="media/image81.png"/><Relationship Id="rId11" Type="http://schemas.openxmlformats.org/officeDocument/2006/relationships/header" Target="header5.xml"/><Relationship Id="rId109" Type="http://schemas.openxmlformats.org/officeDocument/2006/relationships/image" Target="media/image80.png"/><Relationship Id="rId108" Type="http://schemas.openxmlformats.org/officeDocument/2006/relationships/image" Target="media/image79.emf"/><Relationship Id="rId107" Type="http://schemas.openxmlformats.org/officeDocument/2006/relationships/image" Target="media/image78.emf"/><Relationship Id="rId106" Type="http://schemas.openxmlformats.org/officeDocument/2006/relationships/image" Target="media/image77.emf"/><Relationship Id="rId105" Type="http://schemas.openxmlformats.org/officeDocument/2006/relationships/image" Target="media/image76.png"/><Relationship Id="rId104" Type="http://schemas.openxmlformats.org/officeDocument/2006/relationships/image" Target="media/image75.wmf"/><Relationship Id="rId103" Type="http://schemas.openxmlformats.org/officeDocument/2006/relationships/image" Target="media/image74.png"/><Relationship Id="rId102" Type="http://schemas.openxmlformats.org/officeDocument/2006/relationships/image" Target="media/image73.png"/><Relationship Id="rId101" Type="http://schemas.openxmlformats.org/officeDocument/2006/relationships/image" Target="media/image72.png"/><Relationship Id="rId100" Type="http://schemas.openxmlformats.org/officeDocument/2006/relationships/image" Target="media/image71.png"/><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AD95DA-899A-45CC-BEE4-E5990CF333C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124</Pages>
  <Words>13875</Words>
  <Characters>79088</Characters>
  <Lines>659</Lines>
  <Paragraphs>185</Paragraphs>
  <TotalTime>21</TotalTime>
  <ScaleCrop>false</ScaleCrop>
  <LinksUpToDate>false</LinksUpToDate>
  <CharactersWithSpaces>92778</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2018-12-21T06:31:00Z</dcterms:created>
  <dc:creator>qxzb</dc:creator>
  <cp:lastModifiedBy>.</cp:lastModifiedBy>
  <cp:lastPrinted>2018-12-21T06:52:00Z</cp:lastPrinted>
  <dcterms:modified xsi:type="dcterms:W3CDTF">2021-04-26T10:10:54Z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32B3ED5FE4FE44D68B506F3F1BE17BB1</vt:lpwstr>
  </property>
</Properties>
</file>