
<file path=[Content_Types].xml><?xml version="1.0" encoding="utf-8"?>
<Types xmlns="http://schemas.openxmlformats.org/package/2006/content-types">
  <Default Extension="xml" ContentType="application/xml"/>
  <Default Extension="emf" ContentType="image/x-e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宋体" w:hAnsi="宋体" w:cs="宋体"/>
          <w:b/>
          <w:color w:val="auto"/>
          <w:sz w:val="36"/>
          <w:szCs w:val="36"/>
          <w:highlight w:val="none"/>
        </w:rPr>
      </w:pPr>
      <w:r>
        <w:rPr>
          <w:rFonts w:hint="eastAsia" w:ascii="宋体" w:hAnsi="宋体" w:cs="宋体"/>
          <w:color w:val="auto"/>
          <w:sz w:val="36"/>
          <w:szCs w:val="36"/>
          <w:highlight w:val="none"/>
        </w:rPr>
        <w:drawing>
          <wp:anchor distT="0" distB="0" distL="114300" distR="114300" simplePos="0" relativeHeight="251659264" behindDoc="0" locked="0" layoutInCell="1" allowOverlap="1">
            <wp:simplePos x="0" y="0"/>
            <wp:positionH relativeFrom="column">
              <wp:posOffset>2345055</wp:posOffset>
            </wp:positionH>
            <wp:positionV relativeFrom="paragraph">
              <wp:posOffset>525780</wp:posOffset>
            </wp:positionV>
            <wp:extent cx="862330" cy="1228725"/>
            <wp:effectExtent l="19050" t="0" r="0" b="0"/>
            <wp:wrapNone/>
            <wp:docPr id="3" name="图片 1" descr="未命名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未命名 -2"/>
                    <pic:cNvPicPr>
                      <a:picLocks noChangeAspect="1" noChangeArrowheads="1"/>
                    </pic:cNvPicPr>
                  </pic:nvPicPr>
                  <pic:blipFill>
                    <a:blip r:embed="rId15" cstate="print"/>
                    <a:srcRect/>
                    <a:stretch>
                      <a:fillRect/>
                    </a:stretch>
                  </pic:blipFill>
                  <pic:spPr>
                    <a:xfrm>
                      <a:off x="0" y="0"/>
                      <a:ext cx="862330" cy="1228725"/>
                    </a:xfrm>
                    <a:prstGeom prst="rect">
                      <a:avLst/>
                    </a:prstGeom>
                    <a:noFill/>
                    <a:ln w="9525">
                      <a:noFill/>
                      <a:miter lim="800000"/>
                      <a:headEnd/>
                      <a:tailEnd/>
                    </a:ln>
                  </pic:spPr>
                </pic:pic>
              </a:graphicData>
            </a:graphic>
          </wp:anchor>
        </w:drawing>
      </w:r>
    </w:p>
    <w:p>
      <w:pPr>
        <w:spacing w:line="360" w:lineRule="auto"/>
        <w:jc w:val="center"/>
        <w:rPr>
          <w:rFonts w:ascii="宋体" w:hAnsi="宋体" w:cs="宋体"/>
          <w:b/>
          <w:color w:val="auto"/>
          <w:sz w:val="30"/>
          <w:szCs w:val="30"/>
          <w:highlight w:val="none"/>
        </w:rPr>
      </w:pPr>
    </w:p>
    <w:p>
      <w:pPr>
        <w:spacing w:line="360" w:lineRule="auto"/>
        <w:jc w:val="center"/>
        <w:rPr>
          <w:rFonts w:ascii="宋体" w:hAnsi="宋体" w:cs="宋体"/>
          <w:b/>
          <w:color w:val="auto"/>
          <w:sz w:val="30"/>
          <w:szCs w:val="30"/>
          <w:highlight w:val="none"/>
        </w:rPr>
      </w:pPr>
    </w:p>
    <w:p>
      <w:pPr>
        <w:spacing w:line="360" w:lineRule="auto"/>
        <w:jc w:val="center"/>
        <w:rPr>
          <w:rFonts w:ascii="宋体" w:hAnsi="宋体" w:cs="宋体"/>
          <w:b/>
          <w:color w:val="auto"/>
          <w:sz w:val="30"/>
          <w:szCs w:val="30"/>
          <w:highlight w:val="none"/>
        </w:rPr>
      </w:pPr>
    </w:p>
    <w:p>
      <w:pPr>
        <w:spacing w:line="360" w:lineRule="auto"/>
        <w:jc w:val="center"/>
        <w:rPr>
          <w:rFonts w:ascii="宋体" w:hAnsi="宋体" w:cs="宋体"/>
          <w:b/>
          <w:color w:val="auto"/>
          <w:sz w:val="30"/>
          <w:szCs w:val="30"/>
          <w:highlight w:val="none"/>
        </w:rPr>
      </w:pPr>
    </w:p>
    <w:p>
      <w:pPr>
        <w:spacing w:line="360" w:lineRule="auto"/>
        <w:jc w:val="center"/>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rPr>
        <w:t>采购项目编号：</w:t>
      </w:r>
      <w:r>
        <w:rPr>
          <w:rFonts w:hint="eastAsia" w:ascii="宋体" w:hAnsi="宋体" w:cs="宋体"/>
          <w:b/>
          <w:color w:val="auto"/>
          <w:sz w:val="30"/>
          <w:szCs w:val="30"/>
          <w:highlight w:val="none"/>
          <w:lang w:eastAsia="zh-CN"/>
        </w:rPr>
        <w:t>510122202100616</w:t>
      </w:r>
    </w:p>
    <w:p>
      <w:pPr>
        <w:tabs>
          <w:tab w:val="left" w:pos="2505"/>
          <w:tab w:val="center" w:pos="4204"/>
        </w:tabs>
        <w:spacing w:line="360" w:lineRule="auto"/>
        <w:jc w:val="center"/>
        <w:rPr>
          <w:rFonts w:ascii="宋体" w:hAnsi="宋体" w:cs="宋体"/>
          <w:b/>
          <w:color w:val="auto"/>
          <w:sz w:val="44"/>
          <w:szCs w:val="36"/>
          <w:highlight w:val="none"/>
        </w:rPr>
      </w:pPr>
      <w:r>
        <w:rPr>
          <w:rFonts w:hint="eastAsia" w:ascii="宋体" w:hAnsi="宋体" w:cs="宋体"/>
          <w:b/>
          <w:color w:val="auto"/>
          <w:sz w:val="44"/>
          <w:szCs w:val="36"/>
          <w:highlight w:val="none"/>
        </w:rPr>
        <w:t>成都市双流区妇幼保健院2021年医疗设备第四批采购项目</w:t>
      </w:r>
    </w:p>
    <w:p>
      <w:pPr>
        <w:tabs>
          <w:tab w:val="left" w:pos="2505"/>
          <w:tab w:val="center" w:pos="4204"/>
        </w:tabs>
        <w:spacing w:line="360" w:lineRule="auto"/>
        <w:jc w:val="center"/>
        <w:rPr>
          <w:rFonts w:ascii="宋体" w:hAnsi="宋体" w:cs="宋体"/>
          <w:b/>
          <w:color w:val="auto"/>
          <w:sz w:val="52"/>
          <w:szCs w:val="84"/>
          <w:highlight w:val="none"/>
        </w:rPr>
      </w:pPr>
    </w:p>
    <w:p>
      <w:pPr>
        <w:pStyle w:val="2"/>
        <w:rPr>
          <w:color w:val="auto"/>
          <w:highlight w:val="none"/>
        </w:rPr>
      </w:pPr>
    </w:p>
    <w:p>
      <w:pPr>
        <w:tabs>
          <w:tab w:val="left" w:pos="2505"/>
          <w:tab w:val="center" w:pos="4204"/>
        </w:tabs>
        <w:spacing w:line="360" w:lineRule="auto"/>
        <w:jc w:val="center"/>
        <w:rPr>
          <w:rFonts w:ascii="宋体" w:hAnsi="宋体" w:cs="宋体"/>
          <w:b/>
          <w:color w:val="auto"/>
          <w:sz w:val="84"/>
          <w:szCs w:val="84"/>
          <w:highlight w:val="none"/>
        </w:rPr>
      </w:pPr>
      <w:r>
        <w:rPr>
          <w:rFonts w:hint="eastAsia" w:ascii="宋体" w:hAnsi="宋体" w:cs="宋体"/>
          <w:b/>
          <w:color w:val="auto"/>
          <w:sz w:val="84"/>
          <w:szCs w:val="84"/>
          <w:highlight w:val="none"/>
        </w:rPr>
        <w:t>招标文件</w:t>
      </w: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中国·四川</w:t>
      </w: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成都市双流区妇幼保健院</w:t>
      </w: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四川轩辕招标代理有限公司</w:t>
      </w: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共同编制</w:t>
      </w:r>
    </w:p>
    <w:p>
      <w:pPr>
        <w:spacing w:line="360" w:lineRule="auto"/>
        <w:jc w:val="center"/>
        <w:rPr>
          <w:rFonts w:ascii="宋体" w:hAnsi="宋体" w:cs="宋体"/>
          <w:b/>
          <w:bCs/>
          <w:color w:val="auto"/>
          <w:sz w:val="32"/>
          <w:szCs w:val="32"/>
          <w:highlight w:val="none"/>
        </w:rPr>
        <w:sectPr>
          <w:headerReference r:id="rId3" w:type="first"/>
          <w:pgSz w:w="11907" w:h="16840"/>
          <w:pgMar w:top="1440" w:right="1474" w:bottom="1440" w:left="1474" w:header="851" w:footer="992" w:gutter="0"/>
          <w:pgNumType w:start="1"/>
          <w:cols w:space="720" w:num="1"/>
          <w:titlePg/>
          <w:docGrid w:linePitch="286" w:charSpace="0"/>
        </w:sectPr>
      </w:pPr>
      <w:r>
        <w:rPr>
          <w:rFonts w:hint="eastAsia" w:ascii="宋体" w:hAnsi="宋体" w:cs="宋体"/>
          <w:b/>
          <w:bCs/>
          <w:color w:val="auto"/>
          <w:sz w:val="32"/>
          <w:szCs w:val="32"/>
          <w:highlight w:val="none"/>
        </w:rPr>
        <w:t>2021年12月</w:t>
      </w:r>
    </w:p>
    <w:sdt>
      <w:sdtPr>
        <w:rPr>
          <w:rFonts w:ascii="宋体" w:hAnsi="宋体" w:eastAsia="等线"/>
          <w:color w:val="auto"/>
          <w:kern w:val="0"/>
          <w:sz w:val="22"/>
          <w:szCs w:val="22"/>
          <w:highlight w:val="none"/>
        </w:rPr>
        <w:id w:val="147466953"/>
        <w:docPartObj>
          <w:docPartGallery w:val="Table of Contents"/>
          <w:docPartUnique/>
        </w:docPartObj>
      </w:sdtPr>
      <w:sdtEndPr>
        <w:rPr>
          <w:rFonts w:ascii="宋体" w:hAnsi="宋体" w:eastAsia="等线" w:cs="宋体"/>
          <w:bCs/>
          <w:color w:val="auto"/>
          <w:kern w:val="0"/>
          <w:sz w:val="22"/>
          <w:szCs w:val="22"/>
          <w:highlight w:val="none"/>
        </w:rPr>
      </w:sdtEndPr>
      <w:sdtContent>
        <w:p>
          <w:pPr>
            <w:jc w:val="center"/>
            <w:rPr>
              <w:b/>
              <w:bCs/>
              <w:color w:val="auto"/>
              <w:sz w:val="44"/>
              <w:szCs w:val="44"/>
              <w:highlight w:val="none"/>
            </w:rPr>
          </w:pPr>
          <w:bookmarkStart w:id="0" w:name="_Toc490290178"/>
          <w:r>
            <w:rPr>
              <w:rFonts w:ascii="宋体" w:hAnsi="宋体"/>
              <w:b/>
              <w:bCs/>
              <w:color w:val="auto"/>
              <w:sz w:val="44"/>
              <w:szCs w:val="44"/>
              <w:highlight w:val="none"/>
            </w:rPr>
            <w:t>目录</w:t>
          </w:r>
        </w:p>
        <w:p>
          <w:pPr>
            <w:pStyle w:val="24"/>
            <w:tabs>
              <w:tab w:val="right" w:leader="dot" w:pos="8959"/>
            </w:tabs>
            <w:rPr>
              <w:color w:val="auto"/>
              <w:highlight w:val="none"/>
            </w:rPr>
          </w:pPr>
          <w:r>
            <w:rPr>
              <w:rFonts w:ascii="宋体" w:hAnsi="宋体" w:eastAsia="宋体" w:cs="宋体"/>
              <w:bCs/>
              <w:color w:val="auto"/>
              <w:highlight w:val="none"/>
            </w:rPr>
            <w:fldChar w:fldCharType="begin"/>
          </w:r>
          <w:r>
            <w:rPr>
              <w:rFonts w:ascii="宋体" w:hAnsi="宋体" w:eastAsia="宋体" w:cs="宋体"/>
              <w:bCs/>
              <w:color w:val="auto"/>
              <w:highlight w:val="none"/>
            </w:rPr>
            <w:instrText xml:space="preserve">TOC \o "1-1" \h \u </w:instrText>
          </w:r>
          <w:r>
            <w:rPr>
              <w:rFonts w:ascii="宋体" w:hAnsi="宋体" w:eastAsia="宋体" w:cs="宋体"/>
              <w:bCs/>
              <w:color w:val="auto"/>
              <w:highlight w:val="none"/>
            </w:rPr>
            <w:fldChar w:fldCharType="separate"/>
          </w:r>
          <w:r>
            <w:rPr>
              <w:color w:val="auto"/>
              <w:highlight w:val="none"/>
            </w:rPr>
            <w:fldChar w:fldCharType="begin"/>
          </w:r>
          <w:r>
            <w:rPr>
              <w:color w:val="auto"/>
              <w:highlight w:val="none"/>
            </w:rPr>
            <w:instrText xml:space="preserve"> HYPERLINK \l "_Toc20522" </w:instrText>
          </w:r>
          <w:r>
            <w:rPr>
              <w:color w:val="auto"/>
              <w:highlight w:val="none"/>
            </w:rPr>
            <w:fldChar w:fldCharType="separate"/>
          </w:r>
          <w:r>
            <w:rPr>
              <w:rFonts w:hint="eastAsia" w:ascii="宋体" w:hAnsi="宋体" w:cs="宋体"/>
              <w:color w:val="auto"/>
              <w:highlight w:val="none"/>
            </w:rPr>
            <w:t>第一章  投标邀请</w:t>
          </w:r>
          <w:r>
            <w:rPr>
              <w:color w:val="auto"/>
              <w:highlight w:val="none"/>
            </w:rPr>
            <w:tab/>
          </w:r>
          <w:r>
            <w:rPr>
              <w:color w:val="auto"/>
              <w:highlight w:val="none"/>
            </w:rPr>
            <w:fldChar w:fldCharType="begin"/>
          </w:r>
          <w:r>
            <w:rPr>
              <w:color w:val="auto"/>
              <w:highlight w:val="none"/>
            </w:rPr>
            <w:instrText xml:space="preserve"> PAGEREF _Toc20522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24"/>
            <w:tabs>
              <w:tab w:val="right" w:leader="dot" w:pos="8959"/>
            </w:tabs>
            <w:rPr>
              <w:color w:val="auto"/>
              <w:highlight w:val="none"/>
            </w:rPr>
          </w:pPr>
          <w:r>
            <w:rPr>
              <w:color w:val="auto"/>
              <w:highlight w:val="none"/>
            </w:rPr>
            <w:fldChar w:fldCharType="begin"/>
          </w:r>
          <w:r>
            <w:rPr>
              <w:color w:val="auto"/>
              <w:highlight w:val="none"/>
            </w:rPr>
            <w:instrText xml:space="preserve"> HYPERLINK \l "_Toc16547" </w:instrText>
          </w:r>
          <w:r>
            <w:rPr>
              <w:color w:val="auto"/>
              <w:highlight w:val="none"/>
            </w:rPr>
            <w:fldChar w:fldCharType="separate"/>
          </w:r>
          <w:r>
            <w:rPr>
              <w:rFonts w:hint="eastAsia" w:ascii="宋体" w:hAnsi="宋体" w:cs="宋体"/>
              <w:color w:val="auto"/>
              <w:highlight w:val="none"/>
            </w:rPr>
            <w:t>第二章  投标人须知</w:t>
          </w:r>
          <w:r>
            <w:rPr>
              <w:color w:val="auto"/>
              <w:highlight w:val="none"/>
            </w:rPr>
            <w:tab/>
          </w:r>
          <w:r>
            <w:rPr>
              <w:color w:val="auto"/>
              <w:highlight w:val="none"/>
            </w:rPr>
            <w:fldChar w:fldCharType="begin"/>
          </w:r>
          <w:r>
            <w:rPr>
              <w:color w:val="auto"/>
              <w:highlight w:val="none"/>
            </w:rPr>
            <w:instrText xml:space="preserve"> PAGEREF _Toc16547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24"/>
            <w:tabs>
              <w:tab w:val="right" w:leader="dot" w:pos="8959"/>
            </w:tabs>
            <w:rPr>
              <w:color w:val="auto"/>
              <w:highlight w:val="none"/>
            </w:rPr>
          </w:pPr>
          <w:r>
            <w:rPr>
              <w:color w:val="auto"/>
              <w:highlight w:val="none"/>
            </w:rPr>
            <w:fldChar w:fldCharType="begin"/>
          </w:r>
          <w:r>
            <w:rPr>
              <w:color w:val="auto"/>
              <w:highlight w:val="none"/>
            </w:rPr>
            <w:instrText xml:space="preserve"> HYPERLINK \l "_Toc30143" </w:instrText>
          </w:r>
          <w:r>
            <w:rPr>
              <w:color w:val="auto"/>
              <w:highlight w:val="none"/>
            </w:rPr>
            <w:fldChar w:fldCharType="separate"/>
          </w:r>
          <w:r>
            <w:rPr>
              <w:rFonts w:hint="eastAsia" w:ascii="宋体" w:hAnsi="宋体" w:cs="宋体"/>
              <w:color w:val="auto"/>
              <w:highlight w:val="none"/>
            </w:rPr>
            <w:t>一、投标人须知附表</w:t>
          </w:r>
          <w:r>
            <w:rPr>
              <w:color w:val="auto"/>
              <w:highlight w:val="none"/>
            </w:rPr>
            <w:tab/>
          </w:r>
          <w:r>
            <w:rPr>
              <w:color w:val="auto"/>
              <w:highlight w:val="none"/>
            </w:rPr>
            <w:fldChar w:fldCharType="begin"/>
          </w:r>
          <w:r>
            <w:rPr>
              <w:color w:val="auto"/>
              <w:highlight w:val="none"/>
            </w:rPr>
            <w:instrText xml:space="preserve"> PAGEREF _Toc30143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24"/>
            <w:tabs>
              <w:tab w:val="right" w:leader="dot" w:pos="8959"/>
            </w:tabs>
            <w:rPr>
              <w:color w:val="auto"/>
              <w:highlight w:val="none"/>
            </w:rPr>
          </w:pPr>
          <w:r>
            <w:rPr>
              <w:color w:val="auto"/>
              <w:highlight w:val="none"/>
            </w:rPr>
            <w:fldChar w:fldCharType="begin"/>
          </w:r>
          <w:r>
            <w:rPr>
              <w:color w:val="auto"/>
              <w:highlight w:val="none"/>
            </w:rPr>
            <w:instrText xml:space="preserve"> HYPERLINK \l "_Toc32001" </w:instrText>
          </w:r>
          <w:r>
            <w:rPr>
              <w:color w:val="auto"/>
              <w:highlight w:val="none"/>
            </w:rPr>
            <w:fldChar w:fldCharType="separate"/>
          </w:r>
          <w:r>
            <w:rPr>
              <w:rFonts w:hint="eastAsia" w:ascii="宋体" w:hAnsi="宋体" w:cs="宋体"/>
              <w:color w:val="auto"/>
              <w:highlight w:val="none"/>
            </w:rPr>
            <w:t>二、总  则</w:t>
          </w:r>
          <w:r>
            <w:rPr>
              <w:color w:val="auto"/>
              <w:highlight w:val="none"/>
            </w:rPr>
            <w:tab/>
          </w:r>
          <w:r>
            <w:rPr>
              <w:color w:val="auto"/>
              <w:highlight w:val="none"/>
            </w:rPr>
            <w:fldChar w:fldCharType="begin"/>
          </w:r>
          <w:r>
            <w:rPr>
              <w:color w:val="auto"/>
              <w:highlight w:val="none"/>
            </w:rPr>
            <w:instrText xml:space="preserve"> PAGEREF _Toc32001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24"/>
            <w:tabs>
              <w:tab w:val="right" w:leader="dot" w:pos="8959"/>
            </w:tabs>
            <w:rPr>
              <w:color w:val="auto"/>
              <w:highlight w:val="none"/>
            </w:rPr>
          </w:pPr>
          <w:r>
            <w:rPr>
              <w:color w:val="auto"/>
              <w:highlight w:val="none"/>
            </w:rPr>
            <w:fldChar w:fldCharType="begin"/>
          </w:r>
          <w:r>
            <w:rPr>
              <w:color w:val="auto"/>
              <w:highlight w:val="none"/>
            </w:rPr>
            <w:instrText xml:space="preserve"> HYPERLINK \l "_Toc1259" </w:instrText>
          </w:r>
          <w:r>
            <w:rPr>
              <w:color w:val="auto"/>
              <w:highlight w:val="none"/>
            </w:rPr>
            <w:fldChar w:fldCharType="separate"/>
          </w:r>
          <w:r>
            <w:rPr>
              <w:rFonts w:hint="eastAsia" w:ascii="宋体" w:hAnsi="宋体" w:cs="宋体"/>
              <w:color w:val="auto"/>
              <w:highlight w:val="none"/>
            </w:rPr>
            <w:t>三、招标文件</w:t>
          </w:r>
          <w:r>
            <w:rPr>
              <w:color w:val="auto"/>
              <w:highlight w:val="none"/>
            </w:rPr>
            <w:tab/>
          </w:r>
          <w:r>
            <w:rPr>
              <w:color w:val="auto"/>
              <w:highlight w:val="none"/>
            </w:rPr>
            <w:fldChar w:fldCharType="begin"/>
          </w:r>
          <w:r>
            <w:rPr>
              <w:color w:val="auto"/>
              <w:highlight w:val="none"/>
            </w:rPr>
            <w:instrText xml:space="preserve"> PAGEREF _Toc1259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24"/>
            <w:tabs>
              <w:tab w:val="right" w:leader="dot" w:pos="8959"/>
            </w:tabs>
            <w:rPr>
              <w:color w:val="auto"/>
              <w:highlight w:val="none"/>
            </w:rPr>
          </w:pPr>
          <w:r>
            <w:rPr>
              <w:color w:val="auto"/>
              <w:highlight w:val="none"/>
            </w:rPr>
            <w:fldChar w:fldCharType="begin"/>
          </w:r>
          <w:r>
            <w:rPr>
              <w:color w:val="auto"/>
              <w:highlight w:val="none"/>
            </w:rPr>
            <w:instrText xml:space="preserve"> HYPERLINK \l "_Toc8141" </w:instrText>
          </w:r>
          <w:r>
            <w:rPr>
              <w:color w:val="auto"/>
              <w:highlight w:val="none"/>
            </w:rPr>
            <w:fldChar w:fldCharType="separate"/>
          </w:r>
          <w:r>
            <w:rPr>
              <w:rFonts w:hint="eastAsia" w:ascii="宋体" w:hAnsi="宋体" w:cs="宋体"/>
              <w:color w:val="auto"/>
              <w:highlight w:val="none"/>
            </w:rPr>
            <w:t>四、投标文件</w:t>
          </w:r>
          <w:r>
            <w:rPr>
              <w:color w:val="auto"/>
              <w:highlight w:val="none"/>
            </w:rPr>
            <w:tab/>
          </w:r>
          <w:r>
            <w:rPr>
              <w:color w:val="auto"/>
              <w:highlight w:val="none"/>
            </w:rPr>
            <w:fldChar w:fldCharType="begin"/>
          </w:r>
          <w:r>
            <w:rPr>
              <w:color w:val="auto"/>
              <w:highlight w:val="none"/>
            </w:rPr>
            <w:instrText xml:space="preserve"> PAGEREF _Toc8141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24"/>
            <w:tabs>
              <w:tab w:val="right" w:leader="dot" w:pos="8959"/>
            </w:tabs>
            <w:rPr>
              <w:color w:val="auto"/>
              <w:highlight w:val="none"/>
            </w:rPr>
          </w:pPr>
          <w:r>
            <w:rPr>
              <w:color w:val="auto"/>
              <w:highlight w:val="none"/>
            </w:rPr>
            <w:fldChar w:fldCharType="begin"/>
          </w:r>
          <w:r>
            <w:rPr>
              <w:color w:val="auto"/>
              <w:highlight w:val="none"/>
            </w:rPr>
            <w:instrText xml:space="preserve"> HYPERLINK \l "_Toc21553" </w:instrText>
          </w:r>
          <w:r>
            <w:rPr>
              <w:color w:val="auto"/>
              <w:highlight w:val="none"/>
            </w:rPr>
            <w:fldChar w:fldCharType="separate"/>
          </w:r>
          <w:r>
            <w:rPr>
              <w:rFonts w:hint="eastAsia" w:ascii="宋体" w:hAnsi="宋体" w:cs="宋体"/>
              <w:color w:val="auto"/>
              <w:highlight w:val="none"/>
            </w:rPr>
            <w:t>五、开标和中标</w:t>
          </w:r>
          <w:r>
            <w:rPr>
              <w:color w:val="auto"/>
              <w:highlight w:val="none"/>
            </w:rPr>
            <w:tab/>
          </w:r>
          <w:r>
            <w:rPr>
              <w:color w:val="auto"/>
              <w:highlight w:val="none"/>
            </w:rPr>
            <w:fldChar w:fldCharType="begin"/>
          </w:r>
          <w:r>
            <w:rPr>
              <w:color w:val="auto"/>
              <w:highlight w:val="none"/>
            </w:rPr>
            <w:instrText xml:space="preserve"> PAGEREF _Toc21553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24"/>
            <w:tabs>
              <w:tab w:val="right" w:leader="dot" w:pos="8959"/>
            </w:tabs>
            <w:rPr>
              <w:color w:val="auto"/>
              <w:highlight w:val="none"/>
            </w:rPr>
          </w:pPr>
          <w:r>
            <w:rPr>
              <w:color w:val="auto"/>
              <w:highlight w:val="none"/>
            </w:rPr>
            <w:fldChar w:fldCharType="begin"/>
          </w:r>
          <w:r>
            <w:rPr>
              <w:color w:val="auto"/>
              <w:highlight w:val="none"/>
            </w:rPr>
            <w:instrText xml:space="preserve"> HYPERLINK \l "_Toc4381" </w:instrText>
          </w:r>
          <w:r>
            <w:rPr>
              <w:color w:val="auto"/>
              <w:highlight w:val="none"/>
            </w:rPr>
            <w:fldChar w:fldCharType="separate"/>
          </w:r>
          <w:r>
            <w:rPr>
              <w:rFonts w:hint="eastAsia" w:ascii="宋体" w:hAnsi="宋体" w:cs="宋体"/>
              <w:color w:val="auto"/>
              <w:highlight w:val="none"/>
            </w:rPr>
            <w:t>六、签订及履行合同和验收</w:t>
          </w:r>
          <w:r>
            <w:rPr>
              <w:color w:val="auto"/>
              <w:highlight w:val="none"/>
            </w:rPr>
            <w:tab/>
          </w:r>
          <w:r>
            <w:rPr>
              <w:color w:val="auto"/>
              <w:highlight w:val="none"/>
            </w:rPr>
            <w:fldChar w:fldCharType="begin"/>
          </w:r>
          <w:r>
            <w:rPr>
              <w:color w:val="auto"/>
              <w:highlight w:val="none"/>
            </w:rPr>
            <w:instrText xml:space="preserve"> PAGEREF _Toc4381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bookmarkStart w:id="248" w:name="_GoBack"/>
          <w:bookmarkEnd w:id="248"/>
        </w:p>
        <w:p>
          <w:pPr>
            <w:pStyle w:val="24"/>
            <w:tabs>
              <w:tab w:val="right" w:leader="dot" w:pos="8959"/>
            </w:tabs>
            <w:rPr>
              <w:color w:val="auto"/>
              <w:highlight w:val="none"/>
            </w:rPr>
          </w:pPr>
          <w:r>
            <w:rPr>
              <w:color w:val="auto"/>
              <w:highlight w:val="none"/>
            </w:rPr>
            <w:fldChar w:fldCharType="begin"/>
          </w:r>
          <w:r>
            <w:rPr>
              <w:color w:val="auto"/>
              <w:highlight w:val="none"/>
            </w:rPr>
            <w:instrText xml:space="preserve"> HYPERLINK \l "_Toc20614" </w:instrText>
          </w:r>
          <w:r>
            <w:rPr>
              <w:color w:val="auto"/>
              <w:highlight w:val="none"/>
            </w:rPr>
            <w:fldChar w:fldCharType="separate"/>
          </w:r>
          <w:r>
            <w:rPr>
              <w:rFonts w:hint="eastAsia" w:ascii="宋体" w:hAnsi="宋体" w:cs="宋体"/>
              <w:color w:val="auto"/>
              <w:highlight w:val="none"/>
            </w:rPr>
            <w:t>七、投标纪律要求</w:t>
          </w:r>
          <w:r>
            <w:rPr>
              <w:color w:val="auto"/>
              <w:highlight w:val="none"/>
            </w:rPr>
            <w:tab/>
          </w:r>
          <w:r>
            <w:rPr>
              <w:color w:val="auto"/>
              <w:highlight w:val="none"/>
            </w:rPr>
            <w:fldChar w:fldCharType="begin"/>
          </w:r>
          <w:r>
            <w:rPr>
              <w:color w:val="auto"/>
              <w:highlight w:val="none"/>
            </w:rPr>
            <w:instrText xml:space="preserve"> PAGEREF _Toc20614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24"/>
            <w:tabs>
              <w:tab w:val="right" w:leader="dot" w:pos="8959"/>
            </w:tabs>
            <w:rPr>
              <w:color w:val="auto"/>
              <w:highlight w:val="none"/>
            </w:rPr>
          </w:pPr>
          <w:r>
            <w:rPr>
              <w:color w:val="auto"/>
              <w:highlight w:val="none"/>
            </w:rPr>
            <w:fldChar w:fldCharType="begin"/>
          </w:r>
          <w:r>
            <w:rPr>
              <w:color w:val="auto"/>
              <w:highlight w:val="none"/>
            </w:rPr>
            <w:instrText xml:space="preserve"> HYPERLINK \l "_Toc25204" </w:instrText>
          </w:r>
          <w:r>
            <w:rPr>
              <w:color w:val="auto"/>
              <w:highlight w:val="none"/>
            </w:rPr>
            <w:fldChar w:fldCharType="separate"/>
          </w:r>
          <w:r>
            <w:rPr>
              <w:rFonts w:hint="eastAsia" w:ascii="宋体" w:hAnsi="宋体" w:cs="宋体"/>
              <w:color w:val="auto"/>
              <w:highlight w:val="none"/>
            </w:rPr>
            <w:t>八、回避</w:t>
          </w:r>
          <w:r>
            <w:rPr>
              <w:color w:val="auto"/>
              <w:highlight w:val="none"/>
            </w:rPr>
            <w:tab/>
          </w:r>
          <w:r>
            <w:rPr>
              <w:color w:val="auto"/>
              <w:highlight w:val="none"/>
            </w:rPr>
            <w:fldChar w:fldCharType="begin"/>
          </w:r>
          <w:r>
            <w:rPr>
              <w:color w:val="auto"/>
              <w:highlight w:val="none"/>
            </w:rPr>
            <w:instrText xml:space="preserve"> PAGEREF _Toc25204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24"/>
            <w:tabs>
              <w:tab w:val="right" w:leader="dot" w:pos="8959"/>
            </w:tabs>
            <w:rPr>
              <w:color w:val="auto"/>
              <w:highlight w:val="none"/>
            </w:rPr>
          </w:pPr>
          <w:r>
            <w:rPr>
              <w:color w:val="auto"/>
              <w:highlight w:val="none"/>
            </w:rPr>
            <w:fldChar w:fldCharType="begin"/>
          </w:r>
          <w:r>
            <w:rPr>
              <w:color w:val="auto"/>
              <w:highlight w:val="none"/>
            </w:rPr>
            <w:instrText xml:space="preserve"> HYPERLINK \l "_Toc25630" </w:instrText>
          </w:r>
          <w:r>
            <w:rPr>
              <w:color w:val="auto"/>
              <w:highlight w:val="none"/>
            </w:rPr>
            <w:fldChar w:fldCharType="separate"/>
          </w:r>
          <w:r>
            <w:rPr>
              <w:rFonts w:hint="eastAsia" w:ascii="宋体" w:hAnsi="宋体" w:cs="宋体"/>
              <w:color w:val="auto"/>
              <w:highlight w:val="none"/>
            </w:rPr>
            <w:t>九、询问、质疑和投诉</w:t>
          </w:r>
          <w:r>
            <w:rPr>
              <w:color w:val="auto"/>
              <w:highlight w:val="none"/>
            </w:rPr>
            <w:tab/>
          </w:r>
          <w:r>
            <w:rPr>
              <w:color w:val="auto"/>
              <w:highlight w:val="none"/>
            </w:rPr>
            <w:fldChar w:fldCharType="begin"/>
          </w:r>
          <w:r>
            <w:rPr>
              <w:color w:val="auto"/>
              <w:highlight w:val="none"/>
            </w:rPr>
            <w:instrText xml:space="preserve"> PAGEREF _Toc25630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24"/>
            <w:tabs>
              <w:tab w:val="right" w:leader="dot" w:pos="8959"/>
            </w:tabs>
            <w:rPr>
              <w:color w:val="auto"/>
              <w:highlight w:val="none"/>
            </w:rPr>
          </w:pPr>
          <w:r>
            <w:rPr>
              <w:color w:val="auto"/>
              <w:highlight w:val="none"/>
            </w:rPr>
            <w:fldChar w:fldCharType="begin"/>
          </w:r>
          <w:r>
            <w:rPr>
              <w:color w:val="auto"/>
              <w:highlight w:val="none"/>
            </w:rPr>
            <w:instrText xml:space="preserve"> HYPERLINK \l "_Toc241" </w:instrText>
          </w:r>
          <w:r>
            <w:rPr>
              <w:color w:val="auto"/>
              <w:highlight w:val="none"/>
            </w:rPr>
            <w:fldChar w:fldCharType="separate"/>
          </w:r>
          <w:r>
            <w:rPr>
              <w:rFonts w:hint="eastAsia" w:ascii="宋体" w:hAnsi="宋体" w:cs="宋体"/>
              <w:color w:val="auto"/>
              <w:highlight w:val="none"/>
            </w:rPr>
            <w:t>十、其他</w:t>
          </w:r>
          <w:r>
            <w:rPr>
              <w:color w:val="auto"/>
              <w:highlight w:val="none"/>
            </w:rPr>
            <w:tab/>
          </w:r>
          <w:r>
            <w:rPr>
              <w:color w:val="auto"/>
              <w:highlight w:val="none"/>
            </w:rPr>
            <w:fldChar w:fldCharType="begin"/>
          </w:r>
          <w:r>
            <w:rPr>
              <w:color w:val="auto"/>
              <w:highlight w:val="none"/>
            </w:rPr>
            <w:instrText xml:space="preserve"> PAGEREF _Toc241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24"/>
            <w:tabs>
              <w:tab w:val="right" w:leader="dot" w:pos="8959"/>
            </w:tabs>
            <w:rPr>
              <w:color w:val="auto"/>
              <w:highlight w:val="none"/>
            </w:rPr>
          </w:pPr>
          <w:r>
            <w:rPr>
              <w:color w:val="auto"/>
              <w:highlight w:val="none"/>
            </w:rPr>
            <w:fldChar w:fldCharType="begin"/>
          </w:r>
          <w:r>
            <w:rPr>
              <w:color w:val="auto"/>
              <w:highlight w:val="none"/>
            </w:rPr>
            <w:instrText xml:space="preserve"> HYPERLINK \l "_Toc16728" </w:instrText>
          </w:r>
          <w:r>
            <w:rPr>
              <w:color w:val="auto"/>
              <w:highlight w:val="none"/>
            </w:rPr>
            <w:fldChar w:fldCharType="separate"/>
          </w:r>
          <w:r>
            <w:rPr>
              <w:rFonts w:hint="eastAsia" w:ascii="宋体" w:hAnsi="宋体" w:cs="宋体"/>
              <w:color w:val="auto"/>
              <w:highlight w:val="none"/>
            </w:rPr>
            <w:t>第三章 投标文件格式</w:t>
          </w:r>
          <w:r>
            <w:rPr>
              <w:color w:val="auto"/>
              <w:highlight w:val="none"/>
            </w:rPr>
            <w:tab/>
          </w:r>
          <w:r>
            <w:rPr>
              <w:color w:val="auto"/>
              <w:highlight w:val="none"/>
            </w:rPr>
            <w:fldChar w:fldCharType="begin"/>
          </w:r>
          <w:r>
            <w:rPr>
              <w:color w:val="auto"/>
              <w:highlight w:val="none"/>
            </w:rPr>
            <w:instrText xml:space="preserve"> PAGEREF _Toc16728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pPr>
            <w:pStyle w:val="24"/>
            <w:tabs>
              <w:tab w:val="right" w:leader="dot" w:pos="8959"/>
            </w:tabs>
            <w:rPr>
              <w:color w:val="auto"/>
              <w:highlight w:val="none"/>
            </w:rPr>
          </w:pPr>
          <w:r>
            <w:rPr>
              <w:color w:val="auto"/>
              <w:highlight w:val="none"/>
            </w:rPr>
            <w:fldChar w:fldCharType="begin"/>
          </w:r>
          <w:r>
            <w:rPr>
              <w:color w:val="auto"/>
              <w:highlight w:val="none"/>
            </w:rPr>
            <w:instrText xml:space="preserve"> HYPERLINK \l "_Toc5917" </w:instrText>
          </w:r>
          <w:r>
            <w:rPr>
              <w:color w:val="auto"/>
              <w:highlight w:val="none"/>
            </w:rPr>
            <w:fldChar w:fldCharType="separate"/>
          </w:r>
          <w:r>
            <w:rPr>
              <w:rFonts w:hint="eastAsia" w:ascii="宋体" w:hAnsi="宋体" w:cs="宋体"/>
              <w:color w:val="auto"/>
              <w:highlight w:val="none"/>
            </w:rPr>
            <w:t>第四章  投标人和投标产品的资格、资质性及其他类似效力要求</w:t>
          </w:r>
          <w:r>
            <w:rPr>
              <w:color w:val="auto"/>
              <w:highlight w:val="none"/>
            </w:rPr>
            <w:tab/>
          </w:r>
          <w:r>
            <w:rPr>
              <w:color w:val="auto"/>
              <w:highlight w:val="none"/>
            </w:rPr>
            <w:fldChar w:fldCharType="begin"/>
          </w:r>
          <w:r>
            <w:rPr>
              <w:color w:val="auto"/>
              <w:highlight w:val="none"/>
            </w:rPr>
            <w:instrText xml:space="preserve"> PAGEREF _Toc5917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pPr>
            <w:pStyle w:val="24"/>
            <w:tabs>
              <w:tab w:val="right" w:leader="dot" w:pos="8959"/>
            </w:tabs>
            <w:rPr>
              <w:color w:val="auto"/>
              <w:highlight w:val="none"/>
            </w:rPr>
          </w:pPr>
          <w:r>
            <w:rPr>
              <w:color w:val="auto"/>
              <w:highlight w:val="none"/>
            </w:rPr>
            <w:fldChar w:fldCharType="begin"/>
          </w:r>
          <w:r>
            <w:rPr>
              <w:color w:val="auto"/>
              <w:highlight w:val="none"/>
            </w:rPr>
            <w:instrText xml:space="preserve"> HYPERLINK \l "_Toc7835" </w:instrText>
          </w:r>
          <w:r>
            <w:rPr>
              <w:color w:val="auto"/>
              <w:highlight w:val="none"/>
            </w:rPr>
            <w:fldChar w:fldCharType="separate"/>
          </w:r>
          <w:r>
            <w:rPr>
              <w:rFonts w:hint="eastAsia" w:ascii="宋体" w:hAnsi="宋体" w:cs="宋体"/>
              <w:color w:val="auto"/>
              <w:highlight w:val="none"/>
            </w:rPr>
            <w:t>第五章  投标人应当提供的资格、资质性及其他类似效力要求的相关证明材料</w:t>
          </w:r>
          <w:r>
            <w:rPr>
              <w:color w:val="auto"/>
              <w:highlight w:val="none"/>
            </w:rPr>
            <w:tab/>
          </w:r>
          <w:r>
            <w:rPr>
              <w:color w:val="auto"/>
              <w:highlight w:val="none"/>
            </w:rPr>
            <w:fldChar w:fldCharType="begin"/>
          </w:r>
          <w:r>
            <w:rPr>
              <w:color w:val="auto"/>
              <w:highlight w:val="none"/>
            </w:rPr>
            <w:instrText xml:space="preserve"> PAGEREF _Toc7835 \h </w:instrText>
          </w:r>
          <w:r>
            <w:rPr>
              <w:color w:val="auto"/>
              <w:highlight w:val="none"/>
            </w:rPr>
            <w:fldChar w:fldCharType="separate"/>
          </w:r>
          <w:r>
            <w:rPr>
              <w:color w:val="auto"/>
              <w:highlight w:val="none"/>
            </w:rPr>
            <w:t>47</w:t>
          </w:r>
          <w:r>
            <w:rPr>
              <w:color w:val="auto"/>
              <w:highlight w:val="none"/>
            </w:rPr>
            <w:fldChar w:fldCharType="end"/>
          </w:r>
          <w:r>
            <w:rPr>
              <w:color w:val="auto"/>
              <w:highlight w:val="none"/>
            </w:rPr>
            <w:fldChar w:fldCharType="end"/>
          </w:r>
        </w:p>
        <w:p>
          <w:pPr>
            <w:pStyle w:val="24"/>
            <w:tabs>
              <w:tab w:val="right" w:leader="dot" w:pos="8959"/>
            </w:tabs>
            <w:rPr>
              <w:color w:val="auto"/>
              <w:highlight w:val="none"/>
            </w:rPr>
          </w:pPr>
          <w:r>
            <w:rPr>
              <w:color w:val="auto"/>
              <w:highlight w:val="none"/>
            </w:rPr>
            <w:fldChar w:fldCharType="begin"/>
          </w:r>
          <w:r>
            <w:rPr>
              <w:color w:val="auto"/>
              <w:highlight w:val="none"/>
            </w:rPr>
            <w:instrText xml:space="preserve"> HYPERLINK \l "_Toc32366" </w:instrText>
          </w:r>
          <w:r>
            <w:rPr>
              <w:color w:val="auto"/>
              <w:highlight w:val="none"/>
            </w:rPr>
            <w:fldChar w:fldCharType="separate"/>
          </w:r>
          <w:r>
            <w:rPr>
              <w:rFonts w:hint="eastAsia" w:ascii="宋体" w:hAnsi="宋体" w:cs="宋体"/>
              <w:color w:val="auto"/>
              <w:highlight w:val="none"/>
            </w:rPr>
            <w:t>第六章 招标项目技术、服务、政府采购合同内容条款及其他商务要求</w:t>
          </w:r>
          <w:r>
            <w:rPr>
              <w:color w:val="auto"/>
              <w:highlight w:val="none"/>
            </w:rPr>
            <w:tab/>
          </w:r>
          <w:r>
            <w:rPr>
              <w:color w:val="auto"/>
              <w:highlight w:val="none"/>
            </w:rPr>
            <w:fldChar w:fldCharType="begin"/>
          </w:r>
          <w:r>
            <w:rPr>
              <w:color w:val="auto"/>
              <w:highlight w:val="none"/>
            </w:rPr>
            <w:instrText xml:space="preserve"> PAGEREF _Toc32366 \h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p>
        <w:p>
          <w:pPr>
            <w:pStyle w:val="24"/>
            <w:tabs>
              <w:tab w:val="right" w:leader="dot" w:pos="8959"/>
            </w:tabs>
            <w:rPr>
              <w:color w:val="auto"/>
              <w:highlight w:val="none"/>
            </w:rPr>
          </w:pPr>
          <w:r>
            <w:rPr>
              <w:color w:val="auto"/>
              <w:highlight w:val="none"/>
            </w:rPr>
            <w:fldChar w:fldCharType="begin"/>
          </w:r>
          <w:r>
            <w:rPr>
              <w:color w:val="auto"/>
              <w:highlight w:val="none"/>
            </w:rPr>
            <w:instrText xml:space="preserve"> HYPERLINK \l "_Toc2564" </w:instrText>
          </w:r>
          <w:r>
            <w:rPr>
              <w:color w:val="auto"/>
              <w:highlight w:val="none"/>
            </w:rPr>
            <w:fldChar w:fldCharType="separate"/>
          </w:r>
          <w:r>
            <w:rPr>
              <w:rFonts w:hint="eastAsia" w:ascii="宋体" w:hAnsi="宋体" w:cs="宋体"/>
              <w:color w:val="auto"/>
              <w:highlight w:val="none"/>
            </w:rPr>
            <w:t>第七章  评标办法</w:t>
          </w:r>
          <w:r>
            <w:rPr>
              <w:color w:val="auto"/>
              <w:highlight w:val="none"/>
            </w:rPr>
            <w:tab/>
          </w:r>
          <w:r>
            <w:rPr>
              <w:color w:val="auto"/>
              <w:highlight w:val="none"/>
            </w:rPr>
            <w:fldChar w:fldCharType="begin"/>
          </w:r>
          <w:r>
            <w:rPr>
              <w:color w:val="auto"/>
              <w:highlight w:val="none"/>
            </w:rPr>
            <w:instrText xml:space="preserve"> PAGEREF _Toc2564 \h </w:instrText>
          </w:r>
          <w:r>
            <w:rPr>
              <w:color w:val="auto"/>
              <w:highlight w:val="none"/>
            </w:rPr>
            <w:fldChar w:fldCharType="separate"/>
          </w:r>
          <w:r>
            <w:rPr>
              <w:color w:val="auto"/>
              <w:highlight w:val="none"/>
            </w:rPr>
            <w:t>99</w:t>
          </w:r>
          <w:r>
            <w:rPr>
              <w:color w:val="auto"/>
              <w:highlight w:val="none"/>
            </w:rPr>
            <w:fldChar w:fldCharType="end"/>
          </w:r>
          <w:r>
            <w:rPr>
              <w:color w:val="auto"/>
              <w:highlight w:val="none"/>
            </w:rPr>
            <w:fldChar w:fldCharType="end"/>
          </w:r>
        </w:p>
        <w:p>
          <w:pPr>
            <w:pStyle w:val="24"/>
            <w:tabs>
              <w:tab w:val="right" w:leader="dot" w:pos="8959"/>
            </w:tabs>
            <w:rPr>
              <w:color w:val="auto"/>
              <w:highlight w:val="none"/>
            </w:rPr>
          </w:pPr>
          <w:r>
            <w:rPr>
              <w:color w:val="auto"/>
              <w:highlight w:val="none"/>
            </w:rPr>
            <w:fldChar w:fldCharType="begin"/>
          </w:r>
          <w:r>
            <w:rPr>
              <w:color w:val="auto"/>
              <w:highlight w:val="none"/>
            </w:rPr>
            <w:instrText xml:space="preserve"> HYPERLINK \l "_Toc31809" </w:instrText>
          </w:r>
          <w:r>
            <w:rPr>
              <w:color w:val="auto"/>
              <w:highlight w:val="none"/>
            </w:rPr>
            <w:fldChar w:fldCharType="separate"/>
          </w:r>
          <w:r>
            <w:rPr>
              <w:rFonts w:hint="eastAsia" w:ascii="宋体" w:hAnsi="宋体" w:cs="宋体"/>
              <w:color w:val="auto"/>
              <w:highlight w:val="none"/>
            </w:rPr>
            <w:t>第八章  政府采购合同（参考）</w:t>
          </w:r>
          <w:r>
            <w:rPr>
              <w:color w:val="auto"/>
              <w:highlight w:val="none"/>
            </w:rPr>
            <w:tab/>
          </w:r>
          <w:r>
            <w:rPr>
              <w:color w:val="auto"/>
              <w:highlight w:val="none"/>
            </w:rPr>
            <w:fldChar w:fldCharType="begin"/>
          </w:r>
          <w:r>
            <w:rPr>
              <w:color w:val="auto"/>
              <w:highlight w:val="none"/>
            </w:rPr>
            <w:instrText xml:space="preserve"> PAGEREF _Toc31809 \h </w:instrText>
          </w:r>
          <w:r>
            <w:rPr>
              <w:color w:val="auto"/>
              <w:highlight w:val="none"/>
            </w:rPr>
            <w:fldChar w:fldCharType="separate"/>
          </w:r>
          <w:r>
            <w:rPr>
              <w:color w:val="auto"/>
              <w:highlight w:val="none"/>
            </w:rPr>
            <w:t>121</w:t>
          </w:r>
          <w:r>
            <w:rPr>
              <w:color w:val="auto"/>
              <w:highlight w:val="none"/>
            </w:rPr>
            <w:fldChar w:fldCharType="end"/>
          </w:r>
          <w:r>
            <w:rPr>
              <w:color w:val="auto"/>
              <w:highlight w:val="none"/>
            </w:rPr>
            <w:fldChar w:fldCharType="end"/>
          </w:r>
        </w:p>
        <w:p>
          <w:pPr>
            <w:pStyle w:val="24"/>
            <w:tabs>
              <w:tab w:val="right" w:leader="dot" w:pos="8949"/>
            </w:tabs>
            <w:spacing w:line="360" w:lineRule="auto"/>
            <w:rPr>
              <w:rFonts w:ascii="宋体" w:hAnsi="宋体" w:eastAsia="宋体" w:cs="宋体"/>
              <w:bCs/>
              <w:color w:val="auto"/>
              <w:highlight w:val="none"/>
            </w:rPr>
            <w:sectPr>
              <w:pgSz w:w="11907" w:h="16840"/>
              <w:pgMar w:top="1440" w:right="1474" w:bottom="1440" w:left="1474" w:header="851" w:footer="992" w:gutter="0"/>
              <w:pgNumType w:start="1"/>
              <w:cols w:space="720" w:num="1"/>
              <w:titlePg/>
              <w:docGrid w:linePitch="286" w:charSpace="0"/>
            </w:sectPr>
          </w:pPr>
          <w:r>
            <w:rPr>
              <w:rFonts w:ascii="宋体" w:hAnsi="宋体" w:eastAsia="宋体" w:cs="宋体"/>
              <w:bCs/>
              <w:color w:val="auto"/>
              <w:highlight w:val="none"/>
            </w:rPr>
            <w:fldChar w:fldCharType="end"/>
          </w:r>
        </w:p>
      </w:sdtContent>
    </w:sdt>
    <w:p>
      <w:pPr>
        <w:pStyle w:val="33"/>
        <w:spacing w:line="360" w:lineRule="auto"/>
        <w:rPr>
          <w:rFonts w:ascii="宋体" w:hAnsi="宋体" w:cs="宋体"/>
          <w:color w:val="auto"/>
          <w:highlight w:val="none"/>
        </w:rPr>
      </w:pPr>
      <w:bookmarkStart w:id="1" w:name="_Toc20522"/>
      <w:bookmarkStart w:id="2" w:name="_Toc23699"/>
      <w:r>
        <w:rPr>
          <w:rFonts w:hint="eastAsia" w:ascii="宋体" w:hAnsi="宋体" w:cs="宋体"/>
          <w:color w:val="auto"/>
          <w:highlight w:val="none"/>
        </w:rPr>
        <w:t>第一章  投标邀请</w:t>
      </w:r>
      <w:bookmarkEnd w:id="0"/>
      <w:bookmarkEnd w:id="1"/>
      <w:bookmarkEnd w:id="2"/>
    </w:p>
    <w:p>
      <w:pPr>
        <w:spacing w:line="360" w:lineRule="auto"/>
        <w:ind w:firstLine="482" w:firstLineChars="200"/>
        <w:jc w:val="left"/>
        <w:rPr>
          <w:rFonts w:ascii="宋体" w:hAnsi="宋体" w:cs="宋体"/>
          <w:color w:val="auto"/>
          <w:sz w:val="24"/>
          <w:szCs w:val="28"/>
          <w:highlight w:val="none"/>
        </w:rPr>
      </w:pPr>
      <w:r>
        <w:rPr>
          <w:rFonts w:hint="eastAsia" w:ascii="宋体" w:hAnsi="宋体" w:cs="宋体"/>
          <w:b/>
          <w:bCs/>
          <w:color w:val="auto"/>
          <w:sz w:val="24"/>
          <w:highlight w:val="none"/>
          <w:u w:val="single"/>
        </w:rPr>
        <w:t>四川轩辕招标代理有限公司</w:t>
      </w:r>
      <w:r>
        <w:rPr>
          <w:rFonts w:hint="eastAsia" w:ascii="宋体" w:hAnsi="宋体" w:cs="宋体"/>
          <w:color w:val="auto"/>
          <w:sz w:val="24"/>
          <w:highlight w:val="none"/>
        </w:rPr>
        <w:t>受</w:t>
      </w:r>
      <w:r>
        <w:rPr>
          <w:rFonts w:hint="eastAsia" w:ascii="宋体" w:hAnsi="宋体" w:cs="宋体"/>
          <w:b/>
          <w:bCs/>
          <w:color w:val="auto"/>
          <w:sz w:val="24"/>
          <w:highlight w:val="none"/>
          <w:u w:val="single"/>
        </w:rPr>
        <w:t>成都市双流区妇幼保健院</w:t>
      </w:r>
      <w:r>
        <w:rPr>
          <w:rFonts w:hint="eastAsia" w:ascii="宋体" w:hAnsi="宋体" w:cs="宋体"/>
          <w:color w:val="auto"/>
          <w:sz w:val="24"/>
          <w:highlight w:val="none"/>
        </w:rPr>
        <w:t>委托，拟对</w:t>
      </w:r>
      <w:r>
        <w:rPr>
          <w:rFonts w:hint="eastAsia" w:ascii="宋体" w:hAnsi="宋体" w:cs="宋体"/>
          <w:b/>
          <w:bCs/>
          <w:color w:val="auto"/>
          <w:sz w:val="24"/>
          <w:highlight w:val="none"/>
          <w:u w:val="single"/>
        </w:rPr>
        <w:t>成都市双流区妇幼保健院2021年医疗设备第四批采购项目</w:t>
      </w:r>
      <w:r>
        <w:rPr>
          <w:rFonts w:hint="eastAsia" w:ascii="宋体" w:hAnsi="宋体" w:cs="宋体"/>
          <w:color w:val="auto"/>
          <w:sz w:val="24"/>
          <w:highlight w:val="none"/>
        </w:rPr>
        <w:t>进行国内公开招标，</w:t>
      </w:r>
      <w:r>
        <w:rPr>
          <w:rFonts w:hint="eastAsia" w:ascii="宋体" w:hAnsi="宋体" w:cs="宋体"/>
          <w:color w:val="auto"/>
          <w:sz w:val="24"/>
          <w:szCs w:val="28"/>
          <w:highlight w:val="none"/>
        </w:rPr>
        <w:t>兹邀请符合本次招标要求的供应商参加</w:t>
      </w:r>
      <w:r>
        <w:rPr>
          <w:rFonts w:hint="eastAsia" w:ascii="宋体" w:hAnsi="宋体" w:cs="宋体"/>
          <w:color w:val="auto"/>
          <w:sz w:val="24"/>
          <w:highlight w:val="none"/>
        </w:rPr>
        <w:t>投标</w:t>
      </w:r>
      <w:r>
        <w:rPr>
          <w:rFonts w:hint="eastAsia" w:ascii="宋体" w:hAnsi="宋体" w:cs="宋体"/>
          <w:color w:val="auto"/>
          <w:sz w:val="24"/>
          <w:szCs w:val="28"/>
          <w:highlight w:val="none"/>
        </w:rPr>
        <w:t>。</w:t>
      </w:r>
    </w:p>
    <w:p>
      <w:pPr>
        <w:spacing w:line="360" w:lineRule="auto"/>
        <w:ind w:firstLine="482" w:firstLineChars="200"/>
        <w:rPr>
          <w:rFonts w:hint="eastAsia" w:ascii="宋体" w:hAnsi="宋体" w:eastAsia="宋体" w:cs="宋体"/>
          <w:color w:val="auto"/>
          <w:sz w:val="24"/>
          <w:highlight w:val="none"/>
          <w:u w:val="single"/>
          <w:lang w:eastAsia="zh-CN"/>
        </w:rPr>
      </w:pPr>
      <w:r>
        <w:rPr>
          <w:rFonts w:hint="eastAsia" w:ascii="宋体" w:hAnsi="宋体" w:cs="宋体"/>
          <w:b/>
          <w:bCs/>
          <w:color w:val="auto"/>
          <w:sz w:val="24"/>
          <w:highlight w:val="none"/>
        </w:rPr>
        <w:t>一、采购项目编号：</w:t>
      </w:r>
      <w:r>
        <w:rPr>
          <w:rFonts w:hint="eastAsia" w:ascii="宋体" w:hAnsi="宋体" w:cs="宋体"/>
          <w:color w:val="auto"/>
          <w:sz w:val="24"/>
          <w:highlight w:val="none"/>
          <w:lang w:eastAsia="zh-CN"/>
        </w:rPr>
        <w:t>510122202100616</w:t>
      </w:r>
    </w:p>
    <w:p>
      <w:pPr>
        <w:spacing w:line="360" w:lineRule="auto"/>
        <w:ind w:left="2166" w:leftChars="228" w:right="31" w:rightChars="15" w:hanging="1687" w:hangingChars="700"/>
        <w:rPr>
          <w:rFonts w:ascii="宋体" w:hAnsi="宋体" w:cs="宋体"/>
          <w:b/>
          <w:color w:val="auto"/>
          <w:szCs w:val="21"/>
          <w:highlight w:val="none"/>
        </w:rPr>
      </w:pPr>
      <w:r>
        <w:rPr>
          <w:rFonts w:hint="eastAsia" w:ascii="宋体" w:hAnsi="宋体" w:cs="宋体"/>
          <w:b/>
          <w:color w:val="auto"/>
          <w:sz w:val="24"/>
          <w:highlight w:val="none"/>
        </w:rPr>
        <w:t>二、项目名称：</w:t>
      </w:r>
      <w:r>
        <w:rPr>
          <w:rFonts w:hint="eastAsia" w:ascii="宋体" w:hAnsi="宋体" w:cs="宋体"/>
          <w:color w:val="auto"/>
          <w:sz w:val="24"/>
          <w:highlight w:val="none"/>
        </w:rPr>
        <w:t>成都市双流区妇幼保健院2021年医疗设备第四批采购项目</w:t>
      </w:r>
    </w:p>
    <w:p>
      <w:pPr>
        <w:spacing w:line="360" w:lineRule="auto"/>
        <w:ind w:right="31" w:rightChars="15" w:firstLine="482" w:firstLineChars="200"/>
        <w:rPr>
          <w:rFonts w:ascii="宋体" w:hAnsi="宋体" w:cs="宋体"/>
          <w:bCs/>
          <w:color w:val="auto"/>
          <w:sz w:val="24"/>
          <w:highlight w:val="none"/>
        </w:rPr>
      </w:pPr>
      <w:r>
        <w:rPr>
          <w:rFonts w:hint="eastAsia" w:ascii="宋体" w:hAnsi="宋体" w:cs="宋体"/>
          <w:b/>
          <w:bCs/>
          <w:color w:val="auto"/>
          <w:sz w:val="24"/>
          <w:szCs w:val="28"/>
          <w:highlight w:val="none"/>
        </w:rPr>
        <w:t>三、资金来源：</w:t>
      </w:r>
      <w:r>
        <w:rPr>
          <w:rFonts w:hint="eastAsia" w:ascii="宋体" w:hAnsi="宋体" w:cs="宋体"/>
          <w:bCs/>
          <w:color w:val="auto"/>
          <w:sz w:val="24"/>
          <w:szCs w:val="28"/>
          <w:highlight w:val="none"/>
        </w:rPr>
        <w:t>财政资金</w:t>
      </w:r>
    </w:p>
    <w:p>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四、招标项目简介：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本项目共11包，采购医疗设备一批。（具体详见招标文件第六章）。</w:t>
      </w:r>
    </w:p>
    <w:p>
      <w:pPr>
        <w:numPr>
          <w:ilvl w:val="0"/>
          <w:numId w:val="4"/>
        </w:num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供应商参加本次政府采购活动，应当具备下列条件：</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（一）符合《中华人民共和国政府采购法》第二十二条规定的条件：</w:t>
      </w:r>
    </w:p>
    <w:p>
      <w:pPr>
        <w:pStyle w:val="87"/>
        <w:tabs>
          <w:tab w:val="left" w:pos="1260"/>
        </w:tabs>
        <w:ind w:firstLine="679" w:firstLineChars="283"/>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pStyle w:val="87"/>
        <w:tabs>
          <w:tab w:val="left" w:pos="1260"/>
        </w:tabs>
        <w:ind w:firstLine="679" w:firstLineChars="283"/>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pPr>
        <w:pStyle w:val="87"/>
        <w:tabs>
          <w:tab w:val="left" w:pos="1260"/>
        </w:tabs>
        <w:ind w:firstLine="679" w:firstLineChars="283"/>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pStyle w:val="87"/>
        <w:tabs>
          <w:tab w:val="left" w:pos="1260"/>
        </w:tabs>
        <w:ind w:firstLine="679" w:firstLineChars="283"/>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pStyle w:val="87"/>
        <w:tabs>
          <w:tab w:val="left" w:pos="1260"/>
        </w:tabs>
        <w:ind w:firstLine="679" w:firstLineChars="283"/>
        <w:rPr>
          <w:rFonts w:ascii="宋体" w:hAnsi="宋体" w:cs="宋体"/>
          <w:color w:val="auto"/>
          <w:sz w:val="24"/>
          <w:highlight w:val="none"/>
        </w:rPr>
      </w:pPr>
      <w:r>
        <w:rPr>
          <w:rFonts w:hint="eastAsia" w:ascii="宋体" w:hAnsi="宋体" w:cs="宋体"/>
          <w:color w:val="auto"/>
          <w:sz w:val="24"/>
          <w:highlight w:val="none"/>
        </w:rPr>
        <w:t>5、参加本次政府采购活动前三年内，在经营活动中没有重大违法记录；</w:t>
      </w:r>
    </w:p>
    <w:p>
      <w:pPr>
        <w:pStyle w:val="87"/>
        <w:tabs>
          <w:tab w:val="left" w:pos="1260"/>
        </w:tabs>
        <w:ind w:firstLine="679" w:firstLineChars="283"/>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pPr>
        <w:pStyle w:val="87"/>
        <w:tabs>
          <w:tab w:val="left" w:pos="1260"/>
        </w:tabs>
        <w:ind w:firstLine="319" w:firstLineChars="133"/>
        <w:rPr>
          <w:rFonts w:ascii="宋体" w:hAnsi="宋体" w:cs="宋体"/>
          <w:color w:val="auto"/>
          <w:sz w:val="24"/>
          <w:highlight w:val="none"/>
        </w:rPr>
      </w:pPr>
      <w:r>
        <w:rPr>
          <w:rFonts w:hint="eastAsia" w:ascii="宋体" w:hAnsi="宋体" w:cs="宋体"/>
          <w:color w:val="auto"/>
          <w:sz w:val="24"/>
          <w:highlight w:val="none"/>
        </w:rPr>
        <w:t>（二）本项目</w:t>
      </w:r>
      <w:r>
        <w:rPr>
          <w:rFonts w:hint="eastAsia" w:ascii="宋体" w:hAnsi="宋体" w:cs="宋体"/>
          <w:b/>
          <w:color w:val="auto"/>
          <w:sz w:val="24"/>
          <w:highlight w:val="none"/>
          <w:u w:val="single"/>
        </w:rPr>
        <w:t xml:space="preserve">不接受  </w:t>
      </w:r>
      <w:r>
        <w:rPr>
          <w:rFonts w:hint="eastAsia" w:ascii="宋体" w:hAnsi="宋体" w:cs="宋体"/>
          <w:color w:val="auto"/>
          <w:sz w:val="24"/>
          <w:highlight w:val="none"/>
        </w:rPr>
        <w:t>联合体投标。</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（三）根据采购项目提出的特殊条件；</w:t>
      </w:r>
    </w:p>
    <w:p>
      <w:pPr>
        <w:pStyle w:val="87"/>
        <w:tabs>
          <w:tab w:val="left" w:pos="1260"/>
        </w:tabs>
        <w:ind w:firstLine="679" w:firstLineChars="283"/>
        <w:rPr>
          <w:rFonts w:ascii="宋体" w:hAnsi="宋体" w:cs="宋体"/>
          <w:color w:val="auto"/>
          <w:sz w:val="24"/>
          <w:highlight w:val="none"/>
        </w:rPr>
      </w:pPr>
      <w:r>
        <w:rPr>
          <w:rFonts w:hint="eastAsia" w:ascii="宋体" w:hAnsi="宋体" w:cs="宋体"/>
          <w:color w:val="auto"/>
          <w:sz w:val="24"/>
          <w:highlight w:val="none"/>
        </w:rPr>
        <w:t>1、若采购产品为医疗器械的，投标人须符合《医疗器械监督管理条例》要求并提供投标人经营该产品的经营许可/经营备案证明材料；投标产品须符合《医疗器械注册管理办法》要求并提供产品的注册/备案证明材料。</w:t>
      </w:r>
    </w:p>
    <w:p>
      <w:pPr>
        <w:pStyle w:val="87"/>
        <w:tabs>
          <w:tab w:val="left" w:pos="1260"/>
        </w:tabs>
        <w:ind w:firstLine="679" w:firstLineChars="283"/>
        <w:rPr>
          <w:rFonts w:ascii="宋体" w:hAnsi="宋体" w:cs="宋体"/>
          <w:color w:val="auto"/>
          <w:sz w:val="24"/>
          <w:highlight w:val="none"/>
        </w:rPr>
      </w:pPr>
      <w:r>
        <w:rPr>
          <w:rFonts w:hint="eastAsia" w:ascii="宋体" w:hAnsi="宋体" w:cs="宋体"/>
          <w:color w:val="auto"/>
          <w:sz w:val="24"/>
          <w:highlight w:val="none"/>
        </w:rPr>
        <w:t>2、本项目参加政府采购活动的投标人、法定代表人/主要负责人近3年内不得具有行贿犯罪记录。</w:t>
      </w:r>
    </w:p>
    <w:p>
      <w:pPr>
        <w:pStyle w:val="87"/>
        <w:tabs>
          <w:tab w:val="left" w:pos="1260"/>
        </w:tabs>
        <w:ind w:firstLine="679" w:firstLineChars="283"/>
        <w:rPr>
          <w:rFonts w:ascii="宋体" w:hAnsi="宋体" w:cs="宋体"/>
          <w:color w:val="auto"/>
          <w:sz w:val="24"/>
          <w:highlight w:val="none"/>
        </w:rPr>
      </w:pPr>
      <w:r>
        <w:rPr>
          <w:rFonts w:hint="eastAsia" w:ascii="宋体" w:hAnsi="宋体" w:cs="宋体"/>
          <w:color w:val="auto"/>
          <w:sz w:val="24"/>
          <w:highlight w:val="none"/>
        </w:rPr>
        <w:t>3、根据《财政部关于在政府采购活动中查询及使用信用记录的通知》（财库[2016]125号）的要求，截止至投标截止时间当日，采购代理机构将通过“信用中国”网站（www.creditchina.gov.cn）、“中国政府采购网”网站（www.ccgp.gov.cn）等渠道查询供应商的信用记录并保存信用记录结果网页截图，拒绝列入失信被执行人、重大税收违法案件当事人名单、政府采购严重违法失信行为记录名单中的供应商参加本项目的政府采购活动。</w:t>
      </w:r>
    </w:p>
    <w:p>
      <w:pPr>
        <w:numPr>
          <w:ilvl w:val="0"/>
          <w:numId w:val="5"/>
        </w:num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招标文件获取方式、时间、地点：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1、网络报名获取，凡有意投标企业自2021年12月2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日至2021年12月</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日09:00-17:00（北京时间，法定节假日除外）。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2、招标文件获取方式：供应商从“政府采购云平台”获取采购文件（网址：</w:t>
      </w:r>
      <w:r>
        <w:rPr>
          <w:color w:val="auto"/>
          <w:highlight w:val="none"/>
        </w:rPr>
        <w:fldChar w:fldCharType="begin"/>
      </w:r>
      <w:r>
        <w:rPr>
          <w:color w:val="auto"/>
          <w:highlight w:val="none"/>
        </w:rPr>
        <w:instrText xml:space="preserve"> HYPERLINK "https://www.zcygov.cn）项目采购—获取采购文件—申请获取采购文件。_x0005_" </w:instrText>
      </w:r>
      <w:r>
        <w:rPr>
          <w:color w:val="auto"/>
          <w:highlight w:val="none"/>
        </w:rPr>
        <w:fldChar w:fldCharType="separate"/>
      </w:r>
      <w:r>
        <w:rPr>
          <w:rFonts w:hint="eastAsia" w:ascii="宋体" w:hAnsi="宋体" w:cs="宋体"/>
          <w:color w:val="auto"/>
          <w:sz w:val="24"/>
          <w:highlight w:val="none"/>
        </w:rPr>
        <w:t>https://www.zcygov.cn）。登录政府采购云平台—项目采购—获取采购文件—申请获取采购文件</w:t>
      </w:r>
      <w:r>
        <w:rPr>
          <w:rFonts w:hint="eastAsia" w:ascii="宋体" w:hAnsi="宋体" w:cs="宋体"/>
          <w:color w:val="auto"/>
          <w:sz w:val="24"/>
          <w:highlight w:val="none"/>
        </w:rPr>
        <w:fldChar w:fldCharType="end"/>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提示：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（1）本项目招标文件免费获取。</w:t>
      </w:r>
    </w:p>
    <w:p>
      <w:pPr>
        <w:spacing w:line="360" w:lineRule="auto"/>
        <w:ind w:firstLine="480" w:firstLineChars="200"/>
        <w:rPr>
          <w:rFonts w:ascii="宋体" w:hAnsi="宋体"/>
          <w:bCs/>
          <w:color w:val="auto"/>
          <w:sz w:val="24"/>
          <w:highlight w:val="none"/>
        </w:rPr>
      </w:pPr>
      <w:r>
        <w:rPr>
          <w:rFonts w:hint="eastAsia" w:ascii="宋体" w:hAnsi="宋体" w:cs="宋体"/>
          <w:color w:val="auto"/>
          <w:sz w:val="24"/>
          <w:highlight w:val="none"/>
        </w:rPr>
        <w:t>（2）</w:t>
      </w:r>
      <w:r>
        <w:rPr>
          <w:rFonts w:hint="eastAsia" w:ascii="宋体" w:hAnsi="宋体"/>
          <w:bCs/>
          <w:color w:val="auto"/>
          <w:sz w:val="24"/>
          <w:highlight w:val="none"/>
        </w:rPr>
        <w:t>投标人只有在“政府采购云平台”完成获取招标文件申请并下载招标文件后才视作依法参与本项目。如未在“政府采购云平台”内完成相关流程，引起的投标无效责任自负。</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（3）首次登录政府采购云平台的新用户应先点击“供应商入驻”，入驻成功后再登录。报名资格不能转让。</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4）本项目为电子招标投标项目，投标人参与本项目全过程中凡涉及系统操作请详见《供应商政府采购项目电子交易操作指南》。（操作指南以政府采购云平台网站发布为准，获取方式详见：附件-政府采购云平台使用介绍）</w:t>
      </w:r>
    </w:p>
    <w:p>
      <w:pPr>
        <w:spacing w:line="360" w:lineRule="auto"/>
        <w:ind w:firstLine="482" w:firstLineChars="200"/>
        <w:rPr>
          <w:rFonts w:ascii="宋体" w:hAnsi="宋体" w:cs="宋体"/>
          <w:color w:val="auto"/>
          <w:sz w:val="24"/>
          <w:szCs w:val="28"/>
          <w:highlight w:val="none"/>
        </w:rPr>
      </w:pPr>
      <w:r>
        <w:rPr>
          <w:rFonts w:hint="eastAsia" w:ascii="宋体" w:hAnsi="宋体" w:cs="宋体"/>
          <w:b/>
          <w:color w:val="auto"/>
          <w:sz w:val="24"/>
          <w:szCs w:val="28"/>
          <w:highlight w:val="none"/>
        </w:rPr>
        <w:t>七、</w:t>
      </w:r>
      <w:r>
        <w:rPr>
          <w:rFonts w:hint="eastAsia" w:ascii="宋体" w:hAnsi="宋体" w:cs="宋体"/>
          <w:bCs/>
          <w:color w:val="auto"/>
          <w:sz w:val="24"/>
          <w:szCs w:val="28"/>
          <w:highlight w:val="none"/>
        </w:rPr>
        <w:t>（一）</w:t>
      </w:r>
      <w:r>
        <w:rPr>
          <w:rFonts w:hint="eastAsia" w:ascii="宋体" w:hAnsi="宋体"/>
          <w:b/>
          <w:bCs/>
          <w:color w:val="auto"/>
          <w:sz w:val="24"/>
          <w:highlight w:val="none"/>
        </w:rPr>
        <w:t>投标文件递交截止时间和开标时间</w:t>
      </w:r>
      <w:r>
        <w:rPr>
          <w:rFonts w:hint="eastAsia" w:ascii="宋体" w:hAnsi="宋体" w:cs="宋体"/>
          <w:b/>
          <w:color w:val="auto"/>
          <w:sz w:val="24"/>
          <w:highlight w:val="none"/>
        </w:rPr>
        <w:t>：</w:t>
      </w:r>
      <w:r>
        <w:rPr>
          <w:rFonts w:hint="eastAsia" w:ascii="宋体" w:hAnsi="宋体" w:cs="宋体"/>
          <w:b/>
          <w:bCs/>
          <w:color w:val="auto"/>
          <w:sz w:val="24"/>
          <w:highlight w:val="none"/>
        </w:rPr>
        <w:t>2022年1月1</w:t>
      </w:r>
      <w:r>
        <w:rPr>
          <w:rFonts w:hint="eastAsia" w:ascii="宋体" w:hAnsi="宋体" w:cs="宋体"/>
          <w:b/>
          <w:bCs/>
          <w:color w:val="auto"/>
          <w:sz w:val="24"/>
          <w:highlight w:val="none"/>
          <w:lang w:val="en-US" w:eastAsia="zh-CN"/>
        </w:rPr>
        <w:t>7</w:t>
      </w:r>
      <w:r>
        <w:rPr>
          <w:rFonts w:hint="eastAsia" w:ascii="宋体" w:hAnsi="宋体" w:cs="宋体"/>
          <w:b/>
          <w:bCs/>
          <w:color w:val="auto"/>
          <w:sz w:val="24"/>
          <w:highlight w:val="none"/>
        </w:rPr>
        <w:t>日11:00</w:t>
      </w:r>
      <w:r>
        <w:rPr>
          <w:rFonts w:hint="eastAsia" w:ascii="宋体" w:hAnsi="宋体" w:cs="宋体"/>
          <w:color w:val="auto"/>
          <w:sz w:val="24"/>
          <w:szCs w:val="28"/>
          <w:highlight w:val="none"/>
        </w:rPr>
        <w:t>（北京时间）</w:t>
      </w:r>
      <w:r>
        <w:rPr>
          <w:rFonts w:hint="eastAsia" w:ascii="宋体" w:hAnsi="宋体"/>
          <w:bCs/>
          <w:color w:val="auto"/>
          <w:sz w:val="24"/>
          <w:highlight w:val="none"/>
        </w:rPr>
        <w:t>（自招标文件开始发放之日起至投标人提交投标文件截止之日止，不得少于20日）</w:t>
      </w:r>
      <w:r>
        <w:rPr>
          <w:rFonts w:hint="eastAsia" w:ascii="宋体" w:hAnsi="宋体" w:cs="宋体"/>
          <w:color w:val="auto"/>
          <w:sz w:val="24"/>
          <w:szCs w:val="28"/>
          <w:highlight w:val="none"/>
        </w:rPr>
        <w:t>。</w:t>
      </w:r>
    </w:p>
    <w:p>
      <w:pPr>
        <w:wordWrap w:val="0"/>
        <w:adjustRightInd w:val="0"/>
        <w:snapToGrid w:val="0"/>
        <w:spacing w:line="360" w:lineRule="auto"/>
        <w:ind w:firstLine="218" w:firstLineChars="91"/>
        <w:rPr>
          <w:rFonts w:ascii="宋体" w:hAnsi="宋体" w:cs="宋体"/>
          <w:color w:val="auto"/>
          <w:sz w:val="24"/>
          <w:highlight w:val="none"/>
        </w:rPr>
      </w:pPr>
      <w:r>
        <w:rPr>
          <w:rFonts w:hint="eastAsia" w:ascii="宋体" w:hAnsi="宋体" w:cs="宋体"/>
          <w:color w:val="auto"/>
          <w:sz w:val="24"/>
          <w:highlight w:val="none"/>
        </w:rPr>
        <w:t>（二）</w:t>
      </w:r>
      <w:r>
        <w:rPr>
          <w:rFonts w:hint="eastAsia" w:ascii="宋体" w:hAnsi="宋体"/>
          <w:b/>
          <w:bCs/>
          <w:color w:val="auto"/>
          <w:sz w:val="24"/>
          <w:highlight w:val="none"/>
        </w:rPr>
        <w:t>投标文件递交地点：</w:t>
      </w:r>
      <w:r>
        <w:rPr>
          <w:rFonts w:hint="eastAsia" w:ascii="宋体" w:hAnsi="宋体" w:cs="宋体"/>
          <w:color w:val="auto"/>
          <w:sz w:val="24"/>
          <w:highlight w:val="none"/>
        </w:rPr>
        <w:t>投标截止时间前，投标人应将加密的电子投标文件递交至“政府采购云平台”对应项目（包件）。</w:t>
      </w:r>
    </w:p>
    <w:p>
      <w:pPr>
        <w:wordWrap w:val="0"/>
        <w:adjustRightInd w:val="0"/>
        <w:snapToGrid w:val="0"/>
        <w:spacing w:line="360" w:lineRule="auto"/>
        <w:ind w:firstLine="218" w:firstLineChars="91"/>
        <w:rPr>
          <w:rFonts w:ascii="宋体" w:hAnsi="宋体"/>
          <w:b/>
          <w:bCs/>
          <w:color w:val="auto"/>
          <w:sz w:val="24"/>
          <w:highlight w:val="none"/>
        </w:rPr>
      </w:pPr>
      <w:r>
        <w:rPr>
          <w:rFonts w:hint="eastAsia" w:ascii="宋体" w:hAnsi="宋体"/>
          <w:color w:val="auto"/>
          <w:sz w:val="24"/>
          <w:highlight w:val="none"/>
        </w:rPr>
        <w:t>（三）</w:t>
      </w:r>
      <w:r>
        <w:rPr>
          <w:rFonts w:hint="eastAsia" w:ascii="宋体" w:hAnsi="宋体"/>
          <w:b/>
          <w:bCs/>
          <w:color w:val="auto"/>
          <w:sz w:val="24"/>
          <w:highlight w:val="none"/>
        </w:rPr>
        <w:t>开标地点：</w:t>
      </w:r>
    </w:p>
    <w:p>
      <w:pPr>
        <w:wordWrap w:val="0"/>
        <w:adjustRightInd w:val="0"/>
        <w:snapToGrid w:val="0"/>
        <w:spacing w:line="360" w:lineRule="auto"/>
        <w:ind w:firstLine="218" w:firstLineChars="91"/>
        <w:rPr>
          <w:rFonts w:ascii="宋体" w:hAnsi="宋体"/>
          <w:color w:val="auto"/>
          <w:sz w:val="24"/>
          <w:highlight w:val="none"/>
        </w:rPr>
      </w:pPr>
      <w:r>
        <w:rPr>
          <w:rFonts w:hint="eastAsia" w:ascii="宋体" w:hAnsi="宋体"/>
          <w:color w:val="auto"/>
          <w:sz w:val="24"/>
          <w:highlight w:val="none"/>
        </w:rPr>
        <w:t>（1）本项目为不见面开标项目。</w:t>
      </w:r>
    </w:p>
    <w:p>
      <w:pPr>
        <w:wordWrap w:val="0"/>
        <w:adjustRightInd w:val="0"/>
        <w:snapToGrid w:val="0"/>
        <w:spacing w:line="360" w:lineRule="auto"/>
        <w:ind w:firstLine="218" w:firstLineChars="91"/>
        <w:rPr>
          <w:rFonts w:ascii="宋体" w:hAnsi="宋体"/>
          <w:color w:val="auto"/>
          <w:sz w:val="24"/>
          <w:highlight w:val="none"/>
        </w:rPr>
      </w:pPr>
      <w:r>
        <w:rPr>
          <w:rFonts w:hint="eastAsia" w:ascii="宋体" w:hAnsi="宋体"/>
          <w:color w:val="auto"/>
          <w:sz w:val="24"/>
          <w:highlight w:val="none"/>
        </w:rPr>
        <w:t>（2）开标地点：政府采购云平台(https://www.zcygov.cn)</w:t>
      </w:r>
    </w:p>
    <w:p>
      <w:pPr>
        <w:wordWrap w:val="0"/>
        <w:adjustRightInd w:val="0"/>
        <w:snapToGrid w:val="0"/>
        <w:spacing w:line="360" w:lineRule="auto"/>
        <w:ind w:firstLine="218" w:firstLineChars="91"/>
        <w:rPr>
          <w:rFonts w:ascii="宋体" w:hAnsi="宋体" w:cs="宋体"/>
          <w:color w:val="auto"/>
          <w:sz w:val="24"/>
          <w:highlight w:val="none"/>
        </w:rPr>
      </w:pPr>
      <w:r>
        <w:rPr>
          <w:rFonts w:hint="eastAsia" w:ascii="宋体" w:hAnsi="宋体"/>
          <w:color w:val="auto"/>
          <w:sz w:val="24"/>
          <w:highlight w:val="none"/>
        </w:rPr>
        <w:t>（3）本项目只接受投标人加密并递交至“政府采购云平台”的投标文件。</w:t>
      </w:r>
    </w:p>
    <w:p>
      <w:pPr>
        <w:pStyle w:val="87"/>
        <w:ind w:firstLine="482"/>
        <w:rPr>
          <w:rFonts w:ascii="宋体" w:hAnsi="宋体" w:cs="宋体"/>
          <w:color w:val="auto"/>
          <w:sz w:val="24"/>
          <w:highlight w:val="none"/>
        </w:rPr>
      </w:pPr>
      <w:r>
        <w:rPr>
          <w:rFonts w:hint="eastAsia" w:ascii="宋体" w:hAnsi="宋体" w:cs="宋体"/>
          <w:b/>
          <w:color w:val="auto"/>
          <w:sz w:val="24"/>
          <w:highlight w:val="none"/>
        </w:rPr>
        <w:t>八、本投标邀请在四川政府采购网（http://www.ccgp-sichuan.gov.cn/）上以公告形式发布。</w:t>
      </w:r>
    </w:p>
    <w:p>
      <w:pPr>
        <w:pStyle w:val="87"/>
        <w:spacing w:line="420" w:lineRule="exact"/>
        <w:ind w:firstLine="482"/>
        <w:rPr>
          <w:rFonts w:ascii="宋体" w:hAnsi="宋体" w:cs="宋体"/>
          <w:b/>
          <w:color w:val="auto"/>
          <w:sz w:val="24"/>
          <w:szCs w:val="28"/>
          <w:highlight w:val="none"/>
        </w:rPr>
      </w:pPr>
      <w:r>
        <w:rPr>
          <w:rFonts w:hint="eastAsia" w:ascii="宋体" w:hAnsi="宋体" w:cs="宋体"/>
          <w:b/>
          <w:color w:val="auto"/>
          <w:sz w:val="24"/>
          <w:szCs w:val="28"/>
          <w:highlight w:val="none"/>
        </w:rPr>
        <w:t>九、供应商信用融资：</w:t>
      </w:r>
    </w:p>
    <w:p>
      <w:pPr>
        <w:pStyle w:val="87"/>
        <w:tabs>
          <w:tab w:val="left" w:pos="1260"/>
        </w:tabs>
        <w:ind w:firstLine="679" w:firstLineChars="283"/>
        <w:rPr>
          <w:rFonts w:ascii="宋体" w:hAnsi="宋体" w:cs="宋体"/>
          <w:color w:val="auto"/>
          <w:sz w:val="24"/>
          <w:highlight w:val="none"/>
        </w:rPr>
      </w:pPr>
      <w:r>
        <w:rPr>
          <w:rFonts w:hint="eastAsia" w:ascii="宋体" w:hAnsi="宋体" w:cs="宋体"/>
          <w:color w:val="auto"/>
          <w:sz w:val="24"/>
          <w:highlight w:val="none"/>
        </w:rPr>
        <w:t>1、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w:t>
      </w:r>
    </w:p>
    <w:p>
      <w:pPr>
        <w:pStyle w:val="87"/>
        <w:tabs>
          <w:tab w:val="left" w:pos="1260"/>
        </w:tabs>
        <w:ind w:firstLine="679" w:firstLineChars="283"/>
        <w:rPr>
          <w:rFonts w:ascii="宋体" w:hAnsi="宋体" w:cs="宋体"/>
          <w:color w:val="auto"/>
          <w:sz w:val="24"/>
          <w:highlight w:val="none"/>
        </w:rPr>
      </w:pPr>
      <w:r>
        <w:rPr>
          <w:rFonts w:hint="eastAsia" w:ascii="宋体" w:hAnsi="宋体" w:cs="宋体"/>
          <w:color w:val="auto"/>
          <w:sz w:val="24"/>
          <w:highlight w:val="none"/>
        </w:rPr>
        <w:t>2、为有效缓解中小企业融资难、融资贵问题，成都市财政局、中国人民银行成都分行营业管理部制定了《成都市中小企业政府采购信用融资暂行办法》和《成都市级支持中小企业政府采购信用融资实施方案》，成都市范围内政府采购项目中标（成交）的中小微企业可向开展政府采购信用融资业务的银行提出融资申请（。</w:t>
      </w:r>
    </w:p>
    <w:p>
      <w:pPr>
        <w:pStyle w:val="87"/>
        <w:tabs>
          <w:tab w:val="left" w:pos="1260"/>
        </w:tabs>
        <w:ind w:firstLine="679" w:firstLineChars="283"/>
        <w:rPr>
          <w:rFonts w:ascii="宋体" w:hAnsi="宋体" w:cs="宋体"/>
          <w:color w:val="auto"/>
          <w:sz w:val="24"/>
          <w:highlight w:val="none"/>
        </w:rPr>
      </w:pPr>
      <w:r>
        <w:rPr>
          <w:rFonts w:hint="eastAsia" w:ascii="宋体" w:hAnsi="宋体" w:cs="宋体"/>
          <w:color w:val="auto"/>
          <w:sz w:val="24"/>
          <w:highlight w:val="none"/>
        </w:rPr>
        <w:t>3、在四川省、成都市确定的首期开展“政采贷”业务银行的基础上，双流区另有10家银行机构自愿开展政府采购信用融资业务，双流区银行机构名单如下：</w:t>
      </w:r>
    </w:p>
    <w:p>
      <w:pPr>
        <w:pStyle w:val="87"/>
        <w:tabs>
          <w:tab w:val="left" w:pos="1260"/>
        </w:tabs>
        <w:ind w:firstLine="679" w:firstLineChars="283"/>
        <w:rPr>
          <w:rFonts w:ascii="宋体" w:hAnsi="宋体" w:cs="宋体"/>
          <w:color w:val="auto"/>
          <w:sz w:val="24"/>
          <w:highlight w:val="none"/>
        </w:rPr>
      </w:pPr>
      <w:r>
        <w:rPr>
          <w:rFonts w:hint="eastAsia" w:ascii="宋体" w:hAnsi="宋体" w:cs="宋体"/>
          <w:color w:val="auto"/>
          <w:sz w:val="24"/>
          <w:highlight w:val="none"/>
        </w:rPr>
        <w:t xml:space="preserve">1.成都银行双流支行  </w:t>
      </w:r>
    </w:p>
    <w:p>
      <w:pPr>
        <w:pStyle w:val="87"/>
        <w:tabs>
          <w:tab w:val="left" w:pos="1260"/>
        </w:tabs>
        <w:ind w:firstLine="679" w:firstLineChars="283"/>
        <w:rPr>
          <w:rFonts w:ascii="宋体" w:hAnsi="宋体" w:cs="宋体"/>
          <w:color w:val="auto"/>
          <w:sz w:val="24"/>
          <w:highlight w:val="none"/>
        </w:rPr>
      </w:pPr>
      <w:r>
        <w:rPr>
          <w:rFonts w:hint="eastAsia" w:ascii="宋体" w:hAnsi="宋体" w:cs="宋体"/>
          <w:color w:val="auto"/>
          <w:sz w:val="24"/>
          <w:highlight w:val="none"/>
        </w:rPr>
        <w:t xml:space="preserve">2.中国建设银行双流分行 </w:t>
      </w:r>
    </w:p>
    <w:p>
      <w:pPr>
        <w:pStyle w:val="87"/>
        <w:tabs>
          <w:tab w:val="left" w:pos="1260"/>
        </w:tabs>
        <w:ind w:firstLine="679" w:firstLineChars="283"/>
        <w:rPr>
          <w:rFonts w:ascii="宋体" w:hAnsi="宋体" w:cs="宋体"/>
          <w:color w:val="auto"/>
          <w:sz w:val="24"/>
          <w:highlight w:val="none"/>
        </w:rPr>
      </w:pPr>
      <w:r>
        <w:rPr>
          <w:rFonts w:hint="eastAsia" w:ascii="宋体" w:hAnsi="宋体" w:cs="宋体"/>
          <w:color w:val="auto"/>
          <w:sz w:val="24"/>
          <w:highlight w:val="none"/>
        </w:rPr>
        <w:t>3.交通银行双流分行</w:t>
      </w:r>
    </w:p>
    <w:p>
      <w:pPr>
        <w:pStyle w:val="87"/>
        <w:tabs>
          <w:tab w:val="left" w:pos="1260"/>
        </w:tabs>
        <w:ind w:firstLine="679" w:firstLineChars="283"/>
        <w:rPr>
          <w:rFonts w:ascii="宋体" w:hAnsi="宋体" w:cs="宋体"/>
          <w:color w:val="auto"/>
          <w:sz w:val="24"/>
          <w:highlight w:val="none"/>
        </w:rPr>
      </w:pPr>
      <w:r>
        <w:rPr>
          <w:rFonts w:hint="eastAsia" w:ascii="宋体" w:hAnsi="宋体" w:cs="宋体"/>
          <w:color w:val="auto"/>
          <w:sz w:val="24"/>
          <w:highlight w:val="none"/>
        </w:rPr>
        <w:t>4.中国农业银行双流支行</w:t>
      </w:r>
    </w:p>
    <w:p>
      <w:pPr>
        <w:pStyle w:val="87"/>
        <w:tabs>
          <w:tab w:val="left" w:pos="1260"/>
        </w:tabs>
        <w:ind w:firstLine="679" w:firstLineChars="283"/>
        <w:rPr>
          <w:rFonts w:ascii="宋体" w:hAnsi="宋体" w:cs="宋体"/>
          <w:color w:val="auto"/>
          <w:sz w:val="24"/>
          <w:highlight w:val="none"/>
        </w:rPr>
      </w:pPr>
      <w:r>
        <w:rPr>
          <w:rFonts w:hint="eastAsia" w:ascii="宋体" w:hAnsi="宋体" w:cs="宋体"/>
          <w:color w:val="auto"/>
          <w:sz w:val="24"/>
          <w:highlight w:val="none"/>
        </w:rPr>
        <w:t>5.成都农商银行双流支行</w:t>
      </w:r>
    </w:p>
    <w:p>
      <w:pPr>
        <w:pStyle w:val="87"/>
        <w:tabs>
          <w:tab w:val="left" w:pos="1260"/>
        </w:tabs>
        <w:ind w:firstLine="679" w:firstLineChars="283"/>
        <w:rPr>
          <w:rFonts w:ascii="宋体" w:hAnsi="宋体" w:cs="宋体"/>
          <w:color w:val="auto"/>
          <w:sz w:val="24"/>
          <w:highlight w:val="none"/>
        </w:rPr>
      </w:pPr>
      <w:r>
        <w:rPr>
          <w:rFonts w:hint="eastAsia" w:ascii="宋体" w:hAnsi="宋体" w:cs="宋体"/>
          <w:color w:val="auto"/>
          <w:sz w:val="24"/>
          <w:highlight w:val="none"/>
        </w:rPr>
        <w:t>6.中国银行双流分行</w:t>
      </w:r>
    </w:p>
    <w:p>
      <w:pPr>
        <w:pStyle w:val="87"/>
        <w:tabs>
          <w:tab w:val="left" w:pos="1260"/>
        </w:tabs>
        <w:ind w:firstLine="679" w:firstLineChars="283"/>
        <w:rPr>
          <w:rFonts w:ascii="宋体" w:hAnsi="宋体" w:cs="宋体"/>
          <w:color w:val="auto"/>
          <w:sz w:val="24"/>
          <w:highlight w:val="none"/>
        </w:rPr>
      </w:pPr>
      <w:r>
        <w:rPr>
          <w:rFonts w:hint="eastAsia" w:ascii="宋体" w:hAnsi="宋体" w:cs="宋体"/>
          <w:color w:val="auto"/>
          <w:sz w:val="24"/>
          <w:highlight w:val="none"/>
        </w:rPr>
        <w:t>7.上海银行成都双流支行</w:t>
      </w:r>
    </w:p>
    <w:p>
      <w:pPr>
        <w:pStyle w:val="87"/>
        <w:tabs>
          <w:tab w:val="left" w:pos="1260"/>
        </w:tabs>
        <w:ind w:firstLine="679" w:firstLineChars="283"/>
        <w:rPr>
          <w:rFonts w:ascii="宋体" w:hAnsi="宋体" w:cs="宋体"/>
          <w:color w:val="auto"/>
          <w:sz w:val="24"/>
          <w:highlight w:val="none"/>
        </w:rPr>
      </w:pPr>
      <w:r>
        <w:rPr>
          <w:rFonts w:hint="eastAsia" w:ascii="宋体" w:hAnsi="宋体" w:cs="宋体"/>
          <w:color w:val="auto"/>
          <w:sz w:val="24"/>
          <w:highlight w:val="none"/>
        </w:rPr>
        <w:t>8.浙商银行成都双流支行</w:t>
      </w:r>
    </w:p>
    <w:p>
      <w:pPr>
        <w:pStyle w:val="87"/>
        <w:tabs>
          <w:tab w:val="left" w:pos="1260"/>
        </w:tabs>
        <w:ind w:firstLine="679" w:firstLineChars="283"/>
        <w:rPr>
          <w:rFonts w:ascii="宋体" w:hAnsi="宋体" w:cs="宋体"/>
          <w:color w:val="auto"/>
          <w:sz w:val="24"/>
          <w:highlight w:val="none"/>
        </w:rPr>
      </w:pPr>
      <w:r>
        <w:rPr>
          <w:rFonts w:hint="eastAsia" w:ascii="宋体" w:hAnsi="宋体" w:cs="宋体"/>
          <w:color w:val="auto"/>
          <w:sz w:val="24"/>
          <w:highlight w:val="none"/>
        </w:rPr>
        <w:t>9.中国工商银行成都双流支行</w:t>
      </w:r>
    </w:p>
    <w:p>
      <w:pPr>
        <w:pStyle w:val="87"/>
        <w:tabs>
          <w:tab w:val="left" w:pos="1260"/>
        </w:tabs>
        <w:ind w:firstLine="679" w:firstLineChars="283"/>
        <w:rPr>
          <w:rFonts w:ascii="宋体" w:hAnsi="宋体" w:cs="宋体"/>
          <w:color w:val="auto"/>
          <w:sz w:val="24"/>
          <w:highlight w:val="none"/>
        </w:rPr>
      </w:pPr>
      <w:r>
        <w:rPr>
          <w:rFonts w:hint="eastAsia" w:ascii="宋体" w:hAnsi="宋体" w:cs="宋体"/>
          <w:color w:val="auto"/>
          <w:sz w:val="24"/>
          <w:highlight w:val="none"/>
        </w:rPr>
        <w:t>10.中国邮政储蓄银行成都双流支行</w:t>
      </w:r>
    </w:p>
    <w:p>
      <w:pPr>
        <w:pStyle w:val="87"/>
        <w:ind w:firstLine="482"/>
        <w:rPr>
          <w:rFonts w:ascii="宋体" w:hAnsi="宋体" w:cs="宋体"/>
          <w:b/>
          <w:color w:val="auto"/>
          <w:sz w:val="24"/>
          <w:highlight w:val="none"/>
        </w:rPr>
      </w:pPr>
      <w:r>
        <w:rPr>
          <w:rFonts w:hint="eastAsia" w:ascii="宋体" w:hAnsi="宋体" w:cs="宋体"/>
          <w:b/>
          <w:color w:val="auto"/>
          <w:sz w:val="24"/>
          <w:highlight w:val="none"/>
        </w:rPr>
        <w:t>十、联系方式</w:t>
      </w:r>
    </w:p>
    <w:p>
      <w:pPr>
        <w:pStyle w:val="87"/>
        <w:ind w:firstLine="923" w:firstLineChars="383"/>
        <w:jc w:val="left"/>
        <w:rPr>
          <w:rFonts w:ascii="宋体" w:hAnsi="宋体" w:cs="宋体"/>
          <w:b/>
          <w:bCs/>
          <w:color w:val="auto"/>
          <w:sz w:val="24"/>
          <w:highlight w:val="none"/>
        </w:rPr>
      </w:pPr>
      <w:r>
        <w:rPr>
          <w:rFonts w:hint="eastAsia" w:ascii="宋体" w:hAnsi="宋体" w:cs="宋体"/>
          <w:b/>
          <w:color w:val="auto"/>
          <w:sz w:val="24"/>
          <w:highlight w:val="none"/>
        </w:rPr>
        <w:t>采购人：</w:t>
      </w:r>
      <w:r>
        <w:rPr>
          <w:rFonts w:hint="eastAsia" w:ascii="宋体" w:hAnsi="宋体" w:cs="宋体"/>
          <w:color w:val="auto"/>
          <w:sz w:val="24"/>
          <w:highlight w:val="none"/>
        </w:rPr>
        <w:t>成都市双流区妇幼保健院</w:t>
      </w:r>
    </w:p>
    <w:p>
      <w:pPr>
        <w:pStyle w:val="87"/>
        <w:ind w:firstLine="919" w:firstLineChars="383"/>
        <w:jc w:val="left"/>
        <w:rPr>
          <w:rFonts w:ascii="宋体" w:hAnsi="宋体" w:cs="宋体"/>
          <w:color w:val="auto"/>
          <w:sz w:val="24"/>
          <w:highlight w:val="none"/>
        </w:rPr>
      </w:pPr>
      <w:r>
        <w:rPr>
          <w:rFonts w:hint="eastAsia" w:ascii="宋体" w:hAnsi="宋体" w:cs="宋体"/>
          <w:color w:val="auto"/>
          <w:sz w:val="24"/>
          <w:highlight w:val="none"/>
        </w:rPr>
        <w:t>地址：成都市双流区东升街道涧槽中街396号</w:t>
      </w:r>
    </w:p>
    <w:p>
      <w:pPr>
        <w:pStyle w:val="87"/>
        <w:ind w:firstLine="919" w:firstLineChars="383"/>
        <w:jc w:val="left"/>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olor w:val="auto"/>
          <w:sz w:val="24"/>
          <w:highlight w:val="none"/>
        </w:rPr>
        <w:t>郭老师</w:t>
      </w:r>
    </w:p>
    <w:p>
      <w:pPr>
        <w:pStyle w:val="87"/>
        <w:ind w:firstLine="919" w:firstLineChars="383"/>
        <w:jc w:val="left"/>
        <w:rPr>
          <w:rFonts w:ascii="宋体" w:hAnsi="宋体" w:cs="宋体"/>
          <w:color w:val="auto"/>
          <w:sz w:val="24"/>
          <w:highlight w:val="none"/>
        </w:rPr>
      </w:pPr>
      <w:r>
        <w:rPr>
          <w:rFonts w:hint="eastAsia" w:ascii="宋体" w:hAnsi="宋体" w:cs="宋体"/>
          <w:color w:val="auto"/>
          <w:sz w:val="24"/>
          <w:highlight w:val="none"/>
        </w:rPr>
        <w:t>联系电话：028-85813145</w:t>
      </w:r>
    </w:p>
    <w:p>
      <w:pPr>
        <w:pStyle w:val="87"/>
        <w:ind w:firstLine="894" w:firstLineChars="371"/>
        <w:jc w:val="left"/>
        <w:rPr>
          <w:rFonts w:ascii="宋体" w:hAnsi="宋体" w:cs="宋体"/>
          <w:b/>
          <w:color w:val="auto"/>
          <w:sz w:val="24"/>
          <w:highlight w:val="none"/>
        </w:rPr>
      </w:pPr>
      <w:r>
        <w:rPr>
          <w:rFonts w:hint="eastAsia" w:ascii="宋体" w:hAnsi="宋体" w:cs="宋体"/>
          <w:b/>
          <w:color w:val="auto"/>
          <w:sz w:val="24"/>
          <w:highlight w:val="none"/>
        </w:rPr>
        <w:t>采购代理机构：</w:t>
      </w:r>
      <w:r>
        <w:rPr>
          <w:rFonts w:hint="eastAsia" w:ascii="宋体" w:hAnsi="宋体" w:cs="宋体"/>
          <w:color w:val="auto"/>
          <w:sz w:val="24"/>
          <w:highlight w:val="none"/>
        </w:rPr>
        <w:t>四川轩辕招标代理有限公司</w:t>
      </w:r>
    </w:p>
    <w:p>
      <w:pPr>
        <w:pStyle w:val="87"/>
        <w:ind w:firstLine="919" w:firstLineChars="383"/>
        <w:jc w:val="left"/>
        <w:rPr>
          <w:rFonts w:ascii="宋体" w:hAnsi="宋体" w:cs="宋体"/>
          <w:bCs/>
          <w:color w:val="auto"/>
          <w:sz w:val="24"/>
          <w:highlight w:val="none"/>
        </w:rPr>
      </w:pPr>
      <w:r>
        <w:rPr>
          <w:rFonts w:hint="eastAsia" w:ascii="宋体" w:hAnsi="宋体" w:cs="宋体"/>
          <w:color w:val="auto"/>
          <w:sz w:val="24"/>
          <w:highlight w:val="none"/>
        </w:rPr>
        <w:t>地址：</w:t>
      </w:r>
      <w:r>
        <w:rPr>
          <w:rFonts w:hint="eastAsia" w:ascii="宋体" w:hAnsi="宋体" w:cs="宋体"/>
          <w:bCs/>
          <w:color w:val="auto"/>
          <w:sz w:val="24"/>
          <w:highlight w:val="none"/>
        </w:rPr>
        <w:t>成都市锦江区墨香路87号8栋4楼</w:t>
      </w:r>
    </w:p>
    <w:p>
      <w:pPr>
        <w:pStyle w:val="87"/>
        <w:ind w:firstLine="919" w:firstLineChars="383"/>
        <w:jc w:val="left"/>
        <w:rPr>
          <w:rFonts w:ascii="宋体" w:hAnsi="宋体" w:cs="宋体"/>
          <w:color w:val="auto"/>
          <w:sz w:val="24"/>
          <w:highlight w:val="none"/>
        </w:rPr>
      </w:pPr>
      <w:r>
        <w:rPr>
          <w:rFonts w:hint="eastAsia" w:ascii="宋体" w:hAnsi="宋体" w:cs="宋体"/>
          <w:color w:val="auto"/>
          <w:sz w:val="24"/>
          <w:highlight w:val="none"/>
        </w:rPr>
        <w:t>联系人：李老师</w:t>
      </w:r>
    </w:p>
    <w:p>
      <w:pPr>
        <w:pStyle w:val="87"/>
        <w:ind w:firstLine="919" w:firstLineChars="383"/>
        <w:jc w:val="left"/>
        <w:rPr>
          <w:rFonts w:ascii="宋体" w:hAnsi="宋体" w:cs="宋体"/>
          <w:color w:val="auto"/>
          <w:sz w:val="24"/>
          <w:highlight w:val="none"/>
        </w:rPr>
      </w:pPr>
      <w:r>
        <w:rPr>
          <w:rFonts w:hint="eastAsia" w:ascii="宋体" w:hAnsi="宋体" w:cs="宋体"/>
          <w:color w:val="auto"/>
          <w:sz w:val="24"/>
          <w:highlight w:val="none"/>
        </w:rPr>
        <w:t>联系电话：</w:t>
      </w:r>
      <w:bookmarkStart w:id="3" w:name="_Toc490290179"/>
      <w:bookmarkStart w:id="4" w:name="_Toc213397009"/>
      <w:bookmarkStart w:id="5" w:name="_Toc213396945"/>
      <w:bookmarkStart w:id="6" w:name="_Toc213496267"/>
      <w:bookmarkStart w:id="7" w:name="_Toc213396759"/>
      <w:bookmarkStart w:id="8" w:name="_Toc217446031"/>
      <w:r>
        <w:rPr>
          <w:rFonts w:hint="eastAsia" w:ascii="宋体" w:hAnsi="宋体" w:cs="宋体"/>
          <w:color w:val="auto"/>
          <w:sz w:val="24"/>
          <w:highlight w:val="none"/>
        </w:rPr>
        <w:t>028-65731881</w:t>
      </w:r>
    </w:p>
    <w:p>
      <w:pPr>
        <w:pStyle w:val="33"/>
        <w:spacing w:line="360" w:lineRule="auto"/>
        <w:rPr>
          <w:rFonts w:ascii="宋体" w:hAnsi="宋体" w:cs="宋体"/>
          <w:color w:val="auto"/>
          <w:highlight w:val="none"/>
        </w:rPr>
      </w:pPr>
      <w:r>
        <w:rPr>
          <w:rFonts w:hint="eastAsia" w:ascii="宋体" w:hAnsi="宋体" w:cs="宋体"/>
          <w:color w:val="auto"/>
          <w:highlight w:val="none"/>
        </w:rPr>
        <w:br w:type="page"/>
      </w:r>
      <w:bookmarkStart w:id="9" w:name="_Toc12026"/>
      <w:bookmarkStart w:id="10" w:name="_Toc16547"/>
      <w:r>
        <w:rPr>
          <w:rFonts w:hint="eastAsia" w:ascii="宋体" w:hAnsi="宋体" w:cs="宋体"/>
          <w:color w:val="auto"/>
          <w:highlight w:val="none"/>
        </w:rPr>
        <w:t>第二章  投标人须知</w:t>
      </w:r>
      <w:bookmarkEnd w:id="3"/>
      <w:bookmarkEnd w:id="9"/>
      <w:bookmarkEnd w:id="10"/>
    </w:p>
    <w:p>
      <w:pPr>
        <w:pStyle w:val="4"/>
        <w:spacing w:line="360" w:lineRule="auto"/>
        <w:rPr>
          <w:rFonts w:ascii="宋体" w:hAnsi="宋体" w:cs="宋体"/>
          <w:b/>
          <w:color w:val="auto"/>
          <w:highlight w:val="none"/>
        </w:rPr>
      </w:pPr>
      <w:bookmarkStart w:id="11" w:name="_Toc30143"/>
      <w:bookmarkStart w:id="12" w:name="_Toc490290180"/>
      <w:bookmarkStart w:id="13" w:name="_Toc15053"/>
      <w:r>
        <w:rPr>
          <w:rFonts w:hint="eastAsia" w:ascii="宋体" w:hAnsi="宋体" w:cs="宋体"/>
          <w:b/>
          <w:color w:val="auto"/>
          <w:highlight w:val="none"/>
        </w:rPr>
        <w:t>一、投标人须知附表</w:t>
      </w:r>
      <w:bookmarkEnd w:id="11"/>
      <w:bookmarkEnd w:id="12"/>
      <w:bookmarkEnd w:id="13"/>
    </w:p>
    <w:tbl>
      <w:tblPr>
        <w:tblStyle w:val="35"/>
        <w:tblW w:w="9120"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547"/>
        <w:gridCol w:w="1985"/>
        <w:gridCol w:w="6588"/>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47" w:type="dxa"/>
            <w:vAlign w:val="center"/>
          </w:tcPr>
          <w:p>
            <w:pPr>
              <w:autoSpaceDE w:val="0"/>
              <w:autoSpaceDN w:val="0"/>
              <w:adjustRightInd w:val="0"/>
              <w:spacing w:line="360" w:lineRule="auto"/>
              <w:ind w:left="9"/>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985" w:type="dxa"/>
            <w:vAlign w:val="center"/>
          </w:tcPr>
          <w:p>
            <w:pPr>
              <w:autoSpaceDE w:val="0"/>
              <w:autoSpaceDN w:val="0"/>
              <w:adjustRightInd w:val="0"/>
              <w:spacing w:line="360" w:lineRule="auto"/>
              <w:ind w:left="38"/>
              <w:jc w:val="center"/>
              <w:rPr>
                <w:rFonts w:ascii="宋体" w:hAnsi="宋体" w:cs="宋体"/>
                <w:b/>
                <w:color w:val="auto"/>
                <w:szCs w:val="21"/>
                <w:highlight w:val="none"/>
              </w:rPr>
            </w:pPr>
            <w:r>
              <w:rPr>
                <w:rFonts w:hint="eastAsia" w:ascii="宋体" w:hAnsi="宋体" w:cs="宋体"/>
                <w:b/>
                <w:color w:val="auto"/>
                <w:szCs w:val="21"/>
                <w:highlight w:val="none"/>
              </w:rPr>
              <w:t>条款名称</w:t>
            </w:r>
          </w:p>
        </w:tc>
        <w:tc>
          <w:tcPr>
            <w:tcW w:w="6588" w:type="dxa"/>
            <w:vAlign w:val="center"/>
          </w:tcPr>
          <w:p>
            <w:pPr>
              <w:autoSpaceDE w:val="0"/>
              <w:autoSpaceDN w:val="0"/>
              <w:adjustRightIn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547" w:type="dxa"/>
            <w:vMerge w:val="restart"/>
            <w:vAlign w:val="center"/>
          </w:tcPr>
          <w:p>
            <w:pPr>
              <w:autoSpaceDE w:val="0"/>
              <w:autoSpaceDN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985" w:type="dxa"/>
            <w:tcBorders>
              <w:bottom w:val="single" w:color="auto" w:sz="4" w:space="0"/>
            </w:tcBorders>
            <w:vAlign w:val="center"/>
          </w:tcPr>
          <w:p>
            <w:pPr>
              <w:autoSpaceDE w:val="0"/>
              <w:autoSpaceDN w:val="0"/>
              <w:adjustRightInd w:val="0"/>
              <w:spacing w:before="156" w:beforeLines="50" w:line="360" w:lineRule="auto"/>
              <w:ind w:left="40"/>
              <w:jc w:val="center"/>
              <w:rPr>
                <w:rFonts w:ascii="宋体" w:hAnsi="宋体" w:cs="宋体"/>
                <w:color w:val="auto"/>
                <w:szCs w:val="21"/>
                <w:highlight w:val="none"/>
              </w:rPr>
            </w:pPr>
            <w:r>
              <w:rPr>
                <w:rFonts w:hint="eastAsia" w:ascii="宋体" w:hAnsi="宋体" w:cs="宋体"/>
                <w:color w:val="auto"/>
                <w:szCs w:val="21"/>
                <w:highlight w:val="none"/>
              </w:rPr>
              <w:t>采购预算</w:t>
            </w:r>
          </w:p>
          <w:p>
            <w:pPr>
              <w:autoSpaceDE w:val="0"/>
              <w:autoSpaceDN w:val="0"/>
              <w:adjustRightInd w:val="0"/>
              <w:spacing w:line="360" w:lineRule="auto"/>
              <w:ind w:left="38"/>
              <w:jc w:val="center"/>
              <w:rPr>
                <w:rFonts w:ascii="宋体" w:hAnsi="宋体" w:cs="宋体"/>
                <w:color w:val="auto"/>
                <w:szCs w:val="21"/>
                <w:highlight w:val="none"/>
              </w:rPr>
            </w:pPr>
            <w:r>
              <w:rPr>
                <w:rFonts w:hint="eastAsia" w:ascii="宋体" w:hAnsi="宋体" w:cs="宋体"/>
                <w:color w:val="auto"/>
                <w:kern w:val="0"/>
                <w:szCs w:val="21"/>
                <w:highlight w:val="none"/>
              </w:rPr>
              <w:t>（实质性要求）</w:t>
            </w:r>
          </w:p>
        </w:tc>
        <w:tc>
          <w:tcPr>
            <w:tcW w:w="6588" w:type="dxa"/>
            <w:tcBorders>
              <w:bottom w:val="single" w:color="auto" w:sz="4" w:space="0"/>
            </w:tcBorders>
            <w:vAlign w:val="center"/>
          </w:tcPr>
          <w:p>
            <w:pPr>
              <w:autoSpaceDE w:val="0"/>
              <w:autoSpaceDN w:val="0"/>
              <w:adjustRightInd w:val="0"/>
              <w:spacing w:line="360" w:lineRule="auto"/>
              <w:ind w:left="105" w:leftChars="50" w:right="105" w:rightChars="50"/>
              <w:rPr>
                <w:rFonts w:ascii="宋体" w:hAnsi="宋体" w:cs="宋体"/>
                <w:color w:val="auto"/>
                <w:kern w:val="0"/>
                <w:szCs w:val="21"/>
                <w:highlight w:val="none"/>
              </w:rPr>
            </w:pPr>
            <w:r>
              <w:rPr>
                <w:rFonts w:hint="eastAsia" w:ascii="宋体" w:hAnsi="宋体" w:cs="宋体"/>
                <w:color w:val="auto"/>
                <w:kern w:val="0"/>
                <w:szCs w:val="21"/>
                <w:highlight w:val="none"/>
              </w:rPr>
              <w:t>采购预算：637.078万元，（第一包：66.794万元，第二包：</w:t>
            </w:r>
            <w:r>
              <w:rPr>
                <w:rFonts w:hint="eastAsia" w:ascii="宋体" w:hAnsi="宋体" w:cs="宋体"/>
                <w:color w:val="auto"/>
                <w:kern w:val="0"/>
                <w:szCs w:val="21"/>
                <w:highlight w:val="none"/>
                <w:lang w:val="en-US" w:eastAsia="zh-CN"/>
              </w:rPr>
              <w:t>60.794</w:t>
            </w:r>
            <w:r>
              <w:rPr>
                <w:rFonts w:hint="eastAsia" w:ascii="宋体" w:hAnsi="宋体" w:cs="宋体"/>
                <w:color w:val="auto"/>
                <w:kern w:val="0"/>
                <w:szCs w:val="21"/>
                <w:highlight w:val="none"/>
              </w:rPr>
              <w:t>万元，第三包：55万元，第四包：</w:t>
            </w:r>
            <w:r>
              <w:rPr>
                <w:rFonts w:hint="eastAsia" w:ascii="宋体" w:hAnsi="宋体" w:cs="宋体"/>
                <w:color w:val="auto"/>
                <w:kern w:val="0"/>
                <w:szCs w:val="21"/>
                <w:highlight w:val="none"/>
                <w:lang w:val="en-US" w:eastAsia="zh-CN"/>
              </w:rPr>
              <w:t>50</w:t>
            </w:r>
            <w:r>
              <w:rPr>
                <w:rFonts w:hint="eastAsia" w:ascii="宋体" w:hAnsi="宋体" w:cs="宋体"/>
                <w:color w:val="auto"/>
                <w:kern w:val="0"/>
                <w:szCs w:val="21"/>
                <w:highlight w:val="none"/>
              </w:rPr>
              <w:t>万元，第五包：79.3万元，第六包：21.8万元，第七包：90万元，第八包：90万元，第九包：20万元，第十包：46.39万元，第十一包：57万元）。</w:t>
            </w:r>
          </w:p>
          <w:p>
            <w:pPr>
              <w:autoSpaceDE w:val="0"/>
              <w:autoSpaceDN w:val="0"/>
              <w:adjustRightInd w:val="0"/>
              <w:spacing w:line="360" w:lineRule="auto"/>
              <w:ind w:left="105" w:leftChars="50" w:right="105" w:rightChars="50"/>
              <w:rPr>
                <w:rFonts w:ascii="宋体" w:hAnsi="宋体" w:cs="宋体"/>
                <w:color w:val="auto"/>
                <w:kern w:val="0"/>
                <w:szCs w:val="21"/>
                <w:highlight w:val="none"/>
              </w:rPr>
            </w:pPr>
            <w:r>
              <w:rPr>
                <w:rFonts w:hint="eastAsia" w:ascii="宋体" w:hAnsi="宋体" w:cs="宋体"/>
                <w:color w:val="auto"/>
                <w:kern w:val="0"/>
                <w:szCs w:val="21"/>
                <w:highlight w:val="none"/>
              </w:rPr>
              <w:t>超过采购预算的投标为无效投标。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47" w:type="dxa"/>
            <w:vMerge w:val="continue"/>
            <w:vAlign w:val="center"/>
          </w:tcPr>
          <w:p>
            <w:pPr>
              <w:spacing w:line="360" w:lineRule="auto"/>
              <w:jc w:val="center"/>
              <w:rPr>
                <w:rFonts w:ascii="宋体" w:hAnsi="宋体" w:cs="宋体"/>
                <w:color w:val="auto"/>
                <w:szCs w:val="21"/>
                <w:highlight w:val="none"/>
              </w:rPr>
            </w:pPr>
          </w:p>
        </w:tc>
        <w:tc>
          <w:tcPr>
            <w:tcW w:w="1985" w:type="dxa"/>
            <w:tcBorders>
              <w:top w:val="single" w:color="auto" w:sz="4" w:space="0"/>
            </w:tcBorders>
            <w:vAlign w:val="center"/>
          </w:tcPr>
          <w:p>
            <w:pPr>
              <w:autoSpaceDE w:val="0"/>
              <w:autoSpaceDN w:val="0"/>
              <w:adjustRightInd w:val="0"/>
              <w:spacing w:before="156"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最高限价</w:t>
            </w:r>
          </w:p>
          <w:p>
            <w:pPr>
              <w:autoSpaceDE w:val="0"/>
              <w:autoSpaceDN w:val="0"/>
              <w:adjustRightInd w:val="0"/>
              <w:spacing w:line="360" w:lineRule="auto"/>
              <w:jc w:val="center"/>
              <w:rPr>
                <w:rFonts w:ascii="宋体" w:hAnsi="宋体" w:cs="宋体"/>
                <w:color w:val="auto"/>
                <w:szCs w:val="21"/>
                <w:highlight w:val="none"/>
              </w:rPr>
            </w:pPr>
            <w:r>
              <w:rPr>
                <w:rFonts w:hint="eastAsia" w:ascii="宋体" w:hAnsi="宋体" w:cs="宋体"/>
                <w:color w:val="auto"/>
                <w:kern w:val="0"/>
                <w:szCs w:val="21"/>
                <w:highlight w:val="none"/>
              </w:rPr>
              <w:t>（实质性要求）</w:t>
            </w:r>
          </w:p>
        </w:tc>
        <w:tc>
          <w:tcPr>
            <w:tcW w:w="6588" w:type="dxa"/>
            <w:tcBorders>
              <w:top w:val="single" w:color="auto" w:sz="4" w:space="0"/>
            </w:tcBorders>
            <w:vAlign w:val="center"/>
          </w:tcPr>
          <w:p>
            <w:pPr>
              <w:autoSpaceDE w:val="0"/>
              <w:autoSpaceDN w:val="0"/>
              <w:adjustRightInd w:val="0"/>
              <w:spacing w:line="360" w:lineRule="auto"/>
              <w:ind w:left="105" w:leftChars="50" w:right="105" w:rightChars="50"/>
              <w:rPr>
                <w:rFonts w:ascii="宋体" w:hAnsi="宋体" w:cs="宋体"/>
                <w:color w:val="auto"/>
                <w:kern w:val="0"/>
                <w:szCs w:val="21"/>
                <w:highlight w:val="none"/>
              </w:rPr>
            </w:pPr>
            <w:r>
              <w:rPr>
                <w:rFonts w:hint="eastAsia" w:ascii="宋体" w:hAnsi="宋体" w:cs="宋体"/>
                <w:color w:val="auto"/>
                <w:kern w:val="0"/>
                <w:szCs w:val="21"/>
                <w:highlight w:val="none"/>
              </w:rPr>
              <w:t>本项目最高限价为单价限价，各单价限价详见招标文件第六章采购清单，超过最高限价的报价为无效报价。（同时投标人报出总价，并以总价进行价格评审）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74" w:hRule="atLeast"/>
          <w:jc w:val="center"/>
        </w:trPr>
        <w:tc>
          <w:tcPr>
            <w:tcW w:w="547" w:type="dxa"/>
            <w:tcBorders>
              <w:bottom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985" w:type="dxa"/>
            <w:tcBorders>
              <w:top w:val="single" w:color="auto" w:sz="4" w:space="0"/>
              <w:bottom w:val="single" w:color="auto" w:sz="4" w:space="0"/>
            </w:tcBorders>
            <w:vAlign w:val="center"/>
          </w:tcPr>
          <w:p>
            <w:pPr>
              <w:autoSpaceDE w:val="0"/>
              <w:autoSpaceDN w:val="0"/>
              <w:adjustRightInd w:val="0"/>
              <w:spacing w:before="156" w:beforeLines="50" w:line="360" w:lineRule="auto"/>
              <w:ind w:left="40"/>
              <w:jc w:val="center"/>
              <w:rPr>
                <w:rFonts w:ascii="宋体" w:hAnsi="宋体" w:cs="宋体"/>
                <w:color w:val="auto"/>
                <w:szCs w:val="21"/>
                <w:highlight w:val="none"/>
                <w:lang w:val="zh-CN"/>
              </w:rPr>
            </w:pPr>
            <w:r>
              <w:rPr>
                <w:rFonts w:hint="eastAsia" w:ascii="宋体" w:hAnsi="宋体" w:cs="宋体"/>
                <w:color w:val="auto"/>
                <w:szCs w:val="21"/>
                <w:highlight w:val="none"/>
                <w:lang w:val="zh-CN"/>
              </w:rPr>
              <w:t>不正当</w:t>
            </w:r>
          </w:p>
          <w:p>
            <w:pPr>
              <w:autoSpaceDE w:val="0"/>
              <w:autoSpaceDN w:val="0"/>
              <w:adjustRightInd w:val="0"/>
              <w:spacing w:before="156" w:beforeLines="50" w:line="360" w:lineRule="auto"/>
              <w:ind w:left="40"/>
              <w:jc w:val="center"/>
              <w:rPr>
                <w:rFonts w:ascii="宋体" w:hAnsi="宋体" w:cs="宋体"/>
                <w:color w:val="auto"/>
                <w:szCs w:val="21"/>
                <w:highlight w:val="none"/>
                <w:lang w:val="zh-CN"/>
              </w:rPr>
            </w:pPr>
            <w:r>
              <w:rPr>
                <w:rFonts w:hint="eastAsia" w:ascii="宋体" w:hAnsi="宋体" w:cs="宋体"/>
                <w:color w:val="auto"/>
                <w:szCs w:val="21"/>
                <w:highlight w:val="none"/>
                <w:lang w:val="zh-CN"/>
              </w:rPr>
              <w:t>竞争预防措施</w:t>
            </w:r>
          </w:p>
          <w:p>
            <w:pPr>
              <w:autoSpaceDE w:val="0"/>
              <w:autoSpaceDN w:val="0"/>
              <w:adjustRightInd w:val="0"/>
              <w:spacing w:before="156" w:beforeLines="50" w:line="360" w:lineRule="auto"/>
              <w:ind w:left="40"/>
              <w:jc w:val="center"/>
              <w:rPr>
                <w:rFonts w:ascii="宋体" w:hAnsi="宋体" w:cs="宋体"/>
                <w:color w:val="auto"/>
                <w:szCs w:val="21"/>
                <w:highlight w:val="none"/>
                <w:lang w:val="zh-CN"/>
              </w:rPr>
            </w:pPr>
            <w:r>
              <w:rPr>
                <w:rFonts w:hint="eastAsia" w:ascii="宋体" w:hAnsi="宋体" w:cs="宋体"/>
                <w:color w:val="auto"/>
                <w:szCs w:val="21"/>
                <w:highlight w:val="none"/>
                <w:lang w:val="zh-CN"/>
              </w:rPr>
              <w:t>（实质性要求）</w:t>
            </w:r>
          </w:p>
        </w:tc>
        <w:tc>
          <w:tcPr>
            <w:tcW w:w="6588" w:type="dxa"/>
            <w:tcBorders>
              <w:top w:val="single" w:color="auto" w:sz="4" w:space="0"/>
              <w:bottom w:val="single" w:color="auto" w:sz="4" w:space="0"/>
            </w:tcBorders>
            <w:vAlign w:val="center"/>
          </w:tcPr>
          <w:p>
            <w:pPr>
              <w:autoSpaceDE w:val="0"/>
              <w:autoSpaceDN w:val="0"/>
              <w:adjustRightInd w:val="0"/>
              <w:spacing w:line="360" w:lineRule="auto"/>
              <w:ind w:left="105" w:leftChars="50" w:right="105" w:rightChars="50"/>
              <w:rPr>
                <w:rFonts w:ascii="宋体" w:hAnsi="宋体" w:cs="宋体"/>
                <w:color w:val="auto"/>
                <w:kern w:val="0"/>
                <w:szCs w:val="21"/>
                <w:highlight w:val="none"/>
              </w:rPr>
            </w:pPr>
            <w:bookmarkStart w:id="14" w:name="PO_默认文件内容_1"/>
            <w:r>
              <w:rPr>
                <w:rFonts w:hint="eastAsia" w:ascii="宋体" w:hAnsi="宋体" w:cs="宋体"/>
                <w:color w:val="auto"/>
                <w:kern w:val="0"/>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bookmarkEnd w:id="14"/>
            <w:r>
              <w:rPr>
                <w:rFonts w:hint="eastAsia" w:ascii="宋体" w:hAnsi="宋体" w:cs="宋体"/>
                <w:color w:val="auto"/>
                <w:kern w:val="0"/>
                <w:szCs w:val="21"/>
                <w:highlight w:val="none"/>
              </w:rPr>
              <w:t>注：</w:t>
            </w:r>
            <w:r>
              <w:rPr>
                <w:rFonts w:hint="eastAsia" w:ascii="宋体" w:hAnsi="宋体" w:cs="宋体"/>
                <w:color w:val="auto"/>
                <w:kern w:val="0"/>
                <w:szCs w:val="21"/>
                <w:highlight w:val="none"/>
                <w:lang w:val="zh-CN"/>
              </w:rPr>
              <w:t>投标人提交的书面说明、相关证明材料（如涉及），应当加盖投标人（法定名称）电子签章，在评标委员会要求的时间内通过政府采购云平台进行递交，否则无效（给予供应商澄清、说明的时间不得少于</w:t>
            </w:r>
            <w:r>
              <w:rPr>
                <w:rFonts w:hint="eastAsia" w:ascii="宋体" w:hAnsi="宋体" w:cs="宋体"/>
                <w:color w:val="auto"/>
                <w:kern w:val="0"/>
                <w:szCs w:val="21"/>
                <w:highlight w:val="none"/>
              </w:rPr>
              <w:t>30min，供应商已明确表示澄清、说明完毕的除外</w:t>
            </w:r>
            <w:r>
              <w:rPr>
                <w:rFonts w:hint="eastAsia" w:ascii="宋体" w:hAnsi="宋体" w:cs="宋体"/>
                <w:color w:val="auto"/>
                <w:kern w:val="0"/>
                <w:szCs w:val="21"/>
                <w:highlight w:val="none"/>
                <w:lang w:val="zh-CN"/>
              </w:rPr>
              <w:t>）。如因断电、断网、系统故障或其他不可抗力等因素，导致系统无法使用的，由投标人按评标委员会的要求进行澄清或者说明。</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547" w:type="dxa"/>
            <w:tcBorders>
              <w:top w:val="single" w:color="auto" w:sz="4" w:space="0"/>
            </w:tcBorders>
            <w:vAlign w:val="center"/>
          </w:tcPr>
          <w:p>
            <w:pPr>
              <w:autoSpaceDE w:val="0"/>
              <w:autoSpaceDN w:val="0"/>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3</w:t>
            </w:r>
          </w:p>
        </w:tc>
        <w:tc>
          <w:tcPr>
            <w:tcW w:w="1985" w:type="dxa"/>
            <w:tcBorders>
              <w:top w:val="single" w:color="auto" w:sz="4" w:space="0"/>
            </w:tcBorders>
            <w:vAlign w:val="center"/>
          </w:tcPr>
          <w:p>
            <w:pPr>
              <w:pStyle w:val="82"/>
              <w:ind w:left="38"/>
              <w:jc w:val="center"/>
              <w:rPr>
                <w:color w:val="auto"/>
                <w:kern w:val="2"/>
                <w:sz w:val="21"/>
                <w:szCs w:val="21"/>
                <w:highlight w:val="none"/>
                <w:lang w:val="zh-CN"/>
              </w:rPr>
            </w:pPr>
            <w:r>
              <w:rPr>
                <w:rFonts w:hint="eastAsia"/>
                <w:color w:val="auto"/>
                <w:kern w:val="2"/>
                <w:sz w:val="21"/>
                <w:szCs w:val="21"/>
                <w:highlight w:val="none"/>
                <w:lang w:val="zh-CN"/>
              </w:rPr>
              <w:t>进口产品（实质性要求）</w:t>
            </w:r>
          </w:p>
        </w:tc>
        <w:tc>
          <w:tcPr>
            <w:tcW w:w="6588" w:type="dxa"/>
            <w:tcBorders>
              <w:top w:val="single" w:color="auto" w:sz="4" w:space="0"/>
            </w:tcBorders>
            <w:vAlign w:val="center"/>
          </w:tcPr>
          <w:p>
            <w:pPr>
              <w:autoSpaceDE w:val="0"/>
              <w:autoSpaceDN w:val="0"/>
              <w:adjustRightInd w:val="0"/>
              <w:spacing w:line="360" w:lineRule="auto"/>
              <w:ind w:left="105" w:leftChars="50" w:right="105" w:rightChars="50"/>
              <w:jc w:val="left"/>
              <w:rPr>
                <w:rFonts w:ascii="宋体" w:hAnsi="宋体" w:cs="宋体"/>
                <w:color w:val="auto"/>
                <w:kern w:val="0"/>
                <w:szCs w:val="21"/>
                <w:highlight w:val="none"/>
              </w:rPr>
            </w:pPr>
            <w:r>
              <w:rPr>
                <w:rFonts w:hint="eastAsia" w:ascii="宋体" w:hAnsi="宋体" w:cs="宋体"/>
                <w:color w:val="auto"/>
                <w:kern w:val="0"/>
                <w:szCs w:val="21"/>
                <w:highlight w:val="none"/>
              </w:rPr>
              <w:t>本项目招标文件中未载明“允许采购进口产品”的产品，视为拒绝进口产品参与竞争，供应商以进口产品投标时，将按无效投标处理。载明“允许采购进口产品”的产品，不限制国产产品参与竞争。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47" w:type="dxa"/>
            <w:vAlign w:val="center"/>
          </w:tcPr>
          <w:p>
            <w:pPr>
              <w:autoSpaceDE w:val="0"/>
              <w:autoSpaceDN w:val="0"/>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rPr>
              <w:t>4</w:t>
            </w:r>
          </w:p>
        </w:tc>
        <w:tc>
          <w:tcPr>
            <w:tcW w:w="1985" w:type="dxa"/>
            <w:vAlign w:val="center"/>
          </w:tcPr>
          <w:p>
            <w:pPr>
              <w:autoSpaceDE w:val="0"/>
              <w:autoSpaceDN w:val="0"/>
              <w:adjustRightInd w:val="0"/>
              <w:spacing w:before="156" w:beforeLines="50" w:line="360" w:lineRule="auto"/>
              <w:ind w:left="40"/>
              <w:jc w:val="center"/>
              <w:rPr>
                <w:rFonts w:ascii="宋体" w:hAnsi="宋体" w:cs="宋体"/>
                <w:color w:val="auto"/>
                <w:szCs w:val="21"/>
                <w:highlight w:val="none"/>
              </w:rPr>
            </w:pPr>
            <w:r>
              <w:rPr>
                <w:rFonts w:hint="eastAsia" w:ascii="宋体" w:hAnsi="宋体" w:cs="宋体"/>
                <w:color w:val="auto"/>
                <w:szCs w:val="21"/>
                <w:highlight w:val="none"/>
                <w:lang w:val="zh-CN"/>
              </w:rPr>
              <w:t>小微企业（监狱企业、残疾人福利性单位视同小微企业）价格扣除</w:t>
            </w:r>
          </w:p>
        </w:tc>
        <w:tc>
          <w:tcPr>
            <w:tcW w:w="6588" w:type="dxa"/>
            <w:vAlign w:val="center"/>
          </w:tcPr>
          <w:p>
            <w:pPr>
              <w:spacing w:line="360" w:lineRule="auto"/>
              <w:ind w:right="105" w:rightChars="50"/>
              <w:rPr>
                <w:rFonts w:ascii="宋体" w:hAnsi="宋体" w:cs="宋体"/>
                <w:color w:val="auto"/>
                <w:szCs w:val="21"/>
                <w:highlight w:val="none"/>
              </w:rPr>
            </w:pPr>
            <w:r>
              <w:rPr>
                <w:rFonts w:hint="eastAsia" w:ascii="宋体" w:hAnsi="宋体" w:cs="宋体"/>
                <w:color w:val="auto"/>
                <w:szCs w:val="21"/>
                <w:highlight w:val="none"/>
              </w:rPr>
              <w:t>1、根据《政府采购促进中小企业发展管理办法》（财库﹝2020﹞46 号）的规定，对小型和微型企业产品（监狱企业和残疾人福利性单位视同小微企业）的价格给予10%的价格扣除，用扣除后的价格参与评审。</w:t>
            </w:r>
          </w:p>
          <w:p>
            <w:pPr>
              <w:spacing w:line="360" w:lineRule="auto"/>
              <w:ind w:right="105" w:rightChars="50"/>
              <w:rPr>
                <w:rFonts w:ascii="宋体" w:hAnsi="宋体" w:cs="宋体"/>
                <w:color w:val="auto"/>
                <w:szCs w:val="21"/>
                <w:highlight w:val="none"/>
              </w:rPr>
            </w:pPr>
            <w:r>
              <w:rPr>
                <w:rFonts w:hint="eastAsia" w:ascii="宋体" w:hAnsi="宋体" w:cs="宋体"/>
                <w:color w:val="auto"/>
                <w:szCs w:val="21"/>
                <w:highlight w:val="none"/>
              </w:rPr>
              <w:t xml:space="preserve">2、参加政府采购活动的中小企业应当提供《中小企业声明函》原件；若提供虚假《中小企业声明函》的，以提供虚假材料谋取成交予以认定。 </w:t>
            </w:r>
          </w:p>
          <w:p>
            <w:pPr>
              <w:spacing w:line="360" w:lineRule="auto"/>
              <w:ind w:right="105" w:rightChars="50"/>
              <w:rPr>
                <w:rFonts w:ascii="宋体" w:hAnsi="宋体" w:cs="宋体"/>
                <w:color w:val="auto"/>
                <w:szCs w:val="21"/>
                <w:highlight w:val="none"/>
              </w:rPr>
            </w:pPr>
            <w:r>
              <w:rPr>
                <w:rFonts w:hint="eastAsia" w:ascii="宋体" w:hAnsi="宋体" w:cs="宋体"/>
                <w:color w:val="auto"/>
                <w:szCs w:val="21"/>
                <w:highlight w:val="none"/>
              </w:rPr>
              <w:t>3、参加政府采购活动的监狱企业应当提供省级以上监狱管理局、戒毒管理局（含新疆生产建设兵团）出具的属于监狱企业的证明文件。监狱企业属于小型、微型企业的，不重复享受政策。</w:t>
            </w:r>
          </w:p>
          <w:p>
            <w:pPr>
              <w:spacing w:line="360" w:lineRule="auto"/>
              <w:ind w:right="105" w:rightChars="50"/>
              <w:rPr>
                <w:rFonts w:ascii="宋体" w:hAnsi="宋体" w:cs="宋体"/>
                <w:color w:val="auto"/>
                <w:szCs w:val="21"/>
                <w:highlight w:val="none"/>
              </w:rPr>
            </w:pPr>
            <w:r>
              <w:rPr>
                <w:rFonts w:hint="eastAsia" w:ascii="宋体" w:hAnsi="宋体" w:cs="宋体"/>
                <w:color w:val="auto"/>
                <w:szCs w:val="21"/>
                <w:highlight w:val="none"/>
              </w:rPr>
              <w:t xml:space="preserve">4、符合《关于促进残疾人就业政府采购政策的通知》（财库〔2017〕141 号）规定条件的残疾人福利性单位在参加政府采购活动时，应当提供《残疾人福利性单位声明函》，并对声明的真实性负责；若提供虚假《残疾人福利性单位声明函》的，以提供虚假材料谋取成交予以认定。残疾人福利性单位属于小型、微型企业的，不重复享受政策。 </w:t>
            </w:r>
          </w:p>
          <w:p>
            <w:pPr>
              <w:autoSpaceDE w:val="0"/>
              <w:autoSpaceDN w:val="0"/>
              <w:adjustRightInd w:val="0"/>
              <w:spacing w:line="360" w:lineRule="auto"/>
              <w:ind w:left="105" w:leftChars="50" w:right="105" w:rightChars="50"/>
              <w:jc w:val="left"/>
              <w:rPr>
                <w:rFonts w:ascii="宋体" w:hAnsi="宋体" w:cs="宋体"/>
                <w:color w:val="auto"/>
                <w:kern w:val="0"/>
                <w:szCs w:val="21"/>
                <w:highlight w:val="none"/>
              </w:rPr>
            </w:pPr>
            <w:r>
              <w:rPr>
                <w:rFonts w:hint="eastAsia" w:ascii="宋体" w:hAnsi="宋体" w:cs="宋体"/>
                <w:color w:val="auto"/>
                <w:szCs w:val="21"/>
                <w:highlight w:val="none"/>
              </w:rPr>
              <w:t>5、符合中小企业划型标准的个体工商户，在采购活动中视同中小企业。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47" w:type="dxa"/>
            <w:vAlign w:val="center"/>
          </w:tcPr>
          <w:p>
            <w:pPr>
              <w:autoSpaceDE w:val="0"/>
              <w:autoSpaceDN w:val="0"/>
              <w:adjustRightIn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1985" w:type="dxa"/>
            <w:vAlign w:val="center"/>
          </w:tcPr>
          <w:p>
            <w:pPr>
              <w:spacing w:line="360" w:lineRule="auto"/>
              <w:ind w:left="105" w:leftChars="50" w:right="105" w:rightChars="50"/>
              <w:jc w:val="center"/>
              <w:rPr>
                <w:rFonts w:ascii="宋体" w:hAnsi="宋体" w:cs="宋体"/>
                <w:color w:val="auto"/>
                <w:szCs w:val="21"/>
                <w:highlight w:val="none"/>
              </w:rPr>
            </w:pPr>
            <w:r>
              <w:rPr>
                <w:rFonts w:hint="eastAsia" w:ascii="宋体" w:hAnsi="宋体" w:cs="宋体"/>
                <w:color w:val="auto"/>
                <w:kern w:val="0"/>
                <w:szCs w:val="21"/>
                <w:highlight w:val="none"/>
              </w:rPr>
              <w:t>评标情况公告</w:t>
            </w:r>
          </w:p>
        </w:tc>
        <w:tc>
          <w:tcPr>
            <w:tcW w:w="6588" w:type="dxa"/>
            <w:vAlign w:val="center"/>
          </w:tcPr>
          <w:p>
            <w:pPr>
              <w:widowControl/>
              <w:spacing w:before="156" w:beforeLines="50" w:line="360" w:lineRule="auto"/>
              <w:ind w:left="105" w:leftChars="50" w:right="105" w:rightChars="50"/>
              <w:jc w:val="left"/>
              <w:rPr>
                <w:rFonts w:ascii="宋体" w:hAnsi="宋体" w:cs="宋体"/>
                <w:color w:val="auto"/>
                <w:szCs w:val="21"/>
                <w:highlight w:val="none"/>
              </w:rPr>
            </w:pPr>
            <w:r>
              <w:rPr>
                <w:rFonts w:hint="eastAsia" w:ascii="宋体" w:hAnsi="宋体" w:cs="宋体"/>
                <w:color w:val="auto"/>
                <w:kern w:val="0"/>
                <w:szCs w:val="21"/>
                <w:highlight w:val="none"/>
              </w:rPr>
              <w:t>所有供应商投标文件资格性、符合性检查情况、采用综合评分法时的总得分和分项汇总得分情况、评标结果等将在四川政府采购网上采购结果公告栏中予以公告。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47" w:type="dxa"/>
            <w:vAlign w:val="center"/>
          </w:tcPr>
          <w:p>
            <w:pPr>
              <w:autoSpaceDE w:val="0"/>
              <w:autoSpaceDN w:val="0"/>
              <w:adjustRightIn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1985" w:type="dxa"/>
            <w:vAlign w:val="center"/>
          </w:tcPr>
          <w:p>
            <w:pPr>
              <w:autoSpaceDE w:val="0"/>
              <w:autoSpaceDN w:val="0"/>
              <w:adjustRightInd w:val="0"/>
              <w:spacing w:line="360" w:lineRule="auto"/>
              <w:ind w:left="96"/>
              <w:jc w:val="cente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投标保证金</w:t>
            </w:r>
          </w:p>
        </w:tc>
        <w:tc>
          <w:tcPr>
            <w:tcW w:w="6588" w:type="dxa"/>
            <w:vAlign w:val="center"/>
          </w:tcPr>
          <w:p>
            <w:pPr>
              <w:autoSpaceDE w:val="0"/>
              <w:autoSpaceDN w:val="0"/>
              <w:adjustRightInd w:val="0"/>
              <w:spacing w:line="360" w:lineRule="auto"/>
              <w:ind w:left="105" w:leftChars="50" w:right="105" w:rightChars="5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本项目不收取。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89" w:hRule="atLeast"/>
          <w:jc w:val="center"/>
        </w:trPr>
        <w:tc>
          <w:tcPr>
            <w:tcW w:w="547" w:type="dxa"/>
            <w:tcBorders>
              <w:bottom w:val="single" w:color="auto" w:sz="4" w:space="0"/>
            </w:tcBorders>
            <w:vAlign w:val="center"/>
          </w:tcPr>
          <w:p>
            <w:pPr>
              <w:autoSpaceDE w:val="0"/>
              <w:autoSpaceDN w:val="0"/>
              <w:adjustRightIn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1985" w:type="dxa"/>
            <w:tcBorders>
              <w:bottom w:val="single" w:color="auto" w:sz="4" w:space="0"/>
            </w:tcBorders>
            <w:vAlign w:val="center"/>
          </w:tcPr>
          <w:p>
            <w:pPr>
              <w:autoSpaceDE w:val="0"/>
              <w:autoSpaceDN w:val="0"/>
              <w:adjustRightInd w:val="0"/>
              <w:spacing w:line="360" w:lineRule="auto"/>
              <w:ind w:left="105" w:leftChars="50" w:right="105" w:rightChars="50"/>
              <w:jc w:val="center"/>
              <w:rPr>
                <w:rFonts w:ascii="宋体" w:hAnsi="宋体" w:cs="宋体"/>
                <w:color w:val="auto"/>
                <w:kern w:val="0"/>
                <w:szCs w:val="21"/>
                <w:highlight w:val="none"/>
                <w:lang w:val="zh-CN"/>
              </w:rPr>
            </w:pPr>
            <w:r>
              <w:rPr>
                <w:rFonts w:hint="eastAsia" w:ascii="宋体" w:hAnsi="宋体" w:cs="宋体"/>
                <w:color w:val="auto"/>
                <w:kern w:val="0"/>
                <w:szCs w:val="21"/>
                <w:highlight w:val="none"/>
              </w:rPr>
              <w:t>履约保证金</w:t>
            </w:r>
          </w:p>
        </w:tc>
        <w:tc>
          <w:tcPr>
            <w:tcW w:w="6588" w:type="dxa"/>
            <w:tcBorders>
              <w:bottom w:val="single" w:color="auto" w:sz="4" w:space="0"/>
            </w:tcBorders>
            <w:vAlign w:val="center"/>
          </w:tcPr>
          <w:p>
            <w:pPr>
              <w:autoSpaceDE w:val="0"/>
              <w:autoSpaceDN w:val="0"/>
              <w:adjustRightInd w:val="0"/>
              <w:spacing w:line="360" w:lineRule="auto"/>
              <w:ind w:left="105" w:leftChars="50" w:right="105" w:rightChars="50"/>
              <w:jc w:val="left"/>
              <w:rPr>
                <w:rFonts w:ascii="宋体" w:hAnsi="宋体" w:cs="宋体"/>
                <w:color w:val="auto"/>
                <w:kern w:val="0"/>
                <w:szCs w:val="21"/>
                <w:highlight w:val="none"/>
                <w:lang w:val="zh-CN"/>
              </w:rPr>
            </w:pPr>
            <w:r>
              <w:rPr>
                <w:rFonts w:hint="eastAsia" w:ascii="宋体" w:hAnsi="宋体" w:cs="宋体"/>
                <w:color w:val="auto"/>
                <w:kern w:val="0"/>
                <w:szCs w:val="21"/>
                <w:highlight w:val="none"/>
              </w:rPr>
              <w:t>本项目</w:t>
            </w:r>
            <w:r>
              <w:rPr>
                <w:rFonts w:hint="eastAsia" w:ascii="宋体" w:hAnsi="宋体" w:cs="宋体"/>
                <w:color w:val="auto"/>
                <w:kern w:val="0"/>
                <w:szCs w:val="21"/>
                <w:highlight w:val="none"/>
                <w:lang w:val="zh-CN"/>
              </w:rPr>
              <w:t>不收取</w:t>
            </w:r>
            <w:r>
              <w:rPr>
                <w:rFonts w:hint="eastAsia" w:ascii="宋体" w:hAnsi="宋体" w:cs="宋体"/>
                <w:color w:val="auto"/>
                <w:kern w:val="0"/>
                <w:szCs w:val="21"/>
                <w:highlight w:val="none"/>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9" w:hRule="atLeast"/>
          <w:jc w:val="center"/>
        </w:trPr>
        <w:tc>
          <w:tcPr>
            <w:tcW w:w="547" w:type="dxa"/>
            <w:tcBorders>
              <w:top w:val="single" w:color="auto" w:sz="4" w:space="0"/>
            </w:tcBorders>
            <w:vAlign w:val="center"/>
          </w:tcPr>
          <w:p>
            <w:pPr>
              <w:autoSpaceDE w:val="0"/>
              <w:autoSpaceDN w:val="0"/>
              <w:adjustRightIn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1985" w:type="dxa"/>
            <w:tcBorders>
              <w:top w:val="single" w:color="auto" w:sz="4" w:space="0"/>
            </w:tcBorders>
            <w:vAlign w:val="center"/>
          </w:tcPr>
          <w:p>
            <w:pPr>
              <w:autoSpaceDE w:val="0"/>
              <w:autoSpaceDN w:val="0"/>
              <w:adjustRightInd w:val="0"/>
              <w:spacing w:line="360" w:lineRule="auto"/>
              <w:ind w:left="96"/>
              <w:jc w:val="cente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合同分包</w:t>
            </w:r>
          </w:p>
          <w:p>
            <w:pPr>
              <w:autoSpaceDE w:val="0"/>
              <w:autoSpaceDN w:val="0"/>
              <w:adjustRightInd w:val="0"/>
              <w:spacing w:line="360" w:lineRule="auto"/>
              <w:ind w:left="96"/>
              <w:jc w:val="center"/>
              <w:rPr>
                <w:rFonts w:ascii="宋体" w:hAnsi="宋体" w:cs="宋体"/>
                <w:color w:val="auto"/>
                <w:kern w:val="0"/>
                <w:szCs w:val="21"/>
                <w:highlight w:val="none"/>
              </w:rPr>
            </w:pPr>
            <w:r>
              <w:rPr>
                <w:rFonts w:hint="eastAsia" w:ascii="宋体" w:hAnsi="宋体" w:cs="宋体"/>
                <w:color w:val="auto"/>
                <w:kern w:val="0"/>
                <w:szCs w:val="21"/>
                <w:highlight w:val="none"/>
                <w:lang w:val="zh-CN"/>
              </w:rPr>
              <w:t>（实质性要求）</w:t>
            </w:r>
          </w:p>
        </w:tc>
        <w:tc>
          <w:tcPr>
            <w:tcW w:w="6588" w:type="dxa"/>
            <w:tcBorders>
              <w:top w:val="single" w:color="auto" w:sz="4" w:space="0"/>
            </w:tcBorders>
            <w:vAlign w:val="center"/>
          </w:tcPr>
          <w:p>
            <w:pPr>
              <w:pStyle w:val="82"/>
              <w:ind w:firstLine="211" w:firstLineChars="100"/>
              <w:jc w:val="both"/>
              <w:rPr>
                <w:b/>
                <w:bCs/>
                <w:color w:val="auto"/>
                <w:sz w:val="21"/>
                <w:szCs w:val="21"/>
                <w:highlight w:val="none"/>
              </w:rPr>
            </w:pPr>
            <w:r>
              <w:rPr>
                <w:rFonts w:hint="eastAsia"/>
                <w:b/>
                <w:bCs/>
                <w:color w:val="auto"/>
                <w:sz w:val="21"/>
                <w:szCs w:val="21"/>
                <w:highlight w:val="none"/>
              </w:rPr>
              <w:t>☑本项目不接受合同分包。</w:t>
            </w:r>
          </w:p>
          <w:p>
            <w:pPr>
              <w:pStyle w:val="82"/>
              <w:ind w:firstLine="211" w:firstLineChars="100"/>
              <w:jc w:val="both"/>
              <w:rPr>
                <w:b/>
                <w:bCs/>
                <w:color w:val="auto"/>
                <w:sz w:val="21"/>
                <w:szCs w:val="21"/>
                <w:highlight w:val="none"/>
              </w:rPr>
            </w:pPr>
            <w:r>
              <w:rPr>
                <w:rFonts w:hint="eastAsia"/>
                <w:b/>
                <w:bCs/>
                <w:color w:val="auto"/>
                <w:sz w:val="21"/>
                <w:szCs w:val="21"/>
                <w:highlight w:val="none"/>
              </w:rPr>
              <w:t>□本项目接受合同分包，具体要求如下：</w:t>
            </w:r>
          </w:p>
          <w:p>
            <w:pPr>
              <w:autoSpaceDE w:val="0"/>
              <w:autoSpaceDN w:val="0"/>
              <w:adjustRightInd w:val="0"/>
              <w:spacing w:line="360" w:lineRule="auto"/>
              <w:ind w:right="105" w:rightChars="50"/>
              <w:jc w:val="left"/>
              <w:rPr>
                <w:rFonts w:ascii="宋体" w:hAnsi="宋体" w:cs="宋体"/>
                <w:color w:val="auto"/>
                <w:kern w:val="0"/>
                <w:szCs w:val="21"/>
                <w:highlight w:val="none"/>
              </w:rPr>
            </w:pPr>
            <w:r>
              <w:rPr>
                <w:rFonts w:hint="eastAsia" w:ascii="宋体" w:hAnsi="宋体" w:cs="宋体"/>
                <w:color w:val="auto"/>
                <w:kern w:val="0"/>
                <w:szCs w:val="21"/>
                <w:highlight w:val="none"/>
              </w:rPr>
              <w:t>1、投标人根据招标文件的规定和采购项目的实际情况，拟在中标后将中标项目的非主体、非关键性工作分包的，应当在投标文件中载明分包承担主体，分包承担主体应当具备相应资质条件且不得再次分包。分包供应商履行的分包项目的品牌、规格型号及技术要求等，必须与中标的一致。</w:t>
            </w:r>
          </w:p>
          <w:p>
            <w:pPr>
              <w:autoSpaceDE w:val="0"/>
              <w:autoSpaceDN w:val="0"/>
              <w:adjustRightInd w:val="0"/>
              <w:spacing w:line="360" w:lineRule="auto"/>
              <w:ind w:right="105" w:rightChars="50"/>
              <w:jc w:val="left"/>
              <w:rPr>
                <w:rFonts w:ascii="宋体" w:hAnsi="宋体" w:cs="宋体"/>
                <w:color w:val="auto"/>
                <w:kern w:val="0"/>
                <w:szCs w:val="21"/>
                <w:highlight w:val="none"/>
              </w:rPr>
            </w:pPr>
            <w:r>
              <w:rPr>
                <w:rFonts w:hint="eastAsia" w:ascii="宋体" w:hAnsi="宋体" w:cs="宋体"/>
                <w:color w:val="auto"/>
                <w:kern w:val="0"/>
                <w:szCs w:val="21"/>
                <w:highlight w:val="none"/>
              </w:rPr>
              <w:t>2、分包履行合同的部分应当为采购项目的非主体、非关键性工作，不属于中标人的主要合同义务。本项目可以分包履行的具体内容、金额或者比例：/</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47" w:type="dxa"/>
            <w:vAlign w:val="center"/>
          </w:tcPr>
          <w:p>
            <w:pPr>
              <w:autoSpaceDE w:val="0"/>
              <w:autoSpaceDN w:val="0"/>
              <w:adjustRightIn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1985" w:type="dxa"/>
            <w:vAlign w:val="center"/>
          </w:tcPr>
          <w:p>
            <w:pPr>
              <w:autoSpaceDE w:val="0"/>
              <w:autoSpaceDN w:val="0"/>
              <w:adjustRightInd w:val="0"/>
              <w:spacing w:line="360" w:lineRule="auto"/>
              <w:ind w:left="96"/>
              <w:jc w:val="center"/>
              <w:rPr>
                <w:rFonts w:ascii="宋体" w:hAnsi="宋体" w:cs="宋体"/>
                <w:color w:val="auto"/>
                <w:kern w:val="0"/>
                <w:szCs w:val="21"/>
                <w:highlight w:val="none"/>
              </w:rPr>
            </w:pPr>
            <w:r>
              <w:rPr>
                <w:rFonts w:hint="eastAsia" w:ascii="宋体" w:hAnsi="宋体" w:cs="宋体"/>
                <w:color w:val="auto"/>
                <w:kern w:val="0"/>
                <w:szCs w:val="21"/>
                <w:highlight w:val="none"/>
              </w:rPr>
              <w:t>投标有效期</w:t>
            </w:r>
          </w:p>
        </w:tc>
        <w:tc>
          <w:tcPr>
            <w:tcW w:w="6588" w:type="dxa"/>
            <w:vAlign w:val="center"/>
          </w:tcPr>
          <w:p>
            <w:pPr>
              <w:autoSpaceDE w:val="0"/>
              <w:autoSpaceDN w:val="0"/>
              <w:adjustRightInd w:val="0"/>
              <w:spacing w:line="360" w:lineRule="auto"/>
              <w:ind w:right="105" w:rightChars="50" w:firstLine="105" w:firstLineChars="50"/>
              <w:jc w:val="left"/>
              <w:rPr>
                <w:rFonts w:ascii="宋体" w:hAnsi="宋体" w:cs="宋体"/>
                <w:color w:val="auto"/>
                <w:kern w:val="0"/>
                <w:szCs w:val="21"/>
                <w:highlight w:val="none"/>
              </w:rPr>
            </w:pPr>
            <w:r>
              <w:rPr>
                <w:rFonts w:hint="eastAsia" w:ascii="宋体" w:hAnsi="宋体" w:cs="宋体"/>
                <w:color w:val="auto"/>
                <w:kern w:val="0"/>
                <w:szCs w:val="21"/>
                <w:highlight w:val="none"/>
              </w:rPr>
              <w:t>本项目投标有效期从提交投标文件的截止之日起90天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47" w:type="dxa"/>
            <w:vAlign w:val="center"/>
          </w:tcPr>
          <w:p>
            <w:pPr>
              <w:autoSpaceDE w:val="0"/>
              <w:autoSpaceDN w:val="0"/>
              <w:adjustRightIn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1985" w:type="dxa"/>
            <w:vAlign w:val="center"/>
          </w:tcPr>
          <w:p>
            <w:pPr>
              <w:autoSpaceDE w:val="0"/>
              <w:autoSpaceDN w:val="0"/>
              <w:adjustRightIn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采购文件咨询</w:t>
            </w:r>
          </w:p>
        </w:tc>
        <w:tc>
          <w:tcPr>
            <w:tcW w:w="6588" w:type="dxa"/>
            <w:vAlign w:val="center"/>
          </w:tcPr>
          <w:p>
            <w:pPr>
              <w:spacing w:line="360" w:lineRule="auto"/>
              <w:ind w:left="105" w:leftChars="50" w:right="105" w:rightChars="50"/>
              <w:jc w:val="left"/>
              <w:rPr>
                <w:rFonts w:ascii="宋体" w:hAnsi="宋体" w:cs="宋体"/>
                <w:color w:val="auto"/>
                <w:szCs w:val="21"/>
                <w:highlight w:val="none"/>
              </w:rPr>
            </w:pPr>
            <w:r>
              <w:rPr>
                <w:rFonts w:hint="eastAsia" w:ascii="宋体" w:hAnsi="宋体" w:cs="宋体"/>
                <w:color w:val="auto"/>
                <w:szCs w:val="21"/>
                <w:highlight w:val="none"/>
              </w:rPr>
              <w:t>联系人：李老师      联系电话：028-65731881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47" w:type="dxa"/>
            <w:tcBorders>
              <w:top w:val="single" w:color="auto" w:sz="4" w:space="0"/>
              <w:bottom w:val="single" w:color="auto" w:sz="4" w:space="0"/>
            </w:tcBorders>
            <w:vAlign w:val="center"/>
          </w:tcPr>
          <w:p>
            <w:pPr>
              <w:autoSpaceDE w:val="0"/>
              <w:autoSpaceDN w:val="0"/>
              <w:adjustRightIn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1985" w:type="dxa"/>
            <w:tcBorders>
              <w:top w:val="single" w:color="auto" w:sz="4" w:space="0"/>
              <w:bottom w:val="single" w:color="auto" w:sz="4" w:space="0"/>
            </w:tcBorders>
            <w:vAlign w:val="center"/>
          </w:tcPr>
          <w:p>
            <w:pPr>
              <w:autoSpaceDE w:val="0"/>
              <w:autoSpaceDN w:val="0"/>
              <w:adjustRightIn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开标、评标工作咨询</w:t>
            </w:r>
          </w:p>
        </w:tc>
        <w:tc>
          <w:tcPr>
            <w:tcW w:w="6588" w:type="dxa"/>
            <w:tcBorders>
              <w:top w:val="single" w:color="auto" w:sz="4" w:space="0"/>
              <w:bottom w:val="single" w:color="auto" w:sz="4" w:space="0"/>
            </w:tcBorders>
            <w:vAlign w:val="center"/>
          </w:tcPr>
          <w:p>
            <w:pPr>
              <w:spacing w:line="360" w:lineRule="auto"/>
              <w:ind w:left="105" w:leftChars="50" w:right="105" w:rightChars="50"/>
              <w:jc w:val="left"/>
              <w:rPr>
                <w:rFonts w:ascii="宋体" w:hAnsi="宋体" w:cs="宋体"/>
                <w:color w:val="auto"/>
                <w:szCs w:val="21"/>
                <w:highlight w:val="none"/>
              </w:rPr>
            </w:pPr>
            <w:r>
              <w:rPr>
                <w:rFonts w:hint="eastAsia" w:ascii="宋体" w:hAnsi="宋体" w:cs="宋体"/>
                <w:color w:val="auto"/>
                <w:szCs w:val="21"/>
                <w:highlight w:val="none"/>
              </w:rPr>
              <w:t xml:space="preserve">联系人：李老师      联系电话：028-65731881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47" w:type="dxa"/>
            <w:tcBorders>
              <w:top w:val="single" w:color="auto" w:sz="4" w:space="0"/>
              <w:bottom w:val="single" w:color="auto" w:sz="4" w:space="0"/>
            </w:tcBorders>
            <w:vAlign w:val="center"/>
          </w:tcPr>
          <w:p>
            <w:pPr>
              <w:autoSpaceDE w:val="0"/>
              <w:autoSpaceDN w:val="0"/>
              <w:adjustRightIn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1985" w:type="dxa"/>
            <w:tcBorders>
              <w:top w:val="single" w:color="auto" w:sz="4" w:space="0"/>
              <w:bottom w:val="single" w:color="auto" w:sz="4" w:space="0"/>
            </w:tcBorders>
            <w:vAlign w:val="center"/>
          </w:tcPr>
          <w:p>
            <w:pPr>
              <w:autoSpaceDE w:val="0"/>
              <w:autoSpaceDN w:val="0"/>
              <w:adjustRightInd w:val="0"/>
              <w:spacing w:line="360" w:lineRule="auto"/>
              <w:jc w:val="center"/>
              <w:rPr>
                <w:rFonts w:ascii="宋体" w:hAnsi="宋体" w:cs="宋体"/>
                <w:color w:val="auto"/>
                <w:szCs w:val="21"/>
                <w:highlight w:val="none"/>
              </w:rPr>
            </w:pPr>
            <w:r>
              <w:rPr>
                <w:rFonts w:hint="eastAsia" w:ascii="宋体" w:hAnsi="宋体" w:cs="宋体"/>
                <w:color w:val="auto"/>
                <w:kern w:val="0"/>
                <w:szCs w:val="21"/>
                <w:highlight w:val="none"/>
              </w:rPr>
              <w:t>供应商询问</w:t>
            </w:r>
          </w:p>
        </w:tc>
        <w:tc>
          <w:tcPr>
            <w:tcW w:w="6588" w:type="dxa"/>
            <w:tcBorders>
              <w:top w:val="single" w:color="auto" w:sz="4" w:space="0"/>
              <w:bottom w:val="single" w:color="auto" w:sz="4" w:space="0"/>
            </w:tcBorders>
            <w:vAlign w:val="center"/>
          </w:tcPr>
          <w:p>
            <w:pPr>
              <w:spacing w:before="156" w:beforeLines="50" w:line="360" w:lineRule="auto"/>
              <w:ind w:left="105" w:leftChars="50" w:right="-11"/>
              <w:rPr>
                <w:rFonts w:ascii="宋体" w:hAnsi="宋体" w:cs="宋体"/>
                <w:color w:val="auto"/>
                <w:kern w:val="0"/>
                <w:szCs w:val="21"/>
                <w:highlight w:val="none"/>
              </w:rPr>
            </w:pPr>
            <w:r>
              <w:rPr>
                <w:rFonts w:hint="eastAsia" w:ascii="宋体" w:hAnsi="宋体" w:cs="宋体"/>
                <w:color w:val="auto"/>
                <w:kern w:val="0"/>
                <w:szCs w:val="21"/>
                <w:highlight w:val="none"/>
              </w:rPr>
              <w:t>根据委托代理协议约定，关于采购需求方面的询问由采购人负责答复，其他方面的询问由四川轩辕招标代理有限公司负责接收和处理。</w:t>
            </w:r>
          </w:p>
          <w:p>
            <w:pPr>
              <w:spacing w:line="360" w:lineRule="auto"/>
              <w:ind w:right="3280" w:firstLine="105" w:firstLineChars="5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联系人：李老师。 </w:t>
            </w:r>
          </w:p>
          <w:p>
            <w:pPr>
              <w:spacing w:line="360" w:lineRule="auto"/>
              <w:ind w:right="3280" w:firstLine="105" w:firstLineChars="50"/>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联系电话：028-65731881</w:t>
            </w:r>
          </w:p>
          <w:p>
            <w:pPr>
              <w:spacing w:line="360" w:lineRule="auto"/>
              <w:ind w:left="1" w:right="-11" w:firstLine="105" w:firstLineChars="50"/>
              <w:jc w:val="left"/>
              <w:rPr>
                <w:rFonts w:ascii="宋体" w:hAnsi="宋体" w:cs="宋体"/>
                <w:color w:val="auto"/>
                <w:kern w:val="0"/>
                <w:szCs w:val="21"/>
                <w:highlight w:val="none"/>
              </w:rPr>
            </w:pPr>
            <w:r>
              <w:rPr>
                <w:rFonts w:hint="eastAsia" w:ascii="宋体" w:hAnsi="宋体" w:cs="宋体"/>
                <w:color w:val="auto"/>
                <w:kern w:val="0"/>
                <w:szCs w:val="21"/>
                <w:highlight w:val="none"/>
              </w:rPr>
              <w:t>地址：</w:t>
            </w:r>
            <w:r>
              <w:rPr>
                <w:rFonts w:hint="eastAsia" w:ascii="宋体" w:hAnsi="宋体" w:cs="宋体"/>
                <w:bCs/>
                <w:color w:val="auto"/>
                <w:kern w:val="0"/>
                <w:szCs w:val="21"/>
                <w:highlight w:val="none"/>
              </w:rPr>
              <w:t>成都市锦江区墨香路87号8栋4楼</w:t>
            </w:r>
            <w:r>
              <w:rPr>
                <w:rFonts w:hint="eastAsia" w:ascii="宋体" w:hAnsi="宋体" w:cs="宋体"/>
                <w:color w:val="auto"/>
                <w:kern w:val="0"/>
                <w:szCs w:val="21"/>
                <w:highlight w:val="none"/>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47" w:type="dxa"/>
            <w:tcBorders>
              <w:top w:val="single" w:color="auto" w:sz="4" w:space="0"/>
              <w:bottom w:val="single" w:color="auto" w:sz="4" w:space="0"/>
            </w:tcBorders>
            <w:vAlign w:val="center"/>
          </w:tcPr>
          <w:p>
            <w:pPr>
              <w:autoSpaceDE w:val="0"/>
              <w:autoSpaceDN w:val="0"/>
              <w:adjustRightIn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1985" w:type="dxa"/>
            <w:tcBorders>
              <w:top w:val="single" w:color="auto" w:sz="4" w:space="0"/>
              <w:bottom w:val="single" w:color="auto" w:sz="4" w:space="0"/>
            </w:tcBorders>
            <w:vAlign w:val="center"/>
          </w:tcPr>
          <w:p>
            <w:pPr>
              <w:autoSpaceDE w:val="0"/>
              <w:autoSpaceDN w:val="0"/>
              <w:adjustRightIn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供应商质疑</w:t>
            </w:r>
          </w:p>
        </w:tc>
        <w:tc>
          <w:tcPr>
            <w:tcW w:w="6588" w:type="dxa"/>
            <w:tcBorders>
              <w:top w:val="single" w:color="auto" w:sz="4" w:space="0"/>
              <w:bottom w:val="single" w:color="auto" w:sz="4" w:space="0"/>
            </w:tcBorders>
            <w:vAlign w:val="center"/>
          </w:tcPr>
          <w:p>
            <w:pPr>
              <w:spacing w:line="360" w:lineRule="auto"/>
              <w:ind w:left="105" w:leftChars="50" w:right="105" w:rightChars="50"/>
              <w:jc w:val="left"/>
              <w:rPr>
                <w:rFonts w:ascii="宋体" w:hAnsi="宋体" w:cs="宋体"/>
                <w:color w:val="auto"/>
                <w:szCs w:val="21"/>
                <w:highlight w:val="none"/>
              </w:rPr>
            </w:pPr>
            <w:r>
              <w:rPr>
                <w:rFonts w:hint="eastAsia" w:ascii="宋体" w:hAnsi="宋体" w:cs="宋体"/>
                <w:color w:val="auto"/>
                <w:szCs w:val="21"/>
                <w:highlight w:val="none"/>
              </w:rPr>
              <w:t>根据委托代理协议约定，关于采购需求方面的质疑由采购人负责答复，对于采购文件其他方面的质疑、采购过程的质疑、采购结果的质疑均由四川轩辕招标代理有限公司负责答复。</w:t>
            </w:r>
          </w:p>
          <w:p>
            <w:pPr>
              <w:spacing w:line="360" w:lineRule="auto"/>
              <w:ind w:left="105" w:leftChars="50" w:right="105" w:rightChars="50"/>
              <w:jc w:val="left"/>
              <w:rPr>
                <w:rFonts w:ascii="宋体" w:hAnsi="宋体" w:cs="宋体"/>
                <w:color w:val="auto"/>
                <w:szCs w:val="21"/>
                <w:highlight w:val="none"/>
              </w:rPr>
            </w:pPr>
            <w:r>
              <w:rPr>
                <w:rFonts w:hint="eastAsia" w:ascii="宋体" w:hAnsi="宋体" w:cs="宋体"/>
                <w:color w:val="auto"/>
                <w:szCs w:val="21"/>
                <w:highlight w:val="none"/>
              </w:rPr>
              <w:t xml:space="preserve">联系人：谭老师。 </w:t>
            </w:r>
          </w:p>
          <w:p>
            <w:pPr>
              <w:spacing w:line="360" w:lineRule="auto"/>
              <w:ind w:left="105" w:leftChars="50" w:right="105" w:rightChars="50"/>
              <w:jc w:val="left"/>
              <w:rPr>
                <w:rFonts w:ascii="宋体" w:hAnsi="宋体" w:cs="宋体"/>
                <w:color w:val="auto"/>
                <w:szCs w:val="21"/>
                <w:highlight w:val="none"/>
              </w:rPr>
            </w:pPr>
            <w:r>
              <w:rPr>
                <w:rFonts w:hint="eastAsia" w:ascii="宋体" w:hAnsi="宋体" w:cs="宋体"/>
                <w:color w:val="auto"/>
                <w:szCs w:val="21"/>
                <w:highlight w:val="none"/>
              </w:rPr>
              <w:t>联系电话：028-65731881。</w:t>
            </w:r>
          </w:p>
          <w:p>
            <w:pPr>
              <w:spacing w:line="360" w:lineRule="auto"/>
              <w:ind w:left="105" w:leftChars="50" w:right="105" w:rightChars="50"/>
              <w:jc w:val="left"/>
              <w:rPr>
                <w:rFonts w:ascii="宋体" w:hAnsi="宋体" w:cs="宋体"/>
                <w:color w:val="auto"/>
                <w:szCs w:val="21"/>
                <w:highlight w:val="none"/>
              </w:rPr>
            </w:pPr>
            <w:r>
              <w:rPr>
                <w:rFonts w:hint="eastAsia" w:ascii="宋体" w:hAnsi="宋体" w:cs="宋体"/>
                <w:color w:val="auto"/>
                <w:szCs w:val="21"/>
                <w:highlight w:val="none"/>
              </w:rPr>
              <w:t>地址：成都市锦江区墨香路87号8栋4楼。</w:t>
            </w:r>
          </w:p>
          <w:p>
            <w:pPr>
              <w:spacing w:line="360" w:lineRule="auto"/>
              <w:ind w:left="105" w:leftChars="50" w:right="105" w:rightChars="50"/>
              <w:jc w:val="left"/>
              <w:rPr>
                <w:rFonts w:ascii="宋体" w:hAnsi="宋体" w:cs="宋体"/>
                <w:color w:val="auto"/>
                <w:szCs w:val="21"/>
                <w:highlight w:val="none"/>
              </w:rPr>
            </w:pPr>
            <w:r>
              <w:rPr>
                <w:rFonts w:hint="eastAsia" w:ascii="宋体" w:hAnsi="宋体" w:cs="宋体"/>
                <w:color w:val="auto"/>
                <w:szCs w:val="21"/>
                <w:highlight w:val="none"/>
              </w:rPr>
              <w:t>注：根据《中华人民共和国政府采购法》的规定，①供应商质疑不得超出采购文件、采购过程、采购结果的范围。②供应商提出的质疑应当提交质疑函和必要的证明材料。③供应商应当在法定质疑期内一次性提出针对同一采购程序环节的质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47" w:type="dxa"/>
            <w:tcBorders>
              <w:top w:val="single" w:color="auto" w:sz="4" w:space="0"/>
              <w:bottom w:val="single" w:color="auto" w:sz="4" w:space="0"/>
            </w:tcBorders>
            <w:vAlign w:val="center"/>
          </w:tcPr>
          <w:p>
            <w:pPr>
              <w:autoSpaceDE w:val="0"/>
              <w:autoSpaceDN w:val="0"/>
              <w:adjustRightIn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1985" w:type="dxa"/>
            <w:tcBorders>
              <w:top w:val="single" w:color="auto" w:sz="4" w:space="0"/>
              <w:bottom w:val="single" w:color="auto" w:sz="4" w:space="0"/>
            </w:tcBorders>
            <w:vAlign w:val="center"/>
          </w:tcPr>
          <w:p>
            <w:pPr>
              <w:autoSpaceDE w:val="0"/>
              <w:autoSpaceDN w:val="0"/>
              <w:adjustRightIn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供应商投诉</w:t>
            </w:r>
          </w:p>
        </w:tc>
        <w:tc>
          <w:tcPr>
            <w:tcW w:w="6588" w:type="dxa"/>
            <w:tcBorders>
              <w:top w:val="single" w:color="auto" w:sz="4" w:space="0"/>
              <w:bottom w:val="single" w:color="auto" w:sz="4" w:space="0"/>
            </w:tcBorders>
            <w:vAlign w:val="center"/>
          </w:tcPr>
          <w:p>
            <w:pPr>
              <w:spacing w:line="360" w:lineRule="auto"/>
              <w:ind w:left="105" w:leftChars="50" w:right="105" w:rightChars="50"/>
              <w:jc w:val="left"/>
              <w:rPr>
                <w:rFonts w:ascii="宋体" w:hAnsi="宋体" w:cs="宋体"/>
                <w:color w:val="auto"/>
                <w:szCs w:val="21"/>
                <w:highlight w:val="none"/>
              </w:rPr>
            </w:pPr>
            <w:r>
              <w:rPr>
                <w:rFonts w:hint="eastAsia" w:ascii="宋体" w:hAnsi="宋体" w:cs="宋体"/>
                <w:color w:val="auto"/>
                <w:szCs w:val="21"/>
                <w:highlight w:val="none"/>
              </w:rPr>
              <w:t>投诉受理单位：双流区财政局</w:t>
            </w:r>
          </w:p>
          <w:p>
            <w:pPr>
              <w:spacing w:line="360" w:lineRule="auto"/>
              <w:ind w:left="105" w:leftChars="50" w:right="105" w:rightChars="50"/>
              <w:jc w:val="left"/>
              <w:rPr>
                <w:rFonts w:ascii="宋体" w:hAnsi="宋体" w:cs="宋体"/>
                <w:color w:val="auto"/>
                <w:szCs w:val="21"/>
                <w:highlight w:val="none"/>
              </w:rPr>
            </w:pPr>
            <w:r>
              <w:rPr>
                <w:rFonts w:hint="eastAsia" w:ascii="宋体" w:hAnsi="宋体" w:cs="宋体"/>
                <w:color w:val="auto"/>
                <w:szCs w:val="21"/>
                <w:highlight w:val="none"/>
              </w:rPr>
              <w:t>联系电话：028-85804726</w:t>
            </w:r>
          </w:p>
          <w:p>
            <w:pPr>
              <w:spacing w:line="360" w:lineRule="auto"/>
              <w:ind w:left="105" w:leftChars="50" w:right="105" w:rightChars="50"/>
              <w:jc w:val="left"/>
              <w:rPr>
                <w:rFonts w:ascii="宋体" w:hAnsi="宋体" w:cs="宋体"/>
                <w:color w:val="auto"/>
                <w:szCs w:val="21"/>
                <w:highlight w:val="none"/>
              </w:rPr>
            </w:pPr>
            <w:r>
              <w:rPr>
                <w:rFonts w:hint="eastAsia" w:ascii="宋体" w:hAnsi="宋体" w:cs="宋体"/>
                <w:color w:val="auto"/>
                <w:szCs w:val="21"/>
                <w:highlight w:val="none"/>
              </w:rPr>
              <w:t>地址：双流区电视塔路2段36号</w:t>
            </w:r>
          </w:p>
          <w:p>
            <w:pPr>
              <w:spacing w:line="360" w:lineRule="auto"/>
              <w:ind w:left="105" w:leftChars="50" w:right="105" w:rightChars="50"/>
              <w:jc w:val="left"/>
              <w:rPr>
                <w:rFonts w:ascii="宋体" w:hAnsi="宋体" w:cs="宋体"/>
                <w:color w:val="auto"/>
                <w:szCs w:val="21"/>
                <w:highlight w:val="none"/>
              </w:rPr>
            </w:pPr>
            <w:r>
              <w:rPr>
                <w:rFonts w:hint="eastAsia" w:ascii="宋体" w:hAnsi="宋体" w:cs="宋体"/>
                <w:color w:val="auto"/>
                <w:szCs w:val="21"/>
                <w:highlight w:val="none"/>
              </w:rPr>
              <w:t>注：根据《中华人民共和国政府采购法实施条例》及中华人民共和国财政部令第94号《政府采购质疑和投诉》办法等的规定，①供应商投诉事项不得超出已质疑事项的范围。②投诉人投诉时，应当提交投诉书和必要的证明材料。</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47" w:type="dxa"/>
            <w:tcBorders>
              <w:top w:val="single" w:color="auto" w:sz="4" w:space="0"/>
              <w:bottom w:val="single" w:color="auto" w:sz="4" w:space="0"/>
            </w:tcBorders>
            <w:vAlign w:val="center"/>
          </w:tcPr>
          <w:p>
            <w:pPr>
              <w:autoSpaceDE w:val="0"/>
              <w:autoSpaceDN w:val="0"/>
              <w:adjustRightIn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1985" w:type="dxa"/>
            <w:tcBorders>
              <w:top w:val="single" w:color="auto" w:sz="4" w:space="0"/>
              <w:bottom w:val="single" w:color="auto" w:sz="4" w:space="0"/>
            </w:tcBorders>
            <w:vAlign w:val="center"/>
          </w:tcPr>
          <w:p>
            <w:pPr>
              <w:autoSpaceDE w:val="0"/>
              <w:autoSpaceDN w:val="0"/>
              <w:adjustRightIn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政府采购合同</w:t>
            </w:r>
          </w:p>
          <w:p>
            <w:pPr>
              <w:autoSpaceDE w:val="0"/>
              <w:autoSpaceDN w:val="0"/>
              <w:adjustRightIn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公告备案</w:t>
            </w:r>
          </w:p>
        </w:tc>
        <w:tc>
          <w:tcPr>
            <w:tcW w:w="6588" w:type="dxa"/>
            <w:tcBorders>
              <w:top w:val="single" w:color="auto" w:sz="4" w:space="0"/>
              <w:bottom w:val="single" w:color="auto" w:sz="4" w:space="0"/>
            </w:tcBorders>
            <w:vAlign w:val="center"/>
          </w:tcPr>
          <w:p>
            <w:pPr>
              <w:spacing w:line="360" w:lineRule="auto"/>
              <w:ind w:left="105" w:leftChars="50" w:right="105" w:rightChars="50"/>
              <w:jc w:val="left"/>
              <w:rPr>
                <w:rFonts w:ascii="宋体" w:hAnsi="宋体" w:cs="宋体"/>
                <w:color w:val="auto"/>
                <w:szCs w:val="21"/>
                <w:highlight w:val="none"/>
              </w:rPr>
            </w:pPr>
            <w:r>
              <w:rPr>
                <w:rFonts w:hint="eastAsia" w:ascii="宋体" w:hAnsi="宋体" w:cs="宋体"/>
                <w:color w:val="auto"/>
                <w:szCs w:val="21"/>
                <w:highlight w:val="none"/>
              </w:rPr>
              <w:t>政府采购合同签订之日起2个工作日内，采购人将政府采购合同在四川政府采购网公告；政府采购合同签订之日起七个工作日内，采购人将政府采购合同送同级财政部门备案。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47" w:type="dxa"/>
            <w:tcBorders>
              <w:top w:val="single" w:color="auto" w:sz="4" w:space="0"/>
              <w:bottom w:val="single" w:color="auto" w:sz="4" w:space="0"/>
            </w:tcBorders>
            <w:vAlign w:val="center"/>
          </w:tcPr>
          <w:p>
            <w:pPr>
              <w:autoSpaceDE w:val="0"/>
              <w:autoSpaceDN w:val="0"/>
              <w:adjustRightIn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1985" w:type="dxa"/>
            <w:tcBorders>
              <w:top w:val="single" w:color="auto" w:sz="4" w:space="0"/>
              <w:bottom w:val="single" w:color="auto" w:sz="4" w:space="0"/>
            </w:tcBorders>
            <w:vAlign w:val="center"/>
          </w:tcPr>
          <w:p>
            <w:pPr>
              <w:autoSpaceDE w:val="0"/>
              <w:autoSpaceDN w:val="0"/>
              <w:adjustRightIn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节能、环保及无线局域网产品政府采购政策</w:t>
            </w:r>
          </w:p>
        </w:tc>
        <w:tc>
          <w:tcPr>
            <w:tcW w:w="6588" w:type="dxa"/>
            <w:tcBorders>
              <w:top w:val="single" w:color="auto" w:sz="4" w:space="0"/>
              <w:bottom w:val="single" w:color="auto" w:sz="4" w:space="0"/>
            </w:tcBorders>
            <w:vAlign w:val="center"/>
          </w:tcPr>
          <w:p>
            <w:pPr>
              <w:spacing w:line="360" w:lineRule="auto"/>
              <w:jc w:val="left"/>
              <w:rPr>
                <w:rFonts w:ascii="宋体" w:hAnsi="宋体" w:cs="宋体"/>
                <w:color w:val="auto"/>
                <w:szCs w:val="21"/>
                <w:highlight w:val="none"/>
                <w:lang w:val="zh-CN"/>
              </w:rPr>
            </w:pPr>
            <w:r>
              <w:rPr>
                <w:rFonts w:hint="eastAsia" w:ascii="宋体" w:hAnsi="宋体" w:cs="宋体"/>
                <w:color w:val="auto"/>
                <w:szCs w:val="21"/>
                <w:highlight w:val="none"/>
                <w:lang w:val="zh-CN"/>
              </w:rPr>
              <w:t>一、节能、环保产品政府采购政策：</w:t>
            </w:r>
          </w:p>
          <w:p>
            <w:pPr>
              <w:spacing w:line="360" w:lineRule="auto"/>
              <w:jc w:val="left"/>
              <w:rPr>
                <w:rFonts w:ascii="宋体" w:hAnsi="宋体" w:cs="宋体"/>
                <w:color w:val="auto"/>
                <w:szCs w:val="21"/>
                <w:highlight w:val="none"/>
                <w:lang w:val="zh-CN"/>
              </w:rPr>
            </w:pPr>
            <w:r>
              <w:rPr>
                <w:rFonts w:hint="eastAsia" w:ascii="宋体" w:hAnsi="宋体" w:cs="宋体"/>
                <w:color w:val="auto"/>
                <w:szCs w:val="21"/>
                <w:highlight w:val="none"/>
                <w:lang w:val="zh-CN"/>
              </w:rPr>
              <w:t>1、根据《财政部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spacing w:line="360" w:lineRule="auto"/>
              <w:jc w:val="left"/>
              <w:rPr>
                <w:rFonts w:ascii="宋体" w:hAnsi="宋体" w:cs="宋体"/>
                <w:color w:val="auto"/>
                <w:szCs w:val="21"/>
                <w:highlight w:val="none"/>
                <w:lang w:val="zh-CN"/>
              </w:rPr>
            </w:pPr>
            <w:r>
              <w:rPr>
                <w:rFonts w:hint="eastAsia" w:ascii="宋体" w:hAnsi="宋体" w:cs="宋体"/>
                <w:color w:val="auto"/>
                <w:szCs w:val="21"/>
                <w:highlight w:val="none"/>
                <w:lang w:val="zh-CN"/>
              </w:rPr>
              <w:t>2、本项目采购的产品属于品目清单强制采购范围的，供应商应按上述要求提供产品认证证书原件原色电子件加盖投标人电子签章，否则投标无效。（实质性要求）</w:t>
            </w:r>
          </w:p>
          <w:p>
            <w:pPr>
              <w:spacing w:line="360" w:lineRule="auto"/>
              <w:jc w:val="left"/>
              <w:rPr>
                <w:rFonts w:ascii="宋体" w:hAnsi="宋体" w:cs="宋体"/>
                <w:color w:val="auto"/>
                <w:szCs w:val="21"/>
                <w:highlight w:val="none"/>
                <w:lang w:val="zh-CN"/>
              </w:rPr>
            </w:pPr>
            <w:r>
              <w:rPr>
                <w:rFonts w:hint="eastAsia" w:ascii="宋体" w:hAnsi="宋体" w:cs="宋体"/>
                <w:color w:val="auto"/>
                <w:szCs w:val="21"/>
                <w:highlight w:val="none"/>
                <w:lang w:val="zh-CN"/>
              </w:rPr>
              <w:t>3、本项目采购的产品属于品目清单优先采购范围的，按照第七章《综合评分明细表》的规则进行加分。</w:t>
            </w:r>
          </w:p>
          <w:p>
            <w:pPr>
              <w:spacing w:line="360" w:lineRule="auto"/>
              <w:jc w:val="left"/>
              <w:rPr>
                <w:rFonts w:ascii="宋体" w:hAnsi="宋体" w:cs="宋体"/>
                <w:color w:val="auto"/>
                <w:szCs w:val="21"/>
                <w:highlight w:val="none"/>
                <w:lang w:val="zh-CN"/>
              </w:rPr>
            </w:pPr>
            <w:r>
              <w:rPr>
                <w:rFonts w:hint="eastAsia" w:ascii="宋体" w:hAnsi="宋体" w:cs="宋体"/>
                <w:color w:val="auto"/>
                <w:szCs w:val="21"/>
                <w:highlight w:val="none"/>
                <w:lang w:val="zh-CN"/>
              </w:rPr>
              <w:t>注：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w:t>
            </w:r>
          </w:p>
          <w:p>
            <w:pPr>
              <w:spacing w:line="360" w:lineRule="auto"/>
              <w:jc w:val="left"/>
              <w:rPr>
                <w:rFonts w:ascii="宋体" w:hAnsi="宋体" w:cs="宋体"/>
                <w:color w:val="auto"/>
                <w:szCs w:val="21"/>
                <w:highlight w:val="none"/>
                <w:lang w:val="zh-CN"/>
              </w:rPr>
            </w:pPr>
            <w:r>
              <w:rPr>
                <w:rFonts w:hint="eastAsia" w:ascii="宋体" w:hAnsi="宋体" w:cs="宋体"/>
                <w:color w:val="auto"/>
                <w:szCs w:val="21"/>
                <w:highlight w:val="none"/>
                <w:lang w:val="zh-CN"/>
              </w:rPr>
              <w:t>二、无线局域网产品政府采购政策</w:t>
            </w:r>
          </w:p>
          <w:p>
            <w:pPr>
              <w:spacing w:line="360" w:lineRule="auto"/>
              <w:jc w:val="left"/>
              <w:rPr>
                <w:rFonts w:ascii="宋体" w:hAnsi="宋体" w:cs="宋体"/>
                <w:color w:val="auto"/>
                <w:szCs w:val="21"/>
                <w:highlight w:val="none"/>
              </w:rPr>
            </w:pPr>
            <w:r>
              <w:rPr>
                <w:rFonts w:hint="eastAsia" w:ascii="宋体" w:hAnsi="宋体" w:cs="宋体"/>
                <w:color w:val="auto"/>
                <w:szCs w:val="21"/>
                <w:highlight w:val="none"/>
                <w:lang w:val="zh-CN"/>
              </w:rPr>
              <w:t>本项目采购的产品属于中国政府采购网公布的《无线局域网认证产品政府采购清单》的，将按照第七章《综合评分明细表》的规则进行加分。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47" w:type="dxa"/>
            <w:tcBorders>
              <w:top w:val="single" w:color="auto" w:sz="4" w:space="0"/>
              <w:bottom w:val="single" w:color="auto" w:sz="4" w:space="0"/>
            </w:tcBorders>
            <w:vAlign w:val="center"/>
          </w:tcPr>
          <w:p>
            <w:pPr>
              <w:autoSpaceDE w:val="0"/>
              <w:autoSpaceDN w:val="0"/>
              <w:adjustRightIn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1985" w:type="dxa"/>
            <w:tcBorders>
              <w:top w:val="single" w:color="auto" w:sz="4" w:space="0"/>
              <w:bottom w:val="single" w:color="auto" w:sz="4" w:space="0"/>
            </w:tcBorders>
            <w:vAlign w:val="center"/>
          </w:tcPr>
          <w:p>
            <w:pPr>
              <w:spacing w:line="360" w:lineRule="auto"/>
              <w:ind w:left="105" w:leftChars="50" w:right="105" w:rightChars="50"/>
              <w:jc w:val="center"/>
              <w:rPr>
                <w:rFonts w:ascii="宋体" w:hAnsi="宋体" w:cs="宋体"/>
                <w:color w:val="auto"/>
                <w:szCs w:val="21"/>
                <w:highlight w:val="none"/>
              </w:rPr>
            </w:pPr>
            <w:r>
              <w:rPr>
                <w:rFonts w:hint="eastAsia" w:ascii="宋体" w:hAnsi="宋体" w:cs="宋体"/>
                <w:color w:val="auto"/>
                <w:szCs w:val="21"/>
                <w:highlight w:val="none"/>
              </w:rPr>
              <w:t>中标通知书领取</w:t>
            </w:r>
          </w:p>
        </w:tc>
        <w:tc>
          <w:tcPr>
            <w:tcW w:w="6588" w:type="dxa"/>
            <w:tcBorders>
              <w:top w:val="single" w:color="auto" w:sz="4" w:space="0"/>
              <w:bottom w:val="single" w:color="auto" w:sz="4" w:space="0"/>
            </w:tcBorders>
            <w:vAlign w:val="center"/>
          </w:tcPr>
          <w:p>
            <w:pPr>
              <w:spacing w:line="360" w:lineRule="auto"/>
              <w:jc w:val="left"/>
              <w:rPr>
                <w:color w:val="auto"/>
                <w:highlight w:val="none"/>
              </w:rPr>
            </w:pPr>
            <w:r>
              <w:rPr>
                <w:rFonts w:hint="eastAsia"/>
                <w:color w:val="auto"/>
                <w:highlight w:val="none"/>
              </w:rPr>
              <w:t>结果公告在四川政府采购网上公告后，请中标单位凭有效身份证明证件到成都市锦江区墨香路87号8栋4楼领取中标通知书。</w:t>
            </w:r>
          </w:p>
          <w:p>
            <w:pPr>
              <w:spacing w:line="360" w:lineRule="auto"/>
              <w:jc w:val="left"/>
              <w:rPr>
                <w:color w:val="auto"/>
                <w:highlight w:val="none"/>
              </w:rPr>
            </w:pPr>
            <w:r>
              <w:rPr>
                <w:rFonts w:hint="eastAsia"/>
                <w:color w:val="auto"/>
                <w:highlight w:val="none"/>
              </w:rPr>
              <w:t>联系人：刘女士</w:t>
            </w:r>
          </w:p>
          <w:p>
            <w:pPr>
              <w:spacing w:line="360" w:lineRule="auto"/>
              <w:jc w:val="left"/>
              <w:rPr>
                <w:color w:val="auto"/>
                <w:highlight w:val="none"/>
                <w:lang w:val="zh-CN"/>
              </w:rPr>
            </w:pPr>
            <w:r>
              <w:rPr>
                <w:rFonts w:hint="eastAsia"/>
                <w:color w:val="auto"/>
                <w:highlight w:val="none"/>
              </w:rPr>
              <w:t>联系电话：028-65731881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47" w:type="dxa"/>
            <w:tcBorders>
              <w:top w:val="single" w:color="auto" w:sz="4" w:space="0"/>
            </w:tcBorders>
            <w:vAlign w:val="center"/>
          </w:tcPr>
          <w:p>
            <w:pPr>
              <w:autoSpaceDE w:val="0"/>
              <w:autoSpaceDN w:val="0"/>
              <w:adjustRightIn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18</w:t>
            </w:r>
          </w:p>
        </w:tc>
        <w:tc>
          <w:tcPr>
            <w:tcW w:w="1985" w:type="dxa"/>
            <w:tcBorders>
              <w:top w:val="single" w:color="auto" w:sz="4" w:space="0"/>
            </w:tcBorders>
            <w:vAlign w:val="center"/>
          </w:tcPr>
          <w:p>
            <w:pPr>
              <w:autoSpaceDE w:val="0"/>
              <w:autoSpaceDN w:val="0"/>
              <w:adjustRightIn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招标代理服务费</w:t>
            </w:r>
          </w:p>
        </w:tc>
        <w:tc>
          <w:tcPr>
            <w:tcW w:w="6588" w:type="dxa"/>
            <w:tcBorders>
              <w:top w:val="single" w:color="auto" w:sz="4" w:space="0"/>
            </w:tcBorders>
            <w:vAlign w:val="center"/>
          </w:tcPr>
          <w:p>
            <w:pPr>
              <w:spacing w:line="360" w:lineRule="auto"/>
              <w:jc w:val="left"/>
              <w:rPr>
                <w:rFonts w:ascii="宋体" w:hAnsi="宋体" w:cs="宋体"/>
                <w:color w:val="auto"/>
                <w:szCs w:val="21"/>
                <w:highlight w:val="none"/>
                <w:lang w:val="zh-CN"/>
              </w:rPr>
            </w:pPr>
            <w:r>
              <w:rPr>
                <w:rFonts w:hint="eastAsia" w:ascii="宋体" w:hAnsi="宋体" w:cs="宋体"/>
                <w:color w:val="auto"/>
                <w:szCs w:val="21"/>
                <w:highlight w:val="none"/>
                <w:lang w:val="zh-CN"/>
              </w:rPr>
              <w:t>以中标金额为计费基数，按照原国家计委《关于印发招标代理服务收费管理暂行办法的通知》（计价格[2002]1980号）和国家发展改革委办公厅《关于招标代理服务费收费有关问题的通知》（发改办价格[2003]857号）文件规定的招标收费费率下浮</w:t>
            </w:r>
            <w:r>
              <w:rPr>
                <w:rFonts w:hint="eastAsia" w:ascii="宋体" w:hAnsi="宋体" w:cs="宋体"/>
                <w:color w:val="auto"/>
                <w:szCs w:val="21"/>
                <w:highlight w:val="none"/>
              </w:rPr>
              <w:t>20%执行</w:t>
            </w:r>
            <w:r>
              <w:rPr>
                <w:rFonts w:hint="eastAsia" w:ascii="宋体" w:hAnsi="宋体" w:cs="宋体"/>
                <w:color w:val="auto"/>
                <w:szCs w:val="21"/>
                <w:highlight w:val="none"/>
                <w:lang w:val="zh-CN"/>
              </w:rPr>
              <w:t>，各包</w:t>
            </w:r>
            <w:r>
              <w:rPr>
                <w:rFonts w:hint="eastAsia" w:ascii="宋体" w:hAnsi="宋体" w:cs="宋体"/>
                <w:color w:val="auto"/>
                <w:kern w:val="0"/>
                <w:szCs w:val="21"/>
                <w:highlight w:val="none"/>
              </w:rPr>
              <w:t>招标代理服务费</w:t>
            </w:r>
            <w:r>
              <w:rPr>
                <w:rFonts w:hint="eastAsia" w:ascii="宋体" w:hAnsi="宋体" w:cs="宋体"/>
                <w:color w:val="auto"/>
                <w:szCs w:val="21"/>
                <w:highlight w:val="none"/>
                <w:lang w:val="zh-CN"/>
              </w:rPr>
              <w:t>不足</w:t>
            </w:r>
            <w:r>
              <w:rPr>
                <w:rFonts w:hint="eastAsia" w:ascii="宋体" w:hAnsi="宋体" w:cs="宋体"/>
                <w:color w:val="auto"/>
                <w:szCs w:val="21"/>
                <w:highlight w:val="none"/>
              </w:rPr>
              <w:t>6000元的，按6000元收取。由各包中标人在领取中标通知书前向代理机构支付。</w:t>
            </w:r>
          </w:p>
          <w:p>
            <w:pPr>
              <w:spacing w:line="360" w:lineRule="auto"/>
              <w:jc w:val="left"/>
              <w:rPr>
                <w:rFonts w:ascii="宋体" w:hAnsi="宋体" w:cs="宋体"/>
                <w:color w:val="auto"/>
                <w:szCs w:val="21"/>
                <w:highlight w:val="none"/>
                <w:lang w:val="zh-CN"/>
              </w:rPr>
            </w:pPr>
            <w:r>
              <w:rPr>
                <w:rFonts w:hint="eastAsia" w:ascii="宋体" w:hAnsi="宋体" w:cs="宋体"/>
                <w:color w:val="auto"/>
                <w:szCs w:val="21"/>
                <w:highlight w:val="none"/>
                <w:lang w:val="zh-CN"/>
              </w:rPr>
              <w:t>收款单位：四川轩辕招标代理有限公司</w:t>
            </w:r>
          </w:p>
          <w:p>
            <w:pPr>
              <w:spacing w:line="360" w:lineRule="auto"/>
              <w:jc w:val="left"/>
              <w:rPr>
                <w:rFonts w:ascii="宋体" w:hAnsi="宋体" w:cs="宋体"/>
                <w:color w:val="auto"/>
                <w:szCs w:val="21"/>
                <w:highlight w:val="none"/>
                <w:lang w:val="zh-CN"/>
              </w:rPr>
            </w:pPr>
            <w:r>
              <w:rPr>
                <w:rFonts w:hint="eastAsia" w:ascii="宋体" w:hAnsi="宋体" w:cs="宋体"/>
                <w:color w:val="auto"/>
                <w:szCs w:val="21"/>
                <w:highlight w:val="none"/>
                <w:lang w:val="zh-CN"/>
              </w:rPr>
              <w:t>开</w:t>
            </w:r>
            <w:r>
              <w:rPr>
                <w:rFonts w:hint="eastAsia" w:ascii="宋体" w:hAnsi="宋体" w:cs="宋体"/>
                <w:color w:val="auto"/>
                <w:szCs w:val="21"/>
                <w:highlight w:val="none"/>
              </w:rPr>
              <w:t xml:space="preserve"> </w:t>
            </w:r>
            <w:r>
              <w:rPr>
                <w:rFonts w:hint="eastAsia" w:ascii="宋体" w:hAnsi="宋体" w:cs="宋体"/>
                <w:color w:val="auto"/>
                <w:szCs w:val="21"/>
                <w:highlight w:val="none"/>
                <w:lang w:val="zh-CN"/>
              </w:rPr>
              <w:t>户</w:t>
            </w:r>
            <w:r>
              <w:rPr>
                <w:rFonts w:hint="eastAsia" w:ascii="宋体" w:hAnsi="宋体" w:cs="宋体"/>
                <w:color w:val="auto"/>
                <w:szCs w:val="21"/>
                <w:highlight w:val="none"/>
              </w:rPr>
              <w:t xml:space="preserve"> </w:t>
            </w:r>
            <w:r>
              <w:rPr>
                <w:rFonts w:hint="eastAsia" w:ascii="宋体" w:hAnsi="宋体" w:cs="宋体"/>
                <w:color w:val="auto"/>
                <w:szCs w:val="21"/>
                <w:highlight w:val="none"/>
                <w:lang w:val="zh-CN"/>
              </w:rPr>
              <w:t>行：中国民生银行成都分行</w:t>
            </w:r>
          </w:p>
          <w:p>
            <w:pPr>
              <w:spacing w:line="360" w:lineRule="auto"/>
              <w:jc w:val="left"/>
              <w:rPr>
                <w:rFonts w:ascii="宋体" w:hAnsi="宋体" w:cs="宋体"/>
                <w:color w:val="auto"/>
                <w:szCs w:val="21"/>
                <w:highlight w:val="none"/>
                <w:lang w:val="zh-CN"/>
              </w:rPr>
            </w:pPr>
            <w:r>
              <w:rPr>
                <w:rFonts w:hint="eastAsia" w:ascii="宋体" w:hAnsi="宋体" w:cs="宋体"/>
                <w:color w:val="auto"/>
                <w:szCs w:val="21"/>
                <w:highlight w:val="none"/>
                <w:lang w:val="zh-CN"/>
              </w:rPr>
              <w:t>银行账号：677 868 681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47" w:type="dxa"/>
            <w:tcBorders>
              <w:top w:val="single" w:color="auto" w:sz="4" w:space="0"/>
              <w:bottom w:val="single" w:color="auto" w:sz="4" w:space="0"/>
            </w:tcBorders>
            <w:vAlign w:val="center"/>
          </w:tcPr>
          <w:p>
            <w:pPr>
              <w:autoSpaceDE w:val="0"/>
              <w:autoSpaceDN w:val="0"/>
              <w:adjustRightIn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19</w:t>
            </w:r>
          </w:p>
        </w:tc>
        <w:tc>
          <w:tcPr>
            <w:tcW w:w="1985" w:type="dxa"/>
            <w:tcBorders>
              <w:top w:val="single" w:color="auto" w:sz="4" w:space="0"/>
              <w:bottom w:val="single" w:color="auto" w:sz="4" w:space="0"/>
            </w:tcBorders>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1"/>
                <w:szCs w:val="21"/>
                <w:highlight w:val="none"/>
                <w:lang w:val="zh-CN"/>
              </w:rPr>
              <w:t>承诺提醒</w:t>
            </w:r>
          </w:p>
        </w:tc>
        <w:tc>
          <w:tcPr>
            <w:tcW w:w="6588" w:type="dxa"/>
            <w:tcBorders>
              <w:top w:val="single" w:color="auto" w:sz="4" w:space="0"/>
              <w:bottom w:val="single" w:color="auto" w:sz="4" w:space="0"/>
            </w:tcBorders>
            <w:vAlign w:val="center"/>
          </w:tcPr>
          <w:p>
            <w:pPr>
              <w:spacing w:line="360" w:lineRule="auto"/>
              <w:jc w:val="left"/>
              <w:rPr>
                <w:rFonts w:ascii="宋体" w:hAnsi="宋体" w:cs="宋体"/>
                <w:color w:val="auto"/>
                <w:szCs w:val="21"/>
                <w:highlight w:val="none"/>
                <w:lang w:val="zh-CN"/>
              </w:rPr>
            </w:pPr>
            <w:r>
              <w:rPr>
                <w:rFonts w:hint="eastAsia" w:ascii="宋体" w:hAnsi="宋体" w:cs="宋体"/>
                <w:color w:val="auto"/>
                <w:szCs w:val="21"/>
                <w:highlight w:val="none"/>
                <w:lang w:val="zh-CN"/>
              </w:rPr>
              <w:t>关于供应商依法缴纳税收和社会保障资金的相关承诺，项目采购活动结束后，采购人或采购代理机构如有必要将核实供应商所作承诺真实性，如提供虚假承诺将报告监管部门严肃追究法律责任。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47" w:type="dxa"/>
            <w:tcBorders>
              <w:top w:val="single" w:color="auto" w:sz="4" w:space="0"/>
              <w:bottom w:val="single" w:color="auto" w:sz="4" w:space="0"/>
            </w:tcBorders>
            <w:vAlign w:val="center"/>
          </w:tcPr>
          <w:p>
            <w:pPr>
              <w:autoSpaceDE w:val="0"/>
              <w:autoSpaceDN w:val="0"/>
              <w:adjustRightIn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1985" w:type="dxa"/>
            <w:tcBorders>
              <w:top w:val="single" w:color="auto" w:sz="4" w:space="0"/>
              <w:bottom w:val="single" w:color="auto" w:sz="4" w:space="0"/>
            </w:tcBorders>
            <w:vAlign w:val="center"/>
          </w:tcPr>
          <w:p>
            <w:pPr>
              <w:pStyle w:val="82"/>
              <w:ind w:left="96"/>
              <w:jc w:val="center"/>
              <w:rPr>
                <w:color w:val="auto"/>
                <w:kern w:val="2"/>
                <w:sz w:val="21"/>
                <w:szCs w:val="21"/>
                <w:highlight w:val="none"/>
                <w:lang w:val="zh-CN"/>
              </w:rPr>
            </w:pPr>
            <w:r>
              <w:rPr>
                <w:rFonts w:hint="eastAsia"/>
                <w:color w:val="auto"/>
                <w:kern w:val="2"/>
                <w:sz w:val="21"/>
                <w:szCs w:val="21"/>
                <w:highlight w:val="none"/>
                <w:lang w:val="zh-CN"/>
              </w:rPr>
              <w:t>温馨提示</w:t>
            </w:r>
          </w:p>
        </w:tc>
        <w:tc>
          <w:tcPr>
            <w:tcW w:w="6588" w:type="dxa"/>
            <w:tcBorders>
              <w:top w:val="single" w:color="auto" w:sz="4" w:space="0"/>
              <w:bottom w:val="single" w:color="auto" w:sz="4" w:space="0"/>
            </w:tcBorders>
            <w:vAlign w:val="center"/>
          </w:tcPr>
          <w:p>
            <w:pPr>
              <w:pStyle w:val="82"/>
              <w:numPr>
                <w:ilvl w:val="0"/>
                <w:numId w:val="6"/>
              </w:numPr>
              <w:rPr>
                <w:color w:val="auto"/>
                <w:kern w:val="2"/>
                <w:sz w:val="21"/>
                <w:szCs w:val="21"/>
                <w:highlight w:val="none"/>
                <w:lang w:val="zh-CN"/>
              </w:rPr>
            </w:pPr>
            <w:r>
              <w:rPr>
                <w:rFonts w:hint="eastAsia"/>
                <w:color w:val="auto"/>
                <w:kern w:val="2"/>
                <w:sz w:val="21"/>
                <w:szCs w:val="21"/>
                <w:highlight w:val="none"/>
                <w:lang w:val="zh-CN"/>
              </w:rPr>
              <w:t>供应商需准备全流程所必需的硬件设备包括电脑（版本 win7 64位及以上）、麦克风、摄像头、CA证书等。建议使用同一台电脑完成投标、评标相关事宜，推荐安装 chrome 浏览器，且解密CA必须和加密CA为同一把。</w:t>
            </w:r>
          </w:p>
          <w:p>
            <w:pPr>
              <w:pStyle w:val="82"/>
              <w:jc w:val="both"/>
              <w:rPr>
                <w:color w:val="auto"/>
                <w:kern w:val="2"/>
                <w:sz w:val="21"/>
                <w:szCs w:val="21"/>
                <w:highlight w:val="none"/>
                <w:lang w:val="zh-CN"/>
              </w:rPr>
            </w:pPr>
            <w:r>
              <w:rPr>
                <w:rFonts w:hint="eastAsia"/>
                <w:color w:val="auto"/>
                <w:kern w:val="2"/>
                <w:sz w:val="21"/>
                <w:szCs w:val="21"/>
                <w:highlight w:val="none"/>
                <w:lang w:val="zh-CN"/>
              </w:rPr>
              <w:t>2.政府采购云平台供应商注册地址：</w:t>
            </w:r>
          </w:p>
          <w:p>
            <w:pPr>
              <w:pStyle w:val="82"/>
              <w:jc w:val="both"/>
              <w:rPr>
                <w:color w:val="auto"/>
                <w:kern w:val="2"/>
                <w:sz w:val="21"/>
                <w:szCs w:val="21"/>
                <w:highlight w:val="none"/>
                <w:lang w:val="zh-CN"/>
              </w:rPr>
            </w:pPr>
            <w:r>
              <w:rPr>
                <w:rFonts w:hint="eastAsia"/>
                <w:color w:val="auto"/>
                <w:kern w:val="2"/>
                <w:sz w:val="21"/>
                <w:szCs w:val="21"/>
                <w:highlight w:val="none"/>
                <w:lang w:val="zh-CN"/>
              </w:rPr>
              <w:t>https://middle.zcygov.cn/v-settle-front/registry?settleCategory=1&amp;entranceType=119&amp;utm=a0017.b1347.cl50.3.c0de9400b91b11eb870ad7da87d69c97</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47" w:type="dxa"/>
            <w:tcBorders>
              <w:top w:val="single" w:color="auto" w:sz="4" w:space="0"/>
              <w:bottom w:val="single" w:color="auto" w:sz="4" w:space="0"/>
            </w:tcBorders>
            <w:vAlign w:val="center"/>
          </w:tcPr>
          <w:p>
            <w:pPr>
              <w:autoSpaceDE w:val="0"/>
              <w:autoSpaceDN w:val="0"/>
              <w:adjustRightIn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1985" w:type="dxa"/>
            <w:tcBorders>
              <w:top w:val="single" w:color="auto" w:sz="4" w:space="0"/>
              <w:bottom w:val="single" w:color="auto" w:sz="4" w:space="0"/>
            </w:tcBorders>
            <w:vAlign w:val="center"/>
          </w:tcPr>
          <w:p>
            <w:pPr>
              <w:pStyle w:val="82"/>
              <w:ind w:left="96"/>
              <w:jc w:val="center"/>
              <w:rPr>
                <w:color w:val="auto"/>
                <w:kern w:val="2"/>
                <w:sz w:val="21"/>
                <w:szCs w:val="21"/>
                <w:highlight w:val="none"/>
                <w:lang w:val="zh-CN"/>
              </w:rPr>
            </w:pPr>
            <w:r>
              <w:rPr>
                <w:rFonts w:hint="eastAsia"/>
                <w:color w:val="auto"/>
                <w:kern w:val="2"/>
                <w:sz w:val="21"/>
                <w:szCs w:val="21"/>
                <w:highlight w:val="none"/>
                <w:lang w:val="zh-CN"/>
              </w:rPr>
              <w:t>采购计划文号</w:t>
            </w:r>
          </w:p>
        </w:tc>
        <w:tc>
          <w:tcPr>
            <w:tcW w:w="6588" w:type="dxa"/>
            <w:tcBorders>
              <w:top w:val="single" w:color="auto" w:sz="4" w:space="0"/>
              <w:bottom w:val="single" w:color="auto" w:sz="4" w:space="0"/>
            </w:tcBorders>
            <w:vAlign w:val="center"/>
          </w:tcPr>
          <w:p>
            <w:pPr>
              <w:pStyle w:val="82"/>
              <w:jc w:val="both"/>
              <w:rPr>
                <w:color w:val="auto"/>
                <w:kern w:val="2"/>
                <w:sz w:val="21"/>
                <w:szCs w:val="21"/>
                <w:highlight w:val="none"/>
                <w:lang w:val="zh-CN"/>
              </w:rPr>
            </w:pPr>
            <w:r>
              <w:rPr>
                <w:rFonts w:hint="eastAsia"/>
                <w:color w:val="auto"/>
                <w:kern w:val="2"/>
                <w:sz w:val="21"/>
                <w:szCs w:val="21"/>
                <w:highlight w:val="none"/>
                <w:lang w:val="zh-CN"/>
              </w:rPr>
              <w:t xml:space="preserve"> (2021)1381号</w:t>
            </w:r>
          </w:p>
        </w:tc>
      </w:tr>
    </w:tbl>
    <w:p>
      <w:pPr>
        <w:rPr>
          <w:rFonts w:ascii="宋体" w:hAnsi="宋体" w:cs="宋体"/>
          <w:color w:val="auto"/>
          <w:highlight w:val="none"/>
        </w:rPr>
      </w:pPr>
      <w:r>
        <w:rPr>
          <w:rFonts w:hint="eastAsia" w:ascii="宋体" w:hAnsi="宋体" w:cs="宋体"/>
          <w:color w:val="auto"/>
          <w:highlight w:val="none"/>
        </w:rPr>
        <w:t>注：本附表以外关于其他内容是对供应商须知的具体补充，如有矛盾，以本附表为准。</w:t>
      </w:r>
    </w:p>
    <w:bookmarkEnd w:id="4"/>
    <w:bookmarkEnd w:id="5"/>
    <w:bookmarkEnd w:id="6"/>
    <w:bookmarkEnd w:id="7"/>
    <w:bookmarkEnd w:id="8"/>
    <w:p>
      <w:pPr>
        <w:pStyle w:val="4"/>
        <w:spacing w:line="360" w:lineRule="auto"/>
        <w:rPr>
          <w:rFonts w:ascii="宋体" w:hAnsi="宋体" w:cs="宋体"/>
          <w:b/>
          <w:color w:val="auto"/>
          <w:highlight w:val="none"/>
        </w:rPr>
        <w:sectPr>
          <w:headerReference r:id="rId4" w:type="default"/>
          <w:footerReference r:id="rId6" w:type="default"/>
          <w:headerReference r:id="rId5" w:type="even"/>
          <w:footerReference r:id="rId7" w:type="even"/>
          <w:pgSz w:w="11906" w:h="16838"/>
          <w:pgMar w:top="1440" w:right="1474" w:bottom="1440" w:left="1474" w:header="851" w:footer="850" w:gutter="0"/>
          <w:pgNumType w:start="1"/>
          <w:cols w:space="720" w:num="1"/>
          <w:docGrid w:type="lines" w:linePitch="312" w:charSpace="0"/>
        </w:sectPr>
      </w:pPr>
      <w:bookmarkStart w:id="15" w:name="_Toc490290181"/>
      <w:bookmarkStart w:id="16" w:name="_Toc23856"/>
      <w:bookmarkStart w:id="17" w:name="_Toc32001"/>
    </w:p>
    <w:p>
      <w:pPr>
        <w:pStyle w:val="4"/>
        <w:spacing w:line="360" w:lineRule="auto"/>
        <w:rPr>
          <w:rFonts w:ascii="宋体" w:hAnsi="宋体" w:cs="宋体"/>
          <w:b/>
          <w:color w:val="auto"/>
          <w:sz w:val="24"/>
          <w:highlight w:val="none"/>
        </w:rPr>
      </w:pPr>
      <w:r>
        <w:rPr>
          <w:rFonts w:hint="eastAsia" w:ascii="宋体" w:hAnsi="宋体" w:cs="宋体"/>
          <w:b/>
          <w:color w:val="auto"/>
          <w:highlight w:val="none"/>
        </w:rPr>
        <w:t>二、总  则</w:t>
      </w:r>
      <w:bookmarkEnd w:id="15"/>
      <w:bookmarkEnd w:id="16"/>
      <w:bookmarkEnd w:id="17"/>
    </w:p>
    <w:p>
      <w:pPr>
        <w:pStyle w:val="7"/>
        <w:spacing w:line="360" w:lineRule="auto"/>
        <w:ind w:firstLine="482" w:firstLineChars="200"/>
        <w:rPr>
          <w:rFonts w:ascii="宋体" w:hAnsi="宋体" w:cs="宋体"/>
          <w:color w:val="auto"/>
          <w:sz w:val="24"/>
          <w:szCs w:val="24"/>
          <w:highlight w:val="none"/>
        </w:rPr>
      </w:pPr>
      <w:bookmarkStart w:id="18" w:name="_Toc183682342"/>
      <w:bookmarkStart w:id="19" w:name="_Toc183582205"/>
      <w:bookmarkStart w:id="20" w:name="_Toc490290182"/>
      <w:bookmarkStart w:id="21" w:name="_Toc217446034"/>
      <w:r>
        <w:rPr>
          <w:rFonts w:hint="eastAsia" w:ascii="宋体" w:hAnsi="宋体" w:cs="宋体"/>
          <w:color w:val="auto"/>
          <w:sz w:val="24"/>
          <w:szCs w:val="24"/>
          <w:highlight w:val="none"/>
        </w:rPr>
        <w:t>1.</w:t>
      </w:r>
      <w:bookmarkEnd w:id="18"/>
      <w:bookmarkEnd w:id="19"/>
      <w:r>
        <w:rPr>
          <w:rFonts w:hint="eastAsia" w:ascii="宋体" w:hAnsi="宋体" w:cs="宋体"/>
          <w:color w:val="auto"/>
          <w:sz w:val="24"/>
          <w:szCs w:val="24"/>
          <w:highlight w:val="none"/>
        </w:rPr>
        <w:t xml:space="preserve"> 适用范围</w:t>
      </w:r>
      <w:bookmarkEnd w:id="20"/>
      <w:bookmarkEnd w:id="21"/>
    </w:p>
    <w:p>
      <w:pPr>
        <w:tabs>
          <w:tab w:val="left" w:pos="766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 本招标文件仅适用于本次招标采购项目。</w:t>
      </w:r>
    </w:p>
    <w:p>
      <w:pPr>
        <w:pStyle w:val="7"/>
        <w:spacing w:line="360" w:lineRule="auto"/>
        <w:ind w:firstLine="482" w:firstLineChars="200"/>
        <w:rPr>
          <w:rFonts w:ascii="宋体" w:hAnsi="宋体" w:cs="宋体"/>
          <w:color w:val="auto"/>
          <w:sz w:val="24"/>
          <w:szCs w:val="24"/>
          <w:highlight w:val="none"/>
        </w:rPr>
      </w:pPr>
      <w:bookmarkStart w:id="22" w:name="_Toc183582206"/>
      <w:bookmarkStart w:id="23" w:name="_Toc183682343"/>
      <w:bookmarkStart w:id="24" w:name="_Toc217446035"/>
      <w:bookmarkStart w:id="25" w:name="_Toc490290183"/>
      <w:r>
        <w:rPr>
          <w:rFonts w:hint="eastAsia" w:ascii="宋体" w:hAnsi="宋体" w:cs="宋体"/>
          <w:color w:val="auto"/>
          <w:sz w:val="24"/>
          <w:szCs w:val="24"/>
          <w:highlight w:val="none"/>
        </w:rPr>
        <w:t xml:space="preserve">2. </w:t>
      </w:r>
      <w:bookmarkEnd w:id="22"/>
      <w:bookmarkEnd w:id="23"/>
      <w:r>
        <w:rPr>
          <w:rFonts w:hint="eastAsia" w:ascii="宋体" w:hAnsi="宋体" w:cs="宋体"/>
          <w:color w:val="auto"/>
          <w:sz w:val="24"/>
          <w:szCs w:val="24"/>
          <w:highlight w:val="none"/>
        </w:rPr>
        <w:t>有关定义</w:t>
      </w:r>
      <w:bookmarkEnd w:id="24"/>
      <w:bookmarkEnd w:id="25"/>
    </w:p>
    <w:p>
      <w:pPr>
        <w:tabs>
          <w:tab w:val="left" w:pos="766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“采购人”系指依法进行政府采购的国家机关、事业单位、团体组织。本招标项目的采购人是</w:t>
      </w:r>
      <w:r>
        <w:rPr>
          <w:rFonts w:hint="eastAsia" w:ascii="宋体" w:hAnsi="宋体" w:cs="宋体"/>
          <w:b/>
          <w:bCs/>
          <w:color w:val="auto"/>
          <w:sz w:val="24"/>
          <w:highlight w:val="none"/>
          <w:u w:val="single"/>
        </w:rPr>
        <w:t xml:space="preserve"> 成都市双流区妇幼保健院</w:t>
      </w:r>
      <w:r>
        <w:rPr>
          <w:rFonts w:hint="eastAsia" w:ascii="宋体" w:hAnsi="宋体" w:cs="宋体"/>
          <w:color w:val="auto"/>
          <w:sz w:val="24"/>
          <w:highlight w:val="none"/>
        </w:rPr>
        <w:t>。</w:t>
      </w:r>
    </w:p>
    <w:p>
      <w:pPr>
        <w:tabs>
          <w:tab w:val="left" w:pos="766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“采购代理机构”系指根据采购人的委托依法办理招标事宜的采购机构。本次招标项目的采购代理机构是</w:t>
      </w:r>
      <w:r>
        <w:rPr>
          <w:rFonts w:hint="eastAsia" w:ascii="宋体" w:hAnsi="宋体" w:cs="宋体"/>
          <w:b/>
          <w:color w:val="auto"/>
          <w:sz w:val="24"/>
          <w:highlight w:val="none"/>
          <w:u w:val="single"/>
        </w:rPr>
        <w:t>四川轩辕招标代理有限公司</w:t>
      </w:r>
      <w:r>
        <w:rPr>
          <w:rFonts w:hint="eastAsia" w:ascii="宋体" w:hAnsi="宋体" w:cs="宋体"/>
          <w:color w:val="auto"/>
          <w:sz w:val="24"/>
          <w:highlight w:val="none"/>
        </w:rPr>
        <w:t>。</w:t>
      </w:r>
    </w:p>
    <w:p>
      <w:pPr>
        <w:tabs>
          <w:tab w:val="left" w:pos="766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“招标采购单位”系指“采购人”和“采购代理机构”的统称。</w:t>
      </w:r>
    </w:p>
    <w:p>
      <w:pPr>
        <w:tabs>
          <w:tab w:val="left" w:pos="766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“投标人”系指向招标人报名成功拟参加投标和向采购人提供货物及相应服务的供应商。</w:t>
      </w:r>
    </w:p>
    <w:p>
      <w:pPr>
        <w:tabs>
          <w:tab w:val="left" w:pos="766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 “在经营活动中的重大违法记录”系指供应商因违法经营受到刑事处罚或者责令停产停业、吊销许可证或者执照、较大数额罚款等行政处罚。</w:t>
      </w:r>
    </w:p>
    <w:p>
      <w:pPr>
        <w:pStyle w:val="7"/>
        <w:spacing w:line="360" w:lineRule="auto"/>
        <w:ind w:firstLine="482" w:firstLineChars="200"/>
        <w:rPr>
          <w:rFonts w:ascii="宋体" w:hAnsi="宋体" w:cs="宋体"/>
          <w:color w:val="auto"/>
          <w:sz w:val="24"/>
          <w:szCs w:val="24"/>
          <w:highlight w:val="none"/>
        </w:rPr>
      </w:pPr>
      <w:bookmarkStart w:id="26" w:name="_Toc183682344"/>
      <w:bookmarkStart w:id="27" w:name="_Toc217390843"/>
      <w:bookmarkStart w:id="28" w:name="_Toc217446036"/>
      <w:bookmarkStart w:id="29" w:name="_Toc183582207"/>
      <w:bookmarkStart w:id="30" w:name="_Toc490290184"/>
      <w:r>
        <w:rPr>
          <w:rFonts w:hint="eastAsia" w:ascii="宋体" w:hAnsi="宋体" w:cs="宋体"/>
          <w:color w:val="auto"/>
          <w:sz w:val="24"/>
          <w:szCs w:val="24"/>
          <w:highlight w:val="none"/>
        </w:rPr>
        <w:t>3. 合格的投标人</w:t>
      </w:r>
      <w:bookmarkEnd w:id="26"/>
      <w:bookmarkEnd w:id="27"/>
      <w:bookmarkEnd w:id="28"/>
      <w:bookmarkEnd w:id="29"/>
      <w:r>
        <w:rPr>
          <w:rFonts w:hint="eastAsia" w:ascii="宋体" w:hAnsi="宋体" w:cs="宋体"/>
          <w:color w:val="auto"/>
          <w:sz w:val="24"/>
          <w:szCs w:val="24"/>
          <w:highlight w:val="none"/>
        </w:rPr>
        <w:t>（实质性要求）</w:t>
      </w:r>
      <w:bookmarkEnd w:id="30"/>
    </w:p>
    <w:p>
      <w:pPr>
        <w:tabs>
          <w:tab w:val="left" w:pos="7665"/>
        </w:tabs>
        <w:spacing w:line="360" w:lineRule="auto"/>
        <w:ind w:firstLine="480" w:firstLineChars="200"/>
        <w:rPr>
          <w:rFonts w:ascii="宋体" w:hAnsi="宋体" w:cs="宋体"/>
          <w:color w:val="auto"/>
          <w:sz w:val="24"/>
          <w:highlight w:val="none"/>
        </w:rPr>
      </w:pPr>
      <w:bookmarkStart w:id="31" w:name="_Toc183582208"/>
      <w:bookmarkStart w:id="32" w:name="_Toc183682345"/>
      <w:bookmarkStart w:id="33" w:name="_Toc217446037"/>
      <w:bookmarkStart w:id="34" w:name="_Toc490290185"/>
      <w:r>
        <w:rPr>
          <w:rFonts w:hint="eastAsia" w:ascii="宋体" w:hAnsi="宋体" w:cs="宋体"/>
          <w:color w:val="auto"/>
          <w:sz w:val="24"/>
          <w:highlight w:val="none"/>
        </w:rPr>
        <w:t>合格的投标人应具备以下条件：</w:t>
      </w:r>
    </w:p>
    <w:p>
      <w:pPr>
        <w:tabs>
          <w:tab w:val="left" w:pos="7665"/>
        </w:tabs>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（1）本招标文件规定的供应商资格条件；</w:t>
      </w:r>
    </w:p>
    <w:p>
      <w:pPr>
        <w:tabs>
          <w:tab w:val="left" w:pos="7665"/>
        </w:tabs>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（2）遵守国家有关的法律、法规、规章和其他政策制度；</w:t>
      </w:r>
    </w:p>
    <w:p>
      <w:pPr>
        <w:pStyle w:val="7"/>
        <w:spacing w:line="360" w:lineRule="auto"/>
        <w:ind w:firstLine="482" w:firstLineChars="200"/>
        <w:rPr>
          <w:rFonts w:ascii="宋体" w:hAnsi="宋体" w:cs="宋体"/>
          <w:color w:val="auto"/>
          <w:sz w:val="24"/>
          <w:szCs w:val="24"/>
          <w:highlight w:val="none"/>
        </w:rPr>
      </w:pPr>
      <w:r>
        <w:rPr>
          <w:rFonts w:hint="eastAsia" w:ascii="宋体" w:hAnsi="宋体" w:cs="宋体"/>
          <w:color w:val="auto"/>
          <w:sz w:val="24"/>
          <w:szCs w:val="24"/>
          <w:highlight w:val="none"/>
        </w:rPr>
        <w:t>4. 投标费用</w:t>
      </w:r>
      <w:bookmarkEnd w:id="31"/>
      <w:bookmarkEnd w:id="32"/>
      <w:bookmarkEnd w:id="33"/>
      <w:r>
        <w:rPr>
          <w:rFonts w:hint="eastAsia" w:ascii="宋体" w:hAnsi="宋体" w:cs="宋体"/>
          <w:color w:val="auto"/>
          <w:sz w:val="24"/>
          <w:szCs w:val="24"/>
          <w:highlight w:val="none"/>
        </w:rPr>
        <w:t>（实质性要求）</w:t>
      </w:r>
      <w:bookmarkEnd w:id="34"/>
    </w:p>
    <w:p>
      <w:pPr>
        <w:tabs>
          <w:tab w:val="left" w:pos="7665"/>
        </w:tabs>
        <w:spacing w:line="360" w:lineRule="auto"/>
        <w:ind w:firstLine="480"/>
        <w:rPr>
          <w:rFonts w:ascii="宋体" w:hAnsi="宋体" w:cs="宋体"/>
          <w:color w:val="auto"/>
          <w:sz w:val="24"/>
          <w:highlight w:val="none"/>
        </w:rPr>
      </w:pPr>
      <w:r>
        <w:rPr>
          <w:rFonts w:hint="eastAsia" w:ascii="宋体" w:hAnsi="宋体" w:cs="宋体"/>
          <w:color w:val="auto"/>
          <w:sz w:val="24"/>
          <w:highlight w:val="none"/>
        </w:rPr>
        <w:t>投标人参加投标的有关费用由投标人自行承担。</w:t>
      </w:r>
    </w:p>
    <w:p>
      <w:pPr>
        <w:pStyle w:val="7"/>
        <w:spacing w:line="360" w:lineRule="auto"/>
        <w:ind w:firstLine="482" w:firstLineChars="200"/>
        <w:rPr>
          <w:rFonts w:ascii="宋体" w:hAnsi="宋体" w:cs="宋体"/>
          <w:color w:val="auto"/>
          <w:sz w:val="24"/>
          <w:szCs w:val="24"/>
          <w:highlight w:val="none"/>
        </w:rPr>
      </w:pPr>
      <w:bookmarkStart w:id="35" w:name="_Toc490290186"/>
      <w:r>
        <w:rPr>
          <w:rFonts w:hint="eastAsia" w:ascii="宋体" w:hAnsi="宋体" w:cs="宋体"/>
          <w:color w:val="auto"/>
          <w:sz w:val="24"/>
          <w:szCs w:val="24"/>
          <w:highlight w:val="none"/>
        </w:rPr>
        <w:t>5.充分、公平竞争保障措施（实质性要求）</w:t>
      </w:r>
      <w:bookmarkEnd w:id="35"/>
    </w:p>
    <w:p>
      <w:pPr>
        <w:pStyle w:val="54"/>
        <w:spacing w:line="360" w:lineRule="auto"/>
        <w:ind w:left="1" w:firstLine="482" w:firstLineChars="200"/>
        <w:rPr>
          <w:rFonts w:hAnsi="宋体" w:cs="宋体"/>
          <w:b/>
          <w:color w:val="auto"/>
          <w:sz w:val="24"/>
          <w:szCs w:val="24"/>
          <w:highlight w:val="none"/>
        </w:rPr>
      </w:pPr>
      <w:r>
        <w:rPr>
          <w:rFonts w:hint="eastAsia" w:hAnsi="宋体" w:cs="宋体"/>
          <w:b/>
          <w:color w:val="auto"/>
          <w:sz w:val="24"/>
          <w:highlight w:val="none"/>
        </w:rPr>
        <w:t>5.1 提供相同品牌产品处理</w:t>
      </w:r>
      <w:r>
        <w:rPr>
          <w:rFonts w:hint="eastAsia" w:hAnsi="宋体" w:cs="宋体"/>
          <w:b/>
          <w:color w:val="auto"/>
          <w:sz w:val="24"/>
          <w:szCs w:val="24"/>
          <w:highlight w:val="none"/>
        </w:rPr>
        <w:t>。</w:t>
      </w:r>
    </w:p>
    <w:p>
      <w:pPr>
        <w:adjustRightInd w:val="0"/>
        <w:spacing w:line="460" w:lineRule="exact"/>
        <w:ind w:left="1" w:firstLine="480" w:firstLineChars="200"/>
        <w:rPr>
          <w:rFonts w:ascii="宋体" w:hAnsi="宋体" w:cs="宋体"/>
          <w:color w:val="auto"/>
          <w:kern w:val="0"/>
          <w:sz w:val="24"/>
          <w:szCs w:val="22"/>
          <w:highlight w:val="none"/>
        </w:rPr>
      </w:pPr>
      <w:r>
        <w:rPr>
          <w:rFonts w:hint="eastAsia" w:ascii="宋体" w:hAnsi="宋体" w:cs="宋体"/>
          <w:color w:val="auto"/>
          <w:kern w:val="0"/>
          <w:sz w:val="24"/>
          <w:szCs w:val="22"/>
          <w:highlight w:val="none"/>
        </w:rPr>
        <w:t>采用最低评标价法的采购项目，提供相同品牌产品的不同投标人参加同一合同项下投标的，以其中通过资格审查、符合性审查且总价最低的投标人参加评审。投标人报价相同的，由采购人以公平、择优的方式确定一个投标人参加评审，其他投标作无效处理。</w:t>
      </w:r>
    </w:p>
    <w:p>
      <w:pPr>
        <w:adjustRightInd w:val="0"/>
        <w:spacing w:line="460" w:lineRule="exact"/>
        <w:ind w:left="1" w:firstLine="480" w:firstLineChars="200"/>
        <w:rPr>
          <w:rFonts w:ascii="宋体" w:hAnsi="宋体" w:cs="宋体"/>
          <w:color w:val="auto"/>
          <w:kern w:val="0"/>
          <w:sz w:val="24"/>
          <w:szCs w:val="22"/>
          <w:highlight w:val="none"/>
        </w:rPr>
      </w:pPr>
      <w:r>
        <w:rPr>
          <w:rFonts w:hint="eastAsia" w:ascii="宋体" w:hAnsi="宋体" w:cs="宋体"/>
          <w:color w:val="auto"/>
          <w:kern w:val="0"/>
          <w:sz w:val="24"/>
          <w:szCs w:val="22"/>
          <w:highlight w:val="none"/>
        </w:rPr>
        <w:t>采用综合评分法的采购项目，提供相同品牌产品的不同投标人参加同一合同项下投标的，按一家投标人计算，评审后得分最高的同品牌投标人获得中标人推荐资格；评审得分相同的，评标委员会成员采取公平、择优的方式确定一个参加评标的投标人或以抽签方式确定一个参加评标的投标人，其他投标无效。其他同品牌投标人不作为中标候选人。</w:t>
      </w:r>
    </w:p>
    <w:p>
      <w:pPr>
        <w:adjustRightInd w:val="0"/>
        <w:spacing w:line="360" w:lineRule="auto"/>
        <w:ind w:firstLine="480" w:firstLineChars="200"/>
        <w:rPr>
          <w:rFonts w:ascii="宋体" w:hAnsi="宋体" w:cs="宋体"/>
          <w:b/>
          <w:color w:val="auto"/>
          <w:kern w:val="0"/>
          <w:sz w:val="24"/>
          <w:szCs w:val="22"/>
          <w:highlight w:val="none"/>
        </w:rPr>
      </w:pPr>
      <w:r>
        <w:rPr>
          <w:rFonts w:hint="eastAsia" w:ascii="宋体" w:hAnsi="宋体" w:cs="宋体"/>
          <w:color w:val="auto"/>
          <w:kern w:val="0"/>
          <w:sz w:val="24"/>
          <w:szCs w:val="22"/>
          <w:highlight w:val="none"/>
        </w:rPr>
        <w:t>非单一产品采购项目，采购人应当根据采购项目技术构成、产品价格比重等合理确定核心产品，并在招标文件中载明。多家投标人提供的核心产品品牌相同的，按前两款规定处理。</w:t>
      </w:r>
      <w:r>
        <w:rPr>
          <w:rFonts w:hint="eastAsia" w:ascii="宋体" w:hAnsi="宋体" w:cs="宋体"/>
          <w:b/>
          <w:color w:val="auto"/>
          <w:kern w:val="0"/>
          <w:sz w:val="24"/>
          <w:szCs w:val="22"/>
          <w:highlight w:val="none"/>
        </w:rPr>
        <w:t>本项目核心产品为：第一包：麻醉工作台；第二包：视频气管插管镜；第三包：医用核酸分子快速杂交仪；第六包：取材台（全不锈钢智能净化取材工作站）；第八包：呼吸机-1；第十包：利普刀（高频电刀）；第十一包：盆底治疗仪（盆底功能治疗仪）；</w:t>
      </w:r>
    </w:p>
    <w:p>
      <w:pPr>
        <w:pStyle w:val="54"/>
        <w:spacing w:line="360" w:lineRule="auto"/>
        <w:ind w:firstLine="482" w:firstLineChars="200"/>
        <w:rPr>
          <w:rFonts w:hAnsi="宋体" w:cs="宋体"/>
          <w:color w:val="auto"/>
          <w:sz w:val="24"/>
          <w:szCs w:val="24"/>
          <w:highlight w:val="none"/>
        </w:rPr>
      </w:pPr>
      <w:r>
        <w:rPr>
          <w:rFonts w:hint="eastAsia" w:hAnsi="宋体" w:cs="宋体"/>
          <w:b/>
          <w:color w:val="auto"/>
          <w:sz w:val="24"/>
          <w:szCs w:val="24"/>
          <w:highlight w:val="none"/>
        </w:rPr>
        <w:t xml:space="preserve"> 5.2利害关系供应商处理。</w:t>
      </w:r>
      <w:r>
        <w:rPr>
          <w:rFonts w:hint="eastAsia" w:hAnsi="宋体" w:cs="宋体"/>
          <w:color w:val="auto"/>
          <w:sz w:val="24"/>
          <w:szCs w:val="24"/>
          <w:highlight w:val="none"/>
        </w:rPr>
        <w:t>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投标文件作为无效处理。</w:t>
      </w:r>
    </w:p>
    <w:p>
      <w:pPr>
        <w:pStyle w:val="54"/>
        <w:spacing w:line="360" w:lineRule="auto"/>
        <w:ind w:left="1" w:firstLine="482" w:firstLineChars="200"/>
        <w:rPr>
          <w:rFonts w:hAnsi="宋体" w:cs="宋体"/>
          <w:color w:val="auto"/>
          <w:sz w:val="24"/>
          <w:szCs w:val="24"/>
          <w:highlight w:val="none"/>
        </w:rPr>
      </w:pPr>
      <w:r>
        <w:rPr>
          <w:rFonts w:hint="eastAsia" w:hAnsi="宋体" w:cs="宋体"/>
          <w:b/>
          <w:color w:val="auto"/>
          <w:sz w:val="24"/>
          <w:szCs w:val="24"/>
          <w:highlight w:val="none"/>
        </w:rPr>
        <w:t>5.3前期参与供应商处理。</w:t>
      </w:r>
      <w:r>
        <w:rPr>
          <w:rFonts w:hint="eastAsia" w:hAnsi="宋体" w:cs="宋体"/>
          <w:color w:val="auto"/>
          <w:sz w:val="24"/>
          <w:szCs w:val="24"/>
          <w:highlight w:val="none"/>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54"/>
        <w:spacing w:line="360" w:lineRule="auto"/>
        <w:ind w:left="1" w:firstLine="482" w:firstLineChars="200"/>
        <w:rPr>
          <w:rFonts w:hAnsi="宋体" w:cs="宋体"/>
          <w:color w:val="auto"/>
          <w:sz w:val="24"/>
          <w:szCs w:val="24"/>
          <w:highlight w:val="none"/>
        </w:rPr>
      </w:pPr>
      <w:r>
        <w:rPr>
          <w:rFonts w:hint="eastAsia" w:hAnsi="宋体" w:cs="宋体"/>
          <w:b/>
          <w:color w:val="auto"/>
          <w:sz w:val="24"/>
          <w:szCs w:val="24"/>
          <w:highlight w:val="none"/>
        </w:rPr>
        <w:t>5.4 利害关系代理人处理。</w:t>
      </w:r>
      <w:r>
        <w:rPr>
          <w:rFonts w:hint="eastAsia" w:hAnsi="宋体" w:cs="宋体"/>
          <w:color w:val="auto"/>
          <w:sz w:val="24"/>
          <w:szCs w:val="24"/>
          <w:highlight w:val="none"/>
        </w:rPr>
        <w:t>2家以上的供应商不得在同一合同项下的采购项目中，同时委托同一个自然人、同一家庭的人员、同一单位的人员作为其代理人，否则，其投标文件作为无效处理。</w:t>
      </w:r>
    </w:p>
    <w:p>
      <w:pPr>
        <w:pStyle w:val="4"/>
        <w:spacing w:line="360" w:lineRule="auto"/>
        <w:rPr>
          <w:rFonts w:ascii="宋体" w:hAnsi="宋体" w:cs="宋体"/>
          <w:color w:val="auto"/>
          <w:sz w:val="24"/>
          <w:highlight w:val="none"/>
        </w:rPr>
      </w:pPr>
      <w:bookmarkStart w:id="36" w:name="_Toc89075875"/>
      <w:bookmarkStart w:id="37" w:name="_Toc77400779"/>
      <w:bookmarkStart w:id="38" w:name="_Toc183582209"/>
      <w:bookmarkStart w:id="39" w:name="_Toc30630"/>
      <w:bookmarkStart w:id="40" w:name="_Toc1259"/>
      <w:bookmarkStart w:id="41" w:name="_Toc183682346"/>
      <w:bookmarkStart w:id="42" w:name="_Toc490290187"/>
      <w:bookmarkStart w:id="43" w:name="_Toc217446038"/>
      <w:r>
        <w:rPr>
          <w:rFonts w:hint="eastAsia" w:ascii="宋体" w:hAnsi="宋体" w:cs="宋体"/>
          <w:b/>
          <w:color w:val="auto"/>
          <w:highlight w:val="none"/>
        </w:rPr>
        <w:t>三、招标文件</w:t>
      </w:r>
      <w:bookmarkEnd w:id="36"/>
      <w:bookmarkEnd w:id="37"/>
      <w:bookmarkEnd w:id="38"/>
      <w:bookmarkEnd w:id="39"/>
      <w:bookmarkEnd w:id="40"/>
      <w:bookmarkEnd w:id="41"/>
      <w:bookmarkEnd w:id="42"/>
      <w:bookmarkEnd w:id="43"/>
    </w:p>
    <w:p>
      <w:pPr>
        <w:pStyle w:val="7"/>
        <w:keepNext w:val="0"/>
        <w:keepLines w:val="0"/>
        <w:kinsoku w:val="0"/>
        <w:overflowPunct w:val="0"/>
        <w:autoSpaceDE w:val="0"/>
        <w:autoSpaceDN w:val="0"/>
        <w:spacing w:line="360" w:lineRule="auto"/>
        <w:ind w:firstLine="482" w:firstLineChars="200"/>
        <w:rPr>
          <w:rFonts w:ascii="宋体" w:hAnsi="宋体" w:cs="宋体"/>
          <w:color w:val="auto"/>
          <w:sz w:val="24"/>
          <w:szCs w:val="24"/>
          <w:highlight w:val="none"/>
        </w:rPr>
      </w:pPr>
      <w:bookmarkStart w:id="44" w:name="_Toc183682347"/>
      <w:bookmarkStart w:id="45" w:name="_Toc183582210"/>
      <w:bookmarkStart w:id="46" w:name="_Toc217446039"/>
      <w:bookmarkStart w:id="47" w:name="_Toc490290188"/>
      <w:r>
        <w:rPr>
          <w:rFonts w:hint="eastAsia" w:ascii="宋体" w:hAnsi="宋体" w:cs="宋体"/>
          <w:color w:val="auto"/>
          <w:sz w:val="24"/>
          <w:szCs w:val="24"/>
          <w:highlight w:val="none"/>
        </w:rPr>
        <w:t>6．招标文件的构成</w:t>
      </w:r>
      <w:bookmarkEnd w:id="44"/>
      <w:bookmarkEnd w:id="45"/>
      <w:bookmarkEnd w:id="46"/>
      <w:bookmarkEnd w:id="47"/>
    </w:p>
    <w:p>
      <w:pPr>
        <w:tabs>
          <w:tab w:val="left" w:pos="7665"/>
        </w:tabs>
        <w:spacing w:line="360" w:lineRule="auto"/>
        <w:rPr>
          <w:rFonts w:ascii="宋体" w:hAnsi="宋体" w:cs="宋体"/>
          <w:color w:val="auto"/>
          <w:sz w:val="24"/>
          <w:highlight w:val="none"/>
        </w:rPr>
      </w:pPr>
      <w:r>
        <w:rPr>
          <w:rFonts w:hint="eastAsia" w:ascii="宋体" w:hAnsi="宋体" w:cs="宋体"/>
          <w:color w:val="auto"/>
          <w:sz w:val="24"/>
          <w:highlight w:val="none"/>
        </w:rPr>
        <w:t xml:space="preserve">    招标文件是供应商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pPr>
        <w:tabs>
          <w:tab w:val="left" w:pos="72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（一）投标邀请；</w:t>
      </w:r>
    </w:p>
    <w:p>
      <w:pPr>
        <w:tabs>
          <w:tab w:val="left" w:pos="72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（二）投标人须知；</w:t>
      </w:r>
    </w:p>
    <w:p>
      <w:pPr>
        <w:tabs>
          <w:tab w:val="left" w:pos="72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（三）投标文件格式；</w:t>
      </w:r>
    </w:p>
    <w:p>
      <w:pPr>
        <w:tabs>
          <w:tab w:val="left" w:pos="72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（四）投标人和投标产品的资格、资质性及其他类似效力要求；</w:t>
      </w:r>
    </w:p>
    <w:p>
      <w:pPr>
        <w:tabs>
          <w:tab w:val="left" w:pos="72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（五）投标人应当提供的资格、资质性及其他类似效力要求的相关证明材料；</w:t>
      </w:r>
    </w:p>
    <w:p>
      <w:pPr>
        <w:tabs>
          <w:tab w:val="left" w:pos="72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（六）招标项目技术、商务及其他要求；</w:t>
      </w:r>
    </w:p>
    <w:p>
      <w:pPr>
        <w:tabs>
          <w:tab w:val="left" w:pos="72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（七）评标办法；</w:t>
      </w:r>
    </w:p>
    <w:p>
      <w:pPr>
        <w:tabs>
          <w:tab w:val="left" w:pos="72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（八）政府采购合同（参考）。</w:t>
      </w:r>
    </w:p>
    <w:p>
      <w:pPr>
        <w:pStyle w:val="7"/>
        <w:spacing w:line="360" w:lineRule="auto"/>
        <w:ind w:firstLine="482" w:firstLineChars="200"/>
        <w:rPr>
          <w:rFonts w:ascii="宋体" w:hAnsi="宋体" w:cs="宋体"/>
          <w:color w:val="auto"/>
          <w:sz w:val="24"/>
          <w:szCs w:val="24"/>
          <w:highlight w:val="none"/>
        </w:rPr>
      </w:pPr>
      <w:bookmarkStart w:id="48" w:name="_Toc183682348"/>
      <w:bookmarkStart w:id="49" w:name="_Toc183582211"/>
      <w:bookmarkStart w:id="50" w:name="_Toc217446040"/>
      <w:bookmarkStart w:id="51" w:name="_Toc490290189"/>
      <w:r>
        <w:rPr>
          <w:rFonts w:hint="eastAsia" w:ascii="宋体" w:hAnsi="宋体" w:cs="宋体"/>
          <w:color w:val="auto"/>
          <w:sz w:val="24"/>
          <w:szCs w:val="24"/>
          <w:highlight w:val="none"/>
        </w:rPr>
        <w:t>7. 招标文件的澄清</w:t>
      </w:r>
      <w:bookmarkEnd w:id="48"/>
      <w:bookmarkEnd w:id="49"/>
      <w:r>
        <w:rPr>
          <w:rFonts w:hint="eastAsia" w:ascii="宋体" w:hAnsi="宋体" w:cs="宋体"/>
          <w:color w:val="auto"/>
          <w:sz w:val="24"/>
          <w:szCs w:val="24"/>
          <w:highlight w:val="none"/>
        </w:rPr>
        <w:t>和修改</w:t>
      </w:r>
      <w:bookmarkEnd w:id="50"/>
      <w:bookmarkEnd w:id="51"/>
    </w:p>
    <w:p>
      <w:pPr>
        <w:tabs>
          <w:tab w:val="left" w:pos="766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7.1 招标采购单位可以依法对招标文件进行澄清或者修改。</w:t>
      </w:r>
    </w:p>
    <w:p>
      <w:pPr>
        <w:tabs>
          <w:tab w:val="left" w:pos="766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7.2 招标采购单位对已发出的招标文件进行澄清或者修改，应当以书面形式将澄清或者修改的内容通知所有购买了招标文件的供应商，同时在四川政府采购网上发布更正公告。该澄清或者修改的内容为招标文件的组成部分，澄清或者修改的内容可能影响投标文件、资格预审申请文件编制的，采购人或者采购代理机构发布公告并书面通知供应商的时间，应当在投标截止时间至少15日前、提交资格预审申请文件截止时间至少3日前；不足上述时间的，应当顺延提交投标文件、资格预审申请文件的截止时间。</w:t>
      </w:r>
    </w:p>
    <w:p>
      <w:pPr>
        <w:tabs>
          <w:tab w:val="left" w:pos="766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7.3 供应商应于投标文件递交截止时间之前在《四川政府采购网》查询本项目的更正公告，以保证其对招标文件做出正确的响应。供应商未按要求下载相关文件，或由于未及时关注更正公告的信息造成的后果，其责任由供应商自行负责。</w:t>
      </w:r>
    </w:p>
    <w:p>
      <w:pPr>
        <w:tabs>
          <w:tab w:val="left" w:pos="766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更正公告通过政采云平台发送至所有</w:t>
      </w:r>
      <w:r>
        <w:rPr>
          <w:rFonts w:hint="eastAsia" w:ascii="宋体" w:hAnsi="宋体" w:cs="宋体"/>
          <w:color w:val="auto"/>
          <w:sz w:val="24"/>
          <w:highlight w:val="none"/>
          <w:lang w:eastAsia="zh-CN"/>
        </w:rPr>
        <w:t>获取</w:t>
      </w:r>
      <w:r>
        <w:rPr>
          <w:rFonts w:hint="eastAsia" w:ascii="宋体" w:hAnsi="宋体" w:cs="宋体"/>
          <w:color w:val="auto"/>
          <w:sz w:val="24"/>
          <w:highlight w:val="none"/>
        </w:rPr>
        <w:t>招标文件的供应商，供应商在收到相应更正公告后，以书面形式给予确认，该更正公告作为招标文件的组成部分，具有约束作用。如供应商未给予书面回复，则视为收到并认可该更正公告的内容。</w:t>
      </w:r>
    </w:p>
    <w:p>
      <w:pPr>
        <w:tabs>
          <w:tab w:val="left" w:pos="766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7.4 投标人认为需要对招标文件进行澄清或者修改的，可以以书面形式向招标采购单位提出申请，但招标采购单位可以决定是否采纳投标人的申请事项。</w:t>
      </w:r>
    </w:p>
    <w:p>
      <w:pPr>
        <w:pStyle w:val="7"/>
        <w:spacing w:line="360" w:lineRule="auto"/>
        <w:ind w:firstLine="482" w:firstLineChars="200"/>
        <w:rPr>
          <w:rFonts w:ascii="宋体" w:hAnsi="宋体" w:cs="宋体"/>
          <w:color w:val="auto"/>
          <w:sz w:val="24"/>
          <w:szCs w:val="24"/>
          <w:highlight w:val="none"/>
        </w:rPr>
      </w:pPr>
      <w:bookmarkStart w:id="52" w:name="_Toc208848971"/>
      <w:bookmarkStart w:id="53" w:name="_Toc217446041"/>
      <w:bookmarkStart w:id="54" w:name="_Toc490290190"/>
      <w:r>
        <w:rPr>
          <w:rFonts w:hint="eastAsia" w:ascii="宋体" w:hAnsi="宋体" w:cs="宋体"/>
          <w:color w:val="auto"/>
          <w:sz w:val="24"/>
          <w:szCs w:val="24"/>
          <w:highlight w:val="none"/>
        </w:rPr>
        <w:t>8. 答疑会和现场考察</w:t>
      </w:r>
      <w:bookmarkEnd w:id="52"/>
      <w:bookmarkEnd w:id="53"/>
      <w:bookmarkEnd w:id="54"/>
    </w:p>
    <w:p>
      <w:pPr>
        <w:tabs>
          <w:tab w:val="left" w:pos="766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8.1 根据采购项目和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w:t>
      </w:r>
    </w:p>
    <w:p>
      <w:pPr>
        <w:tabs>
          <w:tab w:val="left" w:pos="766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现场考察或标前答疑会时间：本项目不组织</w:t>
      </w:r>
    </w:p>
    <w:p>
      <w:pPr>
        <w:tabs>
          <w:tab w:val="left" w:pos="766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现场考察或标前答疑会地点：本项目不组织</w:t>
      </w:r>
    </w:p>
    <w:p>
      <w:pPr>
        <w:tabs>
          <w:tab w:val="left" w:pos="766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8.2 供应商考察现场所发生的一切费用由供应商自己承担。</w:t>
      </w:r>
    </w:p>
    <w:p>
      <w:pPr>
        <w:pStyle w:val="4"/>
        <w:spacing w:line="360" w:lineRule="auto"/>
        <w:rPr>
          <w:rFonts w:ascii="宋体" w:hAnsi="宋体" w:cs="宋体"/>
          <w:b/>
          <w:color w:val="auto"/>
          <w:sz w:val="24"/>
          <w:highlight w:val="none"/>
        </w:rPr>
      </w:pPr>
      <w:bookmarkStart w:id="55" w:name="_Toc8141"/>
      <w:bookmarkStart w:id="56" w:name="_Toc490290191"/>
      <w:bookmarkStart w:id="57" w:name="_Toc183582214"/>
      <w:bookmarkStart w:id="58" w:name="_Toc217446042"/>
      <w:bookmarkStart w:id="59" w:name="_Toc183682351"/>
      <w:bookmarkStart w:id="60" w:name="_Toc89075876"/>
      <w:bookmarkStart w:id="61" w:name="_Toc77400780"/>
      <w:bookmarkStart w:id="62" w:name="_Toc27094"/>
      <w:r>
        <w:rPr>
          <w:rFonts w:hint="eastAsia" w:ascii="宋体" w:hAnsi="宋体" w:cs="宋体"/>
          <w:b/>
          <w:color w:val="auto"/>
          <w:highlight w:val="none"/>
        </w:rPr>
        <w:t>四、投标文件</w:t>
      </w:r>
      <w:bookmarkEnd w:id="55"/>
      <w:bookmarkEnd w:id="56"/>
      <w:bookmarkEnd w:id="57"/>
      <w:bookmarkEnd w:id="58"/>
      <w:bookmarkEnd w:id="59"/>
      <w:bookmarkEnd w:id="60"/>
      <w:bookmarkEnd w:id="61"/>
      <w:bookmarkEnd w:id="62"/>
    </w:p>
    <w:p>
      <w:pPr>
        <w:pStyle w:val="7"/>
        <w:spacing w:line="360" w:lineRule="auto"/>
        <w:ind w:firstLine="482" w:firstLineChars="200"/>
        <w:rPr>
          <w:rFonts w:ascii="宋体" w:hAnsi="宋体" w:cs="宋体"/>
          <w:bCs w:val="0"/>
          <w:color w:val="auto"/>
          <w:sz w:val="24"/>
          <w:szCs w:val="24"/>
          <w:highlight w:val="none"/>
        </w:rPr>
      </w:pPr>
      <w:bookmarkStart w:id="63" w:name="_Toc183682352"/>
      <w:bookmarkStart w:id="64" w:name="_Toc183582215"/>
      <w:bookmarkStart w:id="65" w:name="_Toc217446043"/>
      <w:bookmarkStart w:id="66" w:name="_Toc490290192"/>
      <w:r>
        <w:rPr>
          <w:rFonts w:hint="eastAsia" w:ascii="宋体" w:hAnsi="宋体" w:cs="宋体"/>
          <w:bCs w:val="0"/>
          <w:color w:val="auto"/>
          <w:sz w:val="24"/>
          <w:szCs w:val="24"/>
          <w:highlight w:val="none"/>
        </w:rPr>
        <w:t>9．投标文件的语言</w:t>
      </w:r>
      <w:bookmarkEnd w:id="63"/>
      <w:bookmarkEnd w:id="64"/>
      <w:bookmarkEnd w:id="65"/>
      <w:r>
        <w:rPr>
          <w:rFonts w:hint="eastAsia" w:ascii="宋体" w:hAnsi="宋体" w:cs="宋体"/>
          <w:color w:val="auto"/>
          <w:sz w:val="24"/>
          <w:szCs w:val="24"/>
          <w:highlight w:val="none"/>
        </w:rPr>
        <w:t>（实质性要求）</w:t>
      </w:r>
      <w:bookmarkEnd w:id="66"/>
    </w:p>
    <w:p>
      <w:pPr>
        <w:tabs>
          <w:tab w:val="left" w:pos="1134"/>
        </w:tabs>
        <w:spacing w:line="360" w:lineRule="auto"/>
        <w:ind w:firstLine="480" w:firstLineChars="200"/>
        <w:jc w:val="left"/>
        <w:rPr>
          <w:rFonts w:ascii="宋体" w:hAnsi="宋体" w:cs="宋体"/>
          <w:color w:val="auto"/>
          <w:sz w:val="24"/>
          <w:highlight w:val="none"/>
        </w:rPr>
      </w:pPr>
      <w:bookmarkStart w:id="67" w:name="_Toc183582216"/>
      <w:bookmarkStart w:id="68" w:name="_Toc217446044"/>
      <w:bookmarkStart w:id="69" w:name="_Toc183682353"/>
      <w:r>
        <w:rPr>
          <w:rFonts w:hint="eastAsia" w:ascii="宋体" w:hAnsi="宋体" w:cs="宋体"/>
          <w:color w:val="auto"/>
          <w:sz w:val="24"/>
          <w:highlight w:val="none"/>
        </w:rPr>
        <w:t>9.1 投标人提交的投标文件以及投标人与招标采购单位就有关投标的所有来往书面文件均须使用中文。投标文件中如附有外文资料，必须逐一对应翻译成中文并加盖投标人电子签章后附在相关外文资料后面，否则，所提供的外文资料将可能被视为无效材料。（说明：供应商的法定代表人为外籍人士的，法定代表人的签字和护照除外。）</w:t>
      </w:r>
    </w:p>
    <w:p>
      <w:pPr>
        <w:tabs>
          <w:tab w:val="left" w:pos="1134"/>
        </w:tabs>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9.2 翻译的中文资料与外文资料如果出现差异和矛盾时，以中文为准。涉嫌虚假响应的按照相关法律法规处理。</w:t>
      </w:r>
    </w:p>
    <w:p>
      <w:pPr>
        <w:tabs>
          <w:tab w:val="left" w:pos="1134"/>
        </w:tabs>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9.3 如因未翻译而造成的废标，由投标人承担。</w:t>
      </w:r>
    </w:p>
    <w:p>
      <w:pPr>
        <w:pStyle w:val="7"/>
        <w:spacing w:line="360" w:lineRule="auto"/>
        <w:ind w:firstLine="482" w:firstLineChars="200"/>
        <w:rPr>
          <w:rFonts w:ascii="宋体" w:hAnsi="宋体" w:cs="宋体"/>
          <w:bCs w:val="0"/>
          <w:color w:val="auto"/>
          <w:sz w:val="24"/>
          <w:szCs w:val="24"/>
          <w:highlight w:val="none"/>
        </w:rPr>
      </w:pPr>
      <w:bookmarkStart w:id="70" w:name="_Toc490290193"/>
      <w:r>
        <w:rPr>
          <w:rFonts w:hint="eastAsia" w:ascii="宋体" w:hAnsi="宋体" w:cs="宋体"/>
          <w:bCs w:val="0"/>
          <w:color w:val="auto"/>
          <w:sz w:val="24"/>
          <w:szCs w:val="24"/>
          <w:highlight w:val="none"/>
        </w:rPr>
        <w:t>10．计量单位</w:t>
      </w:r>
      <w:bookmarkEnd w:id="67"/>
      <w:bookmarkEnd w:id="68"/>
      <w:bookmarkEnd w:id="69"/>
      <w:r>
        <w:rPr>
          <w:rFonts w:hint="eastAsia" w:ascii="宋体" w:hAnsi="宋体" w:cs="宋体"/>
          <w:bCs w:val="0"/>
          <w:color w:val="auto"/>
          <w:sz w:val="24"/>
          <w:szCs w:val="24"/>
          <w:highlight w:val="none"/>
        </w:rPr>
        <w:t>（实质性要求）</w:t>
      </w:r>
      <w:bookmarkEnd w:id="70"/>
    </w:p>
    <w:p>
      <w:pPr>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除招标文件中另有规定外，本次采购项目所有合同项下的投标均采用国家法定的计量单位。</w:t>
      </w:r>
    </w:p>
    <w:p>
      <w:pPr>
        <w:pStyle w:val="7"/>
        <w:spacing w:line="360" w:lineRule="auto"/>
        <w:ind w:firstLine="482" w:firstLineChars="200"/>
        <w:rPr>
          <w:rFonts w:ascii="宋体" w:hAnsi="宋体" w:cs="宋体"/>
          <w:color w:val="auto"/>
          <w:sz w:val="24"/>
          <w:szCs w:val="24"/>
          <w:highlight w:val="none"/>
        </w:rPr>
      </w:pPr>
      <w:bookmarkStart w:id="71" w:name="_Toc217446045"/>
      <w:bookmarkStart w:id="72" w:name="_Toc490290194"/>
      <w:r>
        <w:rPr>
          <w:rFonts w:hint="eastAsia" w:ascii="宋体" w:hAnsi="宋体" w:cs="宋体"/>
          <w:bCs w:val="0"/>
          <w:color w:val="auto"/>
          <w:sz w:val="24"/>
          <w:szCs w:val="24"/>
          <w:highlight w:val="none"/>
        </w:rPr>
        <w:t>11. 投标货币</w:t>
      </w:r>
      <w:bookmarkEnd w:id="71"/>
      <w:r>
        <w:rPr>
          <w:rFonts w:hint="eastAsia" w:ascii="宋体" w:hAnsi="宋体" w:cs="宋体"/>
          <w:bCs w:val="0"/>
          <w:color w:val="auto"/>
          <w:sz w:val="24"/>
          <w:szCs w:val="24"/>
          <w:highlight w:val="none"/>
        </w:rPr>
        <w:t>（实质性要求）</w:t>
      </w:r>
      <w:bookmarkEnd w:id="72"/>
    </w:p>
    <w:p>
      <w:pPr>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本次招标项目的投标均以人民币报价。</w:t>
      </w:r>
    </w:p>
    <w:p>
      <w:pPr>
        <w:pStyle w:val="7"/>
        <w:spacing w:line="360" w:lineRule="auto"/>
        <w:ind w:firstLine="482" w:firstLineChars="200"/>
        <w:rPr>
          <w:rFonts w:ascii="宋体" w:hAnsi="宋体" w:cs="宋体"/>
          <w:color w:val="auto"/>
          <w:sz w:val="24"/>
          <w:szCs w:val="24"/>
          <w:highlight w:val="none"/>
        </w:rPr>
      </w:pPr>
      <w:bookmarkStart w:id="73" w:name="_Toc217446046"/>
      <w:bookmarkStart w:id="74" w:name="_Toc490290195"/>
      <w:r>
        <w:rPr>
          <w:rFonts w:hint="eastAsia" w:ascii="宋体" w:hAnsi="宋体" w:cs="宋体"/>
          <w:color w:val="auto"/>
          <w:sz w:val="24"/>
          <w:szCs w:val="24"/>
          <w:highlight w:val="none"/>
        </w:rPr>
        <w:t>12. 联合体投标</w:t>
      </w:r>
      <w:bookmarkEnd w:id="73"/>
      <w:r>
        <w:rPr>
          <w:rFonts w:hint="eastAsia" w:ascii="宋体" w:hAnsi="宋体" w:cs="宋体"/>
          <w:color w:val="auto"/>
          <w:sz w:val="24"/>
          <w:szCs w:val="24"/>
          <w:highlight w:val="none"/>
        </w:rPr>
        <w:t>（实质性要求）</w:t>
      </w:r>
      <w:bookmarkEnd w:id="74"/>
    </w:p>
    <w:p>
      <w:pPr>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本采购项目不接受联合体投标。</w:t>
      </w:r>
    </w:p>
    <w:p>
      <w:pPr>
        <w:pStyle w:val="7"/>
        <w:spacing w:line="360" w:lineRule="auto"/>
        <w:ind w:firstLine="482" w:firstLineChars="200"/>
        <w:rPr>
          <w:rFonts w:ascii="宋体" w:hAnsi="宋体" w:cs="宋体"/>
          <w:bCs w:val="0"/>
          <w:color w:val="auto"/>
          <w:sz w:val="24"/>
          <w:szCs w:val="24"/>
          <w:highlight w:val="none"/>
        </w:rPr>
      </w:pPr>
      <w:bookmarkStart w:id="75" w:name="_Toc308164797"/>
      <w:bookmarkStart w:id="76" w:name="_Toc217446047"/>
      <w:bookmarkStart w:id="77" w:name="_Toc490290196"/>
      <w:r>
        <w:rPr>
          <w:rFonts w:hint="eastAsia" w:ascii="宋体" w:hAnsi="宋体" w:cs="宋体"/>
          <w:bCs w:val="0"/>
          <w:color w:val="auto"/>
          <w:sz w:val="24"/>
          <w:szCs w:val="24"/>
          <w:highlight w:val="none"/>
        </w:rPr>
        <w:t>13. 知识产权</w:t>
      </w:r>
      <w:bookmarkEnd w:id="75"/>
      <w:bookmarkEnd w:id="76"/>
      <w:r>
        <w:rPr>
          <w:rFonts w:hint="eastAsia" w:ascii="宋体" w:hAnsi="宋体" w:cs="宋体"/>
          <w:bCs w:val="0"/>
          <w:color w:val="auto"/>
          <w:sz w:val="24"/>
          <w:szCs w:val="24"/>
          <w:highlight w:val="none"/>
        </w:rPr>
        <w:t>（实质性要求）</w:t>
      </w:r>
      <w:bookmarkEnd w:id="77"/>
    </w:p>
    <w:p>
      <w:pPr>
        <w:pStyle w:val="14"/>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14"/>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13.2 采购人享有本项目实施过程中产生的知识成果及知识产权。</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13.3 投标人如欲在项目实施过程中采用自有知识成果，需在投标文件中声明，并提供相关知识产权证明文件。使用该知识成果后，投标人需提供开发接口和开发手册等技术文档，并承诺提供无限期技术支持，采购人享有永久使用权（含采购人委托第三方在该项目后续开发的使用权）。</w:t>
      </w:r>
    </w:p>
    <w:p>
      <w:pPr>
        <w:spacing w:line="360" w:lineRule="auto"/>
        <w:ind w:firstLine="460" w:firstLineChars="192"/>
        <w:rPr>
          <w:rFonts w:ascii="宋体" w:hAnsi="宋体" w:cs="宋体"/>
          <w:color w:val="auto"/>
          <w:sz w:val="24"/>
          <w:highlight w:val="none"/>
        </w:rPr>
      </w:pPr>
      <w:r>
        <w:rPr>
          <w:rFonts w:hint="eastAsia" w:ascii="宋体" w:hAnsi="宋体" w:cs="宋体"/>
          <w:color w:val="auto"/>
          <w:sz w:val="24"/>
          <w:highlight w:val="none"/>
        </w:rPr>
        <w:t>13.4 如采用投标人所不拥有的知识产权，则在投标报价中必须包括合法获取该知识产权的相关费用。</w:t>
      </w:r>
    </w:p>
    <w:p>
      <w:pPr>
        <w:pStyle w:val="7"/>
        <w:spacing w:line="360" w:lineRule="auto"/>
        <w:ind w:firstLine="241" w:firstLineChars="100"/>
        <w:rPr>
          <w:rFonts w:ascii="宋体" w:hAnsi="宋体" w:cs="宋体"/>
          <w:bCs w:val="0"/>
          <w:color w:val="auto"/>
          <w:sz w:val="24"/>
          <w:szCs w:val="24"/>
          <w:highlight w:val="none"/>
        </w:rPr>
      </w:pPr>
      <w:bookmarkStart w:id="78" w:name="_Toc217446048"/>
      <w:bookmarkStart w:id="79" w:name="_Toc183682354"/>
      <w:bookmarkStart w:id="80" w:name="_Toc308164798"/>
      <w:bookmarkStart w:id="81" w:name="_Toc490290197"/>
      <w:bookmarkStart w:id="82" w:name="_Toc183582217"/>
      <w:r>
        <w:rPr>
          <w:rFonts w:hint="eastAsia" w:ascii="宋体" w:hAnsi="宋体" w:cs="宋体"/>
          <w:bCs w:val="0"/>
          <w:color w:val="auto"/>
          <w:sz w:val="24"/>
          <w:szCs w:val="24"/>
          <w:highlight w:val="none"/>
        </w:rPr>
        <w:t>14．投标文件的组成</w:t>
      </w:r>
      <w:bookmarkEnd w:id="78"/>
      <w:bookmarkEnd w:id="79"/>
      <w:bookmarkEnd w:id="80"/>
      <w:bookmarkEnd w:id="81"/>
      <w:bookmarkEnd w:id="82"/>
    </w:p>
    <w:p>
      <w:pPr>
        <w:spacing w:line="360" w:lineRule="auto"/>
        <w:ind w:firstLine="480" w:firstLineChars="200"/>
        <w:rPr>
          <w:rFonts w:ascii="宋体" w:hAnsi="宋体" w:cs="宋体"/>
          <w:color w:val="auto"/>
          <w:sz w:val="24"/>
          <w:highlight w:val="none"/>
        </w:rPr>
      </w:pPr>
      <w:bookmarkStart w:id="83" w:name="_Toc217446049"/>
      <w:bookmarkStart w:id="84" w:name="_Toc183582218"/>
      <w:bookmarkStart w:id="85" w:name="_Toc490290202"/>
      <w:bookmarkStart w:id="86" w:name="_Toc183682355"/>
      <w:bookmarkStart w:id="87" w:name="_Toc308164799"/>
      <w:r>
        <w:rPr>
          <w:rFonts w:hint="eastAsia" w:ascii="宋体" w:hAnsi="宋体" w:cs="宋体"/>
          <w:color w:val="auto"/>
          <w:sz w:val="24"/>
          <w:highlight w:val="none"/>
        </w:rPr>
        <w:t>投标人应按照招标文件的规定和要求编制投标文件，投标人编写的投标文件应至少包括下列两部分文件：</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文件一：资格性投标文件（用于资格审查）</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严格按照第四、五章要求提供相关资格、资质性及其他类似效力要求的相关证明材料。</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文件二：其它响应性投标文件（用于资格审查以外的评标）</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严格按照招标文件要求提供以下五个方面的相关材料：</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（一）报价部分。</w:t>
      </w:r>
      <w:r>
        <w:rPr>
          <w:rFonts w:hint="eastAsia" w:ascii="宋体" w:hAnsi="宋体" w:cs="宋体"/>
          <w:bCs/>
          <w:color w:val="auto"/>
          <w:sz w:val="24"/>
          <w:highlight w:val="none"/>
        </w:rPr>
        <w:t>投标人</w:t>
      </w:r>
      <w:r>
        <w:rPr>
          <w:rFonts w:hint="eastAsia" w:ascii="宋体" w:hAnsi="宋体" w:cs="宋体"/>
          <w:color w:val="auto"/>
          <w:sz w:val="24"/>
          <w:highlight w:val="none"/>
        </w:rPr>
        <w:t>按照招标文件要求填写的“开标一览表”及“报价明细表”，本次招标报价要求：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（1）投标人的报价是投标人响应招标项目要求的全部工作内容的价格体现，包括投标人完成本项目所需的一切费用</w:t>
      </w:r>
      <w:r>
        <w:rPr>
          <w:rFonts w:hint="eastAsia" w:ascii="宋体" w:hAnsi="宋体" w:cs="宋体"/>
          <w:b/>
          <w:color w:val="auto"/>
          <w:sz w:val="24"/>
          <w:highlight w:val="none"/>
        </w:rPr>
        <w:t>（实质性要求）。</w:t>
      </w:r>
    </w:p>
    <w:p>
      <w:pPr>
        <w:spacing w:line="360" w:lineRule="auto"/>
        <w:ind w:left="2" w:firstLine="480" w:firstLineChars="200"/>
        <w:rPr>
          <w:rFonts w:ascii="宋体" w:hAnsi="宋体" w:cs="宋体"/>
          <w:color w:val="auto"/>
          <w:sz w:val="24"/>
          <w:highlight w:val="none"/>
        </w:rPr>
      </w:pPr>
      <w:r>
        <w:rPr>
          <w:rFonts w:hint="eastAsia" w:ascii="宋体" w:hAnsi="宋体" w:cs="宋体"/>
          <w:color w:val="auto"/>
          <w:sz w:val="24"/>
          <w:highlight w:val="none"/>
        </w:rPr>
        <w:t>（2）投标人每种货物只允许有一个报价，并且在合同履行过程中是固定不变的，任何有选择或可调整的报价将不予接受，并按无效投标处理</w:t>
      </w:r>
      <w:r>
        <w:rPr>
          <w:rFonts w:hint="eastAsia" w:ascii="宋体" w:hAnsi="宋体" w:cs="宋体"/>
          <w:b/>
          <w:color w:val="auto"/>
          <w:sz w:val="24"/>
          <w:highlight w:val="none"/>
        </w:rPr>
        <w:t>（实质性要求）。</w:t>
      </w:r>
    </w:p>
    <w:p>
      <w:pPr>
        <w:spacing w:line="360" w:lineRule="auto"/>
        <w:ind w:firstLine="482" w:firstLineChars="200"/>
        <w:rPr>
          <w:rFonts w:ascii="宋体" w:hAnsi="宋体" w:cs="宋体"/>
          <w:b/>
          <w:bCs/>
          <w:color w:val="auto"/>
          <w:sz w:val="24"/>
          <w:highlight w:val="none"/>
        </w:rPr>
      </w:pPr>
      <w:r>
        <w:rPr>
          <w:rFonts w:hint="eastAsia" w:ascii="宋体" w:hAnsi="宋体" w:cs="宋体"/>
          <w:b/>
          <w:color w:val="auto"/>
          <w:sz w:val="24"/>
          <w:highlight w:val="none"/>
        </w:rPr>
        <w:t>（二）技术部分。</w:t>
      </w:r>
      <w:r>
        <w:rPr>
          <w:rFonts w:hint="eastAsia" w:ascii="宋体" w:hAnsi="宋体" w:cs="宋体"/>
          <w:color w:val="auto"/>
          <w:sz w:val="24"/>
          <w:highlight w:val="none"/>
        </w:rPr>
        <w:t>投标人按照招标文件要求做出的技术应答，主要是针对招标项目的技术指标、参数和技术要求做出的实质性响应和满足，投标人的技术应答包括下列内容：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（1）投标产品的品牌、型号、配置；</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（2）投标产品本身的详细的技术指标和参数（应当尽可能提供检测报告、产品使用说明书、用户手册等材料予以佐证）；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（3）技术、项目实施方案；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（4）投标产品技术参数表；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（5）产品彩页资料（如适用）；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（6）产品工作环境条件（如适用）；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（7）产品验收标准和验收方法（如适用）；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（8）产品验收清单（注明各部件的品名、数量、价格、规格型号和生产厂家）。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（9）投标人认为需要提供的文件和资料。</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（三）商务部分。</w:t>
      </w:r>
      <w:r>
        <w:rPr>
          <w:rFonts w:hint="eastAsia" w:ascii="宋体" w:hAnsi="宋体" w:cs="宋体"/>
          <w:color w:val="auto"/>
          <w:sz w:val="24"/>
          <w:highlight w:val="none"/>
        </w:rPr>
        <w:t>投标人按照招标文件要求提供的有关文件及优惠承诺，包括以下内容</w:t>
      </w:r>
      <w:r>
        <w:rPr>
          <w:rFonts w:hint="eastAsia" w:ascii="宋体" w:hAnsi="宋体" w:cs="宋体"/>
          <w:sz w:val="24"/>
        </w:rPr>
        <w:t>（如涉及）</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（2）证明投标人业绩和荣誉的有关材料原件原色电子件；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）商务应答表；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）其他投标人认为需要提供的文件和资料。</w:t>
      </w:r>
    </w:p>
    <w:p>
      <w:pPr>
        <w:spacing w:line="360" w:lineRule="auto"/>
        <w:ind w:firstLine="482" w:firstLineChars="200"/>
        <w:rPr>
          <w:rFonts w:ascii="宋体" w:hAnsi="宋体" w:cs="宋体"/>
          <w:b/>
          <w:bCs/>
          <w:color w:val="auto"/>
          <w:sz w:val="24"/>
          <w:highlight w:val="none"/>
        </w:rPr>
      </w:pPr>
      <w:r>
        <w:rPr>
          <w:rFonts w:hint="eastAsia" w:ascii="宋体" w:hAnsi="宋体" w:cs="宋体"/>
          <w:b/>
          <w:color w:val="auto"/>
          <w:sz w:val="24"/>
          <w:highlight w:val="none"/>
        </w:rPr>
        <w:t>（四）售后服务。</w:t>
      </w:r>
      <w:r>
        <w:rPr>
          <w:rFonts w:hint="eastAsia" w:ascii="宋体" w:hAnsi="宋体" w:cs="宋体"/>
          <w:color w:val="auto"/>
          <w:sz w:val="24"/>
          <w:highlight w:val="none"/>
        </w:rPr>
        <w:t>投标人按照招标文件中售后服务要求作出的积极响应和承诺，包括以下内容（如涉及）：</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（1）产品制造厂家或投标人设立的售后服务机构网点清单、服务电话和维修人员名单；</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（2）说明投标产品的保修时间、保修期内的保修内容与范围、维修响应时间等。分别提供产品制造厂家和投标人的服务承诺和保障措施；</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（3）培训措施：说明培训内容及培训的时间、地点、目标、培训人数、收费标准和办法；</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（4）其他有利于用户的服务承诺。</w:t>
      </w:r>
    </w:p>
    <w:p>
      <w:pPr>
        <w:spacing w:line="360" w:lineRule="auto"/>
        <w:ind w:firstLine="482" w:firstLineChars="200"/>
        <w:rPr>
          <w:rFonts w:hint="eastAsia" w:ascii="宋体" w:hAnsi="宋体" w:cs="宋体"/>
          <w:color w:val="auto"/>
          <w:sz w:val="24"/>
          <w:highlight w:val="none"/>
        </w:rPr>
      </w:pPr>
      <w:r>
        <w:rPr>
          <w:rFonts w:hint="eastAsia" w:ascii="宋体" w:hAnsi="宋体" w:cs="宋体"/>
          <w:b/>
          <w:bCs/>
          <w:color w:val="auto"/>
          <w:sz w:val="24"/>
          <w:highlight w:val="none"/>
        </w:rPr>
        <w:t>（五）其他部分。</w:t>
      </w:r>
      <w:r>
        <w:rPr>
          <w:rFonts w:hint="eastAsia" w:ascii="宋体" w:hAnsi="宋体" w:cs="宋体"/>
          <w:color w:val="auto"/>
          <w:sz w:val="24"/>
          <w:highlight w:val="none"/>
        </w:rPr>
        <w:t>投标人按照招标文件要求作出的其他应答和承诺。</w:t>
      </w:r>
    </w:p>
    <w:p>
      <w:pPr>
        <w:pStyle w:val="7"/>
        <w:tabs>
          <w:tab w:val="left" w:pos="3480"/>
        </w:tabs>
        <w:spacing w:line="360" w:lineRule="auto"/>
        <w:ind w:firstLine="482" w:firstLineChars="200"/>
        <w:rPr>
          <w:rFonts w:ascii="宋体" w:hAnsi="宋体" w:cs="宋体"/>
          <w:color w:val="auto"/>
          <w:sz w:val="24"/>
          <w:highlight w:val="none"/>
        </w:rPr>
      </w:pPr>
      <w:r>
        <w:rPr>
          <w:rFonts w:hint="eastAsia" w:ascii="宋体" w:hAnsi="宋体" w:cs="宋体"/>
          <w:color w:val="auto"/>
          <w:sz w:val="24"/>
          <w:highlight w:val="none"/>
        </w:rPr>
        <w:t>15．投标文件格式</w:t>
      </w:r>
      <w:bookmarkEnd w:id="83"/>
      <w:bookmarkEnd w:id="84"/>
      <w:bookmarkEnd w:id="85"/>
      <w:bookmarkEnd w:id="86"/>
      <w:bookmarkEnd w:id="87"/>
    </w:p>
    <w:p>
      <w:pPr>
        <w:tabs>
          <w:tab w:val="left" w:pos="7665"/>
        </w:tabs>
        <w:spacing w:line="360" w:lineRule="auto"/>
        <w:ind w:left="13" w:leftChars="6" w:firstLine="480" w:firstLineChars="200"/>
        <w:rPr>
          <w:rFonts w:ascii="宋体" w:hAnsi="宋体" w:cs="宋体"/>
          <w:color w:val="auto"/>
          <w:sz w:val="24"/>
          <w:highlight w:val="none"/>
        </w:rPr>
      </w:pPr>
      <w:r>
        <w:rPr>
          <w:rFonts w:hint="eastAsia" w:ascii="宋体" w:hAnsi="宋体" w:cs="宋体"/>
          <w:color w:val="auto"/>
          <w:sz w:val="24"/>
          <w:highlight w:val="none"/>
        </w:rPr>
        <w:t>15.1 投标人应执行招标文件第三章的规定要求。第三章格式中“注”的内容，投标人可自行决定是否保留在投标文件中，未保留的视为投标人默认接受“注”的内容。</w:t>
      </w:r>
    </w:p>
    <w:p>
      <w:pPr>
        <w:tabs>
          <w:tab w:val="left" w:pos="7665"/>
        </w:tabs>
        <w:spacing w:line="360" w:lineRule="auto"/>
        <w:ind w:left="13" w:leftChars="6" w:firstLine="480" w:firstLineChars="200"/>
        <w:rPr>
          <w:rFonts w:ascii="宋体" w:hAnsi="宋体" w:cs="宋体"/>
          <w:color w:val="auto"/>
          <w:sz w:val="24"/>
          <w:highlight w:val="none"/>
        </w:rPr>
      </w:pPr>
      <w:r>
        <w:rPr>
          <w:rFonts w:hint="eastAsia" w:ascii="宋体" w:hAnsi="宋体" w:cs="宋体"/>
          <w:color w:val="auto"/>
          <w:sz w:val="24"/>
          <w:highlight w:val="none"/>
        </w:rPr>
        <w:t>15.2 对于没有格式要求的投标文件由投标人自行编写。</w:t>
      </w:r>
    </w:p>
    <w:p>
      <w:pPr>
        <w:pStyle w:val="7"/>
        <w:spacing w:line="360" w:lineRule="auto"/>
        <w:ind w:firstLine="482" w:firstLineChars="200"/>
        <w:rPr>
          <w:rFonts w:ascii="宋体" w:hAnsi="宋体" w:cs="宋体"/>
          <w:color w:val="auto"/>
          <w:sz w:val="24"/>
          <w:highlight w:val="none"/>
        </w:rPr>
      </w:pPr>
      <w:bookmarkStart w:id="88" w:name="_Toc217446050"/>
      <w:bookmarkStart w:id="89" w:name="_Toc183682360"/>
      <w:bookmarkStart w:id="90" w:name="_Toc308164800"/>
      <w:bookmarkStart w:id="91" w:name="_Toc183582223"/>
      <w:bookmarkStart w:id="92" w:name="_Toc490290203"/>
      <w:r>
        <w:rPr>
          <w:rFonts w:hint="eastAsia" w:ascii="宋体" w:hAnsi="宋体" w:cs="宋体"/>
          <w:bCs w:val="0"/>
          <w:color w:val="auto"/>
          <w:sz w:val="24"/>
          <w:highlight w:val="none"/>
        </w:rPr>
        <w:t>16．投标保证金</w:t>
      </w:r>
      <w:bookmarkEnd w:id="88"/>
      <w:bookmarkEnd w:id="89"/>
      <w:bookmarkEnd w:id="90"/>
      <w:bookmarkEnd w:id="91"/>
      <w:r>
        <w:rPr>
          <w:rFonts w:hint="eastAsia" w:ascii="宋体" w:hAnsi="宋体" w:cs="宋体"/>
          <w:color w:val="auto"/>
          <w:sz w:val="24"/>
          <w:szCs w:val="24"/>
          <w:highlight w:val="none"/>
        </w:rPr>
        <w:t>（实质性要求）</w:t>
      </w:r>
      <w:bookmarkEnd w:id="92"/>
    </w:p>
    <w:p>
      <w:pPr>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本项目不收取。</w:t>
      </w:r>
    </w:p>
    <w:p>
      <w:pPr>
        <w:pStyle w:val="7"/>
        <w:spacing w:line="360" w:lineRule="auto"/>
        <w:ind w:firstLine="482" w:firstLineChars="200"/>
        <w:rPr>
          <w:rFonts w:ascii="宋体" w:hAnsi="宋体" w:cs="宋体"/>
          <w:bCs w:val="0"/>
          <w:color w:val="auto"/>
          <w:sz w:val="24"/>
          <w:highlight w:val="none"/>
        </w:rPr>
      </w:pPr>
      <w:bookmarkStart w:id="93" w:name="_Toc217446051"/>
      <w:bookmarkStart w:id="94" w:name="_Toc183682361"/>
      <w:bookmarkStart w:id="95" w:name="_Toc183582224"/>
      <w:bookmarkStart w:id="96" w:name="_Toc308164801"/>
      <w:bookmarkStart w:id="97" w:name="_Toc490290204"/>
      <w:r>
        <w:rPr>
          <w:rFonts w:hint="eastAsia" w:ascii="宋体" w:hAnsi="宋体" w:cs="宋体"/>
          <w:bCs w:val="0"/>
          <w:color w:val="auto"/>
          <w:sz w:val="24"/>
          <w:highlight w:val="none"/>
        </w:rPr>
        <w:t>17．投标有效期</w:t>
      </w:r>
      <w:bookmarkEnd w:id="93"/>
      <w:bookmarkEnd w:id="94"/>
      <w:bookmarkEnd w:id="95"/>
      <w:bookmarkEnd w:id="96"/>
      <w:r>
        <w:rPr>
          <w:rFonts w:hint="eastAsia" w:ascii="宋体" w:hAnsi="宋体" w:cs="宋体"/>
          <w:color w:val="auto"/>
          <w:sz w:val="24"/>
          <w:szCs w:val="24"/>
          <w:highlight w:val="none"/>
        </w:rPr>
        <w:t>（实质性要求）</w:t>
      </w:r>
      <w:bookmarkEnd w:id="97"/>
    </w:p>
    <w:p>
      <w:pPr>
        <w:tabs>
          <w:tab w:val="left" w:pos="7665"/>
        </w:tabs>
        <w:spacing w:line="360" w:lineRule="auto"/>
        <w:ind w:left="13" w:leftChars="6" w:firstLine="480" w:firstLineChars="200"/>
        <w:rPr>
          <w:rFonts w:ascii="宋体" w:hAnsi="宋体" w:cs="宋体"/>
          <w:color w:val="auto"/>
          <w:sz w:val="24"/>
          <w:highlight w:val="none"/>
        </w:rPr>
      </w:pPr>
      <w:r>
        <w:rPr>
          <w:rFonts w:hint="eastAsia" w:ascii="宋体" w:hAnsi="宋体" w:cs="宋体"/>
          <w:color w:val="auto"/>
          <w:sz w:val="24"/>
          <w:highlight w:val="none"/>
        </w:rPr>
        <w:t>17.1 本项目投标有效期从提交投标文件的截止之日起</w:t>
      </w:r>
      <w:r>
        <w:rPr>
          <w:rFonts w:hint="eastAsia" w:ascii="宋体" w:hAnsi="宋体" w:cs="宋体"/>
          <w:b/>
          <w:color w:val="auto"/>
          <w:sz w:val="24"/>
          <w:highlight w:val="none"/>
        </w:rPr>
        <w:t>90天</w:t>
      </w:r>
      <w:r>
        <w:rPr>
          <w:rFonts w:hint="eastAsia" w:ascii="宋体" w:hAnsi="宋体" w:cs="宋体"/>
          <w:color w:val="auto"/>
          <w:sz w:val="24"/>
          <w:highlight w:val="none"/>
        </w:rPr>
        <w:t>。投标人投标文件中必须载明投标有效期，投标文件中载明的投标有效期可以长于招标文件规定的期限，但不得短于招标文件规定的期限。否则，其投标文件将作为无效投标处理。</w:t>
      </w:r>
    </w:p>
    <w:p>
      <w:pPr>
        <w:tabs>
          <w:tab w:val="left" w:pos="7665"/>
        </w:tabs>
        <w:spacing w:line="360" w:lineRule="auto"/>
        <w:ind w:left="13" w:leftChars="6" w:firstLine="360" w:firstLineChars="150"/>
        <w:rPr>
          <w:rFonts w:ascii="宋体" w:hAnsi="宋体" w:cs="宋体"/>
          <w:color w:val="auto"/>
          <w:sz w:val="24"/>
          <w:highlight w:val="none"/>
        </w:rPr>
      </w:pPr>
      <w:r>
        <w:rPr>
          <w:rFonts w:hint="eastAsia" w:ascii="宋体" w:hAnsi="宋体" w:cs="宋体"/>
          <w:color w:val="auto"/>
          <w:sz w:val="24"/>
          <w:highlight w:val="none"/>
        </w:rPr>
        <w:t xml:space="preserve"> 17.2 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 </w:t>
      </w:r>
    </w:p>
    <w:p>
      <w:pPr>
        <w:tabs>
          <w:tab w:val="left" w:pos="7665"/>
        </w:tabs>
        <w:spacing w:line="360" w:lineRule="auto"/>
        <w:ind w:left="13" w:leftChars="6" w:firstLine="360" w:firstLineChars="150"/>
        <w:rPr>
          <w:rFonts w:ascii="宋体" w:hAnsi="宋体" w:cs="宋体"/>
          <w:color w:val="auto"/>
          <w:sz w:val="24"/>
          <w:highlight w:val="none"/>
        </w:rPr>
      </w:pPr>
      <w:r>
        <w:rPr>
          <w:rFonts w:hint="eastAsia" w:ascii="宋体" w:hAnsi="宋体" w:cs="宋体"/>
          <w:color w:val="auto"/>
          <w:sz w:val="24"/>
          <w:highlight w:val="none"/>
        </w:rPr>
        <w:t>17.3 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pPr>
        <w:widowControl/>
        <w:wordWrap w:val="0"/>
        <w:spacing w:line="360" w:lineRule="auto"/>
        <w:ind w:firstLine="422" w:firstLineChars="175"/>
        <w:jc w:val="left"/>
        <w:outlineLvl w:val="2"/>
        <w:rPr>
          <w:rFonts w:ascii="宋体" w:hAnsi="宋体"/>
          <w:b/>
          <w:bCs/>
          <w:color w:val="auto"/>
          <w:sz w:val="24"/>
          <w:highlight w:val="none"/>
        </w:rPr>
      </w:pPr>
      <w:bookmarkStart w:id="98" w:name="_Toc217446052"/>
      <w:bookmarkStart w:id="99" w:name="_Toc308164802"/>
      <w:bookmarkStart w:id="100" w:name="_Toc183682362"/>
      <w:bookmarkStart w:id="101" w:name="_Toc490290205"/>
      <w:bookmarkStart w:id="102" w:name="_Toc183582225"/>
      <w:r>
        <w:rPr>
          <w:rFonts w:hint="eastAsia" w:ascii="宋体" w:hAnsi="宋体" w:cs="宋体"/>
          <w:b/>
          <w:bCs/>
          <w:color w:val="auto"/>
          <w:sz w:val="24"/>
          <w:highlight w:val="none"/>
        </w:rPr>
        <w:t>18．</w:t>
      </w:r>
      <w:bookmarkEnd w:id="98"/>
      <w:bookmarkEnd w:id="99"/>
      <w:bookmarkEnd w:id="100"/>
      <w:bookmarkEnd w:id="101"/>
      <w:bookmarkEnd w:id="102"/>
      <w:bookmarkStart w:id="103" w:name="_Toc183682364"/>
      <w:bookmarkStart w:id="104" w:name="_Toc183582227"/>
      <w:bookmarkStart w:id="105" w:name="_Toc308164804"/>
      <w:bookmarkStart w:id="106" w:name="_Toc490290207"/>
      <w:bookmarkStart w:id="107" w:name="_Toc217446054"/>
      <w:r>
        <w:rPr>
          <w:rFonts w:hint="eastAsia" w:ascii="宋体" w:hAnsi="宋体"/>
          <w:b/>
          <w:bCs/>
          <w:color w:val="auto"/>
          <w:sz w:val="24"/>
          <w:highlight w:val="none"/>
        </w:rPr>
        <w:t>投标文件的制作和签章、加密</w:t>
      </w:r>
    </w:p>
    <w:p>
      <w:pPr>
        <w:tabs>
          <w:tab w:val="left" w:pos="1080"/>
        </w:tabs>
        <w:wordWrap w:val="0"/>
        <w:spacing w:line="360" w:lineRule="auto"/>
        <w:ind w:firstLine="420" w:firstLineChars="175"/>
        <w:rPr>
          <w:rFonts w:ascii="宋体" w:hAnsi="宋体"/>
          <w:color w:val="auto"/>
          <w:sz w:val="24"/>
          <w:highlight w:val="none"/>
        </w:rPr>
      </w:pPr>
      <w:r>
        <w:rPr>
          <w:rFonts w:hint="eastAsia" w:ascii="宋体" w:hAnsi="宋体"/>
          <w:color w:val="auto"/>
          <w:sz w:val="24"/>
          <w:highlight w:val="none"/>
        </w:rPr>
        <w:t>18.1 本项目实行电子投标。投标人应先安装“政采云投标客户端”。（政府采购云平台—CA管理—绑定CA—下载驱动—“政采云投标客户端”立即下载）。投标人应按招标文件要求，通过“政采云投标客户端”制作、加密并提交投标文件。（实质性要求）</w:t>
      </w:r>
    </w:p>
    <w:p>
      <w:pPr>
        <w:tabs>
          <w:tab w:val="left" w:pos="1080"/>
        </w:tabs>
        <w:wordWrap w:val="0"/>
        <w:spacing w:line="360" w:lineRule="auto"/>
        <w:ind w:firstLine="422" w:firstLineChars="175"/>
        <w:rPr>
          <w:rFonts w:ascii="宋体" w:hAnsi="宋体"/>
          <w:b/>
          <w:bCs/>
          <w:color w:val="auto"/>
          <w:sz w:val="24"/>
          <w:highlight w:val="none"/>
        </w:rPr>
      </w:pPr>
      <w:r>
        <w:rPr>
          <w:rFonts w:hint="eastAsia" w:ascii="宋体" w:hAnsi="宋体"/>
          <w:b/>
          <w:bCs/>
          <w:color w:val="auto"/>
          <w:sz w:val="24"/>
          <w:highlight w:val="none"/>
        </w:rPr>
        <w:t>18.2 投标文件每页均应加盖投标人（法定名称）电子签章，不得使用投标人专用章（如经济合同章、投标专用章等）或下属单位印章代替。（实质性要求）</w:t>
      </w:r>
    </w:p>
    <w:p>
      <w:pPr>
        <w:tabs>
          <w:tab w:val="left" w:pos="1080"/>
        </w:tabs>
        <w:wordWrap w:val="0"/>
        <w:spacing w:line="360" w:lineRule="auto"/>
        <w:ind w:firstLine="420" w:firstLineChars="175"/>
        <w:rPr>
          <w:rFonts w:ascii="宋体" w:hAnsi="宋体"/>
          <w:color w:val="auto"/>
          <w:sz w:val="24"/>
          <w:highlight w:val="none"/>
        </w:rPr>
      </w:pPr>
      <w:r>
        <w:rPr>
          <w:rFonts w:hint="eastAsia" w:ascii="宋体" w:hAnsi="宋体"/>
          <w:color w:val="auto"/>
          <w:sz w:val="24"/>
          <w:highlight w:val="none"/>
        </w:rPr>
        <w:t>18.3 投标人应使用本企业CA数字证书对投标文件进行加密。（实质性要求）</w:t>
      </w:r>
    </w:p>
    <w:p>
      <w:pPr>
        <w:tabs>
          <w:tab w:val="left" w:pos="1080"/>
        </w:tabs>
        <w:wordWrap w:val="0"/>
        <w:spacing w:line="360" w:lineRule="auto"/>
        <w:ind w:firstLine="420" w:firstLineChars="175"/>
        <w:rPr>
          <w:rFonts w:ascii="宋体" w:hAnsi="宋体"/>
          <w:color w:val="auto"/>
          <w:sz w:val="24"/>
          <w:highlight w:val="none"/>
        </w:rPr>
      </w:pPr>
      <w:r>
        <w:rPr>
          <w:rFonts w:hint="eastAsia" w:ascii="宋体" w:hAnsi="宋体"/>
          <w:color w:val="auto"/>
          <w:sz w:val="24"/>
          <w:highlight w:val="none"/>
        </w:rPr>
        <w:t>18.4 招标文件若有修改，投标人根据修改后的招标文件制作或修改并递交投标文件。</w:t>
      </w:r>
    </w:p>
    <w:p>
      <w:pPr>
        <w:tabs>
          <w:tab w:val="left" w:pos="1080"/>
        </w:tabs>
        <w:wordWrap w:val="0"/>
        <w:spacing w:line="360" w:lineRule="auto"/>
        <w:ind w:firstLine="420" w:firstLineChars="175"/>
        <w:rPr>
          <w:rFonts w:ascii="宋体" w:hAnsi="宋体"/>
          <w:color w:val="auto"/>
          <w:sz w:val="24"/>
          <w:highlight w:val="none"/>
        </w:rPr>
      </w:pPr>
      <w:r>
        <w:rPr>
          <w:rFonts w:hint="eastAsia" w:ascii="宋体" w:hAnsi="宋体"/>
          <w:color w:val="auto"/>
          <w:sz w:val="24"/>
          <w:highlight w:val="none"/>
        </w:rPr>
        <w:t>18.5 使用“政府采购云平台”需要提前申领CA数字证书及电子签章，请自行前往四川CA、CFCA、天威CA、北京CA、重庆CA、山西CA、浙江汇信CA、天谷CA、国信CA、山东CA、新疆CA、乌海CA等统一认证服务点办理，只需办理其中一家CA数字证书及签章（提示：办理时请说明参与成都市政府采购项目）。投标人应及时完成在“政府采购云平台”的注册及CA账号绑定，确保顺利参与电子投标。（实质性要求）</w:t>
      </w:r>
    </w:p>
    <w:p>
      <w:pPr>
        <w:pStyle w:val="7"/>
        <w:spacing w:before="0" w:after="0" w:line="360" w:lineRule="auto"/>
        <w:ind w:firstLine="482" w:firstLineChars="200"/>
        <w:rPr>
          <w:rFonts w:ascii="宋体" w:hAnsi="宋体"/>
          <w:color w:val="auto"/>
          <w:sz w:val="24"/>
          <w:szCs w:val="24"/>
          <w:highlight w:val="none"/>
        </w:rPr>
      </w:pPr>
      <w:r>
        <w:rPr>
          <w:rFonts w:hint="eastAsia" w:ascii="宋体" w:hAnsi="宋体"/>
          <w:color w:val="auto"/>
          <w:sz w:val="24"/>
          <w:szCs w:val="24"/>
          <w:highlight w:val="none"/>
        </w:rPr>
        <w:t>19．投标文件的</w:t>
      </w:r>
      <w:bookmarkEnd w:id="103"/>
      <w:bookmarkEnd w:id="104"/>
      <w:r>
        <w:rPr>
          <w:rFonts w:hint="eastAsia" w:ascii="宋体" w:hAnsi="宋体"/>
          <w:color w:val="auto"/>
          <w:sz w:val="24"/>
          <w:szCs w:val="24"/>
          <w:highlight w:val="none"/>
        </w:rPr>
        <w:t>递交</w:t>
      </w:r>
      <w:bookmarkEnd w:id="105"/>
      <w:bookmarkEnd w:id="106"/>
      <w:bookmarkEnd w:id="107"/>
    </w:p>
    <w:p>
      <w:pPr>
        <w:tabs>
          <w:tab w:val="left" w:pos="1080"/>
        </w:tabs>
        <w:wordWrap w:val="0"/>
        <w:spacing w:line="360" w:lineRule="auto"/>
        <w:ind w:firstLine="420" w:firstLineChars="175"/>
        <w:rPr>
          <w:rFonts w:ascii="宋体" w:hAnsi="宋体"/>
          <w:color w:val="auto"/>
          <w:sz w:val="24"/>
          <w:highlight w:val="none"/>
        </w:rPr>
      </w:pPr>
      <w:bookmarkStart w:id="108" w:name="_Toc183582228"/>
      <w:bookmarkStart w:id="109" w:name="_Toc183682365"/>
      <w:bookmarkStart w:id="110" w:name="_Toc490290208"/>
      <w:bookmarkStart w:id="111" w:name="_Toc217446055"/>
      <w:r>
        <w:rPr>
          <w:rFonts w:hint="eastAsia" w:ascii="宋体" w:hAnsi="宋体"/>
          <w:color w:val="auto"/>
          <w:sz w:val="24"/>
          <w:highlight w:val="none"/>
        </w:rPr>
        <w:t>19.1 投标人应当在投标文件递交截止时间前，将生成的已加密的电子投标文件成功递交至“政府采购云平台”。</w:t>
      </w:r>
    </w:p>
    <w:p>
      <w:pPr>
        <w:tabs>
          <w:tab w:val="left" w:pos="1080"/>
        </w:tabs>
        <w:wordWrap w:val="0"/>
        <w:spacing w:line="360" w:lineRule="auto"/>
        <w:ind w:firstLine="420" w:firstLineChars="175"/>
        <w:rPr>
          <w:rFonts w:ascii="宋体" w:hAnsi="宋体"/>
          <w:color w:val="auto"/>
          <w:sz w:val="24"/>
          <w:highlight w:val="none"/>
        </w:rPr>
      </w:pPr>
      <w:r>
        <w:rPr>
          <w:rFonts w:hint="eastAsia" w:ascii="宋体" w:hAnsi="宋体"/>
          <w:color w:val="auto"/>
          <w:sz w:val="24"/>
          <w:highlight w:val="none"/>
        </w:rPr>
        <w:t>19.2 投标人应充分考虑递交文件的不可预见因素，在投标截止时间后将无法递交。</w:t>
      </w:r>
    </w:p>
    <w:p>
      <w:pPr>
        <w:pStyle w:val="7"/>
        <w:spacing w:before="0" w:after="0" w:line="360" w:lineRule="auto"/>
        <w:ind w:firstLine="482" w:firstLineChars="200"/>
        <w:rPr>
          <w:rFonts w:ascii="宋体" w:hAnsi="宋体"/>
          <w:color w:val="auto"/>
          <w:sz w:val="24"/>
          <w:szCs w:val="24"/>
          <w:highlight w:val="none"/>
        </w:rPr>
      </w:pPr>
      <w:r>
        <w:rPr>
          <w:rFonts w:hint="eastAsia" w:ascii="宋体" w:hAnsi="宋体"/>
          <w:color w:val="auto"/>
          <w:sz w:val="24"/>
          <w:szCs w:val="24"/>
          <w:highlight w:val="none"/>
        </w:rPr>
        <w:t>20．投标文件的修改和撤</w:t>
      </w:r>
      <w:bookmarkEnd w:id="108"/>
      <w:bookmarkEnd w:id="109"/>
      <w:r>
        <w:rPr>
          <w:rFonts w:hint="eastAsia" w:ascii="宋体" w:hAnsi="宋体"/>
          <w:color w:val="auto"/>
          <w:sz w:val="24"/>
          <w:szCs w:val="24"/>
          <w:highlight w:val="none"/>
        </w:rPr>
        <w:t>回</w:t>
      </w:r>
      <w:bookmarkEnd w:id="110"/>
      <w:bookmarkEnd w:id="111"/>
    </w:p>
    <w:p>
      <w:pPr>
        <w:tabs>
          <w:tab w:val="left" w:pos="1080"/>
        </w:tabs>
        <w:wordWrap w:val="0"/>
        <w:spacing w:line="360" w:lineRule="auto"/>
        <w:ind w:firstLine="420" w:firstLineChars="175"/>
        <w:rPr>
          <w:rFonts w:ascii="宋体" w:hAnsi="宋体"/>
          <w:color w:val="auto"/>
          <w:sz w:val="24"/>
          <w:highlight w:val="none"/>
        </w:rPr>
      </w:pPr>
      <w:bookmarkStart w:id="112" w:name="_Toc77400782"/>
      <w:bookmarkStart w:id="113" w:name="_Toc21553"/>
      <w:bookmarkStart w:id="114" w:name="_Toc183582231"/>
      <w:bookmarkStart w:id="115" w:name="_Toc89075878"/>
      <w:bookmarkStart w:id="116" w:name="_Toc217446056"/>
      <w:bookmarkStart w:id="117" w:name="_Toc308164805"/>
      <w:bookmarkStart w:id="118" w:name="_Toc490290209"/>
      <w:bookmarkStart w:id="119" w:name="_Toc183682368"/>
      <w:bookmarkStart w:id="120" w:name="_Toc15165"/>
      <w:r>
        <w:rPr>
          <w:rFonts w:hint="eastAsia" w:ascii="宋体" w:hAnsi="宋体"/>
          <w:color w:val="auto"/>
          <w:sz w:val="24"/>
          <w:highlight w:val="none"/>
        </w:rPr>
        <w:t>20.1 投标截止时间前，投标人可对已递交的投标文件进行补充、修改。补充或者修改投标文件的，应当先撤回已递交的投标文件，在“政采云投标客户端”补充、修改投标文件并签章、加密后重新递交。撤回投标文件进行补充、修改，在投标截止时间前未重新递交的，视为撤回投标文件。</w:t>
      </w:r>
    </w:p>
    <w:p>
      <w:pPr>
        <w:widowControl/>
        <w:wordWrap w:val="0"/>
        <w:spacing w:line="360" w:lineRule="auto"/>
        <w:ind w:firstLine="420" w:firstLineChars="175"/>
        <w:jc w:val="left"/>
        <w:rPr>
          <w:rFonts w:ascii="宋体" w:hAnsi="宋体"/>
          <w:color w:val="auto"/>
          <w:sz w:val="24"/>
          <w:highlight w:val="none"/>
        </w:rPr>
      </w:pPr>
      <w:r>
        <w:rPr>
          <w:rFonts w:hint="eastAsia" w:ascii="宋体" w:hAnsi="宋体"/>
          <w:color w:val="auto"/>
          <w:sz w:val="24"/>
          <w:highlight w:val="none"/>
        </w:rPr>
        <w:t>20.2 投标截止时间后，投标人不得对其递交的投标文件做任何补充、修改。</w:t>
      </w:r>
    </w:p>
    <w:p>
      <w:pPr>
        <w:widowControl/>
        <w:wordWrap w:val="0"/>
        <w:spacing w:line="360" w:lineRule="auto"/>
        <w:ind w:firstLine="422" w:firstLineChars="175"/>
        <w:jc w:val="left"/>
        <w:outlineLvl w:val="2"/>
        <w:rPr>
          <w:rFonts w:ascii="宋体" w:hAnsi="宋体"/>
          <w:b/>
          <w:bCs/>
          <w:color w:val="auto"/>
          <w:sz w:val="24"/>
          <w:highlight w:val="none"/>
        </w:rPr>
      </w:pPr>
      <w:r>
        <w:rPr>
          <w:rFonts w:hint="eastAsia" w:ascii="宋体" w:hAnsi="宋体"/>
          <w:b/>
          <w:bCs/>
          <w:color w:val="auto"/>
          <w:sz w:val="24"/>
          <w:highlight w:val="none"/>
        </w:rPr>
        <w:t>21.投标文件的解密</w:t>
      </w:r>
    </w:p>
    <w:p>
      <w:pPr>
        <w:tabs>
          <w:tab w:val="left" w:pos="1080"/>
        </w:tabs>
        <w:wordWrap w:val="0"/>
        <w:spacing w:line="360" w:lineRule="auto"/>
        <w:ind w:firstLine="420" w:firstLineChars="175"/>
        <w:rPr>
          <w:rFonts w:ascii="宋体" w:hAnsi="宋体"/>
          <w:color w:val="auto"/>
          <w:sz w:val="24"/>
          <w:highlight w:val="none"/>
        </w:rPr>
      </w:pPr>
      <w:r>
        <w:rPr>
          <w:rFonts w:hint="eastAsia" w:ascii="宋体" w:hAnsi="宋体"/>
          <w:color w:val="auto"/>
          <w:sz w:val="24"/>
          <w:highlight w:val="none"/>
        </w:rPr>
        <w:t>投标人登录政府采购云平台，点击“项目采购—开标评标”模块，进入本项目“开标大厅”，等待代理机构开启解密后，进行线上解密。除因断电、断网、系统故障或其他不可抗力等因素，导致系统无法使用外，投标人在规定的解密时间内，未成功解密的投标文件将视为无效投标文件。</w:t>
      </w:r>
    </w:p>
    <w:p>
      <w:pPr>
        <w:tabs>
          <w:tab w:val="left" w:pos="1080"/>
        </w:tabs>
        <w:wordWrap w:val="0"/>
        <w:spacing w:line="360" w:lineRule="auto"/>
        <w:ind w:firstLine="420" w:firstLineChars="175"/>
        <w:rPr>
          <w:rFonts w:ascii="宋体" w:hAnsi="宋体"/>
          <w:color w:val="auto"/>
          <w:sz w:val="24"/>
          <w:highlight w:val="none"/>
        </w:rPr>
      </w:pPr>
    </w:p>
    <w:p>
      <w:pPr>
        <w:pStyle w:val="4"/>
        <w:spacing w:line="360" w:lineRule="auto"/>
        <w:rPr>
          <w:rFonts w:ascii="宋体" w:hAnsi="宋体" w:cs="宋体"/>
          <w:b/>
          <w:color w:val="auto"/>
          <w:sz w:val="24"/>
          <w:highlight w:val="none"/>
        </w:rPr>
      </w:pPr>
      <w:r>
        <w:rPr>
          <w:rFonts w:hint="eastAsia" w:ascii="宋体" w:hAnsi="宋体" w:cs="宋体"/>
          <w:b/>
          <w:color w:val="auto"/>
          <w:sz w:val="24"/>
          <w:highlight w:val="none"/>
        </w:rPr>
        <w:t>五、开标和中标</w:t>
      </w:r>
      <w:bookmarkEnd w:id="112"/>
      <w:bookmarkEnd w:id="113"/>
      <w:bookmarkEnd w:id="114"/>
      <w:bookmarkEnd w:id="115"/>
      <w:bookmarkEnd w:id="116"/>
      <w:bookmarkEnd w:id="117"/>
      <w:bookmarkEnd w:id="118"/>
      <w:bookmarkEnd w:id="119"/>
      <w:bookmarkEnd w:id="120"/>
    </w:p>
    <w:p>
      <w:pPr>
        <w:widowControl/>
        <w:wordWrap w:val="0"/>
        <w:spacing w:line="360" w:lineRule="auto"/>
        <w:ind w:firstLine="422" w:firstLineChars="175"/>
        <w:jc w:val="left"/>
        <w:outlineLvl w:val="2"/>
        <w:rPr>
          <w:rFonts w:ascii="宋体" w:hAnsi="宋体"/>
          <w:b/>
          <w:color w:val="auto"/>
          <w:sz w:val="24"/>
          <w:highlight w:val="none"/>
        </w:rPr>
      </w:pPr>
      <w:bookmarkStart w:id="121" w:name="_Toc490290212"/>
      <w:bookmarkStart w:id="122" w:name="_Toc4381"/>
      <w:bookmarkStart w:id="123" w:name="_Toc308164810"/>
      <w:bookmarkStart w:id="124" w:name="_Toc18711"/>
      <w:bookmarkStart w:id="125" w:name="_Toc217446064"/>
      <w:bookmarkStart w:id="126" w:name="_Toc183682377"/>
      <w:bookmarkStart w:id="127" w:name="_Toc183582240"/>
      <w:r>
        <w:rPr>
          <w:rFonts w:hint="eastAsia" w:ascii="宋体" w:hAnsi="宋体"/>
          <w:b/>
          <w:color w:val="auto"/>
          <w:sz w:val="24"/>
          <w:highlight w:val="none"/>
        </w:rPr>
        <w:t>22.开标及开标程序</w:t>
      </w:r>
    </w:p>
    <w:p>
      <w:pPr>
        <w:wordWrap w:val="0"/>
        <w:spacing w:line="360" w:lineRule="auto"/>
        <w:ind w:firstLine="420" w:firstLineChars="175"/>
        <w:rPr>
          <w:rFonts w:ascii="宋体" w:hAnsi="宋体"/>
          <w:color w:val="auto"/>
          <w:sz w:val="24"/>
          <w:highlight w:val="none"/>
        </w:rPr>
      </w:pPr>
      <w:r>
        <w:rPr>
          <w:rFonts w:hint="eastAsia" w:ascii="宋体" w:hAnsi="宋体"/>
          <w:color w:val="auto"/>
          <w:sz w:val="24"/>
          <w:highlight w:val="none"/>
        </w:rPr>
        <w:t>22.1 本项目为不见面开标项目。（单个包件递交电子投标文件的投标人不足3家的，不予开标。）</w:t>
      </w:r>
    </w:p>
    <w:p>
      <w:pPr>
        <w:wordWrap w:val="0"/>
        <w:spacing w:line="360" w:lineRule="auto"/>
        <w:ind w:firstLine="420" w:firstLineChars="175"/>
        <w:rPr>
          <w:rFonts w:ascii="宋体" w:hAnsi="宋体"/>
          <w:color w:val="auto"/>
          <w:sz w:val="24"/>
          <w:highlight w:val="none"/>
        </w:rPr>
      </w:pPr>
      <w:r>
        <w:rPr>
          <w:rFonts w:hint="eastAsia" w:ascii="宋体" w:hAnsi="宋体"/>
          <w:color w:val="auto"/>
          <w:sz w:val="24"/>
          <w:highlight w:val="none"/>
        </w:rPr>
        <w:t>22.2 开标准备工作。投标人需在开标当日、投标截止时间前登录“政府采购云平台”，通过本项目“开标大厅”参与不见面开标。登录政府采购云平台—项目采购—开标评标—开标大厅（确保进入本项目开标大厅）。</w:t>
      </w:r>
    </w:p>
    <w:p>
      <w:pPr>
        <w:wordWrap w:val="0"/>
        <w:spacing w:line="360" w:lineRule="auto"/>
        <w:ind w:firstLine="420" w:firstLineChars="175"/>
        <w:rPr>
          <w:rFonts w:ascii="宋体" w:hAnsi="宋体"/>
          <w:color w:val="auto"/>
          <w:sz w:val="24"/>
          <w:highlight w:val="none"/>
        </w:rPr>
      </w:pPr>
      <w:r>
        <w:rPr>
          <w:rFonts w:hint="eastAsia" w:ascii="宋体" w:hAnsi="宋体"/>
          <w:color w:val="auto"/>
          <w:sz w:val="24"/>
          <w:highlight w:val="none"/>
        </w:rPr>
        <w:t>提示：投标人未按时登录不见面开标系统，错过开标解密时间的，由投标人自行承担不利后果。</w:t>
      </w:r>
    </w:p>
    <w:p>
      <w:pPr>
        <w:wordWrap w:val="0"/>
        <w:spacing w:line="360" w:lineRule="auto"/>
        <w:ind w:firstLine="420" w:firstLineChars="175"/>
        <w:rPr>
          <w:rFonts w:ascii="宋体" w:hAnsi="宋体"/>
          <w:color w:val="auto"/>
          <w:sz w:val="24"/>
          <w:highlight w:val="none"/>
        </w:rPr>
      </w:pPr>
      <w:r>
        <w:rPr>
          <w:rFonts w:hint="eastAsia" w:ascii="宋体" w:hAnsi="宋体"/>
          <w:color w:val="auto"/>
          <w:sz w:val="24"/>
          <w:highlight w:val="none"/>
        </w:rPr>
        <w:t>22.3 解密投标文件。等待代理机构开启解密后，投标人进行线上解密。开启解密后，投标人应在60分钟内，使用加密该投标文件的CA数字证书在线完成投标文件的解密。除因断电、断网、系统故障或其他不可抗力等因素，导致系统无法使用外，投标人在规定的解密时间内，未成功解密的投标文件将视为无效投标文件。</w:t>
      </w:r>
    </w:p>
    <w:p>
      <w:pPr>
        <w:wordWrap w:val="0"/>
        <w:spacing w:line="360" w:lineRule="auto"/>
        <w:ind w:firstLine="420" w:firstLineChars="175"/>
        <w:rPr>
          <w:rFonts w:ascii="宋体" w:hAnsi="宋体"/>
          <w:color w:val="auto"/>
          <w:sz w:val="24"/>
          <w:highlight w:val="none"/>
        </w:rPr>
      </w:pPr>
      <w:r>
        <w:rPr>
          <w:rFonts w:hint="eastAsia" w:ascii="宋体" w:hAnsi="宋体"/>
          <w:color w:val="auto"/>
          <w:sz w:val="24"/>
          <w:highlight w:val="none"/>
        </w:rPr>
        <w:t>22.4 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同开标记录。</w:t>
      </w:r>
    </w:p>
    <w:p>
      <w:pPr>
        <w:wordWrap w:val="0"/>
        <w:spacing w:line="360" w:lineRule="auto"/>
        <w:ind w:firstLine="420" w:firstLineChars="175"/>
        <w:rPr>
          <w:rFonts w:ascii="宋体" w:hAnsi="宋体"/>
          <w:color w:val="auto"/>
          <w:sz w:val="24"/>
          <w:highlight w:val="none"/>
        </w:rPr>
      </w:pPr>
      <w:r>
        <w:rPr>
          <w:rFonts w:hint="eastAsia" w:ascii="宋体" w:hAnsi="宋体"/>
          <w:color w:val="auto"/>
          <w:sz w:val="24"/>
          <w:highlight w:val="none"/>
        </w:rPr>
        <w:t>22.5 投标人电脑终端等硬件设备和软件系统配置：投标人电脑终端等硬件设备和软件系统配置应符合电子投标（含不见面开标大厅）投标人电脑终端配置要求并运行正常，投标人承担因未尽职责产生的不利后果。</w:t>
      </w:r>
    </w:p>
    <w:p>
      <w:pPr>
        <w:wordWrap w:val="0"/>
        <w:spacing w:line="360" w:lineRule="auto"/>
        <w:ind w:firstLine="420" w:firstLineChars="175"/>
        <w:rPr>
          <w:rFonts w:ascii="宋体" w:hAnsi="宋体"/>
          <w:color w:val="auto"/>
          <w:sz w:val="24"/>
          <w:highlight w:val="none"/>
        </w:rPr>
      </w:pPr>
      <w:r>
        <w:rPr>
          <w:rFonts w:hint="eastAsia" w:ascii="宋体" w:hAnsi="宋体"/>
          <w:color w:val="auto"/>
          <w:sz w:val="24"/>
          <w:highlight w:val="none"/>
        </w:rPr>
        <w:t>22.6 因断电、断网、系统故障或其他不可抗力等因素导致不见面开标系统无法正常运行的，开标活动中止或延迟，待系统恢复正常后继续进行开标活动。</w:t>
      </w:r>
    </w:p>
    <w:p>
      <w:pPr>
        <w:wordWrap w:val="0"/>
        <w:spacing w:line="360" w:lineRule="auto"/>
        <w:ind w:firstLine="420" w:firstLineChars="175"/>
        <w:rPr>
          <w:rFonts w:ascii="宋体" w:hAnsi="宋体"/>
          <w:color w:val="auto"/>
          <w:sz w:val="24"/>
          <w:highlight w:val="none"/>
        </w:rPr>
      </w:pPr>
      <w:r>
        <w:rPr>
          <w:rFonts w:hint="eastAsia" w:ascii="宋体" w:hAnsi="宋体"/>
          <w:color w:val="auto"/>
          <w:sz w:val="24"/>
          <w:highlight w:val="none"/>
        </w:rPr>
        <w:t>22.7 不见面开标过程中，各方主体均应遵守互联网有关规定，不得发表与交易活动无关的言论。</w:t>
      </w:r>
    </w:p>
    <w:p>
      <w:pPr>
        <w:wordWrap w:val="0"/>
        <w:spacing w:line="360" w:lineRule="auto"/>
        <w:ind w:firstLine="420" w:firstLineChars="175"/>
        <w:rPr>
          <w:rFonts w:ascii="宋体" w:hAnsi="宋体"/>
          <w:color w:val="auto"/>
          <w:sz w:val="24"/>
          <w:highlight w:val="none"/>
        </w:rPr>
      </w:pPr>
      <w:r>
        <w:rPr>
          <w:rFonts w:hint="eastAsia" w:ascii="宋体" w:hAnsi="宋体"/>
          <w:color w:val="auto"/>
          <w:sz w:val="24"/>
          <w:highlight w:val="none"/>
        </w:rPr>
        <w:t>22.8 开评标过程存档</w:t>
      </w:r>
    </w:p>
    <w:p>
      <w:pPr>
        <w:wordWrap w:val="0"/>
        <w:spacing w:line="360" w:lineRule="auto"/>
        <w:ind w:firstLine="420" w:firstLineChars="175"/>
        <w:rPr>
          <w:rFonts w:ascii="宋体" w:hAnsi="宋体"/>
          <w:color w:val="auto"/>
          <w:sz w:val="24"/>
          <w:highlight w:val="none"/>
        </w:rPr>
      </w:pPr>
      <w:r>
        <w:rPr>
          <w:rFonts w:hint="eastAsia" w:ascii="宋体" w:hAnsi="宋体"/>
          <w:color w:val="auto"/>
          <w:sz w:val="24"/>
          <w:highlight w:val="none"/>
        </w:rPr>
        <w:t>开标和评标过程进行全过程电子监控，并将电子监控资料存储介质留存归档。</w:t>
      </w:r>
    </w:p>
    <w:p>
      <w:pPr>
        <w:wordWrap w:val="0"/>
        <w:spacing w:line="360" w:lineRule="auto"/>
        <w:ind w:firstLine="422" w:firstLineChars="175"/>
        <w:outlineLvl w:val="2"/>
        <w:rPr>
          <w:rFonts w:ascii="宋体" w:hAnsi="宋体"/>
          <w:b/>
          <w:color w:val="auto"/>
          <w:sz w:val="24"/>
          <w:highlight w:val="none"/>
        </w:rPr>
      </w:pPr>
      <w:bookmarkStart w:id="128" w:name="_Toc2166"/>
      <w:bookmarkStart w:id="129" w:name="_Toc183582238"/>
      <w:bookmarkStart w:id="130" w:name="_Toc183682375"/>
      <w:bookmarkStart w:id="131" w:name="_Toc308164809"/>
      <w:bookmarkStart w:id="132" w:name="_Toc217446063"/>
      <w:r>
        <w:rPr>
          <w:rFonts w:hint="eastAsia" w:ascii="宋体" w:hAnsi="宋体"/>
          <w:b/>
          <w:color w:val="auto"/>
          <w:sz w:val="24"/>
          <w:highlight w:val="none"/>
        </w:rPr>
        <w:t>23.中标结果</w:t>
      </w:r>
      <w:bookmarkEnd w:id="128"/>
    </w:p>
    <w:p>
      <w:pPr>
        <w:wordWrap w:val="0"/>
        <w:spacing w:line="360" w:lineRule="auto"/>
        <w:ind w:firstLine="420" w:firstLineChars="175"/>
        <w:rPr>
          <w:rFonts w:ascii="宋体" w:hAnsi="宋体"/>
          <w:color w:val="auto"/>
          <w:sz w:val="24"/>
          <w:highlight w:val="none"/>
        </w:rPr>
      </w:pPr>
      <w:bookmarkStart w:id="133" w:name="_Toc26659"/>
      <w:bookmarkStart w:id="134" w:name="_Toc21750"/>
      <w:r>
        <w:rPr>
          <w:rFonts w:hint="eastAsia" w:ascii="宋体" w:hAnsi="宋体"/>
          <w:bCs/>
          <w:color w:val="auto"/>
          <w:sz w:val="24"/>
          <w:highlight w:val="none"/>
        </w:rPr>
        <w:t>23.1 采购人确定中标人后，将及时书面通知采购代理机构，采购代理机构在中标人确定后2个工作日内，在“四川政府采购网”上公告中标结果，同时向中标人发出中标通知书。</w:t>
      </w:r>
      <w:bookmarkEnd w:id="133"/>
      <w:bookmarkEnd w:id="134"/>
    </w:p>
    <w:p>
      <w:pPr>
        <w:wordWrap w:val="0"/>
        <w:spacing w:line="360" w:lineRule="auto"/>
        <w:ind w:firstLine="420" w:firstLineChars="175"/>
        <w:rPr>
          <w:rFonts w:ascii="宋体" w:hAnsi="宋体"/>
          <w:bCs/>
          <w:color w:val="auto"/>
          <w:sz w:val="24"/>
          <w:highlight w:val="none"/>
        </w:rPr>
      </w:pPr>
      <w:r>
        <w:rPr>
          <w:rFonts w:hint="eastAsia" w:ascii="宋体" w:hAnsi="宋体"/>
          <w:bCs/>
          <w:color w:val="auto"/>
          <w:sz w:val="24"/>
          <w:highlight w:val="none"/>
        </w:rPr>
        <w:t>23.2 采购人确定中标人过程中，发现中标候选人有下列情形之一的，应当不予确定其为中标人：</w:t>
      </w:r>
    </w:p>
    <w:p>
      <w:pPr>
        <w:wordWrap w:val="0"/>
        <w:spacing w:line="360" w:lineRule="auto"/>
        <w:ind w:firstLine="420" w:firstLineChars="175"/>
        <w:rPr>
          <w:rFonts w:ascii="宋体" w:hAnsi="宋体"/>
          <w:bCs/>
          <w:color w:val="auto"/>
          <w:sz w:val="24"/>
          <w:highlight w:val="none"/>
        </w:rPr>
      </w:pPr>
      <w:r>
        <w:rPr>
          <w:rFonts w:hint="eastAsia" w:ascii="宋体" w:hAnsi="宋体"/>
          <w:bCs/>
          <w:color w:val="auto"/>
          <w:sz w:val="24"/>
          <w:highlight w:val="none"/>
        </w:rPr>
        <w:t>（1）发现中标候选人存在禁止参加本项目采购活动的违法行为的；</w:t>
      </w:r>
    </w:p>
    <w:p>
      <w:pPr>
        <w:wordWrap w:val="0"/>
        <w:spacing w:line="360" w:lineRule="auto"/>
        <w:ind w:firstLine="420" w:firstLineChars="175"/>
        <w:rPr>
          <w:rFonts w:ascii="宋体" w:hAnsi="宋体"/>
          <w:bCs/>
          <w:color w:val="auto"/>
          <w:sz w:val="24"/>
          <w:highlight w:val="none"/>
        </w:rPr>
      </w:pPr>
      <w:r>
        <w:rPr>
          <w:rFonts w:hint="eastAsia" w:ascii="宋体" w:hAnsi="宋体"/>
          <w:bCs/>
          <w:color w:val="auto"/>
          <w:sz w:val="24"/>
          <w:highlight w:val="none"/>
        </w:rPr>
        <w:t>（2）中标候选人因不可抗力，不能继续参加政府采购活动；</w:t>
      </w:r>
    </w:p>
    <w:p>
      <w:pPr>
        <w:wordWrap w:val="0"/>
        <w:spacing w:line="360" w:lineRule="auto"/>
        <w:ind w:firstLine="420" w:firstLineChars="175"/>
        <w:rPr>
          <w:rFonts w:ascii="宋体" w:hAnsi="宋体"/>
          <w:bCs/>
          <w:color w:val="auto"/>
          <w:sz w:val="24"/>
          <w:highlight w:val="none"/>
        </w:rPr>
      </w:pPr>
      <w:r>
        <w:rPr>
          <w:rFonts w:hint="eastAsia" w:ascii="宋体" w:hAnsi="宋体"/>
          <w:bCs/>
          <w:color w:val="auto"/>
          <w:sz w:val="24"/>
          <w:highlight w:val="none"/>
        </w:rPr>
        <w:t>（3）中标候选人无偿赠与或者低于成本价竞争；</w:t>
      </w:r>
    </w:p>
    <w:p>
      <w:pPr>
        <w:wordWrap w:val="0"/>
        <w:spacing w:line="360" w:lineRule="auto"/>
        <w:ind w:firstLine="420" w:firstLineChars="175"/>
        <w:rPr>
          <w:rFonts w:ascii="宋体" w:hAnsi="宋体"/>
          <w:bCs/>
          <w:color w:val="auto"/>
          <w:sz w:val="24"/>
          <w:highlight w:val="none"/>
        </w:rPr>
      </w:pPr>
      <w:r>
        <w:rPr>
          <w:rFonts w:hint="eastAsia" w:ascii="宋体" w:hAnsi="宋体"/>
          <w:bCs/>
          <w:color w:val="auto"/>
          <w:sz w:val="24"/>
          <w:highlight w:val="none"/>
        </w:rPr>
        <w:t>（4）中标候选人提供虚假材料；</w:t>
      </w:r>
    </w:p>
    <w:p>
      <w:pPr>
        <w:wordWrap w:val="0"/>
        <w:spacing w:line="360" w:lineRule="auto"/>
        <w:ind w:firstLine="420" w:firstLineChars="175"/>
        <w:rPr>
          <w:rFonts w:ascii="宋体" w:hAnsi="宋体"/>
          <w:bCs/>
          <w:color w:val="auto"/>
          <w:sz w:val="24"/>
          <w:highlight w:val="none"/>
        </w:rPr>
      </w:pPr>
      <w:r>
        <w:rPr>
          <w:rFonts w:hint="eastAsia" w:ascii="宋体" w:hAnsi="宋体"/>
          <w:bCs/>
          <w:color w:val="auto"/>
          <w:sz w:val="24"/>
          <w:highlight w:val="none"/>
        </w:rPr>
        <w:t>（5</w:t>
      </w:r>
      <w:r>
        <w:rPr>
          <w:rFonts w:ascii="宋体" w:hAnsi="宋体"/>
          <w:bCs/>
          <w:color w:val="auto"/>
          <w:sz w:val="24"/>
          <w:highlight w:val="none"/>
        </w:rPr>
        <w:t>）</w:t>
      </w:r>
      <w:r>
        <w:rPr>
          <w:rFonts w:hint="eastAsia" w:ascii="宋体" w:hAnsi="宋体"/>
          <w:bCs/>
          <w:color w:val="auto"/>
          <w:sz w:val="24"/>
          <w:highlight w:val="none"/>
        </w:rPr>
        <w:t>中标候选人恶意串通。</w:t>
      </w:r>
    </w:p>
    <w:p>
      <w:pPr>
        <w:widowControl/>
        <w:wordWrap w:val="0"/>
        <w:spacing w:line="360" w:lineRule="auto"/>
        <w:ind w:firstLine="422" w:firstLineChars="175"/>
        <w:jc w:val="left"/>
        <w:rPr>
          <w:rFonts w:ascii="宋体" w:hAnsi="宋体"/>
          <w:b/>
          <w:color w:val="auto"/>
          <w:sz w:val="24"/>
          <w:highlight w:val="none"/>
        </w:rPr>
      </w:pPr>
      <w:r>
        <w:rPr>
          <w:rFonts w:hint="eastAsia" w:ascii="宋体" w:hAnsi="宋体"/>
          <w:b/>
          <w:color w:val="auto"/>
          <w:sz w:val="24"/>
          <w:highlight w:val="none"/>
        </w:rPr>
        <w:t>23.3中标通知</w:t>
      </w:r>
      <w:bookmarkEnd w:id="129"/>
      <w:bookmarkEnd w:id="130"/>
      <w:r>
        <w:rPr>
          <w:rFonts w:hint="eastAsia" w:ascii="宋体" w:hAnsi="宋体"/>
          <w:b/>
          <w:color w:val="auto"/>
          <w:sz w:val="24"/>
          <w:highlight w:val="none"/>
        </w:rPr>
        <w:t>书</w:t>
      </w:r>
      <w:bookmarkEnd w:id="131"/>
      <w:bookmarkEnd w:id="132"/>
    </w:p>
    <w:p>
      <w:pPr>
        <w:tabs>
          <w:tab w:val="left" w:pos="7665"/>
        </w:tabs>
        <w:wordWrap w:val="0"/>
        <w:spacing w:line="360" w:lineRule="auto"/>
        <w:ind w:firstLine="420" w:firstLineChars="175"/>
        <w:rPr>
          <w:rFonts w:ascii="宋体" w:hAnsi="宋体"/>
          <w:color w:val="auto"/>
          <w:sz w:val="24"/>
          <w:highlight w:val="none"/>
        </w:rPr>
      </w:pPr>
      <w:r>
        <w:rPr>
          <w:rFonts w:hint="eastAsia" w:ascii="宋体" w:hAnsi="宋体"/>
          <w:color w:val="auto"/>
          <w:sz w:val="24"/>
          <w:highlight w:val="none"/>
          <w:lang w:val="zh-CN"/>
        </w:rPr>
        <w:t>代理机构在四川政府采购网公告中标结果时同时发出中标通知书。</w:t>
      </w:r>
    </w:p>
    <w:p>
      <w:pPr>
        <w:wordWrap w:val="0"/>
        <w:spacing w:line="360" w:lineRule="auto"/>
        <w:ind w:firstLine="191" w:firstLineChars="91"/>
        <w:rPr>
          <w:rFonts w:ascii="宋体" w:hAnsi="宋体"/>
          <w:color w:val="auto"/>
          <w:szCs w:val="28"/>
          <w:highlight w:val="none"/>
        </w:rPr>
      </w:pPr>
    </w:p>
    <w:p>
      <w:pPr>
        <w:pStyle w:val="4"/>
        <w:spacing w:line="360" w:lineRule="auto"/>
        <w:rPr>
          <w:rFonts w:ascii="宋体" w:hAnsi="宋体" w:cs="宋体"/>
          <w:color w:val="auto"/>
          <w:sz w:val="24"/>
          <w:highlight w:val="none"/>
        </w:rPr>
      </w:pPr>
      <w:r>
        <w:rPr>
          <w:rFonts w:hint="eastAsia" w:ascii="宋体" w:hAnsi="宋体" w:cs="宋体"/>
          <w:b/>
          <w:color w:val="auto"/>
          <w:sz w:val="24"/>
          <w:highlight w:val="none"/>
        </w:rPr>
        <w:t>六、签订及履行合同和验收</w:t>
      </w:r>
      <w:bookmarkEnd w:id="121"/>
      <w:bookmarkEnd w:id="122"/>
      <w:bookmarkEnd w:id="123"/>
      <w:bookmarkEnd w:id="124"/>
      <w:bookmarkEnd w:id="125"/>
    </w:p>
    <w:p>
      <w:pPr>
        <w:pStyle w:val="7"/>
        <w:spacing w:line="400" w:lineRule="exact"/>
        <w:ind w:firstLine="482" w:firstLineChars="200"/>
        <w:rPr>
          <w:rFonts w:ascii="宋体" w:hAnsi="宋体" w:cs="宋体"/>
          <w:color w:val="auto"/>
          <w:sz w:val="24"/>
          <w:szCs w:val="24"/>
          <w:highlight w:val="none"/>
        </w:rPr>
      </w:pPr>
      <w:bookmarkStart w:id="135" w:name="_Toc308164811"/>
      <w:bookmarkStart w:id="136" w:name="_Toc217446065"/>
      <w:bookmarkStart w:id="137" w:name="_Toc490290214"/>
      <w:r>
        <w:rPr>
          <w:rFonts w:hint="eastAsia" w:ascii="宋体" w:hAnsi="宋体" w:cs="宋体"/>
          <w:color w:val="auto"/>
          <w:sz w:val="24"/>
          <w:szCs w:val="24"/>
          <w:highlight w:val="none"/>
        </w:rPr>
        <w:t>24.签订合同</w:t>
      </w:r>
      <w:bookmarkEnd w:id="135"/>
      <w:bookmarkEnd w:id="136"/>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中标人应在中标通知书发出之日起三十日内与采购人签订采购合同。由于中标人的原因逾期未与采购人签订采购合同的，将视为放弃中标，取消其中标资格并将按相关规定进行处理。</w:t>
      </w:r>
    </w:p>
    <w:p>
      <w:pPr>
        <w:pStyle w:val="7"/>
        <w:spacing w:line="400" w:lineRule="exact"/>
        <w:ind w:firstLine="482" w:firstLineChars="200"/>
        <w:rPr>
          <w:rFonts w:ascii="宋体" w:hAnsi="宋体" w:cs="宋体"/>
          <w:color w:val="auto"/>
          <w:sz w:val="24"/>
          <w:szCs w:val="24"/>
          <w:highlight w:val="none"/>
        </w:rPr>
      </w:pPr>
      <w:r>
        <w:rPr>
          <w:rFonts w:hint="eastAsia" w:ascii="宋体" w:hAnsi="宋体" w:cs="宋体"/>
          <w:color w:val="auto"/>
          <w:sz w:val="24"/>
          <w:szCs w:val="24"/>
          <w:highlight w:val="none"/>
        </w:rPr>
        <w:t>25.合同公告</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采购人应当自政府采购合同签订之日起2个工作日内，将政府采购合同在省级以上人民政府财政部门指定的媒体上公告（四川政府采购网），但政府采购合同中涉及国家秘密、商业秘密的内容除外。</w:t>
      </w:r>
    </w:p>
    <w:p>
      <w:pPr>
        <w:pStyle w:val="7"/>
        <w:spacing w:line="400" w:lineRule="exact"/>
        <w:ind w:firstLine="482" w:firstLineChars="200"/>
        <w:rPr>
          <w:rFonts w:ascii="宋体" w:hAnsi="宋体" w:cs="宋体"/>
          <w:color w:val="auto"/>
          <w:sz w:val="24"/>
          <w:szCs w:val="24"/>
          <w:highlight w:val="none"/>
        </w:rPr>
      </w:pPr>
      <w:r>
        <w:rPr>
          <w:rFonts w:hint="eastAsia" w:ascii="宋体" w:hAnsi="宋体" w:cs="宋体"/>
          <w:color w:val="auto"/>
          <w:sz w:val="24"/>
          <w:szCs w:val="24"/>
          <w:highlight w:val="none"/>
        </w:rPr>
        <w:t>26.合同备案</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采购人应当将政府采购合同副本自签订之日起七个工作日内通过政采云平台报同级财政部门备案。</w:t>
      </w:r>
    </w:p>
    <w:p>
      <w:pPr>
        <w:pStyle w:val="7"/>
        <w:spacing w:line="360" w:lineRule="auto"/>
        <w:ind w:firstLine="482" w:firstLineChars="200"/>
        <w:rPr>
          <w:rFonts w:ascii="宋体" w:hAnsi="宋体" w:cs="宋体"/>
          <w:color w:val="auto"/>
          <w:sz w:val="24"/>
          <w:highlight w:val="none"/>
        </w:rPr>
      </w:pPr>
      <w:r>
        <w:rPr>
          <w:rFonts w:hint="eastAsia" w:ascii="宋体" w:hAnsi="宋体" w:cs="宋体"/>
          <w:color w:val="auto"/>
          <w:sz w:val="24"/>
          <w:highlight w:val="none"/>
        </w:rPr>
        <w:t>27. 合同分包（实质性要求）</w:t>
      </w:r>
      <w:bookmarkEnd w:id="137"/>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27.1本项目合同接受分包与否，以“投标人须知附表”勾选项为准。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27.2 中小企业依据《政府采购促进中小企业发展管理办法》（财库〔2020〕46号）规定的政策获取政府采购合同后，小型、微型企业不得分包或转包给大型、中型企业，中型企业不得分包或转包给大型企业。</w:t>
      </w:r>
    </w:p>
    <w:p>
      <w:pPr>
        <w:pStyle w:val="7"/>
        <w:spacing w:line="360" w:lineRule="auto"/>
        <w:ind w:firstLine="482" w:firstLineChars="200"/>
        <w:rPr>
          <w:rFonts w:ascii="宋体" w:hAnsi="宋体" w:cs="宋体"/>
          <w:color w:val="auto"/>
          <w:sz w:val="24"/>
          <w:highlight w:val="none"/>
        </w:rPr>
      </w:pPr>
      <w:bookmarkStart w:id="138" w:name="_Toc490290215"/>
      <w:r>
        <w:rPr>
          <w:rFonts w:hint="eastAsia" w:ascii="宋体" w:hAnsi="宋体" w:cs="宋体"/>
          <w:color w:val="auto"/>
          <w:sz w:val="24"/>
          <w:highlight w:val="none"/>
        </w:rPr>
        <w:t>28.合同转包（实质性要求）</w:t>
      </w:r>
      <w:bookmarkEnd w:id="138"/>
    </w:p>
    <w:p>
      <w:pPr>
        <w:spacing w:line="360" w:lineRule="auto"/>
        <w:ind w:firstLine="540" w:firstLineChars="225"/>
        <w:rPr>
          <w:rFonts w:ascii="宋体" w:hAnsi="宋体" w:cs="宋体"/>
          <w:color w:val="auto"/>
          <w:sz w:val="24"/>
          <w:highlight w:val="none"/>
        </w:rPr>
      </w:pPr>
      <w:r>
        <w:rPr>
          <w:rFonts w:hint="eastAsia" w:ascii="宋体" w:hAnsi="宋体" w:cs="宋体"/>
          <w:color w:val="auto"/>
          <w:sz w:val="24"/>
          <w:highlight w:val="none"/>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pPr>
        <w:spacing w:line="360" w:lineRule="auto"/>
        <w:ind w:firstLine="540" w:firstLineChars="225"/>
        <w:rPr>
          <w:rFonts w:ascii="宋体" w:hAnsi="宋体" w:cs="宋体"/>
          <w:color w:val="auto"/>
          <w:sz w:val="24"/>
          <w:highlight w:val="none"/>
        </w:rPr>
      </w:pPr>
      <w:r>
        <w:rPr>
          <w:rFonts w:hint="eastAsia" w:ascii="宋体" w:hAnsi="宋体" w:cs="宋体"/>
          <w:color w:val="auto"/>
          <w:sz w:val="24"/>
          <w:highlight w:val="none"/>
        </w:rPr>
        <w:t>中标人转包的，视同拒绝履行政府采购合同义务，将依法追究法律责任。</w:t>
      </w:r>
    </w:p>
    <w:p>
      <w:pPr>
        <w:pStyle w:val="7"/>
        <w:spacing w:line="360" w:lineRule="auto"/>
        <w:ind w:firstLine="482" w:firstLineChars="200"/>
        <w:rPr>
          <w:rFonts w:ascii="宋体" w:hAnsi="宋体" w:cs="宋体"/>
          <w:color w:val="auto"/>
          <w:sz w:val="24"/>
          <w:highlight w:val="none"/>
        </w:rPr>
      </w:pPr>
      <w:bookmarkStart w:id="139" w:name="_Toc217446066"/>
      <w:bookmarkStart w:id="140" w:name="_Toc490290216"/>
      <w:r>
        <w:rPr>
          <w:rFonts w:hint="eastAsia" w:ascii="宋体" w:hAnsi="宋体" w:cs="宋体"/>
          <w:color w:val="auto"/>
          <w:sz w:val="24"/>
          <w:highlight w:val="none"/>
        </w:rPr>
        <w:t>29.</w:t>
      </w:r>
      <w:bookmarkEnd w:id="139"/>
      <w:r>
        <w:rPr>
          <w:rFonts w:hint="eastAsia" w:ascii="宋体" w:hAnsi="宋体" w:cs="宋体"/>
          <w:color w:val="auto"/>
          <w:sz w:val="24"/>
          <w:highlight w:val="none"/>
        </w:rPr>
        <w:t xml:space="preserve"> 补充合同</w:t>
      </w:r>
      <w:bookmarkEnd w:id="140"/>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采购合同履行过程中，采购人需要追加与合同标的相同的货物或者服务的，在不改变合同其他条款的前提下，可以与中标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pStyle w:val="7"/>
        <w:spacing w:line="360" w:lineRule="auto"/>
        <w:ind w:firstLine="482" w:firstLineChars="200"/>
        <w:rPr>
          <w:rFonts w:ascii="宋体" w:hAnsi="宋体" w:cs="宋体"/>
          <w:color w:val="auto"/>
          <w:sz w:val="24"/>
          <w:highlight w:val="none"/>
        </w:rPr>
      </w:pPr>
      <w:bookmarkStart w:id="141" w:name="_Toc308164812"/>
      <w:bookmarkStart w:id="142" w:name="_Toc217446068"/>
      <w:bookmarkStart w:id="143" w:name="_Toc490290217"/>
      <w:r>
        <w:rPr>
          <w:rFonts w:hint="eastAsia" w:ascii="宋体" w:hAnsi="宋体" w:cs="宋体"/>
          <w:color w:val="auto"/>
          <w:sz w:val="24"/>
          <w:highlight w:val="none"/>
        </w:rPr>
        <w:t>30.履约保证金</w:t>
      </w:r>
      <w:bookmarkEnd w:id="141"/>
      <w:bookmarkEnd w:id="142"/>
      <w:bookmarkEnd w:id="143"/>
    </w:p>
    <w:p>
      <w:pPr>
        <w:spacing w:line="360" w:lineRule="auto"/>
        <w:ind w:firstLine="480" w:firstLineChars="200"/>
        <w:rPr>
          <w:rFonts w:ascii="宋体" w:hAnsi="宋体" w:cs="宋体"/>
          <w:color w:val="auto"/>
          <w:sz w:val="24"/>
          <w:highlight w:val="none"/>
        </w:rPr>
      </w:pPr>
      <w:bookmarkStart w:id="144" w:name="_Toc490290218"/>
      <w:bookmarkStart w:id="145" w:name="_Toc217446069"/>
      <w:bookmarkStart w:id="146" w:name="_Toc308164813"/>
      <w:r>
        <w:rPr>
          <w:rFonts w:hint="eastAsia" w:ascii="宋体" w:hAnsi="宋体" w:cs="宋体"/>
          <w:color w:val="auto"/>
          <w:sz w:val="24"/>
          <w:highlight w:val="none"/>
        </w:rPr>
        <w:t>本项目不收取。</w:t>
      </w:r>
    </w:p>
    <w:bookmarkEnd w:id="144"/>
    <w:p>
      <w:pPr>
        <w:pStyle w:val="7"/>
        <w:spacing w:line="360" w:lineRule="auto"/>
        <w:ind w:firstLine="482" w:firstLineChars="200"/>
        <w:rPr>
          <w:rFonts w:ascii="宋体" w:hAnsi="宋体" w:cs="宋体"/>
          <w:b w:val="0"/>
          <w:color w:val="auto"/>
          <w:sz w:val="24"/>
          <w:szCs w:val="24"/>
          <w:highlight w:val="none"/>
        </w:rPr>
      </w:pPr>
      <w:bookmarkStart w:id="147" w:name="_Toc490290220"/>
      <w:r>
        <w:rPr>
          <w:rFonts w:hint="eastAsia" w:ascii="宋体" w:hAnsi="宋体" w:cs="宋体"/>
          <w:color w:val="auto"/>
          <w:sz w:val="24"/>
          <w:szCs w:val="24"/>
          <w:highlight w:val="none"/>
        </w:rPr>
        <w:t>31. 履行合同</w:t>
      </w:r>
      <w:bookmarkEnd w:id="145"/>
      <w:bookmarkEnd w:id="146"/>
      <w:bookmarkEnd w:id="147"/>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31.1 中标人与采购人签订合同后，合同双方应严格执行合同条款，履行合同规定的义务，保证合同的顺利完成。</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31.2 在合同履行过程中，如发生合同纠纷，合同双方应按照《中华人民共和国民法典》的有关规定进行处理。</w:t>
      </w:r>
    </w:p>
    <w:p>
      <w:pPr>
        <w:pStyle w:val="7"/>
        <w:spacing w:line="360" w:lineRule="auto"/>
        <w:ind w:firstLine="482" w:firstLineChars="200"/>
        <w:rPr>
          <w:rFonts w:ascii="宋体" w:hAnsi="宋体" w:cs="宋体"/>
          <w:b w:val="0"/>
          <w:color w:val="auto"/>
          <w:sz w:val="24"/>
          <w:szCs w:val="24"/>
          <w:highlight w:val="none"/>
        </w:rPr>
      </w:pPr>
      <w:bookmarkStart w:id="148" w:name="_Toc490290221"/>
      <w:bookmarkStart w:id="149" w:name="_Toc217446070"/>
      <w:bookmarkStart w:id="150" w:name="_Toc308164814"/>
      <w:r>
        <w:rPr>
          <w:rFonts w:hint="eastAsia" w:ascii="宋体" w:hAnsi="宋体" w:cs="宋体"/>
          <w:color w:val="auto"/>
          <w:sz w:val="24"/>
          <w:szCs w:val="24"/>
          <w:highlight w:val="none"/>
        </w:rPr>
        <w:t>32. 验收</w:t>
      </w:r>
      <w:bookmarkEnd w:id="148"/>
      <w:bookmarkEnd w:id="149"/>
      <w:bookmarkEnd w:id="150"/>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32.1本项目采购人将严格按照政府采购相关法律法规以及</w:t>
      </w:r>
      <w:r>
        <w:rPr>
          <w:rFonts w:hint="eastAsia" w:ascii="宋体" w:hAnsi="宋体" w:cs="宋体"/>
          <w:color w:val="auto"/>
          <w:kern w:val="1"/>
          <w:sz w:val="24"/>
          <w:highlight w:val="none"/>
        </w:rPr>
        <w:t>《财政部关于进一步加强政府采购需求和履约验收管理的指导意见》（财库〔2016〕205号）</w:t>
      </w:r>
      <w:r>
        <w:rPr>
          <w:rFonts w:hint="eastAsia" w:ascii="宋体" w:hAnsi="宋体" w:cs="宋体"/>
          <w:color w:val="auto"/>
          <w:sz w:val="24"/>
          <w:highlight w:val="none"/>
        </w:rPr>
        <w:t>的要求进行验收。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验收结果合格的，采购人出具验收合格书，并无息退还中标人的履约保证金；验收结果不合格的，履约保证金将不予退还，也将不予支付采购资金，还可能会报告本项目同级财政部门按照政府采购法律法规有关规定给予行政处罚或者以失信行为记入诚信档案。</w:t>
      </w:r>
      <w:bookmarkStart w:id="151" w:name="_Toc217446071"/>
    </w:p>
    <w:p>
      <w:pPr>
        <w:pStyle w:val="7"/>
        <w:spacing w:line="360" w:lineRule="auto"/>
        <w:ind w:firstLine="482" w:firstLineChars="200"/>
        <w:rPr>
          <w:rFonts w:ascii="宋体" w:hAnsi="宋体" w:cs="宋体"/>
          <w:color w:val="auto"/>
          <w:sz w:val="24"/>
          <w:szCs w:val="24"/>
          <w:highlight w:val="none"/>
        </w:rPr>
      </w:pPr>
      <w:bookmarkStart w:id="152" w:name="_Toc217446077"/>
      <w:bookmarkStart w:id="153" w:name="_Toc490290222"/>
      <w:bookmarkStart w:id="154" w:name="_Toc308164818"/>
      <w:r>
        <w:rPr>
          <w:rFonts w:hint="eastAsia" w:ascii="宋体" w:hAnsi="宋体" w:cs="宋体"/>
          <w:color w:val="auto"/>
          <w:sz w:val="24"/>
          <w:szCs w:val="24"/>
          <w:highlight w:val="none"/>
        </w:rPr>
        <w:t>33.资金支付</w:t>
      </w:r>
      <w:bookmarkEnd w:id="152"/>
      <w:bookmarkEnd w:id="153"/>
      <w:bookmarkEnd w:id="154"/>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33.1采购人按照政府采购合同规定，及时向中标供应商支付采购资金。</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33.2付款方式：</w:t>
      </w:r>
      <w:r>
        <w:rPr>
          <w:rFonts w:hint="eastAsia" w:ascii="宋体" w:hAnsi="宋体" w:cs="宋体"/>
          <w:b/>
          <w:color w:val="auto"/>
          <w:sz w:val="24"/>
          <w:highlight w:val="none"/>
        </w:rPr>
        <w:t>详见第六章商务要求</w:t>
      </w:r>
      <w:r>
        <w:rPr>
          <w:rFonts w:hint="eastAsia" w:ascii="宋体" w:hAnsi="宋体" w:cs="宋体"/>
          <w:color w:val="auto"/>
          <w:sz w:val="24"/>
          <w:highlight w:val="none"/>
        </w:rPr>
        <w:t>。</w:t>
      </w:r>
    </w:p>
    <w:bookmarkEnd w:id="126"/>
    <w:bookmarkEnd w:id="127"/>
    <w:bookmarkEnd w:id="151"/>
    <w:p>
      <w:pPr>
        <w:pStyle w:val="4"/>
        <w:spacing w:line="360" w:lineRule="auto"/>
        <w:rPr>
          <w:rFonts w:ascii="宋体" w:hAnsi="宋体" w:cs="宋体"/>
          <w:b/>
          <w:color w:val="auto"/>
          <w:highlight w:val="none"/>
        </w:rPr>
      </w:pPr>
      <w:bookmarkStart w:id="155" w:name="_Toc490290223"/>
      <w:bookmarkStart w:id="156" w:name="_Toc20614"/>
      <w:bookmarkStart w:id="157" w:name="_Toc308164815"/>
      <w:bookmarkStart w:id="158" w:name="_Toc217446074"/>
      <w:bookmarkStart w:id="159" w:name="_Toc27531"/>
      <w:bookmarkStart w:id="160" w:name="_Toc183682380"/>
      <w:bookmarkStart w:id="161" w:name="_Toc183582243"/>
      <w:r>
        <w:rPr>
          <w:rFonts w:hint="eastAsia" w:ascii="宋体" w:hAnsi="宋体" w:cs="宋体"/>
          <w:b/>
          <w:color w:val="auto"/>
          <w:highlight w:val="none"/>
        </w:rPr>
        <w:t>七、投标纪律要求</w:t>
      </w:r>
      <w:bookmarkEnd w:id="155"/>
      <w:bookmarkEnd w:id="156"/>
      <w:bookmarkEnd w:id="157"/>
      <w:bookmarkEnd w:id="158"/>
      <w:bookmarkEnd w:id="159"/>
    </w:p>
    <w:p>
      <w:pPr>
        <w:pStyle w:val="7"/>
        <w:spacing w:line="360" w:lineRule="auto"/>
        <w:ind w:firstLine="482" w:firstLineChars="200"/>
        <w:rPr>
          <w:rFonts w:ascii="宋体" w:hAnsi="宋体" w:cs="宋体"/>
          <w:bCs w:val="0"/>
          <w:color w:val="auto"/>
          <w:sz w:val="24"/>
          <w:szCs w:val="24"/>
          <w:highlight w:val="none"/>
        </w:rPr>
      </w:pPr>
      <w:bookmarkStart w:id="162" w:name="_Toc217446075"/>
      <w:bookmarkStart w:id="163" w:name="_Toc490290224"/>
      <w:bookmarkStart w:id="164" w:name="_Toc308164816"/>
      <w:r>
        <w:rPr>
          <w:rFonts w:hint="eastAsia" w:ascii="宋体" w:hAnsi="宋体" w:cs="宋体"/>
          <w:color w:val="auto"/>
          <w:sz w:val="24"/>
          <w:highlight w:val="none"/>
        </w:rPr>
        <w:t>3</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 xml:space="preserve">. </w:t>
      </w:r>
      <w:r>
        <w:rPr>
          <w:rFonts w:hint="eastAsia" w:ascii="宋体" w:hAnsi="宋体" w:cs="宋体"/>
          <w:bCs w:val="0"/>
          <w:color w:val="auto"/>
          <w:sz w:val="24"/>
          <w:szCs w:val="24"/>
          <w:highlight w:val="none"/>
        </w:rPr>
        <w:t>投标人不得具有的情形</w:t>
      </w:r>
      <w:bookmarkEnd w:id="162"/>
      <w:bookmarkEnd w:id="163"/>
      <w:bookmarkEnd w:id="164"/>
    </w:p>
    <w:p>
      <w:pPr>
        <w:pStyle w:val="6"/>
        <w:spacing w:line="360" w:lineRule="auto"/>
        <w:ind w:firstLine="480"/>
        <w:rPr>
          <w:rFonts w:ascii="宋体" w:hAnsi="宋体" w:cs="宋体"/>
          <w:color w:val="auto"/>
          <w:sz w:val="24"/>
          <w:highlight w:val="none"/>
        </w:rPr>
      </w:pPr>
      <w:bookmarkStart w:id="165" w:name="_Toc217446078"/>
      <w:bookmarkStart w:id="166" w:name="_Toc308164819"/>
      <w:bookmarkStart w:id="167" w:name="_Toc490290225"/>
      <w:r>
        <w:rPr>
          <w:rFonts w:hint="eastAsia" w:ascii="宋体" w:hAnsi="宋体" w:cs="宋体"/>
          <w:color w:val="auto"/>
          <w:sz w:val="24"/>
          <w:highlight w:val="none"/>
        </w:rPr>
        <w:t>投标人应当遵循公平竞争的原则，不得恶意串通，不得妨碍其他投标人的竞争行为，不得损害采购人或者其他投标人的合法权益。</w:t>
      </w:r>
    </w:p>
    <w:p>
      <w:pPr>
        <w:pStyle w:val="6"/>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在评标过程中发现投标人有上述情形的，评标委员会应当认定其投标无效，并书面报告本级财政部门。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.1 投标人参加本项目投标不得有下列情形：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（1）提供虚假材料谋取中标；</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（2）采取不正当手段诋毁、排挤其他投标人；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（3）与招标采购单位、其他投标人恶意串通；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（4）向招标采购单位、评标委员会成员行贿或者提供其他不正当利益；</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（5）在招标过程中与招标采购单位进行协商谈判；</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（6）中标或者成交后无正当理由拒不与采购人签订政府采购合同；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（7）未按照采购文件确定的事项签订政府采购合同；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（8）将政府采购合同转包或者违规分包；</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（9）提供假冒伪劣产品；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（10）擅自变更、中止或者终止政府采购合同；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（11）拒绝有关部门的监督检查或者向监督检查部门提供虚假情况；</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（12）法律法规规定的其他情形。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投标人有上述情形的，按照规定追究法律责任，具备（1）-（10）条情形之一的，同时将取消中标资格或者认定中标无效。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.2 投标人有下列情形之一的，视为投标人串通投标，其投标无效：</w:t>
      </w:r>
    </w:p>
    <w:p>
      <w:pPr>
        <w:spacing w:line="360" w:lineRule="auto"/>
        <w:ind w:firstLine="480" w:firstLineChars="200"/>
        <w:rPr>
          <w:rFonts w:ascii="宋体" w:hAnsi="宋体" w:cs="宋体"/>
          <w:sz w:val="24"/>
        </w:rPr>
      </w:pPr>
      <w:r>
        <w:rPr>
          <w:rFonts w:hint="eastAsia" w:ascii="宋体" w:hAnsi="宋体" w:cs="宋体"/>
          <w:sz w:val="24"/>
        </w:rPr>
        <w:t>（1）不同投标人的投标文件由同一单位或者个人编制；</w:t>
      </w:r>
    </w:p>
    <w:p>
      <w:pPr>
        <w:spacing w:line="360" w:lineRule="auto"/>
        <w:ind w:firstLine="480" w:firstLineChars="200"/>
        <w:rPr>
          <w:rFonts w:ascii="宋体" w:hAnsi="宋体" w:cs="宋体"/>
          <w:sz w:val="24"/>
        </w:rPr>
      </w:pPr>
      <w:r>
        <w:rPr>
          <w:rFonts w:hint="eastAsia" w:ascii="宋体" w:hAnsi="宋体" w:cs="宋体"/>
          <w:sz w:val="24"/>
        </w:rPr>
        <w:t>（2）不同投标人委托同一单位或者个人办理投标事宜；</w:t>
      </w:r>
    </w:p>
    <w:p>
      <w:pPr>
        <w:spacing w:line="360" w:lineRule="auto"/>
        <w:ind w:firstLine="480" w:firstLineChars="200"/>
        <w:rPr>
          <w:rFonts w:ascii="宋体" w:hAnsi="宋体" w:cs="宋体"/>
          <w:sz w:val="24"/>
        </w:rPr>
      </w:pPr>
      <w:r>
        <w:rPr>
          <w:rFonts w:hint="eastAsia" w:ascii="宋体" w:hAnsi="宋体" w:cs="宋体"/>
          <w:sz w:val="24"/>
        </w:rPr>
        <w:t>（3）不同投标人的投标文件载明的项目管理成员或者联系人员为同一人；</w:t>
      </w:r>
    </w:p>
    <w:p>
      <w:pPr>
        <w:spacing w:line="360" w:lineRule="auto"/>
        <w:ind w:firstLine="480" w:firstLineChars="200"/>
        <w:rPr>
          <w:rFonts w:ascii="宋体" w:hAnsi="宋体" w:cs="宋体"/>
          <w:sz w:val="24"/>
        </w:rPr>
      </w:pPr>
      <w:r>
        <w:rPr>
          <w:rFonts w:hint="eastAsia" w:ascii="宋体" w:hAnsi="宋体" w:cs="宋体"/>
          <w:sz w:val="24"/>
        </w:rPr>
        <w:t>（4）不同投标人的投标文件异常一致或者投标报价呈规律性差异；</w:t>
      </w:r>
    </w:p>
    <w:p>
      <w:pPr>
        <w:spacing w:line="360" w:lineRule="auto"/>
        <w:ind w:firstLine="480" w:firstLineChars="200"/>
        <w:rPr>
          <w:rFonts w:ascii="宋体" w:hAnsi="宋体" w:cs="宋体"/>
          <w:color w:val="auto"/>
          <w:sz w:val="24"/>
          <w:highlight w:val="none"/>
        </w:rPr>
      </w:pPr>
      <w:r>
        <w:rPr>
          <w:rFonts w:hint="eastAsia" w:ascii="宋体" w:hAnsi="宋体" w:cs="宋体"/>
          <w:sz w:val="24"/>
        </w:rPr>
        <w:t>（5）不同投标人的投标文件相互混装</w:t>
      </w:r>
      <w:r>
        <w:rPr>
          <w:rFonts w:hint="eastAsia" w:ascii="宋体" w:hAnsi="宋体" w:cs="宋体"/>
          <w:sz w:val="24"/>
          <w:lang w:eastAsia="zh-CN"/>
        </w:rPr>
        <w:t>。</w:t>
      </w:r>
    </w:p>
    <w:p>
      <w:pPr>
        <w:pStyle w:val="4"/>
        <w:spacing w:line="360" w:lineRule="auto"/>
        <w:rPr>
          <w:rFonts w:ascii="宋体" w:hAnsi="宋体" w:cs="宋体"/>
          <w:b/>
          <w:color w:val="auto"/>
          <w:highlight w:val="none"/>
        </w:rPr>
      </w:pPr>
      <w:bookmarkStart w:id="168" w:name="_Toc25204"/>
      <w:bookmarkStart w:id="169" w:name="_Toc27029"/>
      <w:r>
        <w:rPr>
          <w:rFonts w:hint="eastAsia" w:ascii="宋体" w:hAnsi="宋体" w:cs="宋体"/>
          <w:b/>
          <w:color w:val="auto"/>
          <w:highlight w:val="none"/>
        </w:rPr>
        <w:t>八、回避</w:t>
      </w:r>
      <w:bookmarkEnd w:id="168"/>
      <w:bookmarkEnd w:id="169"/>
    </w:p>
    <w:p>
      <w:pPr>
        <w:pStyle w:val="7"/>
        <w:spacing w:line="360" w:lineRule="auto"/>
        <w:ind w:firstLine="482"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.回避</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政府采购活动中，采购人员（在政府采购活动中需要依法回避的采购人员包括采购人内部负责采购项目的具体经办工作人员和直接分管采购项目的负责人，以及采购代理机构负责采购项目的具体经办工作人员和直接分管采购活动的负责人）及相关人员与供应商有下列利害关系之一的，应当回避：</w:t>
      </w:r>
    </w:p>
    <w:p>
      <w:pPr>
        <w:widowControl/>
        <w:shd w:val="clear" w:color="auto" w:fill="FFFFFF"/>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（一）参加采购活动前3年内与供应商存在劳动关系；</w:t>
      </w:r>
    </w:p>
    <w:p>
      <w:pPr>
        <w:widowControl/>
        <w:shd w:val="clear" w:color="auto" w:fill="FFFFFF"/>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（二）参加采购活动前3年内担任供应商的董事、监事；</w:t>
      </w:r>
    </w:p>
    <w:p>
      <w:pPr>
        <w:widowControl/>
        <w:shd w:val="clear" w:color="auto" w:fill="FFFFFF"/>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（三）参加采购活动前3年内是供应商的控股股东或者实际控制人；</w:t>
      </w:r>
    </w:p>
    <w:p>
      <w:pPr>
        <w:widowControl/>
        <w:shd w:val="clear" w:color="auto" w:fill="FFFFFF"/>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（四）与供应商的法定代表人或者负责人有夫妻、直系血亲、三代以内旁系血亲或者近姻亲关系；</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（五）与供应商有其他可能影响政府采购活动公平、公正进行的关系。</w:t>
      </w:r>
    </w:p>
    <w:p>
      <w:pPr>
        <w:widowControl/>
        <w:shd w:val="clear" w:color="auto" w:fill="FFFFFF"/>
        <w:spacing w:line="360" w:lineRule="auto"/>
        <w:ind w:firstLine="570"/>
        <w:jc w:val="left"/>
        <w:rPr>
          <w:rFonts w:ascii="宋体" w:hAnsi="宋体" w:cs="宋体"/>
          <w:color w:val="auto"/>
          <w:kern w:val="0"/>
          <w:sz w:val="24"/>
          <w:highlight w:val="none"/>
        </w:rPr>
      </w:pPr>
      <w:r>
        <w:rPr>
          <w:rFonts w:hint="eastAsia" w:ascii="宋体" w:hAnsi="宋体" w:cs="宋体"/>
          <w:color w:val="auto"/>
          <w:kern w:val="0"/>
          <w:sz w:val="24"/>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4"/>
        <w:spacing w:line="360" w:lineRule="auto"/>
        <w:rPr>
          <w:rFonts w:ascii="宋体" w:hAnsi="宋体" w:cs="宋体"/>
          <w:b/>
          <w:color w:val="auto"/>
          <w:highlight w:val="none"/>
        </w:rPr>
      </w:pPr>
      <w:bookmarkStart w:id="170" w:name="_Toc8952"/>
      <w:bookmarkStart w:id="171" w:name="_Toc25630"/>
      <w:r>
        <w:rPr>
          <w:rFonts w:hint="eastAsia" w:ascii="宋体" w:hAnsi="宋体" w:cs="宋体"/>
          <w:b/>
          <w:color w:val="auto"/>
          <w:highlight w:val="none"/>
        </w:rPr>
        <w:t>九、询问、质疑和投诉</w:t>
      </w:r>
      <w:bookmarkEnd w:id="165"/>
      <w:bookmarkEnd w:id="166"/>
      <w:bookmarkEnd w:id="167"/>
      <w:bookmarkEnd w:id="170"/>
      <w:bookmarkEnd w:id="171"/>
      <w:bookmarkStart w:id="172" w:name="_Toc217446079"/>
    </w:p>
    <w:p>
      <w:pPr>
        <w:pStyle w:val="7"/>
        <w:spacing w:line="360" w:lineRule="auto"/>
        <w:ind w:firstLine="482" w:firstLineChars="200"/>
        <w:rPr>
          <w:rFonts w:ascii="宋体" w:hAnsi="宋体" w:cs="宋体"/>
          <w:color w:val="auto"/>
          <w:sz w:val="24"/>
          <w:highlight w:val="none"/>
        </w:rPr>
      </w:pPr>
      <w:r>
        <w:rPr>
          <w:rFonts w:hint="eastAsia" w:ascii="宋体" w:hAnsi="宋体" w:cs="宋体"/>
          <w:color w:val="auto"/>
          <w:sz w:val="24"/>
          <w:highlight w:val="none"/>
          <w:lang w:val="en-US" w:eastAsia="zh-CN"/>
        </w:rPr>
        <w:t>36</w:t>
      </w:r>
      <w:r>
        <w:rPr>
          <w:rFonts w:hint="eastAsia" w:ascii="宋体" w:hAnsi="宋体" w:cs="宋体"/>
          <w:color w:val="auto"/>
          <w:sz w:val="24"/>
          <w:highlight w:val="none"/>
        </w:rPr>
        <w:t>. 询问、质疑和投诉</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询问、质疑、投诉的接收和处理严格按照《中华人民共和国政府采购法》、《中华人民共和国政府采购法实施条例》、《中华人民共和国财政部令第94号政府采购质疑和投诉办法》、《财政部关于加强政府采购供应商投诉受理审查工作的通知》以及《四川省政府采购供应商投诉处理工作规程》的规定办理（详细规定请在四川政府采购网政策法规模块查询）。</w:t>
      </w:r>
      <w:bookmarkEnd w:id="160"/>
      <w:bookmarkEnd w:id="161"/>
      <w:bookmarkEnd w:id="172"/>
      <w:bookmarkStart w:id="173" w:name="_Toc490290227"/>
    </w:p>
    <w:p>
      <w:pPr>
        <w:pStyle w:val="7"/>
        <w:spacing w:line="360" w:lineRule="auto"/>
        <w:ind w:firstLine="482" w:firstLineChars="200"/>
        <w:rPr>
          <w:rFonts w:ascii="宋体" w:hAnsi="宋体" w:cs="宋体"/>
          <w:color w:val="auto"/>
          <w:sz w:val="24"/>
          <w:highlight w:val="none"/>
        </w:rPr>
      </w:pPr>
      <w:r>
        <w:rPr>
          <w:rFonts w:hint="eastAsia" w:ascii="宋体" w:hAnsi="宋体" w:cs="宋体"/>
          <w:color w:val="auto"/>
          <w:sz w:val="24"/>
          <w:highlight w:val="none"/>
          <w:lang w:val="en-US" w:eastAsia="zh-CN"/>
        </w:rPr>
        <w:t>37</w:t>
      </w:r>
      <w:r>
        <w:rPr>
          <w:rFonts w:hint="eastAsia" w:ascii="宋体" w:hAnsi="宋体" w:cs="宋体"/>
          <w:color w:val="auto"/>
          <w:sz w:val="24"/>
          <w:highlight w:val="none"/>
        </w:rPr>
        <w:t>.供应商询问、质疑的对象</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lang w:val="en-US" w:eastAsia="zh-CN"/>
        </w:rPr>
        <w:t>37</w:t>
      </w:r>
      <w:r>
        <w:rPr>
          <w:rFonts w:hint="eastAsia" w:ascii="宋体" w:hAnsi="宋体" w:cs="宋体"/>
          <w:color w:val="auto"/>
          <w:sz w:val="24"/>
          <w:highlight w:val="none"/>
        </w:rPr>
        <w:t>.1根据委托代理协议约定，供应商对招标文件中供应商参加本次政府采购活动应当具备的条件、招标项目技术、商务及其他要求以及评标细则及标准提出询问或质疑的，应于报名成功获取招标文件之日起7个工作日内按招标文件中的联系方式，以书面形式通知</w:t>
      </w:r>
      <w:r>
        <w:rPr>
          <w:rFonts w:hint="eastAsia" w:ascii="宋体" w:hAnsi="宋体" w:cs="宋体"/>
          <w:bCs/>
          <w:color w:val="auto"/>
          <w:sz w:val="24"/>
          <w:highlight w:val="none"/>
        </w:rPr>
        <w:t>采购人，由采购人按相关规定答复询问（质疑）人。</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lang w:val="en-US" w:eastAsia="zh-CN"/>
        </w:rPr>
        <w:t>37</w:t>
      </w:r>
      <w:r>
        <w:rPr>
          <w:rFonts w:hint="eastAsia" w:ascii="宋体" w:hAnsi="宋体" w:cs="宋体"/>
          <w:color w:val="auto"/>
          <w:sz w:val="24"/>
          <w:highlight w:val="none"/>
        </w:rPr>
        <w:t>.2根据委托代理协议约定，供应商对除上述招标文件中的其他内容、采购过程及中标结果提出询问或质疑的，应向采购代理机构提出。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37</w:t>
      </w:r>
      <w:r>
        <w:rPr>
          <w:rFonts w:hint="eastAsia" w:ascii="宋体" w:hAnsi="宋体" w:cs="宋体"/>
          <w:color w:val="auto"/>
          <w:sz w:val="24"/>
          <w:highlight w:val="none"/>
        </w:rPr>
        <w:t>.3供应商提出的询问，应当明确询问事项，如以书面形式提出的，应由供应商签字并加盖公章。</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37</w:t>
      </w:r>
      <w:r>
        <w:rPr>
          <w:rFonts w:hint="eastAsia" w:ascii="宋体" w:hAnsi="宋体" w:cs="宋体"/>
          <w:color w:val="auto"/>
          <w:sz w:val="24"/>
          <w:highlight w:val="none"/>
        </w:rPr>
        <w:t>.4</w:t>
      </w:r>
      <w:r>
        <w:rPr>
          <w:rFonts w:hint="eastAsia" w:ascii="宋体"/>
          <w:color w:val="auto"/>
          <w:sz w:val="24"/>
          <w:highlight w:val="none"/>
        </w:rPr>
        <w:t>供应商应在法定质疑期内一次性提出针对同一采购程序环节的质疑。</w:t>
      </w:r>
    </w:p>
    <w:p>
      <w:pPr>
        <w:pStyle w:val="7"/>
        <w:spacing w:line="360" w:lineRule="auto"/>
        <w:ind w:firstLine="482" w:firstLineChars="200"/>
        <w:rPr>
          <w:rFonts w:ascii="宋体" w:hAnsi="宋体" w:cs="宋体"/>
          <w:color w:val="auto"/>
          <w:sz w:val="24"/>
          <w:highlight w:val="none"/>
        </w:rPr>
      </w:pPr>
      <w:r>
        <w:rPr>
          <w:rFonts w:hint="eastAsia" w:ascii="宋体" w:hAnsi="宋体" w:cs="宋体"/>
          <w:color w:val="auto"/>
          <w:sz w:val="24"/>
          <w:highlight w:val="none"/>
          <w:lang w:val="en-US" w:eastAsia="zh-CN"/>
        </w:rPr>
        <w:t>38</w:t>
      </w:r>
      <w:r>
        <w:rPr>
          <w:rFonts w:hint="eastAsia" w:ascii="宋体" w:hAnsi="宋体" w:cs="宋体"/>
          <w:color w:val="auto"/>
          <w:sz w:val="24"/>
          <w:highlight w:val="none"/>
        </w:rPr>
        <w:t>.供应商提出质疑时应当准备的资料</w:t>
      </w:r>
    </w:p>
    <w:p>
      <w:pPr>
        <w:tabs>
          <w:tab w:val="left" w:pos="567"/>
          <w:tab w:val="left" w:pos="1134"/>
        </w:tabs>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（一）质疑书正本1份，副本2份（如果涉及更多的供应商须提供相应数量的副本）；</w:t>
      </w:r>
    </w:p>
    <w:p>
      <w:pPr>
        <w:tabs>
          <w:tab w:val="left" w:pos="567"/>
          <w:tab w:val="left" w:pos="1134"/>
        </w:tabs>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（二）法定代表人身份证复印件1份；</w:t>
      </w:r>
    </w:p>
    <w:p>
      <w:pPr>
        <w:widowControl/>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（三）法定代表人授权委托书1份（委托授权代表办理质疑事宜的需提供）；</w:t>
      </w:r>
    </w:p>
    <w:p>
      <w:pPr>
        <w:widowControl/>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（四）营业执照复印件1份（加盖公章）；</w:t>
      </w:r>
    </w:p>
    <w:p>
      <w:pPr>
        <w:widowControl/>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（五）委托授权代表身份证复印件1份（委托授权代表办理质疑事宜的需提供）；</w:t>
      </w:r>
    </w:p>
    <w:p>
      <w:pPr>
        <w:widowControl/>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（六）针对质疑事项必要的证明材料。</w:t>
      </w:r>
    </w:p>
    <w:p>
      <w:pPr>
        <w:widowControl/>
        <w:spacing w:line="360" w:lineRule="auto"/>
        <w:ind w:firstLine="361" w:firstLineChars="150"/>
        <w:jc w:val="left"/>
        <w:rPr>
          <w:rFonts w:ascii="宋体" w:hAnsi="宋体" w:cs="宋体"/>
          <w:b/>
          <w:color w:val="auto"/>
          <w:szCs w:val="20"/>
          <w:highlight w:val="none"/>
        </w:rPr>
      </w:pPr>
      <w:r>
        <w:rPr>
          <w:rFonts w:hint="eastAsia" w:ascii="宋体" w:hAnsi="宋体" w:cs="宋体"/>
          <w:b/>
          <w:color w:val="auto"/>
          <w:sz w:val="24"/>
          <w:highlight w:val="none"/>
        </w:rPr>
        <w:t>说明：</w:t>
      </w:r>
      <w:r>
        <w:rPr>
          <w:rFonts w:hint="eastAsia" w:ascii="宋体" w:hAnsi="宋体" w:cs="宋体"/>
          <w:b/>
          <w:color w:val="auto"/>
          <w:szCs w:val="20"/>
          <w:highlight w:val="none"/>
        </w:rPr>
        <w:t>供应商如为邮寄的询问（质疑），应按投标人须知附表里的联系方式递交并在邮件封面注明“XX项目询问（质疑）”，收件人不能为项目负责人或个人，否则采购人或采购代理机构将视为无效送达。</w:t>
      </w:r>
    </w:p>
    <w:p>
      <w:pPr>
        <w:widowControl/>
        <w:spacing w:line="360" w:lineRule="auto"/>
        <w:ind w:firstLine="360" w:firstLineChars="150"/>
        <w:jc w:val="left"/>
        <w:rPr>
          <w:rFonts w:ascii="宋体" w:hAnsi="宋体" w:cs="宋体"/>
          <w:color w:val="auto"/>
          <w:sz w:val="24"/>
          <w:highlight w:val="none"/>
        </w:rPr>
      </w:pPr>
      <w:r>
        <w:rPr>
          <w:rFonts w:hint="eastAsia" w:ascii="宋体" w:hAnsi="宋体" w:cs="宋体"/>
          <w:b w:val="0"/>
          <w:bCs w:val="0"/>
          <w:color w:val="auto"/>
          <w:sz w:val="24"/>
          <w:szCs w:val="32"/>
          <w:highlight w:val="none"/>
          <w:lang w:val="en-US" w:eastAsia="zh-CN"/>
        </w:rPr>
        <w:t>39</w:t>
      </w:r>
      <w:r>
        <w:rPr>
          <w:rFonts w:hint="eastAsia" w:ascii="宋体" w:hAnsi="宋体" w:cs="宋体"/>
          <w:b w:val="0"/>
          <w:bCs w:val="0"/>
          <w:color w:val="auto"/>
          <w:sz w:val="24"/>
          <w:szCs w:val="32"/>
          <w:highlight w:val="none"/>
        </w:rPr>
        <w:t>.</w:t>
      </w:r>
      <w:r>
        <w:rPr>
          <w:rFonts w:hint="eastAsia" w:ascii="宋体" w:hAnsi="宋体" w:cs="宋体"/>
          <w:color w:val="auto"/>
          <w:sz w:val="24"/>
          <w:highlight w:val="none"/>
        </w:rPr>
        <w:t>供应商对采购人、采购代理机构的质疑答复不满意，或者采购人、采购代理机构未在规定期限内作出答复的，供应商可以在答复期满后15个工作日内向同级财政部门提起投诉。</w:t>
      </w:r>
    </w:p>
    <w:p>
      <w:pPr>
        <w:pStyle w:val="4"/>
        <w:spacing w:line="360" w:lineRule="auto"/>
        <w:rPr>
          <w:rFonts w:ascii="宋体" w:hAnsi="宋体" w:cs="宋体"/>
          <w:color w:val="auto"/>
          <w:highlight w:val="none"/>
        </w:rPr>
      </w:pPr>
      <w:bookmarkStart w:id="174" w:name="_Toc241"/>
      <w:bookmarkStart w:id="175" w:name="_Toc28987"/>
      <w:r>
        <w:rPr>
          <w:rFonts w:hint="eastAsia" w:ascii="宋体" w:hAnsi="宋体" w:cs="宋体"/>
          <w:b/>
          <w:color w:val="auto"/>
          <w:highlight w:val="none"/>
        </w:rPr>
        <w:t>十、其他</w:t>
      </w:r>
      <w:bookmarkEnd w:id="173"/>
      <w:bookmarkEnd w:id="174"/>
      <w:bookmarkEnd w:id="175"/>
      <w:bookmarkStart w:id="176" w:name="_Toc490290228"/>
    </w:p>
    <w:p>
      <w:pPr>
        <w:widowControl/>
        <w:spacing w:line="360" w:lineRule="auto"/>
        <w:ind w:firstLine="360" w:firstLineChars="150"/>
        <w:jc w:val="left"/>
        <w:rPr>
          <w:rFonts w:ascii="宋体" w:hAnsi="宋体" w:cs="宋体"/>
          <w:b/>
          <w:color w:val="auto"/>
          <w:szCs w:val="20"/>
          <w:highlight w:val="none"/>
        </w:rPr>
      </w:pPr>
      <w:r>
        <w:rPr>
          <w:rFonts w:hint="eastAsia" w:ascii="宋体" w:hAnsi="宋体" w:cs="宋体"/>
          <w:color w:val="auto"/>
          <w:sz w:val="24"/>
          <w:highlight w:val="none"/>
          <w:lang w:val="en-US" w:eastAsia="zh-CN"/>
        </w:rPr>
        <w:t>40</w:t>
      </w:r>
      <w:r>
        <w:rPr>
          <w:rFonts w:hint="eastAsia" w:ascii="宋体" w:hAnsi="宋体" w:cs="宋体"/>
          <w:color w:val="auto"/>
          <w:sz w:val="24"/>
          <w:highlight w:val="none"/>
        </w:rPr>
        <w:t>.本招标文件中所引相关法律制度规定，在政府采购中有变化的，按照变化后的相关法律制度规定执行。本章和第七章中“1.总则、2.评标方法、3.评标程序”规定的内容条款，在本项目投标截止时间届满后，因相关法律制度规定的变化导致不符合相关法律制度规定的，直接按照变化后的相关法律制度规定执行，本招标文件不再做调整。</w:t>
      </w:r>
      <w:bookmarkEnd w:id="176"/>
    </w:p>
    <w:p>
      <w:pPr>
        <w:pStyle w:val="33"/>
        <w:spacing w:before="0" w:after="0" w:line="360" w:lineRule="auto"/>
        <w:ind w:firstLine="480" w:firstLineChars="200"/>
        <w:jc w:val="left"/>
        <w:outlineLvl w:val="9"/>
        <w:rPr>
          <w:rFonts w:ascii="宋体" w:hAnsi="宋体" w:cs="宋体"/>
          <w:b w:val="0"/>
          <w:bCs w:val="0"/>
          <w:color w:val="auto"/>
          <w:sz w:val="24"/>
          <w:szCs w:val="24"/>
          <w:highlight w:val="none"/>
        </w:rPr>
      </w:pPr>
      <w:bookmarkStart w:id="177" w:name="_Toc11375"/>
      <w:bookmarkStart w:id="178" w:name="_Toc1816"/>
      <w:bookmarkStart w:id="179" w:name="_Toc16112"/>
      <w:bookmarkStart w:id="180" w:name="_Toc6231"/>
      <w:bookmarkStart w:id="181" w:name="_Toc21571"/>
      <w:bookmarkStart w:id="182" w:name="_Toc490290229"/>
      <w:bookmarkStart w:id="183" w:name="_Toc217446083"/>
      <w:r>
        <w:rPr>
          <w:rFonts w:hint="eastAsia" w:ascii="宋体" w:hAnsi="宋体" w:cs="宋体"/>
          <w:b w:val="0"/>
          <w:bCs w:val="0"/>
          <w:color w:val="auto"/>
          <w:sz w:val="24"/>
          <w:szCs w:val="24"/>
          <w:highlight w:val="none"/>
          <w:lang w:val="en-US" w:eastAsia="zh-CN"/>
        </w:rPr>
        <w:t>41</w:t>
      </w:r>
      <w:r>
        <w:rPr>
          <w:rFonts w:hint="eastAsia" w:ascii="宋体" w:hAnsi="宋体" w:cs="宋体"/>
          <w:b w:val="0"/>
          <w:bCs w:val="0"/>
          <w:color w:val="auto"/>
          <w:sz w:val="24"/>
          <w:szCs w:val="24"/>
          <w:highlight w:val="none"/>
        </w:rPr>
        <w:t>、强制性要求（实质性要求）</w:t>
      </w:r>
      <w:bookmarkEnd w:id="177"/>
      <w:bookmarkEnd w:id="178"/>
      <w:bookmarkEnd w:id="179"/>
      <w:bookmarkEnd w:id="180"/>
      <w:bookmarkEnd w:id="181"/>
    </w:p>
    <w:p>
      <w:pPr>
        <w:pStyle w:val="33"/>
        <w:spacing w:before="0" w:after="0" w:line="360" w:lineRule="auto"/>
        <w:ind w:firstLine="480" w:firstLineChars="200"/>
        <w:outlineLvl w:val="9"/>
        <w:rPr>
          <w:rFonts w:ascii="宋体" w:hAnsi="宋体" w:cs="宋体"/>
          <w:b w:val="0"/>
          <w:bCs w:val="0"/>
          <w:color w:val="auto"/>
          <w:sz w:val="24"/>
          <w:szCs w:val="24"/>
          <w:highlight w:val="none"/>
        </w:rPr>
      </w:pPr>
      <w:bookmarkStart w:id="184" w:name="_Toc10696"/>
      <w:bookmarkStart w:id="185" w:name="_Toc22088"/>
      <w:bookmarkStart w:id="186" w:name="_Toc25319"/>
      <w:bookmarkStart w:id="187" w:name="_Toc13618"/>
      <w:bookmarkStart w:id="188" w:name="_Toc8188"/>
      <w:bookmarkStart w:id="189" w:name="_Toc19663"/>
      <w:bookmarkStart w:id="190" w:name="_Toc9611"/>
      <w:bookmarkStart w:id="191" w:name="_Toc11713"/>
      <w:r>
        <w:rPr>
          <w:rFonts w:hint="eastAsia" w:ascii="宋体" w:hAnsi="宋体" w:cs="宋体"/>
          <w:b w:val="0"/>
          <w:bCs w:val="0"/>
          <w:color w:val="auto"/>
          <w:sz w:val="24"/>
          <w:szCs w:val="24"/>
          <w:highlight w:val="none"/>
        </w:rPr>
        <w:t>国家或行业主管部门对制造商、供应商和采购产品的技术标准、质量标准和资格资质条件等有强制性规定的，制造商、供应商或投标产品必须按规定符合相关要求。</w:t>
      </w:r>
      <w:bookmarkEnd w:id="184"/>
      <w:bookmarkEnd w:id="185"/>
      <w:bookmarkEnd w:id="186"/>
      <w:bookmarkEnd w:id="187"/>
      <w:bookmarkEnd w:id="188"/>
      <w:bookmarkEnd w:id="189"/>
      <w:bookmarkEnd w:id="190"/>
      <w:bookmarkEnd w:id="191"/>
    </w:p>
    <w:p>
      <w:pPr>
        <w:pStyle w:val="33"/>
        <w:spacing w:before="0" w:after="0" w:line="360" w:lineRule="auto"/>
        <w:ind w:firstLine="643" w:firstLineChars="200"/>
        <w:rPr>
          <w:rFonts w:ascii="宋体" w:hAnsi="宋体" w:cs="宋体"/>
          <w:color w:val="auto"/>
          <w:highlight w:val="none"/>
        </w:rPr>
      </w:pPr>
      <w:r>
        <w:rPr>
          <w:rFonts w:hint="eastAsia"/>
          <w:color w:val="auto"/>
          <w:highlight w:val="none"/>
        </w:rPr>
        <w:br w:type="page"/>
      </w:r>
      <w:bookmarkStart w:id="192" w:name="_Toc16728"/>
      <w:bookmarkStart w:id="193" w:name="_Toc27611"/>
      <w:r>
        <w:rPr>
          <w:rFonts w:hint="eastAsia" w:ascii="宋体" w:hAnsi="宋体" w:cs="宋体"/>
          <w:color w:val="auto"/>
          <w:highlight w:val="none"/>
        </w:rPr>
        <w:t>第三章 投标文件格式</w:t>
      </w:r>
      <w:bookmarkEnd w:id="182"/>
      <w:bookmarkEnd w:id="192"/>
      <w:bookmarkEnd w:id="193"/>
      <w:bookmarkStart w:id="194" w:name="_Toc217446082"/>
      <w:bookmarkStart w:id="195" w:name="_Toc308164821"/>
    </w:p>
    <w:p>
      <w:pPr>
        <w:spacing w:line="360" w:lineRule="auto"/>
        <w:rPr>
          <w:rFonts w:ascii="宋体" w:hAnsi="宋体" w:cs="宋体"/>
          <w:color w:val="auto"/>
          <w:highlight w:val="none"/>
        </w:rPr>
      </w:pPr>
    </w:p>
    <w:p>
      <w:pPr>
        <w:spacing w:line="360" w:lineRule="auto"/>
        <w:ind w:firstLine="420" w:firstLineChars="200"/>
        <w:rPr>
          <w:rFonts w:ascii="宋体" w:hAnsi="宋体" w:cs="宋体"/>
          <w:color w:val="auto"/>
          <w:highlight w:val="none"/>
        </w:rPr>
      </w:pPr>
      <w:bookmarkStart w:id="196" w:name="_Toc490290230"/>
      <w:r>
        <w:rPr>
          <w:rFonts w:hint="eastAsia" w:ascii="宋体" w:hAnsi="宋体" w:cs="宋体"/>
          <w:color w:val="auto"/>
          <w:highlight w:val="none"/>
        </w:rPr>
        <w:t>一、本章所制投标文件格式，投标人可根据需要自行加长加宽，除格式中明确将该格式作为实质性要求的，一律不具有强制性。</w:t>
      </w:r>
      <w:bookmarkEnd w:id="196"/>
    </w:p>
    <w:p>
      <w:pPr>
        <w:spacing w:line="360" w:lineRule="auto"/>
        <w:ind w:firstLine="420" w:firstLineChars="200"/>
        <w:rPr>
          <w:rFonts w:ascii="宋体" w:hAnsi="宋体" w:cs="宋体"/>
          <w:color w:val="auto"/>
          <w:highlight w:val="none"/>
        </w:rPr>
      </w:pPr>
      <w:bookmarkStart w:id="197" w:name="_Toc490290231"/>
      <w:r>
        <w:rPr>
          <w:rFonts w:hint="eastAsia" w:ascii="宋体" w:hAnsi="宋体" w:cs="宋体"/>
          <w:color w:val="auto"/>
          <w:highlight w:val="none"/>
        </w:rPr>
        <w:t>二、本章所制投标文件格式有关表格中的备注栏，由投标人根据自身投标情况作解释性说明，不作为必填项。</w:t>
      </w:r>
      <w:bookmarkEnd w:id="197"/>
    </w:p>
    <w:p>
      <w:pPr>
        <w:spacing w:line="360" w:lineRule="auto"/>
        <w:ind w:firstLine="420" w:firstLineChars="200"/>
        <w:rPr>
          <w:rFonts w:ascii="宋体" w:hAnsi="宋体" w:cs="宋体"/>
          <w:color w:val="auto"/>
          <w:highlight w:val="none"/>
        </w:rPr>
      </w:pPr>
      <w:bookmarkStart w:id="198" w:name="_Toc490290232"/>
      <w:r>
        <w:rPr>
          <w:rFonts w:hint="eastAsia" w:ascii="宋体" w:hAnsi="宋体" w:cs="宋体"/>
          <w:color w:val="auto"/>
          <w:highlight w:val="none"/>
        </w:rPr>
        <w:t>三、本章所制投标文件格式中需要填写的相关内容事项，可能会与本采购项目无关，在不改变投标文件原义、不影响本项目采购需求的情况下，投标人可以不予填写，但应当注明。</w:t>
      </w:r>
      <w:bookmarkEnd w:id="198"/>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四、本章所制投标文件格式中“注”为提醒供应商注意事项，供应商在制作投标文件时可不用将其写于投标文件中，但投标文件必须对招标文件的内容做实质性响应。</w:t>
      </w:r>
    </w:p>
    <w:p>
      <w:pPr>
        <w:pStyle w:val="5"/>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第一部分     “资格性投标文件”格式</w:t>
      </w:r>
    </w:p>
    <w:p>
      <w:pPr>
        <w:spacing w:line="360" w:lineRule="auto"/>
        <w:rPr>
          <w:rFonts w:ascii="宋体" w:hAnsi="宋体" w:cs="宋体"/>
          <w:b/>
          <w:color w:val="auto"/>
          <w:sz w:val="32"/>
          <w:szCs w:val="32"/>
          <w:highlight w:val="none"/>
        </w:rPr>
      </w:pPr>
      <w:r>
        <w:rPr>
          <w:rFonts w:hint="eastAsia" w:ascii="宋体" w:hAnsi="宋体" w:cs="宋体"/>
          <w:b/>
          <w:color w:val="auto"/>
          <w:sz w:val="32"/>
          <w:szCs w:val="32"/>
          <w:highlight w:val="none"/>
        </w:rPr>
        <w:t>格式1-1</w:t>
      </w:r>
    </w:p>
    <w:p>
      <w:pPr>
        <w:spacing w:line="360" w:lineRule="auto"/>
        <w:rPr>
          <w:rFonts w:ascii="宋体" w:hAnsi="宋体" w:cs="宋体"/>
          <w:b/>
          <w:color w:val="auto"/>
          <w:sz w:val="32"/>
          <w:szCs w:val="32"/>
          <w:highlight w:val="none"/>
        </w:rPr>
      </w:pPr>
      <w:r>
        <w:rPr>
          <w:rFonts w:hint="eastAsia" w:ascii="宋体" w:hAnsi="宋体" w:cs="宋体"/>
          <w:b/>
          <w:color w:val="auto"/>
          <w:sz w:val="32"/>
          <w:szCs w:val="32"/>
          <w:highlight w:val="none"/>
        </w:rPr>
        <w:t>封面：</w:t>
      </w:r>
    </w:p>
    <w:p>
      <w:pPr>
        <w:spacing w:line="360" w:lineRule="auto"/>
        <w:jc w:val="right"/>
        <w:rPr>
          <w:rFonts w:ascii="宋体" w:hAnsi="宋体" w:cs="宋体"/>
          <w:b/>
          <w:color w:val="auto"/>
          <w:sz w:val="36"/>
          <w:highlight w:val="none"/>
        </w:rPr>
      </w:pPr>
    </w:p>
    <w:p>
      <w:pPr>
        <w:spacing w:line="360" w:lineRule="auto"/>
        <w:rPr>
          <w:rFonts w:ascii="宋体" w:hAnsi="宋体" w:cs="宋体"/>
          <w:b/>
          <w:color w:val="auto"/>
          <w:sz w:val="32"/>
          <w:szCs w:val="32"/>
          <w:highlight w:val="none"/>
        </w:rPr>
      </w:pPr>
    </w:p>
    <w:p>
      <w:pPr>
        <w:spacing w:line="360" w:lineRule="auto"/>
        <w:rPr>
          <w:rFonts w:ascii="宋体" w:hAnsi="宋体" w:cs="宋体"/>
          <w:b/>
          <w:color w:val="auto"/>
          <w:sz w:val="32"/>
          <w:szCs w:val="32"/>
          <w:highlight w:val="none"/>
        </w:rPr>
      </w:pPr>
    </w:p>
    <w:p>
      <w:pPr>
        <w:spacing w:line="360" w:lineRule="auto"/>
        <w:jc w:val="center"/>
        <w:rPr>
          <w:rFonts w:ascii="宋体" w:hAnsi="宋体" w:cs="宋体"/>
          <w:b/>
          <w:color w:val="auto"/>
          <w:sz w:val="72"/>
          <w:highlight w:val="none"/>
        </w:rPr>
      </w:pPr>
      <w:r>
        <w:rPr>
          <w:rFonts w:hint="eastAsia" w:ascii="宋体" w:hAnsi="宋体" w:cs="宋体"/>
          <w:b/>
          <w:color w:val="auto"/>
          <w:sz w:val="40"/>
          <w:szCs w:val="48"/>
          <w:highlight w:val="none"/>
        </w:rPr>
        <w:t>项目</w:t>
      </w:r>
    </w:p>
    <w:p>
      <w:pPr>
        <w:spacing w:line="360" w:lineRule="auto"/>
        <w:rPr>
          <w:rFonts w:ascii="宋体" w:hAnsi="宋体" w:cs="宋体"/>
          <w:b/>
          <w:color w:val="auto"/>
          <w:sz w:val="52"/>
          <w:szCs w:val="52"/>
          <w:highlight w:val="non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52"/>
          <w:szCs w:val="52"/>
          <w:highlight w:val="none"/>
        </w:rPr>
        <w:t>资格性投标文件</w:t>
      </w:r>
    </w:p>
    <w:p>
      <w:pPr>
        <w:spacing w:line="360" w:lineRule="auto"/>
        <w:rPr>
          <w:rFonts w:ascii="宋体" w:hAnsi="宋体" w:cs="宋体"/>
          <w:b/>
          <w:color w:val="auto"/>
          <w:sz w:val="36"/>
          <w:highlight w:val="none"/>
        </w:rPr>
      </w:pPr>
    </w:p>
    <w:p>
      <w:pPr>
        <w:spacing w:line="360" w:lineRule="auto"/>
        <w:rPr>
          <w:rFonts w:ascii="宋体" w:hAnsi="宋体" w:cs="宋体"/>
          <w:b/>
          <w:color w:val="auto"/>
          <w:sz w:val="36"/>
          <w:highlight w:val="none"/>
        </w:rPr>
      </w:pPr>
    </w:p>
    <w:p>
      <w:pPr>
        <w:spacing w:line="360" w:lineRule="auto"/>
        <w:jc w:val="left"/>
        <w:rPr>
          <w:rFonts w:ascii="宋体" w:hAnsi="宋体" w:cs="宋体"/>
          <w:b/>
          <w:color w:val="auto"/>
          <w:sz w:val="32"/>
          <w:highlight w:val="none"/>
          <w:u w:val="single"/>
        </w:rPr>
      </w:pPr>
      <w:r>
        <w:rPr>
          <w:rFonts w:hint="eastAsia" w:ascii="宋体" w:hAnsi="宋体" w:cs="宋体"/>
          <w:b/>
          <w:color w:val="auto"/>
          <w:sz w:val="32"/>
          <w:highlight w:val="none"/>
        </w:rPr>
        <w:t>投 标 人名称：</w:t>
      </w:r>
    </w:p>
    <w:p>
      <w:pPr>
        <w:spacing w:line="360" w:lineRule="auto"/>
        <w:jc w:val="left"/>
        <w:rPr>
          <w:rFonts w:ascii="宋体" w:hAnsi="宋体" w:cs="宋体"/>
          <w:b/>
          <w:color w:val="auto"/>
          <w:sz w:val="32"/>
          <w:highlight w:val="none"/>
        </w:rPr>
      </w:pPr>
      <w:r>
        <w:rPr>
          <w:rFonts w:hint="eastAsia" w:ascii="宋体" w:hAnsi="宋体" w:cs="宋体"/>
          <w:b/>
          <w:color w:val="auto"/>
          <w:sz w:val="32"/>
          <w:highlight w:val="none"/>
        </w:rPr>
        <w:t>采购项目编号：</w:t>
      </w:r>
    </w:p>
    <w:p>
      <w:pPr>
        <w:spacing w:line="360" w:lineRule="auto"/>
        <w:jc w:val="left"/>
        <w:rPr>
          <w:rFonts w:ascii="宋体" w:hAnsi="宋体" w:cs="宋体"/>
          <w:b/>
          <w:color w:val="auto"/>
          <w:sz w:val="32"/>
          <w:highlight w:val="none"/>
        </w:rPr>
      </w:pPr>
      <w:r>
        <w:rPr>
          <w:rFonts w:hint="eastAsia" w:ascii="宋体" w:hAnsi="宋体" w:cs="宋体"/>
          <w:b/>
          <w:color w:val="auto"/>
          <w:sz w:val="32"/>
          <w:highlight w:val="none"/>
        </w:rPr>
        <w:t>包号：</w:t>
      </w:r>
    </w:p>
    <w:p>
      <w:pPr>
        <w:spacing w:line="360" w:lineRule="auto"/>
        <w:ind w:firstLine="790" w:firstLineChars="246"/>
        <w:jc w:val="center"/>
        <w:rPr>
          <w:rFonts w:ascii="宋体" w:hAnsi="宋体" w:cs="宋体"/>
          <w:b/>
          <w:color w:val="auto"/>
          <w:sz w:val="32"/>
          <w:highlight w:val="none"/>
        </w:rPr>
      </w:pPr>
    </w:p>
    <w:p>
      <w:pPr>
        <w:spacing w:line="360" w:lineRule="auto"/>
        <w:ind w:firstLine="790" w:firstLineChars="246"/>
        <w:jc w:val="center"/>
        <w:rPr>
          <w:rFonts w:ascii="宋体" w:hAnsi="宋体" w:cs="宋体"/>
          <w:b/>
          <w:color w:val="auto"/>
          <w:sz w:val="32"/>
          <w:highlight w:val="none"/>
        </w:rPr>
      </w:pPr>
      <w:r>
        <w:rPr>
          <w:rFonts w:hint="eastAsia" w:ascii="宋体" w:hAnsi="宋体" w:cs="宋体"/>
          <w:b/>
          <w:color w:val="auto"/>
          <w:sz w:val="32"/>
          <w:highlight w:val="none"/>
        </w:rPr>
        <w:t>投标日期： 年  月  日</w:t>
      </w:r>
    </w:p>
    <w:p>
      <w:pPr>
        <w:spacing w:line="360" w:lineRule="auto"/>
        <w:jc w:val="left"/>
        <w:rPr>
          <w:rFonts w:ascii="宋体" w:hAnsi="宋体" w:cs="宋体"/>
          <w:b/>
          <w:color w:val="auto"/>
          <w:sz w:val="32"/>
          <w:highlight w:val="none"/>
        </w:rPr>
      </w:pPr>
      <w:r>
        <w:rPr>
          <w:rFonts w:hint="eastAsia" w:ascii="宋体" w:hAnsi="宋体" w:cs="宋体"/>
          <w:b/>
          <w:color w:val="auto"/>
          <w:sz w:val="32"/>
          <w:highlight w:val="none"/>
        </w:rPr>
        <w:br w:type="page"/>
      </w:r>
      <w:r>
        <w:rPr>
          <w:rFonts w:hint="eastAsia" w:ascii="宋体" w:hAnsi="宋体" w:cs="宋体"/>
          <w:b/>
          <w:color w:val="auto"/>
          <w:sz w:val="32"/>
          <w:szCs w:val="32"/>
          <w:highlight w:val="none"/>
        </w:rPr>
        <w:t>格式1-2</w:t>
      </w:r>
    </w:p>
    <w:p>
      <w:pPr>
        <w:pStyle w:val="5"/>
        <w:keepNext w:val="0"/>
        <w:keepLines w:val="0"/>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一、</w:t>
      </w:r>
      <w:r>
        <w:rPr>
          <w:rFonts w:hint="eastAsia" w:ascii="宋体" w:hAnsi="宋体" w:eastAsia="宋体" w:cs="宋体"/>
          <w:bCs w:val="0"/>
          <w:color w:val="auto"/>
          <w:highlight w:val="none"/>
        </w:rPr>
        <w:t>法定代表人/单位负责人身份证明书</w:t>
      </w:r>
    </w:p>
    <w:p>
      <w:pPr>
        <w:pStyle w:val="20"/>
        <w:spacing w:line="360" w:lineRule="auto"/>
        <w:ind w:left="0" w:leftChars="0"/>
        <w:rPr>
          <w:rFonts w:ascii="宋体" w:hAnsi="宋体" w:cs="宋体"/>
          <w:color w:val="auto"/>
          <w:sz w:val="24"/>
          <w:highlight w:val="none"/>
          <w:lang w:val="zh-CN"/>
        </w:rPr>
      </w:pPr>
      <w:r>
        <w:rPr>
          <w:rFonts w:hint="eastAsia" w:ascii="宋体" w:hAnsi="宋体" w:cs="宋体"/>
          <w:color w:val="auto"/>
          <w:sz w:val="24"/>
          <w:highlight w:val="none"/>
          <w:lang w:val="zh-CN"/>
        </w:rPr>
        <w:t>四川轩辕招标代理有限公司：</w:t>
      </w:r>
    </w:p>
    <w:p>
      <w:pPr>
        <w:tabs>
          <w:tab w:val="left" w:pos="6300"/>
        </w:tabs>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u w:val="single"/>
          <w:lang w:val="zh-CN"/>
        </w:rPr>
        <w:t xml:space="preserve">（法定代表人姓名）         </w:t>
      </w:r>
      <w:r>
        <w:rPr>
          <w:rFonts w:hint="eastAsia" w:ascii="宋体" w:hAnsi="宋体" w:cs="宋体"/>
          <w:color w:val="auto"/>
          <w:sz w:val="24"/>
          <w:highlight w:val="none"/>
          <w:lang w:val="zh-CN"/>
        </w:rPr>
        <w:t>在（投标人名称） 处任</w:t>
      </w:r>
      <w:r>
        <w:rPr>
          <w:rFonts w:hint="eastAsia" w:ascii="宋体" w:hAnsi="宋体" w:cs="宋体"/>
          <w:color w:val="auto"/>
          <w:sz w:val="24"/>
          <w:highlight w:val="none"/>
          <w:u w:val="single"/>
          <w:lang w:val="zh-CN"/>
        </w:rPr>
        <w:t xml:space="preserve">         （职务名称）        </w:t>
      </w:r>
      <w:r>
        <w:rPr>
          <w:rFonts w:hint="eastAsia" w:ascii="宋体" w:hAnsi="宋体" w:cs="宋体"/>
          <w:color w:val="auto"/>
          <w:sz w:val="24"/>
          <w:highlight w:val="none"/>
          <w:lang w:val="zh-CN"/>
        </w:rPr>
        <w:t>职务，是</w:t>
      </w:r>
      <w:r>
        <w:rPr>
          <w:rFonts w:hint="eastAsia" w:ascii="宋体" w:hAnsi="宋体" w:cs="宋体"/>
          <w:color w:val="auto"/>
          <w:sz w:val="24"/>
          <w:highlight w:val="none"/>
          <w:u w:val="single"/>
          <w:lang w:val="zh-CN"/>
        </w:rPr>
        <w:t xml:space="preserve">      （投标人名称）    </w:t>
      </w:r>
      <w:r>
        <w:rPr>
          <w:rFonts w:hint="eastAsia" w:ascii="宋体" w:hAnsi="宋体" w:cs="宋体"/>
          <w:color w:val="auto"/>
          <w:sz w:val="24"/>
          <w:highlight w:val="none"/>
          <w:lang w:val="zh-CN"/>
        </w:rPr>
        <w:t>的法定代表人/单位负责人。</w:t>
      </w:r>
    </w:p>
    <w:p>
      <w:pPr>
        <w:tabs>
          <w:tab w:val="left" w:pos="6300"/>
        </w:tabs>
        <w:spacing w:line="360" w:lineRule="auto"/>
        <w:rPr>
          <w:rFonts w:ascii="宋体" w:hAnsi="宋体" w:cs="宋体"/>
          <w:b/>
          <w:color w:val="auto"/>
          <w:sz w:val="24"/>
          <w:highlight w:val="none"/>
          <w:lang w:val="zh-CN"/>
        </w:rPr>
      </w:pPr>
    </w:p>
    <w:p>
      <w:pPr>
        <w:tabs>
          <w:tab w:val="left" w:pos="6300"/>
        </w:tabs>
        <w:spacing w:line="360" w:lineRule="auto"/>
        <w:rPr>
          <w:rFonts w:ascii="宋体" w:hAnsi="宋体" w:cs="宋体"/>
          <w:b/>
          <w:color w:val="auto"/>
          <w:sz w:val="24"/>
          <w:highlight w:val="none"/>
          <w:lang w:val="zh-CN"/>
        </w:rPr>
      </w:pPr>
    </w:p>
    <w:p>
      <w:pPr>
        <w:tabs>
          <w:tab w:val="left" w:pos="6300"/>
        </w:tabs>
        <w:spacing w:line="360" w:lineRule="auto"/>
        <w:ind w:firstLine="573"/>
        <w:rPr>
          <w:rFonts w:ascii="宋体" w:hAnsi="宋体" w:cs="宋体"/>
          <w:b/>
          <w:color w:val="auto"/>
          <w:sz w:val="24"/>
          <w:highlight w:val="none"/>
          <w:lang w:val="zh-CN"/>
        </w:rPr>
      </w:pPr>
    </w:p>
    <w:p>
      <w:pPr>
        <w:tabs>
          <w:tab w:val="left" w:pos="6300"/>
        </w:tabs>
        <w:spacing w:line="360" w:lineRule="auto"/>
        <w:ind w:firstLine="573"/>
        <w:rPr>
          <w:rFonts w:ascii="宋体" w:hAnsi="宋体" w:cs="宋体"/>
          <w:b/>
          <w:color w:val="auto"/>
          <w:sz w:val="24"/>
          <w:highlight w:val="none"/>
          <w:lang w:val="zh-CN"/>
        </w:rPr>
      </w:pPr>
      <w:r>
        <w:rPr>
          <w:rFonts w:hint="eastAsia" w:ascii="宋体" w:hAnsi="宋体" w:cs="宋体"/>
          <w:b/>
          <w:color w:val="auto"/>
          <w:sz w:val="24"/>
          <w:highlight w:val="none"/>
          <w:lang w:val="zh-CN"/>
        </w:rPr>
        <w:t>特此证明。</w:t>
      </w:r>
    </w:p>
    <w:p>
      <w:pPr>
        <w:tabs>
          <w:tab w:val="left" w:pos="6300"/>
        </w:tabs>
        <w:spacing w:line="360" w:lineRule="auto"/>
        <w:rPr>
          <w:rFonts w:ascii="宋体" w:hAnsi="宋体" w:cs="宋体"/>
          <w:b/>
          <w:color w:val="auto"/>
          <w:szCs w:val="21"/>
          <w:highlight w:val="none"/>
          <w:lang w:val="zh-CN"/>
        </w:rPr>
      </w:pPr>
    </w:p>
    <w:p>
      <w:pPr>
        <w:tabs>
          <w:tab w:val="left" w:pos="6300"/>
        </w:tabs>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附件：法定代表人/单位负责人有效的身份证原件原色电子件（身份证两面均应提供）。投标人的法定代表人为外籍人士的，则需提供护照原件原色电子件。</w:t>
      </w:r>
    </w:p>
    <w:p>
      <w:pPr>
        <w:spacing w:line="360" w:lineRule="auto"/>
        <w:ind w:firstLine="480" w:firstLineChars="200"/>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投标人名称：（单位盖章）</w:t>
      </w:r>
    </w:p>
    <w:p>
      <w:pPr>
        <w:spacing w:line="360" w:lineRule="auto"/>
        <w:rPr>
          <w:rFonts w:ascii="宋体" w:hAnsi="宋体" w:cs="宋体"/>
          <w:b/>
          <w:color w:val="auto"/>
          <w:sz w:val="32"/>
          <w:szCs w:val="32"/>
          <w:highlight w:val="none"/>
        </w:rPr>
      </w:pPr>
      <w:r>
        <w:rPr>
          <w:rFonts w:hint="eastAsia" w:ascii="宋体" w:hAnsi="宋体" w:cs="宋体"/>
          <w:color w:val="auto"/>
          <w:sz w:val="24"/>
          <w:highlight w:val="none"/>
        </w:rPr>
        <w:t>投标日期：</w:t>
      </w:r>
      <w:r>
        <w:rPr>
          <w:rFonts w:hint="eastAsia" w:ascii="宋体" w:hAnsi="宋体" w:cs="宋体"/>
          <w:b/>
          <w:color w:val="auto"/>
          <w:sz w:val="32"/>
          <w:highlight w:val="none"/>
        </w:rPr>
        <w:br w:type="page"/>
      </w:r>
      <w:r>
        <w:rPr>
          <w:rFonts w:hint="eastAsia" w:ascii="宋体" w:hAnsi="宋体" w:cs="宋体"/>
          <w:b/>
          <w:color w:val="auto"/>
          <w:sz w:val="32"/>
          <w:szCs w:val="32"/>
          <w:highlight w:val="none"/>
        </w:rPr>
        <w:t>格式1-3</w:t>
      </w:r>
    </w:p>
    <w:p>
      <w:pPr>
        <w:widowControl/>
        <w:spacing w:line="360" w:lineRule="auto"/>
        <w:jc w:val="center"/>
        <w:outlineLvl w:val="1"/>
        <w:rPr>
          <w:rFonts w:ascii="宋体" w:hAnsi="宋体" w:cs="宋体"/>
          <w:b/>
          <w:color w:val="auto"/>
          <w:sz w:val="32"/>
          <w:szCs w:val="32"/>
          <w:highlight w:val="none"/>
        </w:rPr>
      </w:pPr>
      <w:r>
        <w:rPr>
          <w:rFonts w:hint="eastAsia" w:ascii="宋体" w:hAnsi="宋体" w:cs="宋体"/>
          <w:b/>
          <w:color w:val="auto"/>
          <w:sz w:val="32"/>
          <w:szCs w:val="32"/>
          <w:highlight w:val="none"/>
        </w:rPr>
        <w:t>二、法定代表人/单位负责人授权书</w:t>
      </w:r>
    </w:p>
    <w:p>
      <w:pPr>
        <w:spacing w:line="360" w:lineRule="auto"/>
        <w:rPr>
          <w:rFonts w:ascii="宋体" w:hAnsi="宋体" w:cs="宋体"/>
          <w:color w:val="auto"/>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四川轩辕招标代理有限公司：</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本授权声明：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（法定代表人/单位负责人姓名、职务）授权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（被授权人姓名、职务）为我方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项目（采购项目编号：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）投标活动的合法代表，以我方名义全权处理该项目有关投标、签订合同以及执行合同等一切事宜。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特此声明。</w:t>
      </w:r>
    </w:p>
    <w:p>
      <w:pPr>
        <w:spacing w:line="360" w:lineRule="auto"/>
        <w:ind w:firstLine="480" w:firstLineChars="200"/>
        <w:rPr>
          <w:rFonts w:ascii="宋体" w:hAnsi="宋体" w:cs="宋体"/>
          <w:color w:val="auto"/>
          <w:sz w:val="24"/>
          <w:highlight w:val="none"/>
        </w:rPr>
      </w:pPr>
    </w:p>
    <w:p>
      <w:pPr>
        <w:tabs>
          <w:tab w:val="left" w:pos="6300"/>
        </w:tabs>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附件：授权代表有效的身份证原件原色电子件（身份证两面均应提供）。投标人的授权代表为外籍人士的，则需提供护照原件原色电子件。</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pacing w:line="360" w:lineRule="auto"/>
        <w:ind w:firstLine="480" w:firstLineChars="200"/>
        <w:jc w:val="left"/>
        <w:rPr>
          <w:rFonts w:ascii="宋体" w:hAnsi="宋体" w:cs="宋体"/>
          <w:color w:val="auto"/>
          <w:sz w:val="24"/>
          <w:highlight w:val="none"/>
        </w:rPr>
      </w:pP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法定代表人/单位负责人：（签字或者加盖个人名章 ） </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授权代表：（签字）</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投标人名称：（单位盖章）</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投标日期：</w:t>
      </w:r>
    </w:p>
    <w:p>
      <w:pPr>
        <w:spacing w:line="360" w:lineRule="auto"/>
        <w:ind w:firstLine="422" w:firstLineChars="200"/>
        <w:rPr>
          <w:rFonts w:ascii="宋体" w:hAnsi="宋体" w:cs="宋体"/>
          <w:b/>
          <w:color w:val="auto"/>
          <w:highlight w:val="none"/>
        </w:rPr>
      </w:pPr>
    </w:p>
    <w:p>
      <w:pPr>
        <w:spacing w:line="360" w:lineRule="auto"/>
        <w:ind w:firstLine="422" w:firstLineChars="200"/>
        <w:rPr>
          <w:rFonts w:ascii="宋体" w:hAnsi="宋体" w:cs="宋体"/>
          <w:b/>
          <w:color w:val="auto"/>
          <w:highlight w:val="none"/>
        </w:rPr>
      </w:pPr>
    </w:p>
    <w:p>
      <w:pPr>
        <w:spacing w:line="360" w:lineRule="auto"/>
        <w:ind w:firstLine="422" w:firstLineChars="200"/>
        <w:rPr>
          <w:rFonts w:ascii="宋体" w:hAnsi="宋体" w:cs="宋体"/>
          <w:b/>
          <w:color w:val="auto"/>
          <w:highlight w:val="none"/>
        </w:rPr>
      </w:pPr>
    </w:p>
    <w:p>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注：</w:t>
      </w:r>
    </w:p>
    <w:p>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1、供应商为法人单位时提供“法定代表人授权书”，供应商为其他组织时提供“单位负责人授权书”，供应商为自然人时提供“自然人身份证明材料”。</w:t>
      </w:r>
    </w:p>
    <w:p>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2、身份证明材料包括居民身份证和其他法定有效证明。</w:t>
      </w:r>
    </w:p>
    <w:p>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3、身份证明材料应同时提供其在有效期的材料，如居民身份证正、反面</w:t>
      </w:r>
      <w:r>
        <w:rPr>
          <w:rFonts w:hint="eastAsia" w:ascii="宋体" w:hAnsi="宋体" w:cs="宋体"/>
          <w:b/>
          <w:bCs/>
          <w:color w:val="auto"/>
          <w:highlight w:val="none"/>
          <w:lang w:val="zh-TW"/>
        </w:rPr>
        <w:t>原件原色电子件</w:t>
      </w:r>
      <w:r>
        <w:rPr>
          <w:rFonts w:hint="eastAsia" w:ascii="宋体" w:hAnsi="宋体" w:cs="宋体"/>
          <w:b/>
          <w:bCs/>
          <w:color w:val="auto"/>
          <w:highlight w:val="none"/>
        </w:rPr>
        <w:t>。</w:t>
      </w:r>
    </w:p>
    <w:p>
      <w:pPr>
        <w:spacing w:line="360" w:lineRule="auto"/>
        <w:ind w:firstLine="422" w:firstLineChars="200"/>
        <w:rPr>
          <w:rFonts w:ascii="宋体" w:hAnsi="宋体" w:cs="宋体"/>
          <w:b/>
          <w:color w:val="auto"/>
          <w:sz w:val="32"/>
          <w:szCs w:val="32"/>
          <w:highlight w:val="none"/>
        </w:rPr>
      </w:pPr>
      <w:r>
        <w:rPr>
          <w:rFonts w:hint="eastAsia" w:ascii="宋体" w:hAnsi="宋体" w:cs="宋体"/>
          <w:b/>
          <w:color w:val="auto"/>
          <w:kern w:val="0"/>
          <w:highlight w:val="none"/>
        </w:rPr>
        <w:t>4、投标文件均由投标人法定代表人/单位负责人签字的,投标文件中可不提供该附件的内容。</w:t>
      </w: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格式1-4</w:t>
      </w:r>
    </w:p>
    <w:p>
      <w:pPr>
        <w:widowControl/>
        <w:spacing w:line="360" w:lineRule="auto"/>
        <w:jc w:val="center"/>
        <w:outlineLvl w:val="1"/>
        <w:rPr>
          <w:rFonts w:ascii="宋体" w:hAnsi="宋体" w:cs="宋体"/>
          <w:b/>
          <w:color w:val="auto"/>
          <w:sz w:val="32"/>
          <w:szCs w:val="32"/>
          <w:highlight w:val="none"/>
        </w:rPr>
      </w:pPr>
      <w:r>
        <w:rPr>
          <w:rFonts w:hint="eastAsia" w:ascii="宋体" w:hAnsi="宋体" w:cs="宋体"/>
          <w:b/>
          <w:color w:val="auto"/>
          <w:sz w:val="32"/>
          <w:szCs w:val="32"/>
          <w:highlight w:val="none"/>
        </w:rPr>
        <w:t>三、资格承诺函</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四川轩辕招标代理有限公司：</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我单位作为本次采购项目的投标人，根据招标文件要求，现郑重承诺如下：</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（一）符合《中华人民共和国政府采购法》第二十二条规定的条件；</w:t>
      </w:r>
    </w:p>
    <w:p>
      <w:pPr>
        <w:pStyle w:val="87"/>
        <w:tabs>
          <w:tab w:val="left" w:pos="1260"/>
        </w:tabs>
        <w:ind w:firstLine="679" w:firstLineChars="283"/>
        <w:jc w:val="left"/>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pStyle w:val="87"/>
        <w:tabs>
          <w:tab w:val="left" w:pos="1260"/>
        </w:tabs>
        <w:ind w:firstLine="679" w:firstLineChars="283"/>
        <w:jc w:val="left"/>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pPr>
        <w:pStyle w:val="87"/>
        <w:tabs>
          <w:tab w:val="left" w:pos="1260"/>
        </w:tabs>
        <w:ind w:firstLine="679" w:firstLineChars="283"/>
        <w:jc w:val="left"/>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pStyle w:val="87"/>
        <w:tabs>
          <w:tab w:val="left" w:pos="1260"/>
        </w:tabs>
        <w:ind w:firstLine="679" w:firstLineChars="283"/>
        <w:jc w:val="left"/>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pStyle w:val="87"/>
        <w:tabs>
          <w:tab w:val="left" w:pos="1260"/>
        </w:tabs>
        <w:ind w:firstLine="679" w:firstLineChars="283"/>
        <w:jc w:val="left"/>
        <w:rPr>
          <w:rFonts w:ascii="宋体" w:hAnsi="宋体" w:cs="宋体"/>
          <w:color w:val="auto"/>
          <w:sz w:val="24"/>
          <w:highlight w:val="none"/>
        </w:rPr>
      </w:pPr>
      <w:r>
        <w:rPr>
          <w:rFonts w:hint="eastAsia" w:ascii="宋体" w:hAnsi="宋体" w:cs="宋体"/>
          <w:color w:val="auto"/>
          <w:sz w:val="24"/>
          <w:highlight w:val="none"/>
        </w:rPr>
        <w:t>5、参加本次政府采购活动前三年内，在经营活动中没有重大违法记录；</w:t>
      </w:r>
    </w:p>
    <w:p>
      <w:pPr>
        <w:pStyle w:val="87"/>
        <w:tabs>
          <w:tab w:val="left" w:pos="1260"/>
        </w:tabs>
        <w:ind w:firstLine="679" w:firstLineChars="283"/>
        <w:jc w:val="left"/>
        <w:rPr>
          <w:rFonts w:ascii="宋体" w:hAnsi="宋体" w:cs="宋体"/>
          <w:color w:val="auto"/>
          <w:sz w:val="24"/>
          <w:highlight w:val="none"/>
        </w:rPr>
      </w:pPr>
      <w:r>
        <w:rPr>
          <w:rFonts w:hint="eastAsia" w:ascii="宋体" w:hAnsi="宋体" w:cs="宋体"/>
          <w:color w:val="auto"/>
          <w:sz w:val="24"/>
          <w:highlight w:val="none"/>
        </w:rPr>
        <w:t>6、符合国家法律、行政法规规定的其他条件。</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（二）我公司作为本项目参加政府采购活动的投标人、法定代表人/主要负责人近3年内不具有行贿犯罪记录。</w:t>
      </w:r>
    </w:p>
    <w:p>
      <w:pPr>
        <w:pStyle w:val="87"/>
        <w:ind w:firstLine="360" w:firstLineChars="150"/>
        <w:rPr>
          <w:rFonts w:ascii="宋体" w:hAnsi="宋体" w:cs="宋体"/>
          <w:color w:val="auto"/>
          <w:sz w:val="24"/>
          <w:highlight w:val="none"/>
        </w:rPr>
      </w:pPr>
      <w:r>
        <w:rPr>
          <w:rFonts w:hint="eastAsia" w:ascii="宋体" w:hAnsi="宋体" w:cs="宋体"/>
          <w:color w:val="auto"/>
          <w:sz w:val="24"/>
          <w:highlight w:val="none"/>
        </w:rPr>
        <w:t>（三）我公司在截至投标截止日未被列入失信被执行人、重大税收违法案件当事人名单、政府采购严重违法失信行为记录名单。</w:t>
      </w:r>
    </w:p>
    <w:p>
      <w:pPr>
        <w:pStyle w:val="86"/>
        <w:ind w:firstLine="480"/>
        <w:rPr>
          <w:rFonts w:ascii="宋体" w:hAnsi="宋体" w:eastAsia="宋体" w:cs="宋体"/>
          <w:color w:val="auto"/>
          <w:highlight w:val="none"/>
        </w:rPr>
      </w:pPr>
      <w:r>
        <w:rPr>
          <w:rFonts w:hint="eastAsia" w:ascii="宋体" w:hAnsi="宋体" w:eastAsia="宋体" w:cs="宋体"/>
          <w:color w:val="auto"/>
          <w:highlight w:val="none"/>
        </w:rPr>
        <w:t>本公司对上述承诺的内容事项真实性负责。如经查实上述承诺的内容事项存在虚假，我公司愿意接受以提供虚假材料谋取中标追究法律责任。</w:t>
      </w:r>
    </w:p>
    <w:p>
      <w:pPr>
        <w:spacing w:line="360" w:lineRule="auto"/>
        <w:ind w:firstLine="560" w:firstLineChars="200"/>
        <w:rPr>
          <w:rFonts w:ascii="宋体" w:hAnsi="宋体" w:cs="宋体"/>
          <w:color w:val="auto"/>
          <w:sz w:val="28"/>
          <w:szCs w:val="28"/>
          <w:highlight w:val="none"/>
        </w:rPr>
      </w:pP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法定代表人/单位负责人或授权代表：（签字或加盖个人名章）</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投标人名称：（单位盖章）</w:t>
      </w:r>
    </w:p>
    <w:p>
      <w:pPr>
        <w:spacing w:line="360" w:lineRule="auto"/>
        <w:jc w:val="left"/>
        <w:rPr>
          <w:rFonts w:ascii="宋体" w:hAnsi="宋体" w:cs="宋体"/>
          <w:color w:val="auto"/>
          <w:sz w:val="24"/>
          <w:highlight w:val="none"/>
          <w:u w:val="single"/>
        </w:rPr>
        <w:sectPr>
          <w:footerReference r:id="rId8" w:type="default"/>
          <w:pgSz w:w="11906" w:h="16838"/>
          <w:pgMar w:top="1440" w:right="1474" w:bottom="1440" w:left="1474" w:header="851" w:footer="567" w:gutter="0"/>
          <w:cols w:space="720" w:num="1"/>
          <w:docGrid w:type="lines" w:linePitch="312" w:charSpace="0"/>
        </w:sectPr>
      </w:pPr>
      <w:r>
        <w:rPr>
          <w:rFonts w:hint="eastAsia" w:ascii="宋体" w:hAnsi="宋体" w:cs="宋体"/>
          <w:color w:val="auto"/>
          <w:sz w:val="24"/>
          <w:highlight w:val="none"/>
        </w:rPr>
        <w:t>投标日期：</w:t>
      </w:r>
    </w:p>
    <w:p>
      <w:pPr>
        <w:spacing w:line="360" w:lineRule="auto"/>
        <w:rPr>
          <w:rFonts w:ascii="宋体" w:hAnsi="宋体" w:cs="宋体"/>
          <w:b/>
          <w:color w:val="auto"/>
          <w:sz w:val="32"/>
          <w:szCs w:val="32"/>
          <w:highlight w:val="none"/>
        </w:rPr>
      </w:pPr>
      <w:r>
        <w:rPr>
          <w:rFonts w:hint="eastAsia" w:ascii="宋体" w:hAnsi="宋体" w:cs="宋体"/>
          <w:b/>
          <w:color w:val="auto"/>
          <w:sz w:val="32"/>
          <w:szCs w:val="32"/>
          <w:highlight w:val="none"/>
        </w:rPr>
        <w:t>格式1-5</w:t>
      </w:r>
    </w:p>
    <w:p>
      <w:pPr>
        <w:spacing w:line="360" w:lineRule="auto"/>
        <w:ind w:firstLine="790" w:firstLineChars="246"/>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投标人和投标产品其他资格、资质性及其他类似效力要求的相关证明材料</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注：投标人应按招标文件第五章相关要求提供佐证材料，有格式要求的从其要求，无格式要求的格式自拟。</w:t>
      </w:r>
    </w:p>
    <w:p>
      <w:pPr>
        <w:spacing w:line="360" w:lineRule="auto"/>
        <w:rPr>
          <w:rFonts w:ascii="宋体" w:hAnsi="宋体" w:cs="宋体"/>
          <w:bCs/>
          <w:color w:val="auto"/>
          <w:sz w:val="24"/>
          <w:highlight w:val="none"/>
        </w:rPr>
      </w:pPr>
    </w:p>
    <w:p>
      <w:pPr>
        <w:pStyle w:val="5"/>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第二部分     “其他响应性投标文件”格式</w:t>
      </w:r>
    </w:p>
    <w:p>
      <w:pPr>
        <w:spacing w:line="360" w:lineRule="auto"/>
        <w:rPr>
          <w:rFonts w:ascii="宋体" w:hAnsi="宋体" w:cs="宋体"/>
          <w:b/>
          <w:color w:val="auto"/>
          <w:sz w:val="32"/>
          <w:szCs w:val="32"/>
          <w:highlight w:val="none"/>
        </w:rPr>
      </w:pPr>
      <w:r>
        <w:rPr>
          <w:rFonts w:hint="eastAsia" w:ascii="宋体" w:hAnsi="宋体" w:cs="宋体"/>
          <w:b/>
          <w:color w:val="auto"/>
          <w:sz w:val="32"/>
          <w:szCs w:val="32"/>
          <w:highlight w:val="none"/>
        </w:rPr>
        <w:t>格式2-1</w:t>
      </w:r>
    </w:p>
    <w:p>
      <w:pPr>
        <w:spacing w:line="360" w:lineRule="auto"/>
        <w:rPr>
          <w:rFonts w:ascii="宋体" w:hAnsi="宋体" w:cs="宋体"/>
          <w:b/>
          <w:color w:val="auto"/>
          <w:sz w:val="32"/>
          <w:szCs w:val="32"/>
          <w:highlight w:val="none"/>
        </w:rPr>
      </w:pPr>
      <w:r>
        <w:rPr>
          <w:rFonts w:hint="eastAsia" w:ascii="宋体" w:hAnsi="宋体" w:cs="宋体"/>
          <w:b/>
          <w:color w:val="auto"/>
          <w:sz w:val="32"/>
          <w:szCs w:val="32"/>
          <w:highlight w:val="none"/>
        </w:rPr>
        <w:t>封面：</w:t>
      </w:r>
    </w:p>
    <w:p>
      <w:pPr>
        <w:spacing w:line="360" w:lineRule="auto"/>
        <w:rPr>
          <w:rFonts w:ascii="宋体" w:hAnsi="宋体" w:cs="宋体"/>
          <w:b/>
          <w:color w:val="auto"/>
          <w:sz w:val="32"/>
          <w:szCs w:val="32"/>
          <w:highlight w:val="none"/>
        </w:rPr>
      </w:pPr>
    </w:p>
    <w:p>
      <w:pPr>
        <w:spacing w:line="360" w:lineRule="auto"/>
        <w:rPr>
          <w:rFonts w:ascii="宋体" w:hAnsi="宋体" w:cs="宋体"/>
          <w:b/>
          <w:color w:val="auto"/>
          <w:sz w:val="32"/>
          <w:szCs w:val="32"/>
          <w:highlight w:val="none"/>
        </w:rPr>
      </w:pPr>
    </w:p>
    <w:p>
      <w:pPr>
        <w:spacing w:line="360" w:lineRule="auto"/>
        <w:jc w:val="center"/>
        <w:rPr>
          <w:rFonts w:ascii="宋体" w:hAnsi="宋体" w:cs="宋体"/>
          <w:b/>
          <w:color w:val="auto"/>
          <w:sz w:val="72"/>
          <w:highlight w:val="none"/>
        </w:rPr>
      </w:pPr>
      <w:r>
        <w:rPr>
          <w:rFonts w:hint="eastAsia" w:ascii="宋体" w:hAnsi="宋体" w:cs="宋体"/>
          <w:b/>
          <w:color w:val="auto"/>
          <w:sz w:val="40"/>
          <w:szCs w:val="48"/>
          <w:highlight w:val="none"/>
        </w:rPr>
        <w:t>项目</w:t>
      </w:r>
    </w:p>
    <w:p>
      <w:pPr>
        <w:spacing w:line="360" w:lineRule="auto"/>
        <w:rPr>
          <w:rFonts w:ascii="宋体" w:hAnsi="宋体" w:cs="宋体"/>
          <w:b/>
          <w:color w:val="auto"/>
          <w:sz w:val="52"/>
          <w:szCs w:val="52"/>
          <w:highlight w:val="non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52"/>
          <w:szCs w:val="52"/>
          <w:highlight w:val="none"/>
        </w:rPr>
        <w:t>其他响应性投标文件</w:t>
      </w:r>
    </w:p>
    <w:p>
      <w:pPr>
        <w:spacing w:line="360" w:lineRule="auto"/>
        <w:rPr>
          <w:rFonts w:ascii="宋体" w:hAnsi="宋体" w:cs="宋体"/>
          <w:b/>
          <w:color w:val="auto"/>
          <w:sz w:val="36"/>
          <w:highlight w:val="none"/>
        </w:rPr>
      </w:pPr>
    </w:p>
    <w:p>
      <w:pPr>
        <w:spacing w:line="360" w:lineRule="auto"/>
        <w:rPr>
          <w:rFonts w:ascii="宋体" w:hAnsi="宋体" w:cs="宋体"/>
          <w:b/>
          <w:color w:val="auto"/>
          <w:sz w:val="36"/>
          <w:highlight w:val="none"/>
        </w:rPr>
      </w:pPr>
    </w:p>
    <w:p>
      <w:pPr>
        <w:spacing w:line="360" w:lineRule="auto"/>
        <w:jc w:val="left"/>
        <w:rPr>
          <w:rFonts w:ascii="宋体" w:hAnsi="宋体" w:cs="宋体"/>
          <w:b/>
          <w:color w:val="auto"/>
          <w:sz w:val="32"/>
          <w:highlight w:val="none"/>
          <w:u w:val="single"/>
        </w:rPr>
      </w:pPr>
      <w:r>
        <w:rPr>
          <w:rFonts w:hint="eastAsia" w:ascii="宋体" w:hAnsi="宋体" w:cs="宋体"/>
          <w:b/>
          <w:color w:val="auto"/>
          <w:sz w:val="32"/>
          <w:highlight w:val="none"/>
        </w:rPr>
        <w:t>投 标 人名称：</w:t>
      </w:r>
    </w:p>
    <w:p>
      <w:pPr>
        <w:spacing w:line="360" w:lineRule="auto"/>
        <w:jc w:val="left"/>
        <w:rPr>
          <w:rFonts w:ascii="宋体" w:hAnsi="宋体" w:cs="宋体"/>
          <w:b/>
          <w:color w:val="auto"/>
          <w:sz w:val="32"/>
          <w:highlight w:val="none"/>
        </w:rPr>
      </w:pPr>
      <w:r>
        <w:rPr>
          <w:rFonts w:hint="eastAsia" w:ascii="宋体" w:hAnsi="宋体" w:cs="宋体"/>
          <w:b/>
          <w:color w:val="auto"/>
          <w:sz w:val="32"/>
          <w:highlight w:val="none"/>
        </w:rPr>
        <w:t>采购项目编号：</w:t>
      </w:r>
    </w:p>
    <w:p>
      <w:pPr>
        <w:spacing w:line="360" w:lineRule="auto"/>
        <w:jc w:val="left"/>
        <w:rPr>
          <w:rFonts w:ascii="宋体" w:hAnsi="宋体" w:cs="宋体"/>
          <w:b/>
          <w:color w:val="auto"/>
          <w:sz w:val="32"/>
          <w:highlight w:val="none"/>
        </w:rPr>
      </w:pPr>
      <w:r>
        <w:rPr>
          <w:rFonts w:hint="eastAsia" w:ascii="宋体" w:hAnsi="宋体" w:cs="宋体"/>
          <w:b/>
          <w:color w:val="auto"/>
          <w:sz w:val="32"/>
          <w:highlight w:val="none"/>
        </w:rPr>
        <w:t>包号：</w:t>
      </w:r>
    </w:p>
    <w:p>
      <w:pPr>
        <w:spacing w:line="360" w:lineRule="auto"/>
        <w:jc w:val="left"/>
        <w:rPr>
          <w:rFonts w:ascii="宋体" w:hAnsi="宋体" w:cs="宋体"/>
          <w:b/>
          <w:color w:val="auto"/>
          <w:sz w:val="32"/>
          <w:highlight w:val="none"/>
          <w:u w:val="single"/>
        </w:rPr>
      </w:pPr>
    </w:p>
    <w:p>
      <w:pPr>
        <w:spacing w:line="360" w:lineRule="auto"/>
        <w:ind w:firstLine="790" w:firstLineChars="246"/>
        <w:jc w:val="center"/>
        <w:rPr>
          <w:rFonts w:ascii="宋体" w:hAnsi="宋体" w:cs="宋体"/>
          <w:b/>
          <w:color w:val="auto"/>
          <w:sz w:val="32"/>
          <w:highlight w:val="none"/>
        </w:rPr>
      </w:pPr>
    </w:p>
    <w:p>
      <w:pPr>
        <w:spacing w:line="360" w:lineRule="auto"/>
        <w:ind w:firstLine="790" w:firstLineChars="246"/>
        <w:jc w:val="center"/>
        <w:rPr>
          <w:rFonts w:ascii="宋体" w:hAnsi="宋体" w:cs="宋体"/>
          <w:b/>
          <w:color w:val="auto"/>
          <w:sz w:val="32"/>
          <w:highlight w:val="none"/>
        </w:rPr>
      </w:pPr>
      <w:r>
        <w:rPr>
          <w:rFonts w:hint="eastAsia" w:ascii="宋体" w:hAnsi="宋体" w:cs="宋体"/>
          <w:b/>
          <w:color w:val="auto"/>
          <w:sz w:val="32"/>
          <w:highlight w:val="none"/>
        </w:rPr>
        <w:t>投标日期： 年  月  日</w:t>
      </w:r>
    </w:p>
    <w:p>
      <w:pPr>
        <w:spacing w:line="360" w:lineRule="auto"/>
        <w:rPr>
          <w:rFonts w:ascii="宋体" w:hAnsi="宋体" w:cs="宋体"/>
          <w:b/>
          <w:color w:val="auto"/>
          <w:sz w:val="32"/>
          <w:szCs w:val="32"/>
          <w:highlight w:val="none"/>
        </w:rPr>
      </w:pPr>
      <w:r>
        <w:rPr>
          <w:rFonts w:hint="eastAsia" w:ascii="宋体" w:hAnsi="宋体" w:cs="宋体"/>
          <w:b/>
          <w:color w:val="auto"/>
          <w:sz w:val="32"/>
          <w:highlight w:val="none"/>
        </w:rPr>
        <w:br w:type="page"/>
      </w:r>
      <w:r>
        <w:rPr>
          <w:rFonts w:hint="eastAsia" w:ascii="宋体" w:hAnsi="宋体" w:cs="宋体"/>
          <w:b/>
          <w:color w:val="auto"/>
          <w:sz w:val="32"/>
          <w:szCs w:val="32"/>
          <w:highlight w:val="none"/>
        </w:rPr>
        <w:t>格式2-2</w:t>
      </w:r>
    </w:p>
    <w:p>
      <w:pPr>
        <w:widowControl/>
        <w:numPr>
          <w:ilvl w:val="0"/>
          <w:numId w:val="7"/>
        </w:numPr>
        <w:spacing w:line="360" w:lineRule="auto"/>
        <w:jc w:val="center"/>
        <w:outlineLvl w:val="1"/>
        <w:rPr>
          <w:rFonts w:ascii="宋体" w:hAnsi="宋体" w:cs="宋体"/>
          <w:b/>
          <w:color w:val="auto"/>
          <w:sz w:val="32"/>
          <w:szCs w:val="32"/>
          <w:highlight w:val="none"/>
        </w:rPr>
      </w:pPr>
      <w:r>
        <w:rPr>
          <w:rFonts w:hint="eastAsia" w:ascii="宋体" w:hAnsi="宋体" w:cs="宋体"/>
          <w:b/>
          <w:color w:val="auto"/>
          <w:sz w:val="32"/>
          <w:szCs w:val="32"/>
          <w:highlight w:val="none"/>
        </w:rPr>
        <w:t>投 标 函</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四川轩辕招标代理有限公司：</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我方全面研究了 “</w:t>
      </w:r>
      <w:r>
        <w:rPr>
          <w:rFonts w:hint="eastAsia" w:ascii="宋体" w:hAnsi="宋体" w:cs="宋体"/>
          <w:color w:val="auto"/>
          <w:sz w:val="24"/>
          <w:highlight w:val="none"/>
          <w:u w:val="single"/>
        </w:rPr>
        <w:t>　　　　　　　　　　　　　　　</w:t>
      </w:r>
      <w:r>
        <w:rPr>
          <w:rFonts w:hint="eastAsia" w:ascii="宋体" w:hAnsi="宋体" w:cs="宋体"/>
          <w:color w:val="auto"/>
          <w:sz w:val="24"/>
          <w:highlight w:val="none"/>
        </w:rPr>
        <w:t>”项目招标文件（采购项目编号：　　），决定参加贵单位组织的本项目投标。我方授权</w:t>
      </w:r>
      <w:r>
        <w:rPr>
          <w:rFonts w:hint="eastAsia" w:ascii="宋体" w:hAnsi="宋体" w:cs="宋体"/>
          <w:color w:val="auto"/>
          <w:sz w:val="24"/>
          <w:highlight w:val="none"/>
          <w:u w:val="single"/>
        </w:rPr>
        <w:t xml:space="preserve">           （姓名、职务）</w:t>
      </w:r>
      <w:r>
        <w:rPr>
          <w:rFonts w:hint="eastAsia" w:ascii="宋体" w:hAnsi="宋体" w:cs="宋体"/>
          <w:color w:val="auto"/>
          <w:sz w:val="24"/>
          <w:highlight w:val="none"/>
        </w:rPr>
        <w:t>代表我方</w:t>
      </w:r>
      <w:r>
        <w:rPr>
          <w:rFonts w:hint="eastAsia" w:ascii="宋体" w:hAnsi="宋体" w:cs="宋体"/>
          <w:color w:val="auto"/>
          <w:sz w:val="24"/>
          <w:highlight w:val="none"/>
          <w:u w:val="single"/>
        </w:rPr>
        <w:t xml:space="preserve">            （投标人名称）</w:t>
      </w:r>
      <w:r>
        <w:rPr>
          <w:rFonts w:hint="eastAsia" w:ascii="宋体" w:hAnsi="宋体" w:cs="宋体"/>
          <w:color w:val="auto"/>
          <w:sz w:val="24"/>
          <w:highlight w:val="none"/>
        </w:rPr>
        <w:t>全权处理本项目投标的有关事宜。</w:t>
      </w:r>
    </w:p>
    <w:p>
      <w:pPr>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1、我方自愿按照招标文件规定的各项要求向采购人提供本项目所需货物及服务，</w:t>
      </w:r>
      <w:r>
        <w:rPr>
          <w:rFonts w:hint="eastAsia" w:ascii="宋体" w:hAnsi="宋体" w:cs="宋体"/>
          <w:b/>
          <w:color w:val="auto"/>
          <w:sz w:val="24"/>
          <w:highlight w:val="none"/>
        </w:rPr>
        <w:t>总投标报价以《开标一览表》为准。</w:t>
      </w:r>
    </w:p>
    <w:p>
      <w:pPr>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2、一旦我方中标，我方将严格履行政府采购合同规定的责任和义务，否则将承担由此产生的一切责任。</w:t>
      </w:r>
    </w:p>
    <w:p>
      <w:pPr>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3、我方同意本次招标的投标有效期从提交投标文件的截止之日起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w:t>
      </w:r>
    </w:p>
    <w:p>
      <w:pPr>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4、我方愿意提供贵单位可能另外要求的，与投标有关的文件资料，并保证我方已提供和将要提供的文件资料是真实、准确的。</w:t>
      </w:r>
    </w:p>
    <w:p>
      <w:pPr>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5、我单位联系方式：</w:t>
      </w:r>
    </w:p>
    <w:p>
      <w:pPr>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 xml:space="preserve">地址：                                </w:t>
      </w:r>
    </w:p>
    <w:p>
      <w:pPr>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联系人：</w:t>
      </w:r>
    </w:p>
    <w:p>
      <w:pPr>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联系电话：</w:t>
      </w:r>
    </w:p>
    <w:p>
      <w:pPr>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 xml:space="preserve">传真：                     </w:t>
      </w:r>
    </w:p>
    <w:p>
      <w:pPr>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邮政编码：</w:t>
      </w:r>
    </w:p>
    <w:p>
      <w:pPr>
        <w:spacing w:line="360" w:lineRule="auto"/>
        <w:jc w:val="left"/>
        <w:rPr>
          <w:rFonts w:ascii="宋体" w:hAnsi="宋体" w:cs="宋体"/>
          <w:color w:val="auto"/>
          <w:sz w:val="24"/>
          <w:highlight w:val="none"/>
        </w:rPr>
      </w:pP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法定代表人/单位负责人或授权代表：（签字或加盖个人名章）</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投标人名称：（单位盖章）</w:t>
      </w:r>
    </w:p>
    <w:p>
      <w:pPr>
        <w:spacing w:line="360" w:lineRule="auto"/>
        <w:rPr>
          <w:rFonts w:ascii="宋体" w:hAnsi="宋体" w:cs="宋体"/>
          <w:b/>
          <w:color w:val="auto"/>
          <w:sz w:val="32"/>
          <w:szCs w:val="32"/>
          <w:highlight w:val="none"/>
        </w:rPr>
      </w:pPr>
      <w:r>
        <w:rPr>
          <w:rFonts w:hint="eastAsia" w:ascii="宋体" w:hAnsi="宋体" w:cs="宋体"/>
          <w:color w:val="auto"/>
          <w:sz w:val="24"/>
          <w:highlight w:val="none"/>
        </w:rPr>
        <w:t>投标日期：</w:t>
      </w: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格式2-3</w:t>
      </w:r>
    </w:p>
    <w:p>
      <w:pPr>
        <w:widowControl/>
        <w:numPr>
          <w:ilvl w:val="0"/>
          <w:numId w:val="7"/>
        </w:numPr>
        <w:spacing w:line="360" w:lineRule="auto"/>
        <w:jc w:val="center"/>
        <w:outlineLvl w:val="1"/>
        <w:rPr>
          <w:rFonts w:ascii="宋体" w:hAnsi="宋体" w:cs="宋体"/>
          <w:b/>
          <w:color w:val="auto"/>
          <w:sz w:val="32"/>
          <w:szCs w:val="32"/>
          <w:highlight w:val="none"/>
        </w:rPr>
      </w:pPr>
      <w:r>
        <w:rPr>
          <w:rFonts w:hint="eastAsia" w:ascii="宋体" w:hAnsi="宋体" w:cs="宋体"/>
          <w:b/>
          <w:color w:val="auto"/>
          <w:sz w:val="32"/>
          <w:szCs w:val="32"/>
          <w:highlight w:val="none"/>
        </w:rPr>
        <w:t>承诺函</w:t>
      </w:r>
    </w:p>
    <w:p>
      <w:pPr>
        <w:spacing w:line="360" w:lineRule="auto"/>
        <w:rPr>
          <w:rFonts w:ascii="宋体" w:hAnsi="宋体" w:cs="宋体"/>
          <w:color w:val="auto"/>
          <w:sz w:val="24"/>
          <w:highlight w:val="none"/>
        </w:rPr>
      </w:pPr>
      <w:r>
        <w:rPr>
          <w:rFonts w:hint="eastAsia" w:ascii="宋体" w:hAnsi="宋体" w:cs="宋体"/>
          <w:color w:val="auto"/>
          <w:sz w:val="24"/>
          <w:highlight w:val="none"/>
        </w:rPr>
        <w:t>四川轩辕招标代理有限公司：</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我单位作为本次采购项目的投标人，根据招标文件要求，现郑重承诺如下：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完全接受和满足本项目招标文件中规定的实质性要求（如合格的投标人、投标费用、充分、公平竞争保障措施、投标文件的语言、计量单位、投标货币、知识产权、招标文件报价要求（报价部分）、投标保证金、投标有效期、合同分包、合同转包等实质性要求），如对招标文件有异议，已依法进行维权救济，不存在对招标文件有异议的同时又参加投标以求侥幸中标或者为实现其他非法目的的行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参加本次招标采购活动，不存在与单位负责人为同一人或者存在直接控股、管理关系的其他供应商参与同一合同项下的政府采购活动的行为。为采购项目提供整体设计、规范编制或者项目管理、监理、检测等服务的供应商，不得再参加该采购项目的其他采购活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三、参加本次招标采购活动，不存在和其他供应商在同一合同项下的采购项目中，同时委托同一个自然人、同一家庭的人员、同一单位的人员作为代理人的行为。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四、为采购项目提供整体设计、规范编制或者项目管理、监理、检测等服务的供应商，不得再参加该采购项目的其他采购活动，我单位承诺不属于此类禁止参加本项目的供应商。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五、投标文件中提供的能够给予我单位带来优惠、好处的任何材料资料和技术、服务、商务、响应产品等响应承诺情况都是真实的、有效的、合法的。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六、如本项目评标过程中需要提供样品，则我单位提供的样品即为中标后将要提供的中标产品，我单位对提供样品的性能和质量负责，因样品存在缺陷或者不符合招标文件要求导致未能中标的，我单位愿意承担相应不利后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本单位对上述承诺的内容事项真实性负责。如经查实上述承诺的内容事项存在虚假，我单位愿意接受以提供虚假材料谋取中标追究法律责任。</w:t>
      </w:r>
    </w:p>
    <w:p>
      <w:pPr>
        <w:spacing w:line="360" w:lineRule="auto"/>
        <w:rPr>
          <w:rFonts w:ascii="宋体" w:hAnsi="宋体" w:cs="宋体"/>
          <w:color w:val="auto"/>
          <w:highlight w:val="none"/>
        </w:rPr>
      </w:pP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法定代表人/单位负责人或授权代表：（签字或加盖个人名章）</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投标人名称：（单位盖章）</w:t>
      </w:r>
    </w:p>
    <w:p>
      <w:pPr>
        <w:spacing w:line="360" w:lineRule="auto"/>
        <w:rPr>
          <w:rFonts w:ascii="宋体" w:hAnsi="宋体" w:cs="宋体"/>
          <w:b/>
          <w:color w:val="auto"/>
          <w:sz w:val="32"/>
          <w:szCs w:val="32"/>
          <w:highlight w:val="none"/>
        </w:rPr>
      </w:pPr>
      <w:r>
        <w:rPr>
          <w:rFonts w:hint="eastAsia" w:ascii="宋体" w:hAnsi="宋体" w:cs="宋体"/>
          <w:color w:val="auto"/>
          <w:sz w:val="24"/>
          <w:highlight w:val="none"/>
        </w:rPr>
        <w:t>投标日期：</w:t>
      </w: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格式2-4</w:t>
      </w:r>
    </w:p>
    <w:p>
      <w:pPr>
        <w:widowControl/>
        <w:numPr>
          <w:ilvl w:val="0"/>
          <w:numId w:val="8"/>
        </w:numPr>
        <w:spacing w:line="360" w:lineRule="auto"/>
        <w:jc w:val="center"/>
        <w:outlineLvl w:val="1"/>
        <w:rPr>
          <w:rFonts w:ascii="宋体" w:hAnsi="宋体" w:cs="宋体"/>
          <w:b/>
          <w:color w:val="auto"/>
          <w:sz w:val="32"/>
          <w:szCs w:val="32"/>
          <w:highlight w:val="none"/>
        </w:rPr>
      </w:pPr>
      <w:r>
        <w:rPr>
          <w:rFonts w:hint="eastAsia" w:ascii="宋体" w:hAnsi="宋体" w:cs="宋体"/>
          <w:b/>
          <w:color w:val="auto"/>
          <w:sz w:val="32"/>
          <w:szCs w:val="32"/>
          <w:highlight w:val="none"/>
        </w:rPr>
        <w:t>开标一览表</w:t>
      </w:r>
    </w:p>
    <w:p>
      <w:pPr>
        <w:widowControl/>
        <w:spacing w:line="360" w:lineRule="auto"/>
        <w:ind w:firstLine="422" w:firstLineChars="200"/>
        <w:jc w:val="left"/>
        <w:rPr>
          <w:rFonts w:ascii="宋体" w:hAnsi="宋体" w:cs="宋体"/>
          <w:b/>
          <w:bCs/>
          <w:color w:val="auto"/>
          <w:highlight w:val="none"/>
        </w:rPr>
      </w:pPr>
      <w:r>
        <w:rPr>
          <w:rFonts w:hint="eastAsia" w:ascii="宋体" w:hAnsi="宋体" w:cs="宋体"/>
          <w:b/>
          <w:bCs/>
          <w:color w:val="auto"/>
          <w:highlight w:val="none"/>
        </w:rPr>
        <w:t>项目名称：</w:t>
      </w:r>
    </w:p>
    <w:p>
      <w:pPr>
        <w:widowControl/>
        <w:spacing w:line="360" w:lineRule="auto"/>
        <w:ind w:firstLine="422" w:firstLineChars="200"/>
        <w:jc w:val="left"/>
        <w:rPr>
          <w:rFonts w:ascii="宋体" w:hAnsi="宋体" w:cs="宋体"/>
          <w:b/>
          <w:bCs/>
          <w:color w:val="auto"/>
          <w:highlight w:val="none"/>
        </w:rPr>
      </w:pPr>
      <w:r>
        <w:rPr>
          <w:rFonts w:hint="eastAsia" w:ascii="宋体" w:hAnsi="宋体" w:cs="宋体"/>
          <w:b/>
          <w:bCs/>
          <w:color w:val="auto"/>
          <w:highlight w:val="none"/>
        </w:rPr>
        <w:t>采购项目编号：</w:t>
      </w:r>
    </w:p>
    <w:p>
      <w:pPr>
        <w:widowControl/>
        <w:spacing w:line="360" w:lineRule="auto"/>
        <w:ind w:firstLine="422" w:firstLineChars="200"/>
        <w:jc w:val="left"/>
        <w:rPr>
          <w:rFonts w:ascii="宋体" w:hAnsi="宋体" w:cs="宋体"/>
          <w:b/>
          <w:bCs/>
          <w:color w:val="auto"/>
          <w:highlight w:val="none"/>
        </w:rPr>
      </w:pPr>
      <w:r>
        <w:rPr>
          <w:rFonts w:hint="eastAsia" w:ascii="宋体" w:hAnsi="宋体" w:cs="宋体"/>
          <w:b/>
          <w:bCs/>
          <w:color w:val="auto"/>
          <w:highlight w:val="none"/>
        </w:rPr>
        <w:t>包号:</w:t>
      </w:r>
    </w:p>
    <w:tbl>
      <w:tblPr>
        <w:tblStyle w:val="35"/>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937"/>
        <w:gridCol w:w="1400"/>
        <w:gridCol w:w="912"/>
        <w:gridCol w:w="1213"/>
        <w:gridCol w:w="1150"/>
        <w:gridCol w:w="850"/>
        <w:gridCol w:w="1325"/>
        <w:gridCol w:w="6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54"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序号</w:t>
            </w:r>
          </w:p>
        </w:tc>
        <w:tc>
          <w:tcPr>
            <w:tcW w:w="937"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名称</w:t>
            </w:r>
          </w:p>
        </w:tc>
        <w:tc>
          <w:tcPr>
            <w:tcW w:w="1400"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制造商家及</w:t>
            </w:r>
          </w:p>
          <w:p>
            <w:pPr>
              <w:spacing w:line="360" w:lineRule="auto"/>
              <w:jc w:val="center"/>
              <w:rPr>
                <w:rFonts w:ascii="宋体" w:hAnsi="宋体" w:cs="宋体"/>
                <w:color w:val="auto"/>
                <w:highlight w:val="none"/>
              </w:rPr>
            </w:pPr>
            <w:r>
              <w:rPr>
                <w:rFonts w:hint="eastAsia" w:ascii="宋体" w:hAnsi="宋体" w:cs="宋体"/>
                <w:color w:val="auto"/>
                <w:highlight w:val="none"/>
              </w:rPr>
              <w:t>规格型号</w:t>
            </w:r>
          </w:p>
        </w:tc>
        <w:tc>
          <w:tcPr>
            <w:tcW w:w="912"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数量</w:t>
            </w:r>
          </w:p>
        </w:tc>
        <w:tc>
          <w:tcPr>
            <w:tcW w:w="1213"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投标单价</w:t>
            </w:r>
          </w:p>
          <w:p>
            <w:pPr>
              <w:spacing w:line="360" w:lineRule="auto"/>
              <w:jc w:val="center"/>
              <w:rPr>
                <w:rFonts w:ascii="宋体" w:hAnsi="宋体" w:cs="宋体"/>
                <w:color w:val="auto"/>
                <w:highlight w:val="none"/>
              </w:rPr>
            </w:pPr>
            <w:r>
              <w:rPr>
                <w:rFonts w:hint="eastAsia" w:ascii="宋体" w:hAnsi="宋体" w:cs="宋体"/>
                <w:color w:val="auto"/>
                <w:highlight w:val="none"/>
              </w:rPr>
              <w:t>（万元）</w:t>
            </w:r>
          </w:p>
        </w:tc>
        <w:tc>
          <w:tcPr>
            <w:tcW w:w="1150"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投标总价</w:t>
            </w:r>
          </w:p>
          <w:p>
            <w:pPr>
              <w:spacing w:line="360" w:lineRule="auto"/>
              <w:jc w:val="center"/>
              <w:rPr>
                <w:rFonts w:ascii="宋体" w:hAnsi="宋体" w:cs="宋体"/>
                <w:color w:val="auto"/>
                <w:highlight w:val="none"/>
              </w:rPr>
            </w:pPr>
            <w:r>
              <w:rPr>
                <w:rFonts w:hint="eastAsia" w:ascii="宋体" w:hAnsi="宋体" w:cs="宋体"/>
                <w:color w:val="auto"/>
                <w:highlight w:val="none"/>
              </w:rPr>
              <w:t>（万元）</w:t>
            </w:r>
          </w:p>
        </w:tc>
        <w:tc>
          <w:tcPr>
            <w:tcW w:w="850"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交货</w:t>
            </w:r>
          </w:p>
          <w:p>
            <w:pPr>
              <w:spacing w:line="360" w:lineRule="auto"/>
              <w:jc w:val="center"/>
              <w:rPr>
                <w:rFonts w:ascii="宋体" w:hAnsi="宋体" w:cs="宋体"/>
                <w:color w:val="auto"/>
                <w:highlight w:val="none"/>
              </w:rPr>
            </w:pPr>
            <w:r>
              <w:rPr>
                <w:rFonts w:hint="eastAsia" w:ascii="宋体" w:hAnsi="宋体" w:cs="宋体"/>
                <w:color w:val="auto"/>
                <w:highlight w:val="none"/>
              </w:rPr>
              <w:t>时间</w:t>
            </w:r>
          </w:p>
        </w:tc>
        <w:tc>
          <w:tcPr>
            <w:tcW w:w="1325"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是否属于</w:t>
            </w:r>
          </w:p>
          <w:p>
            <w:pPr>
              <w:spacing w:line="360" w:lineRule="auto"/>
              <w:jc w:val="center"/>
              <w:rPr>
                <w:rFonts w:ascii="宋体" w:hAnsi="宋体" w:cs="宋体"/>
                <w:color w:val="auto"/>
                <w:highlight w:val="none"/>
              </w:rPr>
            </w:pPr>
            <w:r>
              <w:rPr>
                <w:rFonts w:hint="eastAsia" w:ascii="宋体" w:hAnsi="宋体" w:cs="宋体"/>
                <w:color w:val="auto"/>
                <w:highlight w:val="none"/>
              </w:rPr>
              <w:t>进口产品</w:t>
            </w:r>
          </w:p>
        </w:tc>
        <w:tc>
          <w:tcPr>
            <w:tcW w:w="691"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54" w:type="dxa"/>
          </w:tcPr>
          <w:p>
            <w:pPr>
              <w:spacing w:line="360" w:lineRule="auto"/>
              <w:rPr>
                <w:rFonts w:ascii="宋体" w:hAnsi="宋体" w:cs="宋体"/>
                <w:color w:val="auto"/>
                <w:highlight w:val="none"/>
              </w:rPr>
            </w:pPr>
          </w:p>
        </w:tc>
        <w:tc>
          <w:tcPr>
            <w:tcW w:w="937" w:type="dxa"/>
            <w:vAlign w:val="center"/>
          </w:tcPr>
          <w:p>
            <w:pPr>
              <w:spacing w:line="360" w:lineRule="auto"/>
              <w:rPr>
                <w:rFonts w:ascii="宋体" w:hAnsi="宋体" w:cs="宋体"/>
                <w:color w:val="auto"/>
                <w:highlight w:val="none"/>
              </w:rPr>
            </w:pPr>
          </w:p>
        </w:tc>
        <w:tc>
          <w:tcPr>
            <w:tcW w:w="1400" w:type="dxa"/>
            <w:vAlign w:val="center"/>
          </w:tcPr>
          <w:p>
            <w:pPr>
              <w:spacing w:line="360" w:lineRule="auto"/>
              <w:rPr>
                <w:rFonts w:ascii="宋体" w:hAnsi="宋体" w:cs="宋体"/>
                <w:color w:val="auto"/>
                <w:highlight w:val="none"/>
              </w:rPr>
            </w:pPr>
          </w:p>
        </w:tc>
        <w:tc>
          <w:tcPr>
            <w:tcW w:w="912" w:type="dxa"/>
            <w:vAlign w:val="center"/>
          </w:tcPr>
          <w:p>
            <w:pPr>
              <w:spacing w:line="360" w:lineRule="auto"/>
              <w:rPr>
                <w:rFonts w:ascii="宋体" w:hAnsi="宋体" w:cs="宋体"/>
                <w:color w:val="auto"/>
                <w:highlight w:val="none"/>
              </w:rPr>
            </w:pPr>
          </w:p>
        </w:tc>
        <w:tc>
          <w:tcPr>
            <w:tcW w:w="1213" w:type="dxa"/>
            <w:vAlign w:val="center"/>
          </w:tcPr>
          <w:p>
            <w:pPr>
              <w:spacing w:line="360" w:lineRule="auto"/>
              <w:rPr>
                <w:rFonts w:ascii="宋体" w:hAnsi="宋体" w:cs="宋体"/>
                <w:color w:val="auto"/>
                <w:highlight w:val="none"/>
              </w:rPr>
            </w:pPr>
          </w:p>
        </w:tc>
        <w:tc>
          <w:tcPr>
            <w:tcW w:w="1150" w:type="dxa"/>
            <w:vAlign w:val="center"/>
          </w:tcPr>
          <w:p>
            <w:pPr>
              <w:spacing w:line="360" w:lineRule="auto"/>
              <w:rPr>
                <w:rFonts w:ascii="宋体" w:hAnsi="宋体" w:cs="宋体"/>
                <w:color w:val="auto"/>
                <w:highlight w:val="none"/>
              </w:rPr>
            </w:pPr>
          </w:p>
        </w:tc>
        <w:tc>
          <w:tcPr>
            <w:tcW w:w="850" w:type="dxa"/>
            <w:vAlign w:val="center"/>
          </w:tcPr>
          <w:p>
            <w:pPr>
              <w:spacing w:line="360" w:lineRule="auto"/>
              <w:rPr>
                <w:rFonts w:ascii="宋体" w:hAnsi="宋体" w:cs="宋体"/>
                <w:color w:val="auto"/>
                <w:highlight w:val="none"/>
              </w:rPr>
            </w:pPr>
          </w:p>
        </w:tc>
        <w:tc>
          <w:tcPr>
            <w:tcW w:w="1325" w:type="dxa"/>
            <w:vAlign w:val="center"/>
          </w:tcPr>
          <w:p>
            <w:pPr>
              <w:spacing w:line="360" w:lineRule="auto"/>
              <w:rPr>
                <w:rFonts w:ascii="宋体" w:hAnsi="宋体" w:cs="宋体"/>
                <w:color w:val="auto"/>
                <w:highlight w:val="none"/>
              </w:rPr>
            </w:pPr>
          </w:p>
        </w:tc>
        <w:tc>
          <w:tcPr>
            <w:tcW w:w="691" w:type="dxa"/>
            <w:vAlign w:val="center"/>
          </w:tcPr>
          <w:p>
            <w:pPr>
              <w:spacing w:line="360" w:lineRule="auto"/>
              <w:rPr>
                <w:rFonts w:ascii="宋体" w:hAnsi="宋体" w:cs="宋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54" w:type="dxa"/>
          </w:tcPr>
          <w:p>
            <w:pPr>
              <w:spacing w:line="360" w:lineRule="auto"/>
              <w:rPr>
                <w:rFonts w:ascii="宋体" w:hAnsi="宋体" w:cs="宋体"/>
                <w:color w:val="auto"/>
                <w:highlight w:val="none"/>
              </w:rPr>
            </w:pPr>
          </w:p>
        </w:tc>
        <w:tc>
          <w:tcPr>
            <w:tcW w:w="937" w:type="dxa"/>
            <w:vAlign w:val="center"/>
          </w:tcPr>
          <w:p>
            <w:pPr>
              <w:spacing w:line="360" w:lineRule="auto"/>
              <w:rPr>
                <w:rFonts w:ascii="宋体" w:hAnsi="宋体" w:cs="宋体"/>
                <w:color w:val="auto"/>
                <w:highlight w:val="none"/>
              </w:rPr>
            </w:pPr>
          </w:p>
        </w:tc>
        <w:tc>
          <w:tcPr>
            <w:tcW w:w="1400" w:type="dxa"/>
            <w:vAlign w:val="center"/>
          </w:tcPr>
          <w:p>
            <w:pPr>
              <w:spacing w:line="360" w:lineRule="auto"/>
              <w:rPr>
                <w:rFonts w:ascii="宋体" w:hAnsi="宋体" w:cs="宋体"/>
                <w:color w:val="auto"/>
                <w:highlight w:val="none"/>
              </w:rPr>
            </w:pPr>
          </w:p>
        </w:tc>
        <w:tc>
          <w:tcPr>
            <w:tcW w:w="912" w:type="dxa"/>
            <w:vAlign w:val="center"/>
          </w:tcPr>
          <w:p>
            <w:pPr>
              <w:spacing w:line="360" w:lineRule="auto"/>
              <w:rPr>
                <w:rFonts w:ascii="宋体" w:hAnsi="宋体" w:cs="宋体"/>
                <w:color w:val="auto"/>
                <w:highlight w:val="none"/>
              </w:rPr>
            </w:pPr>
          </w:p>
        </w:tc>
        <w:tc>
          <w:tcPr>
            <w:tcW w:w="1213" w:type="dxa"/>
            <w:vAlign w:val="center"/>
          </w:tcPr>
          <w:p>
            <w:pPr>
              <w:spacing w:line="360" w:lineRule="auto"/>
              <w:rPr>
                <w:rFonts w:ascii="宋体" w:hAnsi="宋体" w:cs="宋体"/>
                <w:color w:val="auto"/>
                <w:highlight w:val="none"/>
              </w:rPr>
            </w:pPr>
          </w:p>
        </w:tc>
        <w:tc>
          <w:tcPr>
            <w:tcW w:w="1150" w:type="dxa"/>
            <w:vAlign w:val="center"/>
          </w:tcPr>
          <w:p>
            <w:pPr>
              <w:spacing w:line="360" w:lineRule="auto"/>
              <w:rPr>
                <w:rFonts w:ascii="宋体" w:hAnsi="宋体" w:cs="宋体"/>
                <w:color w:val="auto"/>
                <w:highlight w:val="none"/>
              </w:rPr>
            </w:pPr>
          </w:p>
        </w:tc>
        <w:tc>
          <w:tcPr>
            <w:tcW w:w="850" w:type="dxa"/>
            <w:vAlign w:val="center"/>
          </w:tcPr>
          <w:p>
            <w:pPr>
              <w:spacing w:line="360" w:lineRule="auto"/>
              <w:rPr>
                <w:rFonts w:ascii="宋体" w:hAnsi="宋体" w:cs="宋体"/>
                <w:color w:val="auto"/>
                <w:highlight w:val="none"/>
              </w:rPr>
            </w:pPr>
          </w:p>
        </w:tc>
        <w:tc>
          <w:tcPr>
            <w:tcW w:w="1325" w:type="dxa"/>
            <w:vAlign w:val="center"/>
          </w:tcPr>
          <w:p>
            <w:pPr>
              <w:spacing w:line="360" w:lineRule="auto"/>
              <w:rPr>
                <w:rFonts w:ascii="宋体" w:hAnsi="宋体" w:cs="宋体"/>
                <w:color w:val="auto"/>
                <w:highlight w:val="none"/>
              </w:rPr>
            </w:pPr>
          </w:p>
        </w:tc>
        <w:tc>
          <w:tcPr>
            <w:tcW w:w="691" w:type="dxa"/>
            <w:vAlign w:val="center"/>
          </w:tcPr>
          <w:p>
            <w:pPr>
              <w:spacing w:line="360" w:lineRule="auto"/>
              <w:rPr>
                <w:rFonts w:ascii="宋体" w:hAnsi="宋体" w:cs="宋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54" w:type="dxa"/>
          </w:tcPr>
          <w:p>
            <w:pPr>
              <w:spacing w:line="360" w:lineRule="auto"/>
              <w:rPr>
                <w:rFonts w:ascii="宋体" w:hAnsi="宋体" w:cs="宋体"/>
                <w:color w:val="auto"/>
                <w:highlight w:val="none"/>
              </w:rPr>
            </w:pPr>
          </w:p>
        </w:tc>
        <w:tc>
          <w:tcPr>
            <w:tcW w:w="937" w:type="dxa"/>
            <w:vAlign w:val="center"/>
          </w:tcPr>
          <w:p>
            <w:pPr>
              <w:spacing w:line="360" w:lineRule="auto"/>
              <w:rPr>
                <w:rFonts w:ascii="宋体" w:hAnsi="宋体" w:cs="宋体"/>
                <w:color w:val="auto"/>
                <w:highlight w:val="none"/>
              </w:rPr>
            </w:pPr>
          </w:p>
        </w:tc>
        <w:tc>
          <w:tcPr>
            <w:tcW w:w="1400" w:type="dxa"/>
            <w:vAlign w:val="center"/>
          </w:tcPr>
          <w:p>
            <w:pPr>
              <w:spacing w:line="360" w:lineRule="auto"/>
              <w:rPr>
                <w:rFonts w:ascii="宋体" w:hAnsi="宋体" w:cs="宋体"/>
                <w:color w:val="auto"/>
                <w:highlight w:val="none"/>
              </w:rPr>
            </w:pPr>
          </w:p>
        </w:tc>
        <w:tc>
          <w:tcPr>
            <w:tcW w:w="912" w:type="dxa"/>
            <w:vAlign w:val="center"/>
          </w:tcPr>
          <w:p>
            <w:pPr>
              <w:spacing w:line="360" w:lineRule="auto"/>
              <w:rPr>
                <w:rFonts w:ascii="宋体" w:hAnsi="宋体" w:cs="宋体"/>
                <w:color w:val="auto"/>
                <w:highlight w:val="none"/>
              </w:rPr>
            </w:pPr>
          </w:p>
        </w:tc>
        <w:tc>
          <w:tcPr>
            <w:tcW w:w="1213" w:type="dxa"/>
            <w:vAlign w:val="center"/>
          </w:tcPr>
          <w:p>
            <w:pPr>
              <w:spacing w:line="360" w:lineRule="auto"/>
              <w:rPr>
                <w:rFonts w:ascii="宋体" w:hAnsi="宋体" w:cs="宋体"/>
                <w:color w:val="auto"/>
                <w:highlight w:val="none"/>
              </w:rPr>
            </w:pPr>
          </w:p>
        </w:tc>
        <w:tc>
          <w:tcPr>
            <w:tcW w:w="1150" w:type="dxa"/>
            <w:vAlign w:val="center"/>
          </w:tcPr>
          <w:p>
            <w:pPr>
              <w:spacing w:line="360" w:lineRule="auto"/>
              <w:rPr>
                <w:rFonts w:ascii="宋体" w:hAnsi="宋体" w:cs="宋体"/>
                <w:color w:val="auto"/>
                <w:highlight w:val="none"/>
              </w:rPr>
            </w:pPr>
          </w:p>
        </w:tc>
        <w:tc>
          <w:tcPr>
            <w:tcW w:w="850" w:type="dxa"/>
            <w:vAlign w:val="center"/>
          </w:tcPr>
          <w:p>
            <w:pPr>
              <w:spacing w:line="360" w:lineRule="auto"/>
              <w:rPr>
                <w:rFonts w:ascii="宋体" w:hAnsi="宋体" w:cs="宋体"/>
                <w:color w:val="auto"/>
                <w:highlight w:val="none"/>
              </w:rPr>
            </w:pPr>
          </w:p>
        </w:tc>
        <w:tc>
          <w:tcPr>
            <w:tcW w:w="1325" w:type="dxa"/>
            <w:vAlign w:val="center"/>
          </w:tcPr>
          <w:p>
            <w:pPr>
              <w:spacing w:line="360" w:lineRule="auto"/>
              <w:rPr>
                <w:rFonts w:ascii="宋体" w:hAnsi="宋体" w:cs="宋体"/>
                <w:color w:val="auto"/>
                <w:highlight w:val="none"/>
              </w:rPr>
            </w:pPr>
          </w:p>
        </w:tc>
        <w:tc>
          <w:tcPr>
            <w:tcW w:w="691" w:type="dxa"/>
            <w:vAlign w:val="center"/>
          </w:tcPr>
          <w:p>
            <w:pPr>
              <w:spacing w:line="360" w:lineRule="auto"/>
              <w:rPr>
                <w:rFonts w:ascii="宋体" w:hAnsi="宋体" w:cs="宋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654" w:type="dxa"/>
          </w:tcPr>
          <w:p>
            <w:pPr>
              <w:spacing w:line="360" w:lineRule="auto"/>
              <w:rPr>
                <w:rFonts w:ascii="宋体" w:hAnsi="宋体" w:cs="宋体"/>
                <w:color w:val="auto"/>
                <w:highlight w:val="none"/>
              </w:rPr>
            </w:pPr>
          </w:p>
        </w:tc>
        <w:tc>
          <w:tcPr>
            <w:tcW w:w="8478" w:type="dxa"/>
            <w:gridSpan w:val="8"/>
            <w:vAlign w:val="center"/>
          </w:tcPr>
          <w:p>
            <w:pPr>
              <w:spacing w:line="360" w:lineRule="auto"/>
              <w:rPr>
                <w:rFonts w:ascii="宋体" w:hAnsi="宋体" w:cs="宋体"/>
                <w:color w:val="auto"/>
                <w:highlight w:val="none"/>
              </w:rPr>
            </w:pPr>
            <w:r>
              <w:rPr>
                <w:rFonts w:hint="eastAsia" w:ascii="宋体" w:hAnsi="宋体" w:cs="宋体"/>
                <w:color w:val="auto"/>
                <w:highlight w:val="none"/>
              </w:rPr>
              <w:t>报价合计（万元）：          大写：</w:t>
            </w:r>
          </w:p>
        </w:tc>
      </w:tr>
    </w:tbl>
    <w:p>
      <w:pPr>
        <w:widowControl/>
        <w:spacing w:line="360" w:lineRule="auto"/>
        <w:jc w:val="left"/>
        <w:rPr>
          <w:rFonts w:ascii="宋体" w:hAnsi="宋体" w:cs="宋体"/>
          <w:b/>
          <w:bCs/>
          <w:color w:val="auto"/>
          <w:highlight w:val="none"/>
        </w:rPr>
      </w:pPr>
    </w:p>
    <w:p>
      <w:pPr>
        <w:widowControl/>
        <w:spacing w:line="360" w:lineRule="auto"/>
        <w:jc w:val="left"/>
        <w:rPr>
          <w:rFonts w:ascii="宋体" w:hAnsi="宋体" w:cs="宋体"/>
          <w:b/>
          <w:bCs/>
          <w:color w:val="auto"/>
          <w:highlight w:val="none"/>
        </w:rPr>
      </w:pPr>
      <w:r>
        <w:rPr>
          <w:rFonts w:hint="eastAsia" w:ascii="宋体" w:hAnsi="宋体" w:cs="宋体"/>
          <w:b/>
          <w:bCs/>
          <w:color w:val="auto"/>
          <w:highlight w:val="none"/>
        </w:rPr>
        <w:t>注：1. 报价应是最终用户验收合格后的总价，包括设备运输、保险、代理、安装调试、培训、税费和招标文件规定的其它费用。</w:t>
      </w:r>
    </w:p>
    <w:p>
      <w:pPr>
        <w:widowControl/>
        <w:spacing w:line="360" w:lineRule="auto"/>
        <w:jc w:val="left"/>
        <w:rPr>
          <w:rFonts w:ascii="宋体" w:hAnsi="宋体" w:cs="宋体"/>
          <w:b/>
          <w:bCs/>
          <w:color w:val="auto"/>
          <w:highlight w:val="none"/>
        </w:rPr>
      </w:pPr>
      <w:r>
        <w:rPr>
          <w:rFonts w:hint="eastAsia" w:ascii="宋体" w:hAnsi="宋体" w:cs="宋体"/>
          <w:b/>
          <w:bCs/>
          <w:color w:val="auto"/>
          <w:highlight w:val="none"/>
        </w:rPr>
        <w:t>2.“开标一览表”为多页的，每页均须加盖投标人电子签章。</w:t>
      </w:r>
    </w:p>
    <w:p>
      <w:pPr>
        <w:spacing w:line="360" w:lineRule="auto"/>
        <w:rPr>
          <w:rFonts w:ascii="宋体" w:hAnsi="宋体" w:cs="宋体"/>
          <w:b/>
          <w:bCs/>
          <w:color w:val="auto"/>
          <w:highlight w:val="none"/>
        </w:rPr>
      </w:pPr>
      <w:r>
        <w:rPr>
          <w:rFonts w:hint="eastAsia" w:ascii="宋体" w:hAnsi="宋体" w:cs="宋体"/>
          <w:b/>
          <w:bCs/>
          <w:color w:val="auto"/>
          <w:highlight w:val="none"/>
        </w:rPr>
        <w:t>3、“开标一览表”以包为单位填写。</w:t>
      </w:r>
    </w:p>
    <w:p>
      <w:pPr>
        <w:spacing w:line="360" w:lineRule="auto"/>
        <w:rPr>
          <w:rFonts w:ascii="宋体" w:hAnsi="宋体" w:cs="宋体"/>
          <w:b/>
          <w:bCs/>
          <w:color w:val="auto"/>
          <w:highlight w:val="none"/>
        </w:rPr>
      </w:pPr>
      <w:r>
        <w:rPr>
          <w:rFonts w:ascii="宋体" w:hAnsi="宋体" w:cs="宋体"/>
          <w:b/>
          <w:bCs/>
          <w:color w:val="auto"/>
          <w:highlight w:val="none"/>
        </w:rPr>
        <w:t>4</w:t>
      </w:r>
      <w:r>
        <w:rPr>
          <w:rFonts w:hint="eastAsia" w:ascii="宋体" w:hAnsi="宋体" w:cs="宋体"/>
          <w:b/>
          <w:bCs/>
          <w:color w:val="auto"/>
          <w:highlight w:val="none"/>
        </w:rPr>
        <w:t>、如是进口设备，须在表格中标明“进口”。招标文件未明确“允许进口”的，供应商以进口产品进行投标时，将视为无效投标。</w:t>
      </w:r>
    </w:p>
    <w:p>
      <w:pPr>
        <w:spacing w:line="360" w:lineRule="auto"/>
        <w:rPr>
          <w:rFonts w:ascii="宋体" w:hAnsi="宋体" w:cs="宋体"/>
          <w:b/>
          <w:bCs/>
          <w:color w:val="auto"/>
          <w:highlight w:val="none"/>
        </w:rPr>
      </w:pP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法定代表人/单位负责人或授权代表：（签字或加盖个人名章）</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投标人名称：（单位盖章）</w:t>
      </w:r>
    </w:p>
    <w:p>
      <w:pPr>
        <w:spacing w:line="360" w:lineRule="auto"/>
        <w:rPr>
          <w:rFonts w:ascii="宋体" w:hAnsi="宋体" w:cs="宋体"/>
          <w:color w:val="auto"/>
          <w:sz w:val="24"/>
          <w:highlight w:val="none"/>
        </w:rPr>
      </w:pPr>
      <w:r>
        <w:rPr>
          <w:rFonts w:hint="eastAsia" w:ascii="宋体" w:hAnsi="宋体" w:cs="宋体"/>
          <w:color w:val="auto"/>
          <w:sz w:val="24"/>
          <w:highlight w:val="none"/>
        </w:rPr>
        <w:t>投标日期：</w:t>
      </w:r>
    </w:p>
    <w:p>
      <w:pPr>
        <w:spacing w:line="360" w:lineRule="auto"/>
        <w:rPr>
          <w:rFonts w:ascii="宋体" w:hAnsi="宋体" w:cs="宋体"/>
          <w:b/>
          <w:color w:val="auto"/>
          <w:sz w:val="32"/>
          <w:szCs w:val="32"/>
          <w:highlight w:val="none"/>
        </w:rPr>
      </w:pPr>
      <w:r>
        <w:rPr>
          <w:rFonts w:hint="eastAsia" w:ascii="宋体" w:hAnsi="宋体" w:cs="宋体"/>
          <w:b/>
          <w:bCs/>
          <w:color w:val="auto"/>
          <w:highlight w:val="none"/>
        </w:rPr>
        <w:br w:type="page"/>
      </w:r>
      <w:r>
        <w:rPr>
          <w:rFonts w:hint="eastAsia" w:ascii="宋体" w:hAnsi="宋体" w:cs="宋体"/>
          <w:b/>
          <w:color w:val="auto"/>
          <w:sz w:val="32"/>
          <w:szCs w:val="32"/>
          <w:highlight w:val="none"/>
        </w:rPr>
        <w:t>格式2-5</w:t>
      </w:r>
    </w:p>
    <w:p>
      <w:pPr>
        <w:widowControl/>
        <w:numPr>
          <w:ilvl w:val="0"/>
          <w:numId w:val="9"/>
        </w:numPr>
        <w:spacing w:line="360" w:lineRule="auto"/>
        <w:jc w:val="center"/>
        <w:outlineLvl w:val="1"/>
        <w:rPr>
          <w:rFonts w:ascii="宋体" w:hAnsi="宋体" w:cs="宋体"/>
          <w:b/>
          <w:color w:val="auto"/>
          <w:sz w:val="32"/>
          <w:szCs w:val="32"/>
          <w:highlight w:val="none"/>
        </w:rPr>
      </w:pPr>
      <w:r>
        <w:rPr>
          <w:rFonts w:hint="eastAsia" w:ascii="宋体" w:hAnsi="宋体" w:cs="宋体"/>
          <w:b/>
          <w:color w:val="auto"/>
          <w:sz w:val="32"/>
          <w:szCs w:val="32"/>
          <w:highlight w:val="none"/>
        </w:rPr>
        <w:t>分项报价明细表</w:t>
      </w:r>
    </w:p>
    <w:tbl>
      <w:tblPr>
        <w:tblStyle w:val="35"/>
        <w:tblW w:w="9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275"/>
        <w:gridCol w:w="1360"/>
        <w:gridCol w:w="888"/>
        <w:gridCol w:w="1212"/>
        <w:gridCol w:w="840"/>
        <w:gridCol w:w="841"/>
        <w:gridCol w:w="876"/>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77" w:type="dxa"/>
            <w:vAlign w:val="center"/>
          </w:tcPr>
          <w:p>
            <w:pPr>
              <w:widowControl/>
              <w:spacing w:line="360" w:lineRule="atLeast"/>
              <w:jc w:val="center"/>
              <w:rPr>
                <w:rFonts w:ascii="宋体" w:hAnsi="宋体" w:cs="宋体"/>
                <w:color w:val="auto"/>
                <w:sz w:val="24"/>
                <w:highlight w:val="none"/>
              </w:rPr>
            </w:pPr>
            <w:r>
              <w:rPr>
                <w:rFonts w:hint="eastAsia" w:ascii="宋体" w:hAnsi="宋体" w:cs="宋体"/>
                <w:color w:val="auto"/>
                <w:sz w:val="24"/>
                <w:highlight w:val="none"/>
              </w:rPr>
              <w:t>序号</w:t>
            </w:r>
          </w:p>
        </w:tc>
        <w:tc>
          <w:tcPr>
            <w:tcW w:w="1275" w:type="dxa"/>
            <w:vAlign w:val="center"/>
          </w:tcPr>
          <w:p>
            <w:pPr>
              <w:widowControl/>
              <w:spacing w:line="360" w:lineRule="atLeast"/>
              <w:jc w:val="center"/>
              <w:rPr>
                <w:rFonts w:ascii="宋体" w:hAnsi="宋体" w:cs="宋体"/>
                <w:color w:val="auto"/>
                <w:sz w:val="24"/>
                <w:highlight w:val="none"/>
              </w:rPr>
            </w:pPr>
            <w:r>
              <w:rPr>
                <w:rFonts w:hint="eastAsia" w:ascii="宋体" w:hAnsi="宋体" w:cs="宋体"/>
                <w:color w:val="auto"/>
                <w:sz w:val="24"/>
                <w:highlight w:val="none"/>
              </w:rPr>
              <w:t>产品名称</w:t>
            </w:r>
          </w:p>
        </w:tc>
        <w:tc>
          <w:tcPr>
            <w:tcW w:w="1360" w:type="dxa"/>
            <w:vAlign w:val="center"/>
          </w:tcPr>
          <w:p>
            <w:pPr>
              <w:widowControl/>
              <w:spacing w:line="360" w:lineRule="atLeast"/>
              <w:jc w:val="center"/>
              <w:rPr>
                <w:rFonts w:ascii="宋体" w:hAnsi="宋体" w:cs="宋体"/>
                <w:color w:val="auto"/>
                <w:sz w:val="24"/>
                <w:highlight w:val="none"/>
              </w:rPr>
            </w:pPr>
            <w:r>
              <w:rPr>
                <w:rFonts w:hint="eastAsia" w:ascii="宋体" w:hAnsi="宋体" w:cs="宋体"/>
                <w:color w:val="auto"/>
                <w:sz w:val="24"/>
                <w:highlight w:val="none"/>
              </w:rPr>
              <w:t>规格型号</w:t>
            </w:r>
          </w:p>
        </w:tc>
        <w:tc>
          <w:tcPr>
            <w:tcW w:w="888" w:type="dxa"/>
            <w:vAlign w:val="center"/>
          </w:tcPr>
          <w:p>
            <w:pPr>
              <w:widowControl/>
              <w:spacing w:line="360" w:lineRule="atLeast"/>
              <w:jc w:val="center"/>
              <w:rPr>
                <w:rFonts w:ascii="宋体" w:hAnsi="宋体" w:cs="宋体"/>
                <w:color w:val="auto"/>
                <w:sz w:val="24"/>
                <w:highlight w:val="none"/>
              </w:rPr>
            </w:pPr>
            <w:r>
              <w:rPr>
                <w:rFonts w:hint="eastAsia" w:ascii="宋体" w:hAnsi="宋体" w:cs="宋体"/>
                <w:color w:val="auto"/>
                <w:sz w:val="24"/>
                <w:highlight w:val="none"/>
              </w:rPr>
              <w:t>品牌</w:t>
            </w:r>
          </w:p>
        </w:tc>
        <w:tc>
          <w:tcPr>
            <w:tcW w:w="1212" w:type="dxa"/>
            <w:vAlign w:val="center"/>
          </w:tcPr>
          <w:p>
            <w:pPr>
              <w:widowControl/>
              <w:spacing w:line="360" w:lineRule="atLeast"/>
              <w:jc w:val="center"/>
              <w:rPr>
                <w:rFonts w:ascii="宋体" w:hAnsi="宋体" w:cs="宋体"/>
                <w:color w:val="auto"/>
                <w:sz w:val="24"/>
                <w:highlight w:val="none"/>
              </w:rPr>
            </w:pPr>
            <w:r>
              <w:rPr>
                <w:rFonts w:hint="eastAsia" w:ascii="宋体" w:hAnsi="宋体" w:cs="宋体"/>
                <w:color w:val="auto"/>
                <w:sz w:val="24"/>
                <w:highlight w:val="none"/>
              </w:rPr>
              <w:t>单位</w:t>
            </w:r>
          </w:p>
        </w:tc>
        <w:tc>
          <w:tcPr>
            <w:tcW w:w="840" w:type="dxa"/>
            <w:vAlign w:val="center"/>
          </w:tcPr>
          <w:p>
            <w:pPr>
              <w:widowControl/>
              <w:spacing w:line="360" w:lineRule="atLeast"/>
              <w:jc w:val="center"/>
              <w:rPr>
                <w:rFonts w:ascii="宋体" w:hAnsi="宋体" w:cs="宋体"/>
                <w:color w:val="auto"/>
                <w:sz w:val="24"/>
                <w:highlight w:val="none"/>
              </w:rPr>
            </w:pPr>
            <w:r>
              <w:rPr>
                <w:rFonts w:hint="eastAsia" w:ascii="宋体" w:hAnsi="宋体" w:cs="宋体"/>
                <w:color w:val="auto"/>
                <w:sz w:val="24"/>
                <w:highlight w:val="none"/>
              </w:rPr>
              <w:t>数量</w:t>
            </w:r>
          </w:p>
        </w:tc>
        <w:tc>
          <w:tcPr>
            <w:tcW w:w="841" w:type="dxa"/>
            <w:vAlign w:val="center"/>
          </w:tcPr>
          <w:p>
            <w:pPr>
              <w:widowControl/>
              <w:spacing w:line="360" w:lineRule="atLeast"/>
              <w:jc w:val="center"/>
              <w:rPr>
                <w:rFonts w:ascii="宋体" w:hAnsi="宋体" w:cs="宋体"/>
                <w:color w:val="auto"/>
                <w:sz w:val="24"/>
                <w:highlight w:val="none"/>
              </w:rPr>
            </w:pPr>
            <w:r>
              <w:rPr>
                <w:rFonts w:hint="eastAsia" w:ascii="宋体" w:hAnsi="宋体" w:cs="宋体"/>
                <w:color w:val="auto"/>
                <w:sz w:val="24"/>
                <w:highlight w:val="none"/>
              </w:rPr>
              <w:t>单价</w:t>
            </w:r>
          </w:p>
        </w:tc>
        <w:tc>
          <w:tcPr>
            <w:tcW w:w="876" w:type="dxa"/>
            <w:vAlign w:val="center"/>
          </w:tcPr>
          <w:p>
            <w:pPr>
              <w:widowControl/>
              <w:spacing w:line="360" w:lineRule="atLeast"/>
              <w:jc w:val="center"/>
              <w:rPr>
                <w:rFonts w:ascii="宋体" w:hAnsi="宋体" w:cs="宋体"/>
                <w:color w:val="auto"/>
                <w:sz w:val="24"/>
                <w:highlight w:val="none"/>
              </w:rPr>
            </w:pPr>
            <w:r>
              <w:rPr>
                <w:rFonts w:hint="eastAsia" w:ascii="宋体" w:hAnsi="宋体" w:cs="宋体"/>
                <w:color w:val="auto"/>
                <w:sz w:val="24"/>
                <w:highlight w:val="none"/>
              </w:rPr>
              <w:t>金额</w:t>
            </w:r>
          </w:p>
        </w:tc>
        <w:tc>
          <w:tcPr>
            <w:tcW w:w="843" w:type="dxa"/>
            <w:vAlign w:val="center"/>
          </w:tcPr>
          <w:p>
            <w:pPr>
              <w:widowControl/>
              <w:spacing w:line="360" w:lineRule="atLeast"/>
              <w:rPr>
                <w:rFonts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77" w:type="dxa"/>
            <w:vAlign w:val="center"/>
          </w:tcPr>
          <w:p>
            <w:pPr>
              <w:widowControl/>
              <w:spacing w:line="360" w:lineRule="atLeast"/>
              <w:ind w:firstLine="470" w:firstLineChars="196"/>
              <w:jc w:val="left"/>
              <w:rPr>
                <w:rFonts w:ascii="宋体" w:hAnsi="宋体" w:cs="宋体"/>
                <w:color w:val="auto"/>
                <w:sz w:val="24"/>
                <w:highlight w:val="none"/>
              </w:rPr>
            </w:pPr>
          </w:p>
        </w:tc>
        <w:tc>
          <w:tcPr>
            <w:tcW w:w="1275" w:type="dxa"/>
            <w:vAlign w:val="center"/>
          </w:tcPr>
          <w:p>
            <w:pPr>
              <w:widowControl/>
              <w:spacing w:line="360" w:lineRule="atLeast"/>
              <w:ind w:firstLine="470" w:firstLineChars="196"/>
              <w:jc w:val="left"/>
              <w:rPr>
                <w:rFonts w:ascii="宋体" w:hAnsi="宋体" w:cs="宋体"/>
                <w:color w:val="auto"/>
                <w:sz w:val="24"/>
                <w:highlight w:val="none"/>
              </w:rPr>
            </w:pPr>
          </w:p>
        </w:tc>
        <w:tc>
          <w:tcPr>
            <w:tcW w:w="1360" w:type="dxa"/>
            <w:vAlign w:val="center"/>
          </w:tcPr>
          <w:p>
            <w:pPr>
              <w:widowControl/>
              <w:spacing w:line="360" w:lineRule="atLeast"/>
              <w:ind w:firstLine="470" w:firstLineChars="196"/>
              <w:jc w:val="left"/>
              <w:rPr>
                <w:rFonts w:ascii="宋体" w:hAnsi="宋体" w:cs="宋体"/>
                <w:color w:val="auto"/>
                <w:sz w:val="24"/>
                <w:highlight w:val="none"/>
              </w:rPr>
            </w:pPr>
          </w:p>
        </w:tc>
        <w:tc>
          <w:tcPr>
            <w:tcW w:w="888" w:type="dxa"/>
            <w:vAlign w:val="center"/>
          </w:tcPr>
          <w:p>
            <w:pPr>
              <w:widowControl/>
              <w:spacing w:line="360" w:lineRule="atLeast"/>
              <w:ind w:firstLine="470" w:firstLineChars="196"/>
              <w:jc w:val="left"/>
              <w:rPr>
                <w:rFonts w:ascii="宋体" w:hAnsi="宋体" w:cs="宋体"/>
                <w:color w:val="auto"/>
                <w:sz w:val="24"/>
                <w:highlight w:val="none"/>
              </w:rPr>
            </w:pPr>
          </w:p>
        </w:tc>
        <w:tc>
          <w:tcPr>
            <w:tcW w:w="1212" w:type="dxa"/>
            <w:vAlign w:val="center"/>
          </w:tcPr>
          <w:p>
            <w:pPr>
              <w:widowControl/>
              <w:spacing w:line="360" w:lineRule="atLeast"/>
              <w:ind w:firstLine="470" w:firstLineChars="196"/>
              <w:jc w:val="left"/>
              <w:rPr>
                <w:rFonts w:ascii="宋体" w:hAnsi="宋体" w:cs="宋体"/>
                <w:color w:val="auto"/>
                <w:sz w:val="24"/>
                <w:highlight w:val="none"/>
              </w:rPr>
            </w:pPr>
          </w:p>
        </w:tc>
        <w:tc>
          <w:tcPr>
            <w:tcW w:w="840" w:type="dxa"/>
            <w:vAlign w:val="center"/>
          </w:tcPr>
          <w:p>
            <w:pPr>
              <w:widowControl/>
              <w:spacing w:line="360" w:lineRule="atLeast"/>
              <w:ind w:firstLine="470" w:firstLineChars="196"/>
              <w:jc w:val="left"/>
              <w:rPr>
                <w:rFonts w:ascii="宋体" w:hAnsi="宋体" w:cs="宋体"/>
                <w:color w:val="auto"/>
                <w:sz w:val="24"/>
                <w:highlight w:val="none"/>
              </w:rPr>
            </w:pPr>
          </w:p>
        </w:tc>
        <w:tc>
          <w:tcPr>
            <w:tcW w:w="841" w:type="dxa"/>
            <w:vAlign w:val="center"/>
          </w:tcPr>
          <w:p>
            <w:pPr>
              <w:widowControl/>
              <w:spacing w:line="360" w:lineRule="atLeast"/>
              <w:ind w:firstLine="470" w:firstLineChars="196"/>
              <w:jc w:val="left"/>
              <w:rPr>
                <w:rFonts w:ascii="宋体" w:hAnsi="宋体" w:cs="宋体"/>
                <w:color w:val="auto"/>
                <w:sz w:val="24"/>
                <w:highlight w:val="none"/>
              </w:rPr>
            </w:pPr>
          </w:p>
        </w:tc>
        <w:tc>
          <w:tcPr>
            <w:tcW w:w="876" w:type="dxa"/>
            <w:vAlign w:val="center"/>
          </w:tcPr>
          <w:p>
            <w:pPr>
              <w:widowControl/>
              <w:spacing w:line="360" w:lineRule="atLeast"/>
              <w:ind w:firstLine="470" w:firstLineChars="196"/>
              <w:jc w:val="left"/>
              <w:rPr>
                <w:rFonts w:ascii="宋体" w:hAnsi="宋体" w:cs="宋体"/>
                <w:color w:val="auto"/>
                <w:sz w:val="24"/>
                <w:highlight w:val="none"/>
              </w:rPr>
            </w:pPr>
          </w:p>
        </w:tc>
        <w:tc>
          <w:tcPr>
            <w:tcW w:w="843" w:type="dxa"/>
            <w:vAlign w:val="center"/>
          </w:tcPr>
          <w:p>
            <w:pPr>
              <w:widowControl/>
              <w:spacing w:line="360" w:lineRule="atLeast"/>
              <w:ind w:firstLine="470" w:firstLineChars="196"/>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77" w:type="dxa"/>
            <w:vAlign w:val="center"/>
          </w:tcPr>
          <w:p>
            <w:pPr>
              <w:widowControl/>
              <w:spacing w:line="360" w:lineRule="atLeast"/>
              <w:ind w:firstLine="470" w:firstLineChars="196"/>
              <w:jc w:val="left"/>
              <w:rPr>
                <w:rFonts w:ascii="宋体" w:hAnsi="宋体" w:cs="宋体"/>
                <w:color w:val="auto"/>
                <w:sz w:val="24"/>
                <w:highlight w:val="none"/>
              </w:rPr>
            </w:pPr>
          </w:p>
        </w:tc>
        <w:tc>
          <w:tcPr>
            <w:tcW w:w="1275" w:type="dxa"/>
            <w:vAlign w:val="center"/>
          </w:tcPr>
          <w:p>
            <w:pPr>
              <w:widowControl/>
              <w:spacing w:line="360" w:lineRule="atLeast"/>
              <w:ind w:firstLine="470" w:firstLineChars="196"/>
              <w:jc w:val="left"/>
              <w:rPr>
                <w:rFonts w:ascii="宋体" w:hAnsi="宋体" w:cs="宋体"/>
                <w:color w:val="auto"/>
                <w:sz w:val="24"/>
                <w:highlight w:val="none"/>
              </w:rPr>
            </w:pPr>
          </w:p>
        </w:tc>
        <w:tc>
          <w:tcPr>
            <w:tcW w:w="1360" w:type="dxa"/>
            <w:vAlign w:val="center"/>
          </w:tcPr>
          <w:p>
            <w:pPr>
              <w:widowControl/>
              <w:spacing w:line="360" w:lineRule="atLeast"/>
              <w:ind w:firstLine="470" w:firstLineChars="196"/>
              <w:jc w:val="left"/>
              <w:rPr>
                <w:rFonts w:ascii="宋体" w:hAnsi="宋体" w:cs="宋体"/>
                <w:color w:val="auto"/>
                <w:sz w:val="24"/>
                <w:highlight w:val="none"/>
              </w:rPr>
            </w:pPr>
          </w:p>
        </w:tc>
        <w:tc>
          <w:tcPr>
            <w:tcW w:w="888" w:type="dxa"/>
            <w:vAlign w:val="center"/>
          </w:tcPr>
          <w:p>
            <w:pPr>
              <w:widowControl/>
              <w:spacing w:line="360" w:lineRule="atLeast"/>
              <w:ind w:firstLine="470" w:firstLineChars="196"/>
              <w:jc w:val="left"/>
              <w:rPr>
                <w:rFonts w:ascii="宋体" w:hAnsi="宋体" w:cs="宋体"/>
                <w:color w:val="auto"/>
                <w:sz w:val="24"/>
                <w:highlight w:val="none"/>
              </w:rPr>
            </w:pPr>
          </w:p>
        </w:tc>
        <w:tc>
          <w:tcPr>
            <w:tcW w:w="1212" w:type="dxa"/>
            <w:vAlign w:val="center"/>
          </w:tcPr>
          <w:p>
            <w:pPr>
              <w:widowControl/>
              <w:spacing w:line="360" w:lineRule="atLeast"/>
              <w:ind w:firstLine="470" w:firstLineChars="196"/>
              <w:jc w:val="left"/>
              <w:rPr>
                <w:rFonts w:ascii="宋体" w:hAnsi="宋体" w:cs="宋体"/>
                <w:color w:val="auto"/>
                <w:sz w:val="24"/>
                <w:highlight w:val="none"/>
              </w:rPr>
            </w:pPr>
          </w:p>
        </w:tc>
        <w:tc>
          <w:tcPr>
            <w:tcW w:w="840" w:type="dxa"/>
            <w:vAlign w:val="center"/>
          </w:tcPr>
          <w:p>
            <w:pPr>
              <w:widowControl/>
              <w:spacing w:line="360" w:lineRule="atLeast"/>
              <w:ind w:firstLine="470" w:firstLineChars="196"/>
              <w:jc w:val="left"/>
              <w:rPr>
                <w:rFonts w:ascii="宋体" w:hAnsi="宋体" w:cs="宋体"/>
                <w:color w:val="auto"/>
                <w:sz w:val="24"/>
                <w:highlight w:val="none"/>
              </w:rPr>
            </w:pPr>
          </w:p>
        </w:tc>
        <w:tc>
          <w:tcPr>
            <w:tcW w:w="841" w:type="dxa"/>
            <w:vAlign w:val="center"/>
          </w:tcPr>
          <w:p>
            <w:pPr>
              <w:widowControl/>
              <w:spacing w:line="360" w:lineRule="atLeast"/>
              <w:ind w:firstLine="470" w:firstLineChars="196"/>
              <w:jc w:val="left"/>
              <w:rPr>
                <w:rFonts w:ascii="宋体" w:hAnsi="宋体" w:cs="宋体"/>
                <w:color w:val="auto"/>
                <w:sz w:val="24"/>
                <w:highlight w:val="none"/>
              </w:rPr>
            </w:pPr>
          </w:p>
        </w:tc>
        <w:tc>
          <w:tcPr>
            <w:tcW w:w="876" w:type="dxa"/>
            <w:vAlign w:val="center"/>
          </w:tcPr>
          <w:p>
            <w:pPr>
              <w:widowControl/>
              <w:spacing w:line="360" w:lineRule="atLeast"/>
              <w:ind w:firstLine="470" w:firstLineChars="196"/>
              <w:jc w:val="left"/>
              <w:rPr>
                <w:rFonts w:ascii="宋体" w:hAnsi="宋体" w:cs="宋体"/>
                <w:color w:val="auto"/>
                <w:sz w:val="24"/>
                <w:highlight w:val="none"/>
              </w:rPr>
            </w:pPr>
          </w:p>
        </w:tc>
        <w:tc>
          <w:tcPr>
            <w:tcW w:w="843" w:type="dxa"/>
            <w:vAlign w:val="center"/>
          </w:tcPr>
          <w:p>
            <w:pPr>
              <w:widowControl/>
              <w:spacing w:line="360" w:lineRule="atLeast"/>
              <w:ind w:firstLine="470" w:firstLineChars="196"/>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77" w:type="dxa"/>
            <w:vAlign w:val="center"/>
          </w:tcPr>
          <w:p>
            <w:pPr>
              <w:widowControl/>
              <w:spacing w:line="360" w:lineRule="atLeast"/>
              <w:ind w:firstLine="470" w:firstLineChars="196"/>
              <w:jc w:val="left"/>
              <w:rPr>
                <w:rFonts w:ascii="宋体" w:hAnsi="宋体" w:cs="宋体"/>
                <w:color w:val="auto"/>
                <w:sz w:val="24"/>
                <w:highlight w:val="none"/>
              </w:rPr>
            </w:pPr>
          </w:p>
        </w:tc>
        <w:tc>
          <w:tcPr>
            <w:tcW w:w="1275" w:type="dxa"/>
            <w:vAlign w:val="center"/>
          </w:tcPr>
          <w:p>
            <w:pPr>
              <w:widowControl/>
              <w:spacing w:line="360" w:lineRule="atLeast"/>
              <w:ind w:firstLine="470" w:firstLineChars="196"/>
              <w:jc w:val="left"/>
              <w:rPr>
                <w:rFonts w:ascii="宋体" w:hAnsi="宋体" w:cs="宋体"/>
                <w:color w:val="auto"/>
                <w:sz w:val="24"/>
                <w:highlight w:val="none"/>
              </w:rPr>
            </w:pPr>
          </w:p>
        </w:tc>
        <w:tc>
          <w:tcPr>
            <w:tcW w:w="1360" w:type="dxa"/>
            <w:vAlign w:val="center"/>
          </w:tcPr>
          <w:p>
            <w:pPr>
              <w:widowControl/>
              <w:spacing w:line="360" w:lineRule="atLeast"/>
              <w:ind w:firstLine="470" w:firstLineChars="196"/>
              <w:jc w:val="left"/>
              <w:rPr>
                <w:rFonts w:ascii="宋体" w:hAnsi="宋体" w:cs="宋体"/>
                <w:color w:val="auto"/>
                <w:sz w:val="24"/>
                <w:highlight w:val="none"/>
              </w:rPr>
            </w:pPr>
          </w:p>
        </w:tc>
        <w:tc>
          <w:tcPr>
            <w:tcW w:w="888" w:type="dxa"/>
            <w:vAlign w:val="center"/>
          </w:tcPr>
          <w:p>
            <w:pPr>
              <w:widowControl/>
              <w:spacing w:line="360" w:lineRule="atLeast"/>
              <w:ind w:firstLine="470" w:firstLineChars="196"/>
              <w:jc w:val="left"/>
              <w:rPr>
                <w:rFonts w:ascii="宋体" w:hAnsi="宋体" w:cs="宋体"/>
                <w:color w:val="auto"/>
                <w:sz w:val="24"/>
                <w:highlight w:val="none"/>
              </w:rPr>
            </w:pPr>
          </w:p>
        </w:tc>
        <w:tc>
          <w:tcPr>
            <w:tcW w:w="1212" w:type="dxa"/>
            <w:vAlign w:val="center"/>
          </w:tcPr>
          <w:p>
            <w:pPr>
              <w:widowControl/>
              <w:spacing w:line="360" w:lineRule="atLeast"/>
              <w:ind w:firstLine="470" w:firstLineChars="196"/>
              <w:jc w:val="left"/>
              <w:rPr>
                <w:rFonts w:ascii="宋体" w:hAnsi="宋体" w:cs="宋体"/>
                <w:color w:val="auto"/>
                <w:sz w:val="24"/>
                <w:highlight w:val="none"/>
              </w:rPr>
            </w:pPr>
          </w:p>
        </w:tc>
        <w:tc>
          <w:tcPr>
            <w:tcW w:w="840" w:type="dxa"/>
            <w:vAlign w:val="center"/>
          </w:tcPr>
          <w:p>
            <w:pPr>
              <w:widowControl/>
              <w:spacing w:line="360" w:lineRule="atLeast"/>
              <w:ind w:firstLine="470" w:firstLineChars="196"/>
              <w:jc w:val="left"/>
              <w:rPr>
                <w:rFonts w:ascii="宋体" w:hAnsi="宋体" w:cs="宋体"/>
                <w:color w:val="auto"/>
                <w:sz w:val="24"/>
                <w:highlight w:val="none"/>
              </w:rPr>
            </w:pPr>
          </w:p>
        </w:tc>
        <w:tc>
          <w:tcPr>
            <w:tcW w:w="841" w:type="dxa"/>
            <w:vAlign w:val="center"/>
          </w:tcPr>
          <w:p>
            <w:pPr>
              <w:widowControl/>
              <w:spacing w:line="360" w:lineRule="atLeast"/>
              <w:ind w:firstLine="470" w:firstLineChars="196"/>
              <w:jc w:val="left"/>
              <w:rPr>
                <w:rFonts w:ascii="宋体" w:hAnsi="宋体" w:cs="宋体"/>
                <w:color w:val="auto"/>
                <w:sz w:val="24"/>
                <w:highlight w:val="none"/>
              </w:rPr>
            </w:pPr>
          </w:p>
        </w:tc>
        <w:tc>
          <w:tcPr>
            <w:tcW w:w="876" w:type="dxa"/>
            <w:vAlign w:val="center"/>
          </w:tcPr>
          <w:p>
            <w:pPr>
              <w:widowControl/>
              <w:spacing w:line="360" w:lineRule="atLeast"/>
              <w:ind w:firstLine="470" w:firstLineChars="196"/>
              <w:jc w:val="left"/>
              <w:rPr>
                <w:rFonts w:ascii="宋体" w:hAnsi="宋体" w:cs="宋体"/>
                <w:color w:val="auto"/>
                <w:sz w:val="24"/>
                <w:highlight w:val="none"/>
              </w:rPr>
            </w:pPr>
          </w:p>
        </w:tc>
        <w:tc>
          <w:tcPr>
            <w:tcW w:w="843" w:type="dxa"/>
            <w:vAlign w:val="center"/>
          </w:tcPr>
          <w:p>
            <w:pPr>
              <w:widowControl/>
              <w:spacing w:line="360" w:lineRule="atLeast"/>
              <w:ind w:firstLine="470" w:firstLineChars="196"/>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77" w:type="dxa"/>
            <w:tcBorders>
              <w:left w:val="single" w:color="auto" w:sz="4" w:space="0"/>
            </w:tcBorders>
            <w:vAlign w:val="center"/>
          </w:tcPr>
          <w:p>
            <w:pPr>
              <w:widowControl/>
              <w:spacing w:line="360" w:lineRule="atLeast"/>
              <w:ind w:firstLine="470" w:firstLineChars="196"/>
              <w:jc w:val="left"/>
              <w:rPr>
                <w:rFonts w:ascii="宋体" w:hAnsi="宋体" w:cs="宋体"/>
                <w:color w:val="auto"/>
                <w:sz w:val="24"/>
                <w:highlight w:val="none"/>
              </w:rPr>
            </w:pPr>
          </w:p>
        </w:tc>
        <w:tc>
          <w:tcPr>
            <w:tcW w:w="1275" w:type="dxa"/>
            <w:vAlign w:val="center"/>
          </w:tcPr>
          <w:p>
            <w:pPr>
              <w:widowControl/>
              <w:spacing w:line="360" w:lineRule="atLeast"/>
              <w:ind w:firstLine="470" w:firstLineChars="196"/>
              <w:jc w:val="left"/>
              <w:rPr>
                <w:rFonts w:ascii="宋体" w:hAnsi="宋体" w:cs="宋体"/>
                <w:color w:val="auto"/>
                <w:sz w:val="24"/>
                <w:highlight w:val="none"/>
              </w:rPr>
            </w:pPr>
          </w:p>
        </w:tc>
        <w:tc>
          <w:tcPr>
            <w:tcW w:w="1360" w:type="dxa"/>
            <w:vAlign w:val="center"/>
          </w:tcPr>
          <w:p>
            <w:pPr>
              <w:widowControl/>
              <w:spacing w:line="360" w:lineRule="atLeast"/>
              <w:ind w:firstLine="470" w:firstLineChars="196"/>
              <w:jc w:val="left"/>
              <w:rPr>
                <w:rFonts w:ascii="宋体" w:hAnsi="宋体" w:cs="宋体"/>
                <w:color w:val="auto"/>
                <w:sz w:val="24"/>
                <w:highlight w:val="none"/>
              </w:rPr>
            </w:pPr>
          </w:p>
        </w:tc>
        <w:tc>
          <w:tcPr>
            <w:tcW w:w="888" w:type="dxa"/>
            <w:vAlign w:val="center"/>
          </w:tcPr>
          <w:p>
            <w:pPr>
              <w:widowControl/>
              <w:spacing w:line="360" w:lineRule="atLeast"/>
              <w:ind w:firstLine="470" w:firstLineChars="196"/>
              <w:jc w:val="left"/>
              <w:rPr>
                <w:rFonts w:ascii="宋体" w:hAnsi="宋体" w:cs="宋体"/>
                <w:color w:val="auto"/>
                <w:sz w:val="24"/>
                <w:highlight w:val="none"/>
              </w:rPr>
            </w:pPr>
          </w:p>
        </w:tc>
        <w:tc>
          <w:tcPr>
            <w:tcW w:w="1212" w:type="dxa"/>
            <w:vAlign w:val="center"/>
          </w:tcPr>
          <w:p>
            <w:pPr>
              <w:widowControl/>
              <w:spacing w:line="360" w:lineRule="atLeast"/>
              <w:ind w:firstLine="470" w:firstLineChars="196"/>
              <w:jc w:val="left"/>
              <w:rPr>
                <w:rFonts w:ascii="宋体" w:hAnsi="宋体" w:cs="宋体"/>
                <w:color w:val="auto"/>
                <w:sz w:val="24"/>
                <w:highlight w:val="none"/>
              </w:rPr>
            </w:pPr>
          </w:p>
        </w:tc>
        <w:tc>
          <w:tcPr>
            <w:tcW w:w="840" w:type="dxa"/>
            <w:vAlign w:val="center"/>
          </w:tcPr>
          <w:p>
            <w:pPr>
              <w:widowControl/>
              <w:spacing w:line="360" w:lineRule="atLeast"/>
              <w:ind w:firstLine="470" w:firstLineChars="196"/>
              <w:jc w:val="left"/>
              <w:rPr>
                <w:rFonts w:ascii="宋体" w:hAnsi="宋体" w:cs="宋体"/>
                <w:color w:val="auto"/>
                <w:sz w:val="24"/>
                <w:highlight w:val="none"/>
              </w:rPr>
            </w:pPr>
          </w:p>
        </w:tc>
        <w:tc>
          <w:tcPr>
            <w:tcW w:w="841" w:type="dxa"/>
            <w:vAlign w:val="center"/>
          </w:tcPr>
          <w:p>
            <w:pPr>
              <w:widowControl/>
              <w:spacing w:line="360" w:lineRule="atLeast"/>
              <w:ind w:firstLine="470" w:firstLineChars="196"/>
              <w:jc w:val="left"/>
              <w:rPr>
                <w:rFonts w:ascii="宋体" w:hAnsi="宋体" w:cs="宋体"/>
                <w:color w:val="auto"/>
                <w:sz w:val="24"/>
                <w:highlight w:val="none"/>
              </w:rPr>
            </w:pPr>
          </w:p>
        </w:tc>
        <w:tc>
          <w:tcPr>
            <w:tcW w:w="876" w:type="dxa"/>
            <w:vAlign w:val="center"/>
          </w:tcPr>
          <w:p>
            <w:pPr>
              <w:widowControl/>
              <w:spacing w:line="360" w:lineRule="atLeast"/>
              <w:ind w:firstLine="470" w:firstLineChars="196"/>
              <w:jc w:val="left"/>
              <w:rPr>
                <w:rFonts w:ascii="宋体" w:hAnsi="宋体" w:cs="宋体"/>
                <w:color w:val="auto"/>
                <w:sz w:val="24"/>
                <w:highlight w:val="none"/>
              </w:rPr>
            </w:pPr>
          </w:p>
        </w:tc>
        <w:tc>
          <w:tcPr>
            <w:tcW w:w="843" w:type="dxa"/>
            <w:vAlign w:val="center"/>
          </w:tcPr>
          <w:p>
            <w:pPr>
              <w:widowControl/>
              <w:spacing w:line="360" w:lineRule="atLeast"/>
              <w:ind w:firstLine="470" w:firstLineChars="196"/>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77" w:type="dxa"/>
            <w:vAlign w:val="center"/>
          </w:tcPr>
          <w:p>
            <w:pPr>
              <w:widowControl/>
              <w:spacing w:line="360" w:lineRule="atLeast"/>
              <w:ind w:firstLine="470" w:firstLineChars="196"/>
              <w:jc w:val="left"/>
              <w:rPr>
                <w:rFonts w:ascii="宋体" w:hAnsi="宋体" w:cs="宋体"/>
                <w:color w:val="auto"/>
                <w:sz w:val="24"/>
                <w:highlight w:val="none"/>
              </w:rPr>
            </w:pPr>
          </w:p>
        </w:tc>
        <w:tc>
          <w:tcPr>
            <w:tcW w:w="1275" w:type="dxa"/>
            <w:vAlign w:val="center"/>
          </w:tcPr>
          <w:p>
            <w:pPr>
              <w:widowControl/>
              <w:spacing w:line="360" w:lineRule="atLeast"/>
              <w:ind w:firstLine="470" w:firstLineChars="196"/>
              <w:jc w:val="left"/>
              <w:rPr>
                <w:rFonts w:ascii="宋体" w:hAnsi="宋体" w:cs="宋体"/>
                <w:color w:val="auto"/>
                <w:sz w:val="24"/>
                <w:highlight w:val="none"/>
              </w:rPr>
            </w:pPr>
          </w:p>
        </w:tc>
        <w:tc>
          <w:tcPr>
            <w:tcW w:w="1360" w:type="dxa"/>
            <w:vAlign w:val="center"/>
          </w:tcPr>
          <w:p>
            <w:pPr>
              <w:widowControl/>
              <w:spacing w:line="360" w:lineRule="atLeast"/>
              <w:ind w:firstLine="470" w:firstLineChars="196"/>
              <w:jc w:val="left"/>
              <w:rPr>
                <w:rFonts w:ascii="宋体" w:hAnsi="宋体" w:cs="宋体"/>
                <w:color w:val="auto"/>
                <w:sz w:val="24"/>
                <w:highlight w:val="none"/>
              </w:rPr>
            </w:pPr>
          </w:p>
        </w:tc>
        <w:tc>
          <w:tcPr>
            <w:tcW w:w="888" w:type="dxa"/>
            <w:vAlign w:val="center"/>
          </w:tcPr>
          <w:p>
            <w:pPr>
              <w:widowControl/>
              <w:spacing w:line="360" w:lineRule="atLeast"/>
              <w:ind w:firstLine="470" w:firstLineChars="196"/>
              <w:jc w:val="left"/>
              <w:rPr>
                <w:rFonts w:ascii="宋体" w:hAnsi="宋体" w:cs="宋体"/>
                <w:color w:val="auto"/>
                <w:sz w:val="24"/>
                <w:highlight w:val="none"/>
              </w:rPr>
            </w:pPr>
          </w:p>
        </w:tc>
        <w:tc>
          <w:tcPr>
            <w:tcW w:w="1212" w:type="dxa"/>
            <w:vAlign w:val="center"/>
          </w:tcPr>
          <w:p>
            <w:pPr>
              <w:widowControl/>
              <w:spacing w:line="360" w:lineRule="atLeast"/>
              <w:ind w:firstLine="470" w:firstLineChars="196"/>
              <w:jc w:val="left"/>
              <w:rPr>
                <w:rFonts w:ascii="宋体" w:hAnsi="宋体" w:cs="宋体"/>
                <w:color w:val="auto"/>
                <w:sz w:val="24"/>
                <w:highlight w:val="none"/>
              </w:rPr>
            </w:pPr>
          </w:p>
        </w:tc>
        <w:tc>
          <w:tcPr>
            <w:tcW w:w="840" w:type="dxa"/>
            <w:vAlign w:val="center"/>
          </w:tcPr>
          <w:p>
            <w:pPr>
              <w:widowControl/>
              <w:spacing w:line="360" w:lineRule="atLeast"/>
              <w:ind w:firstLine="470" w:firstLineChars="196"/>
              <w:jc w:val="left"/>
              <w:rPr>
                <w:rFonts w:ascii="宋体" w:hAnsi="宋体" w:cs="宋体"/>
                <w:color w:val="auto"/>
                <w:sz w:val="24"/>
                <w:highlight w:val="none"/>
              </w:rPr>
            </w:pPr>
          </w:p>
        </w:tc>
        <w:tc>
          <w:tcPr>
            <w:tcW w:w="841" w:type="dxa"/>
            <w:vAlign w:val="center"/>
          </w:tcPr>
          <w:p>
            <w:pPr>
              <w:widowControl/>
              <w:spacing w:line="360" w:lineRule="atLeast"/>
              <w:ind w:firstLine="470" w:firstLineChars="196"/>
              <w:jc w:val="left"/>
              <w:rPr>
                <w:rFonts w:ascii="宋体" w:hAnsi="宋体" w:cs="宋体"/>
                <w:color w:val="auto"/>
                <w:sz w:val="24"/>
                <w:highlight w:val="none"/>
              </w:rPr>
            </w:pPr>
          </w:p>
        </w:tc>
        <w:tc>
          <w:tcPr>
            <w:tcW w:w="876" w:type="dxa"/>
            <w:vAlign w:val="center"/>
          </w:tcPr>
          <w:p>
            <w:pPr>
              <w:widowControl/>
              <w:spacing w:line="360" w:lineRule="atLeast"/>
              <w:ind w:firstLine="470" w:firstLineChars="196"/>
              <w:jc w:val="left"/>
              <w:rPr>
                <w:rFonts w:ascii="宋体" w:hAnsi="宋体" w:cs="宋体"/>
                <w:color w:val="auto"/>
                <w:sz w:val="24"/>
                <w:highlight w:val="none"/>
              </w:rPr>
            </w:pPr>
          </w:p>
        </w:tc>
        <w:tc>
          <w:tcPr>
            <w:tcW w:w="843" w:type="dxa"/>
            <w:vAlign w:val="center"/>
          </w:tcPr>
          <w:p>
            <w:pPr>
              <w:widowControl/>
              <w:spacing w:line="360" w:lineRule="atLeast"/>
              <w:ind w:firstLine="470" w:firstLineChars="196"/>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77" w:type="dxa"/>
            <w:vAlign w:val="center"/>
          </w:tcPr>
          <w:p>
            <w:pPr>
              <w:widowControl/>
              <w:spacing w:line="360" w:lineRule="atLeast"/>
              <w:ind w:firstLine="470" w:firstLineChars="196"/>
              <w:jc w:val="left"/>
              <w:rPr>
                <w:rFonts w:ascii="宋体" w:hAnsi="宋体" w:cs="宋体"/>
                <w:color w:val="auto"/>
                <w:sz w:val="24"/>
                <w:highlight w:val="none"/>
              </w:rPr>
            </w:pPr>
          </w:p>
        </w:tc>
        <w:tc>
          <w:tcPr>
            <w:tcW w:w="1275" w:type="dxa"/>
            <w:vAlign w:val="center"/>
          </w:tcPr>
          <w:p>
            <w:pPr>
              <w:widowControl/>
              <w:spacing w:line="360" w:lineRule="atLeast"/>
              <w:ind w:firstLine="470" w:firstLineChars="196"/>
              <w:jc w:val="left"/>
              <w:rPr>
                <w:rFonts w:ascii="宋体" w:hAnsi="宋体" w:cs="宋体"/>
                <w:color w:val="auto"/>
                <w:sz w:val="24"/>
                <w:highlight w:val="none"/>
              </w:rPr>
            </w:pPr>
          </w:p>
        </w:tc>
        <w:tc>
          <w:tcPr>
            <w:tcW w:w="1360" w:type="dxa"/>
            <w:vAlign w:val="center"/>
          </w:tcPr>
          <w:p>
            <w:pPr>
              <w:widowControl/>
              <w:spacing w:line="360" w:lineRule="atLeast"/>
              <w:ind w:firstLine="470" w:firstLineChars="196"/>
              <w:jc w:val="left"/>
              <w:rPr>
                <w:rFonts w:ascii="宋体" w:hAnsi="宋体" w:cs="宋体"/>
                <w:color w:val="auto"/>
                <w:sz w:val="24"/>
                <w:highlight w:val="none"/>
              </w:rPr>
            </w:pPr>
          </w:p>
        </w:tc>
        <w:tc>
          <w:tcPr>
            <w:tcW w:w="888" w:type="dxa"/>
            <w:vAlign w:val="center"/>
          </w:tcPr>
          <w:p>
            <w:pPr>
              <w:widowControl/>
              <w:spacing w:line="360" w:lineRule="atLeast"/>
              <w:ind w:firstLine="470" w:firstLineChars="196"/>
              <w:jc w:val="left"/>
              <w:rPr>
                <w:rFonts w:ascii="宋体" w:hAnsi="宋体" w:cs="宋体"/>
                <w:color w:val="auto"/>
                <w:sz w:val="24"/>
                <w:highlight w:val="none"/>
              </w:rPr>
            </w:pPr>
          </w:p>
        </w:tc>
        <w:tc>
          <w:tcPr>
            <w:tcW w:w="1212" w:type="dxa"/>
            <w:vAlign w:val="center"/>
          </w:tcPr>
          <w:p>
            <w:pPr>
              <w:widowControl/>
              <w:spacing w:line="360" w:lineRule="atLeast"/>
              <w:ind w:firstLine="470" w:firstLineChars="196"/>
              <w:jc w:val="left"/>
              <w:rPr>
                <w:rFonts w:ascii="宋体" w:hAnsi="宋体" w:cs="宋体"/>
                <w:color w:val="auto"/>
                <w:sz w:val="24"/>
                <w:highlight w:val="none"/>
              </w:rPr>
            </w:pPr>
          </w:p>
        </w:tc>
        <w:tc>
          <w:tcPr>
            <w:tcW w:w="840" w:type="dxa"/>
            <w:vAlign w:val="center"/>
          </w:tcPr>
          <w:p>
            <w:pPr>
              <w:widowControl/>
              <w:spacing w:line="360" w:lineRule="atLeast"/>
              <w:ind w:firstLine="470" w:firstLineChars="196"/>
              <w:jc w:val="left"/>
              <w:rPr>
                <w:rFonts w:ascii="宋体" w:hAnsi="宋体" w:cs="宋体"/>
                <w:color w:val="auto"/>
                <w:sz w:val="24"/>
                <w:highlight w:val="none"/>
              </w:rPr>
            </w:pPr>
          </w:p>
        </w:tc>
        <w:tc>
          <w:tcPr>
            <w:tcW w:w="841" w:type="dxa"/>
            <w:vAlign w:val="center"/>
          </w:tcPr>
          <w:p>
            <w:pPr>
              <w:widowControl/>
              <w:spacing w:line="360" w:lineRule="atLeast"/>
              <w:ind w:firstLine="470" w:firstLineChars="196"/>
              <w:jc w:val="left"/>
              <w:rPr>
                <w:rFonts w:ascii="宋体" w:hAnsi="宋体" w:cs="宋体"/>
                <w:color w:val="auto"/>
                <w:sz w:val="24"/>
                <w:highlight w:val="none"/>
              </w:rPr>
            </w:pPr>
          </w:p>
        </w:tc>
        <w:tc>
          <w:tcPr>
            <w:tcW w:w="876" w:type="dxa"/>
            <w:vAlign w:val="center"/>
          </w:tcPr>
          <w:p>
            <w:pPr>
              <w:widowControl/>
              <w:spacing w:line="360" w:lineRule="atLeast"/>
              <w:ind w:firstLine="470" w:firstLineChars="196"/>
              <w:jc w:val="left"/>
              <w:rPr>
                <w:rFonts w:ascii="宋体" w:hAnsi="宋体" w:cs="宋体"/>
                <w:color w:val="auto"/>
                <w:sz w:val="24"/>
                <w:highlight w:val="none"/>
              </w:rPr>
            </w:pPr>
          </w:p>
        </w:tc>
        <w:tc>
          <w:tcPr>
            <w:tcW w:w="843" w:type="dxa"/>
            <w:vAlign w:val="center"/>
          </w:tcPr>
          <w:p>
            <w:pPr>
              <w:widowControl/>
              <w:spacing w:line="360" w:lineRule="atLeast"/>
              <w:ind w:firstLine="470" w:firstLineChars="196"/>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77" w:type="dxa"/>
            <w:tcBorders>
              <w:top w:val="single" w:color="auto" w:sz="4" w:space="0"/>
              <w:bottom w:val="single" w:color="auto" w:sz="4" w:space="0"/>
            </w:tcBorders>
            <w:vAlign w:val="center"/>
          </w:tcPr>
          <w:p>
            <w:pPr>
              <w:widowControl/>
              <w:spacing w:line="360" w:lineRule="atLeast"/>
              <w:ind w:firstLine="470" w:firstLineChars="196"/>
              <w:jc w:val="left"/>
              <w:rPr>
                <w:rFonts w:ascii="宋体" w:hAnsi="宋体" w:cs="宋体"/>
                <w:color w:val="auto"/>
                <w:sz w:val="24"/>
                <w:highlight w:val="none"/>
              </w:rPr>
            </w:pPr>
          </w:p>
        </w:tc>
        <w:tc>
          <w:tcPr>
            <w:tcW w:w="6416" w:type="dxa"/>
            <w:gridSpan w:val="6"/>
            <w:tcBorders>
              <w:top w:val="single" w:color="auto" w:sz="4" w:space="0"/>
              <w:bottom w:val="single" w:color="auto" w:sz="4" w:space="0"/>
            </w:tcBorders>
            <w:vAlign w:val="center"/>
          </w:tcPr>
          <w:p>
            <w:pPr>
              <w:widowControl/>
              <w:spacing w:line="360" w:lineRule="atLeast"/>
              <w:ind w:firstLine="470" w:firstLineChars="196"/>
              <w:jc w:val="left"/>
              <w:rPr>
                <w:rFonts w:ascii="宋体" w:hAnsi="宋体" w:cs="宋体"/>
                <w:color w:val="auto"/>
                <w:sz w:val="24"/>
                <w:highlight w:val="none"/>
              </w:rPr>
            </w:pPr>
            <w:r>
              <w:rPr>
                <w:rFonts w:hint="eastAsia" w:ascii="宋体" w:hAnsi="宋体" w:cs="宋体"/>
                <w:color w:val="auto"/>
                <w:sz w:val="24"/>
                <w:highlight w:val="none"/>
              </w:rPr>
              <w:t>分项报价合计（万元）：   大写：</w:t>
            </w:r>
          </w:p>
        </w:tc>
        <w:tc>
          <w:tcPr>
            <w:tcW w:w="876" w:type="dxa"/>
            <w:tcBorders>
              <w:top w:val="single" w:color="auto" w:sz="4" w:space="0"/>
              <w:bottom w:val="single" w:color="auto" w:sz="4" w:space="0"/>
            </w:tcBorders>
            <w:vAlign w:val="center"/>
          </w:tcPr>
          <w:p>
            <w:pPr>
              <w:widowControl/>
              <w:spacing w:line="360" w:lineRule="atLeast"/>
              <w:ind w:firstLine="470" w:firstLineChars="196"/>
              <w:jc w:val="left"/>
              <w:rPr>
                <w:rFonts w:ascii="宋体" w:hAnsi="宋体" w:cs="宋体"/>
                <w:color w:val="auto"/>
                <w:sz w:val="24"/>
                <w:highlight w:val="none"/>
              </w:rPr>
            </w:pPr>
          </w:p>
        </w:tc>
        <w:tc>
          <w:tcPr>
            <w:tcW w:w="843" w:type="dxa"/>
            <w:tcBorders>
              <w:top w:val="single" w:color="auto" w:sz="4" w:space="0"/>
              <w:bottom w:val="single" w:color="auto" w:sz="4" w:space="0"/>
            </w:tcBorders>
            <w:vAlign w:val="center"/>
          </w:tcPr>
          <w:p>
            <w:pPr>
              <w:widowControl/>
              <w:spacing w:line="360" w:lineRule="atLeast"/>
              <w:ind w:firstLine="470" w:firstLineChars="196"/>
              <w:jc w:val="left"/>
              <w:rPr>
                <w:rFonts w:ascii="宋体" w:hAnsi="宋体" w:cs="宋体"/>
                <w:color w:val="auto"/>
                <w:sz w:val="24"/>
                <w:highlight w:val="none"/>
              </w:rPr>
            </w:pPr>
          </w:p>
        </w:tc>
      </w:tr>
    </w:tbl>
    <w:p>
      <w:pPr>
        <w:spacing w:line="360" w:lineRule="auto"/>
        <w:rPr>
          <w:rFonts w:ascii="宋体" w:hAnsi="宋体" w:cs="宋体"/>
          <w:b/>
          <w:color w:val="auto"/>
          <w:sz w:val="32"/>
          <w:szCs w:val="32"/>
          <w:highlight w:val="none"/>
        </w:rPr>
      </w:pPr>
    </w:p>
    <w:p>
      <w:pPr>
        <w:spacing w:line="360" w:lineRule="auto"/>
        <w:rPr>
          <w:rFonts w:ascii="宋体" w:hAnsi="宋体" w:cs="宋体"/>
          <w:b/>
          <w:bCs/>
          <w:color w:val="auto"/>
          <w:highlight w:val="none"/>
        </w:rPr>
      </w:pPr>
    </w:p>
    <w:p>
      <w:pPr>
        <w:spacing w:line="360" w:lineRule="auto"/>
        <w:rPr>
          <w:rFonts w:ascii="宋体" w:hAnsi="宋体" w:cs="宋体"/>
          <w:b/>
          <w:bCs/>
          <w:color w:val="auto"/>
          <w:highlight w:val="none"/>
        </w:rPr>
      </w:pPr>
      <w:r>
        <w:rPr>
          <w:rFonts w:hint="eastAsia" w:ascii="宋体" w:hAnsi="宋体" w:cs="宋体"/>
          <w:b/>
          <w:bCs/>
          <w:color w:val="auto"/>
          <w:highlight w:val="none"/>
        </w:rPr>
        <w:t>注：1、投标人应按“分项报价明细表”的格式详细报出投标总价的各个组成部分的报价。</w:t>
      </w:r>
    </w:p>
    <w:p>
      <w:pPr>
        <w:spacing w:line="360" w:lineRule="auto"/>
        <w:rPr>
          <w:rFonts w:ascii="宋体" w:hAnsi="宋体" w:cs="宋体"/>
          <w:b/>
          <w:bCs/>
          <w:color w:val="auto"/>
          <w:highlight w:val="none"/>
        </w:rPr>
      </w:pPr>
      <w:r>
        <w:rPr>
          <w:rFonts w:hint="eastAsia" w:ascii="宋体" w:hAnsi="宋体" w:cs="宋体"/>
          <w:b/>
          <w:bCs/>
          <w:color w:val="auto"/>
          <w:highlight w:val="none"/>
        </w:rPr>
        <w:t xml:space="preserve">    2、“分项报价明细表”各分项报价合计应当与“开标一览表”报价合计相等。</w:t>
      </w:r>
    </w:p>
    <w:p>
      <w:pPr>
        <w:spacing w:line="360" w:lineRule="auto"/>
        <w:jc w:val="left"/>
        <w:rPr>
          <w:rFonts w:ascii="宋体" w:hAnsi="宋体" w:cs="宋体"/>
          <w:color w:val="auto"/>
          <w:sz w:val="24"/>
          <w:highlight w:val="none"/>
        </w:rPr>
      </w:pP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法定代表人/单位负责人或授权代表：（签字或加盖个人名章）</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投标人名称：（单位盖章）</w:t>
      </w:r>
    </w:p>
    <w:p>
      <w:pPr>
        <w:spacing w:line="360" w:lineRule="auto"/>
        <w:jc w:val="left"/>
        <w:rPr>
          <w:rFonts w:ascii="宋体" w:hAnsi="宋体" w:cs="宋体"/>
          <w:b/>
          <w:color w:val="auto"/>
          <w:sz w:val="32"/>
          <w:szCs w:val="32"/>
          <w:highlight w:val="none"/>
        </w:rPr>
      </w:pPr>
      <w:r>
        <w:rPr>
          <w:rFonts w:hint="eastAsia" w:ascii="宋体" w:hAnsi="宋体" w:cs="宋体"/>
          <w:color w:val="auto"/>
          <w:sz w:val="24"/>
          <w:highlight w:val="none"/>
        </w:rPr>
        <w:t>投标日期：</w:t>
      </w:r>
      <w:r>
        <w:rPr>
          <w:rFonts w:hint="eastAsia" w:ascii="宋体" w:hAnsi="宋体" w:cs="宋体"/>
          <w:color w:val="auto"/>
          <w:highlight w:val="none"/>
        </w:rPr>
        <w:br w:type="page"/>
      </w:r>
      <w:r>
        <w:rPr>
          <w:rFonts w:hint="eastAsia" w:ascii="宋体" w:hAnsi="宋体" w:cs="宋体"/>
          <w:b/>
          <w:color w:val="auto"/>
          <w:sz w:val="32"/>
          <w:szCs w:val="32"/>
          <w:highlight w:val="none"/>
        </w:rPr>
        <w:t>格式2-6</w:t>
      </w:r>
    </w:p>
    <w:p>
      <w:pPr>
        <w:widowControl/>
        <w:spacing w:line="360" w:lineRule="auto"/>
        <w:jc w:val="center"/>
        <w:outlineLvl w:val="1"/>
        <w:rPr>
          <w:rFonts w:ascii="宋体" w:hAnsi="宋体" w:cs="宋体"/>
          <w:b/>
          <w:color w:val="auto"/>
          <w:sz w:val="32"/>
          <w:szCs w:val="32"/>
          <w:highlight w:val="none"/>
        </w:rPr>
      </w:pPr>
      <w:r>
        <w:rPr>
          <w:rFonts w:hint="eastAsia" w:ascii="宋体" w:hAnsi="宋体" w:cs="宋体"/>
          <w:b/>
          <w:color w:val="auto"/>
          <w:sz w:val="32"/>
          <w:szCs w:val="32"/>
          <w:highlight w:val="none"/>
        </w:rPr>
        <w:t>五、投标产品技术参数表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项目名称：</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采购项目编号：</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包号:</w:t>
      </w:r>
    </w:p>
    <w:tbl>
      <w:tblPr>
        <w:tblStyle w:val="35"/>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2050"/>
        <w:gridCol w:w="1851"/>
        <w:gridCol w:w="2203"/>
        <w:gridCol w:w="220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6"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序号</w:t>
            </w:r>
          </w:p>
        </w:tc>
        <w:tc>
          <w:tcPr>
            <w:tcW w:w="2050"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货物（设备）名称</w:t>
            </w:r>
          </w:p>
        </w:tc>
        <w:tc>
          <w:tcPr>
            <w:tcW w:w="1851"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招标文件要求</w:t>
            </w:r>
          </w:p>
        </w:tc>
        <w:tc>
          <w:tcPr>
            <w:tcW w:w="2203"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投标产品技术参数</w:t>
            </w:r>
          </w:p>
        </w:tc>
        <w:tc>
          <w:tcPr>
            <w:tcW w:w="2203"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响应/偏离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6" w:type="dxa"/>
            <w:vAlign w:val="center"/>
          </w:tcPr>
          <w:p>
            <w:pPr>
              <w:spacing w:line="360" w:lineRule="auto"/>
              <w:rPr>
                <w:rFonts w:ascii="宋体" w:hAnsi="宋体" w:cs="宋体"/>
                <w:color w:val="auto"/>
                <w:highlight w:val="none"/>
              </w:rPr>
            </w:pPr>
          </w:p>
        </w:tc>
        <w:tc>
          <w:tcPr>
            <w:tcW w:w="2050" w:type="dxa"/>
            <w:vAlign w:val="center"/>
          </w:tcPr>
          <w:p>
            <w:pPr>
              <w:spacing w:line="360" w:lineRule="auto"/>
              <w:rPr>
                <w:rFonts w:ascii="宋体" w:hAnsi="宋体" w:cs="宋体"/>
                <w:color w:val="auto"/>
                <w:highlight w:val="none"/>
              </w:rPr>
            </w:pPr>
          </w:p>
        </w:tc>
        <w:tc>
          <w:tcPr>
            <w:tcW w:w="1851" w:type="dxa"/>
            <w:vAlign w:val="center"/>
          </w:tcPr>
          <w:p>
            <w:pPr>
              <w:spacing w:line="360" w:lineRule="auto"/>
              <w:rPr>
                <w:rFonts w:ascii="宋体" w:hAnsi="宋体" w:cs="宋体"/>
                <w:color w:val="auto"/>
                <w:highlight w:val="none"/>
              </w:rPr>
            </w:pPr>
          </w:p>
        </w:tc>
        <w:tc>
          <w:tcPr>
            <w:tcW w:w="2203" w:type="dxa"/>
            <w:vAlign w:val="center"/>
          </w:tcPr>
          <w:p>
            <w:pPr>
              <w:spacing w:line="360" w:lineRule="auto"/>
              <w:rPr>
                <w:rFonts w:ascii="宋体" w:hAnsi="宋体" w:cs="宋体"/>
                <w:color w:val="auto"/>
                <w:highlight w:val="none"/>
              </w:rPr>
            </w:pPr>
          </w:p>
        </w:tc>
        <w:tc>
          <w:tcPr>
            <w:tcW w:w="2203" w:type="dxa"/>
          </w:tcPr>
          <w:p>
            <w:pPr>
              <w:spacing w:line="360" w:lineRule="auto"/>
              <w:rPr>
                <w:rFonts w:ascii="宋体" w:hAnsi="宋体" w:cs="宋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6" w:type="dxa"/>
            <w:vAlign w:val="center"/>
          </w:tcPr>
          <w:p>
            <w:pPr>
              <w:spacing w:line="360" w:lineRule="auto"/>
              <w:rPr>
                <w:rFonts w:ascii="宋体" w:hAnsi="宋体" w:cs="宋体"/>
                <w:color w:val="auto"/>
                <w:highlight w:val="none"/>
              </w:rPr>
            </w:pPr>
          </w:p>
        </w:tc>
        <w:tc>
          <w:tcPr>
            <w:tcW w:w="2050" w:type="dxa"/>
            <w:vAlign w:val="center"/>
          </w:tcPr>
          <w:p>
            <w:pPr>
              <w:spacing w:line="360" w:lineRule="auto"/>
              <w:rPr>
                <w:rFonts w:ascii="宋体" w:hAnsi="宋体" w:cs="宋体"/>
                <w:color w:val="auto"/>
                <w:highlight w:val="none"/>
              </w:rPr>
            </w:pPr>
          </w:p>
        </w:tc>
        <w:tc>
          <w:tcPr>
            <w:tcW w:w="1851" w:type="dxa"/>
            <w:vAlign w:val="center"/>
          </w:tcPr>
          <w:p>
            <w:pPr>
              <w:spacing w:line="360" w:lineRule="auto"/>
              <w:rPr>
                <w:rFonts w:ascii="宋体" w:hAnsi="宋体" w:cs="宋体"/>
                <w:color w:val="auto"/>
                <w:highlight w:val="none"/>
              </w:rPr>
            </w:pPr>
          </w:p>
        </w:tc>
        <w:tc>
          <w:tcPr>
            <w:tcW w:w="2203" w:type="dxa"/>
            <w:vAlign w:val="center"/>
          </w:tcPr>
          <w:p>
            <w:pPr>
              <w:spacing w:line="360" w:lineRule="auto"/>
              <w:rPr>
                <w:rFonts w:ascii="宋体" w:hAnsi="宋体" w:cs="宋体"/>
                <w:color w:val="auto"/>
                <w:highlight w:val="none"/>
              </w:rPr>
            </w:pPr>
          </w:p>
        </w:tc>
        <w:tc>
          <w:tcPr>
            <w:tcW w:w="2203" w:type="dxa"/>
          </w:tcPr>
          <w:p>
            <w:pPr>
              <w:spacing w:line="360" w:lineRule="auto"/>
              <w:rPr>
                <w:rFonts w:ascii="宋体" w:hAnsi="宋体" w:cs="宋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6" w:type="dxa"/>
            <w:vAlign w:val="center"/>
          </w:tcPr>
          <w:p>
            <w:pPr>
              <w:spacing w:line="360" w:lineRule="auto"/>
              <w:rPr>
                <w:rFonts w:ascii="宋体" w:hAnsi="宋体" w:cs="宋体"/>
                <w:color w:val="auto"/>
                <w:highlight w:val="none"/>
              </w:rPr>
            </w:pPr>
          </w:p>
        </w:tc>
        <w:tc>
          <w:tcPr>
            <w:tcW w:w="2050" w:type="dxa"/>
            <w:vAlign w:val="center"/>
          </w:tcPr>
          <w:p>
            <w:pPr>
              <w:spacing w:line="360" w:lineRule="auto"/>
              <w:rPr>
                <w:rFonts w:ascii="宋体" w:hAnsi="宋体" w:cs="宋体"/>
                <w:color w:val="auto"/>
                <w:highlight w:val="none"/>
              </w:rPr>
            </w:pPr>
          </w:p>
        </w:tc>
        <w:tc>
          <w:tcPr>
            <w:tcW w:w="1851" w:type="dxa"/>
            <w:vAlign w:val="center"/>
          </w:tcPr>
          <w:p>
            <w:pPr>
              <w:spacing w:line="360" w:lineRule="auto"/>
              <w:rPr>
                <w:rFonts w:ascii="宋体" w:hAnsi="宋体" w:cs="宋体"/>
                <w:color w:val="auto"/>
                <w:highlight w:val="none"/>
              </w:rPr>
            </w:pPr>
          </w:p>
        </w:tc>
        <w:tc>
          <w:tcPr>
            <w:tcW w:w="2203" w:type="dxa"/>
            <w:vAlign w:val="center"/>
          </w:tcPr>
          <w:p>
            <w:pPr>
              <w:spacing w:line="360" w:lineRule="auto"/>
              <w:rPr>
                <w:rFonts w:ascii="宋体" w:hAnsi="宋体" w:cs="宋体"/>
                <w:color w:val="auto"/>
                <w:highlight w:val="none"/>
              </w:rPr>
            </w:pPr>
          </w:p>
        </w:tc>
        <w:tc>
          <w:tcPr>
            <w:tcW w:w="2203" w:type="dxa"/>
          </w:tcPr>
          <w:p>
            <w:pPr>
              <w:spacing w:line="360" w:lineRule="auto"/>
              <w:rPr>
                <w:rFonts w:ascii="宋体" w:hAnsi="宋体" w:cs="宋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6" w:type="dxa"/>
            <w:vAlign w:val="center"/>
          </w:tcPr>
          <w:p>
            <w:pPr>
              <w:spacing w:line="360" w:lineRule="auto"/>
              <w:rPr>
                <w:rFonts w:ascii="宋体" w:hAnsi="宋体" w:cs="宋体"/>
                <w:color w:val="auto"/>
                <w:highlight w:val="none"/>
              </w:rPr>
            </w:pPr>
          </w:p>
        </w:tc>
        <w:tc>
          <w:tcPr>
            <w:tcW w:w="2050" w:type="dxa"/>
            <w:vAlign w:val="center"/>
          </w:tcPr>
          <w:p>
            <w:pPr>
              <w:spacing w:line="360" w:lineRule="auto"/>
              <w:rPr>
                <w:rFonts w:ascii="宋体" w:hAnsi="宋体" w:cs="宋体"/>
                <w:color w:val="auto"/>
                <w:highlight w:val="none"/>
              </w:rPr>
            </w:pPr>
          </w:p>
        </w:tc>
        <w:tc>
          <w:tcPr>
            <w:tcW w:w="1851" w:type="dxa"/>
            <w:vAlign w:val="center"/>
          </w:tcPr>
          <w:p>
            <w:pPr>
              <w:spacing w:line="360" w:lineRule="auto"/>
              <w:rPr>
                <w:rFonts w:ascii="宋体" w:hAnsi="宋体" w:cs="宋体"/>
                <w:color w:val="auto"/>
                <w:highlight w:val="none"/>
              </w:rPr>
            </w:pPr>
          </w:p>
        </w:tc>
        <w:tc>
          <w:tcPr>
            <w:tcW w:w="2203" w:type="dxa"/>
            <w:vAlign w:val="center"/>
          </w:tcPr>
          <w:p>
            <w:pPr>
              <w:spacing w:line="360" w:lineRule="auto"/>
              <w:rPr>
                <w:rFonts w:ascii="宋体" w:hAnsi="宋体" w:cs="宋体"/>
                <w:color w:val="auto"/>
                <w:highlight w:val="none"/>
              </w:rPr>
            </w:pPr>
          </w:p>
        </w:tc>
        <w:tc>
          <w:tcPr>
            <w:tcW w:w="2203" w:type="dxa"/>
          </w:tcPr>
          <w:p>
            <w:pPr>
              <w:spacing w:line="360" w:lineRule="auto"/>
              <w:rPr>
                <w:rFonts w:ascii="宋体" w:hAnsi="宋体" w:cs="宋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6" w:type="dxa"/>
            <w:vAlign w:val="center"/>
          </w:tcPr>
          <w:p>
            <w:pPr>
              <w:spacing w:line="360" w:lineRule="auto"/>
              <w:rPr>
                <w:rFonts w:ascii="宋体" w:hAnsi="宋体" w:cs="宋体"/>
                <w:color w:val="auto"/>
                <w:highlight w:val="none"/>
              </w:rPr>
            </w:pPr>
          </w:p>
        </w:tc>
        <w:tc>
          <w:tcPr>
            <w:tcW w:w="2050" w:type="dxa"/>
            <w:vAlign w:val="center"/>
          </w:tcPr>
          <w:p>
            <w:pPr>
              <w:spacing w:line="360" w:lineRule="auto"/>
              <w:rPr>
                <w:rFonts w:ascii="宋体" w:hAnsi="宋体" w:cs="宋体"/>
                <w:color w:val="auto"/>
                <w:highlight w:val="none"/>
              </w:rPr>
            </w:pPr>
          </w:p>
        </w:tc>
        <w:tc>
          <w:tcPr>
            <w:tcW w:w="1851" w:type="dxa"/>
            <w:vAlign w:val="center"/>
          </w:tcPr>
          <w:p>
            <w:pPr>
              <w:spacing w:line="360" w:lineRule="auto"/>
              <w:rPr>
                <w:rFonts w:ascii="宋体" w:hAnsi="宋体" w:cs="宋体"/>
                <w:color w:val="auto"/>
                <w:highlight w:val="none"/>
              </w:rPr>
            </w:pPr>
          </w:p>
        </w:tc>
        <w:tc>
          <w:tcPr>
            <w:tcW w:w="2203" w:type="dxa"/>
            <w:vAlign w:val="center"/>
          </w:tcPr>
          <w:p>
            <w:pPr>
              <w:spacing w:line="360" w:lineRule="auto"/>
              <w:rPr>
                <w:rFonts w:ascii="宋体" w:hAnsi="宋体" w:cs="宋体"/>
                <w:color w:val="auto"/>
                <w:highlight w:val="none"/>
              </w:rPr>
            </w:pPr>
          </w:p>
        </w:tc>
        <w:tc>
          <w:tcPr>
            <w:tcW w:w="2203" w:type="dxa"/>
          </w:tcPr>
          <w:p>
            <w:pPr>
              <w:spacing w:line="360" w:lineRule="auto"/>
              <w:rPr>
                <w:rFonts w:ascii="宋体" w:hAnsi="宋体" w:cs="宋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6" w:type="dxa"/>
            <w:vAlign w:val="center"/>
          </w:tcPr>
          <w:p>
            <w:pPr>
              <w:spacing w:line="360" w:lineRule="auto"/>
              <w:rPr>
                <w:rFonts w:ascii="宋体" w:hAnsi="宋体" w:cs="宋体"/>
                <w:color w:val="auto"/>
                <w:highlight w:val="none"/>
              </w:rPr>
            </w:pPr>
          </w:p>
        </w:tc>
        <w:tc>
          <w:tcPr>
            <w:tcW w:w="2050" w:type="dxa"/>
            <w:vAlign w:val="center"/>
          </w:tcPr>
          <w:p>
            <w:pPr>
              <w:spacing w:line="360" w:lineRule="auto"/>
              <w:rPr>
                <w:rFonts w:ascii="宋体" w:hAnsi="宋体" w:cs="宋体"/>
                <w:color w:val="auto"/>
                <w:highlight w:val="none"/>
              </w:rPr>
            </w:pPr>
          </w:p>
        </w:tc>
        <w:tc>
          <w:tcPr>
            <w:tcW w:w="1851" w:type="dxa"/>
            <w:vAlign w:val="center"/>
          </w:tcPr>
          <w:p>
            <w:pPr>
              <w:spacing w:line="360" w:lineRule="auto"/>
              <w:rPr>
                <w:rFonts w:ascii="宋体" w:hAnsi="宋体" w:cs="宋体"/>
                <w:color w:val="auto"/>
                <w:highlight w:val="none"/>
              </w:rPr>
            </w:pPr>
          </w:p>
        </w:tc>
        <w:tc>
          <w:tcPr>
            <w:tcW w:w="2203" w:type="dxa"/>
            <w:vAlign w:val="center"/>
          </w:tcPr>
          <w:p>
            <w:pPr>
              <w:spacing w:line="360" w:lineRule="auto"/>
              <w:rPr>
                <w:rFonts w:ascii="宋体" w:hAnsi="宋体" w:cs="宋体"/>
                <w:color w:val="auto"/>
                <w:highlight w:val="none"/>
              </w:rPr>
            </w:pPr>
          </w:p>
        </w:tc>
        <w:tc>
          <w:tcPr>
            <w:tcW w:w="2203" w:type="dxa"/>
          </w:tcPr>
          <w:p>
            <w:pPr>
              <w:spacing w:line="360" w:lineRule="auto"/>
              <w:rPr>
                <w:rFonts w:ascii="宋体" w:hAnsi="宋体" w:cs="宋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6" w:type="dxa"/>
            <w:vAlign w:val="center"/>
          </w:tcPr>
          <w:p>
            <w:pPr>
              <w:spacing w:line="360" w:lineRule="auto"/>
              <w:rPr>
                <w:rFonts w:ascii="宋体" w:hAnsi="宋体" w:cs="宋体"/>
                <w:color w:val="auto"/>
                <w:highlight w:val="none"/>
              </w:rPr>
            </w:pPr>
          </w:p>
        </w:tc>
        <w:tc>
          <w:tcPr>
            <w:tcW w:w="2050" w:type="dxa"/>
            <w:vAlign w:val="center"/>
          </w:tcPr>
          <w:p>
            <w:pPr>
              <w:spacing w:line="360" w:lineRule="auto"/>
              <w:rPr>
                <w:rFonts w:ascii="宋体" w:hAnsi="宋体" w:cs="宋体"/>
                <w:color w:val="auto"/>
                <w:highlight w:val="none"/>
              </w:rPr>
            </w:pPr>
          </w:p>
        </w:tc>
        <w:tc>
          <w:tcPr>
            <w:tcW w:w="1851" w:type="dxa"/>
            <w:vAlign w:val="center"/>
          </w:tcPr>
          <w:p>
            <w:pPr>
              <w:spacing w:line="360" w:lineRule="auto"/>
              <w:rPr>
                <w:rFonts w:ascii="宋体" w:hAnsi="宋体" w:cs="宋体"/>
                <w:color w:val="auto"/>
                <w:highlight w:val="none"/>
              </w:rPr>
            </w:pPr>
          </w:p>
        </w:tc>
        <w:tc>
          <w:tcPr>
            <w:tcW w:w="2203" w:type="dxa"/>
            <w:vAlign w:val="center"/>
          </w:tcPr>
          <w:p>
            <w:pPr>
              <w:spacing w:line="360" w:lineRule="auto"/>
              <w:rPr>
                <w:rFonts w:ascii="宋体" w:hAnsi="宋体" w:cs="宋体"/>
                <w:color w:val="auto"/>
                <w:highlight w:val="none"/>
              </w:rPr>
            </w:pPr>
          </w:p>
        </w:tc>
        <w:tc>
          <w:tcPr>
            <w:tcW w:w="2203" w:type="dxa"/>
          </w:tcPr>
          <w:p>
            <w:pPr>
              <w:spacing w:line="360" w:lineRule="auto"/>
              <w:rPr>
                <w:rFonts w:ascii="宋体" w:hAnsi="宋体" w:cs="宋体"/>
                <w:color w:val="auto"/>
                <w:highlight w:val="none"/>
              </w:rPr>
            </w:pPr>
          </w:p>
        </w:tc>
      </w:tr>
    </w:tbl>
    <w:p>
      <w:pPr>
        <w:spacing w:line="360" w:lineRule="auto"/>
        <w:rPr>
          <w:rFonts w:ascii="宋体" w:hAnsi="宋体" w:cs="宋体"/>
          <w:color w:val="auto"/>
          <w:highlight w:val="none"/>
        </w:rPr>
      </w:pPr>
    </w:p>
    <w:p>
      <w:pPr>
        <w:spacing w:line="360" w:lineRule="auto"/>
        <w:rPr>
          <w:rFonts w:ascii="宋体" w:hAnsi="宋体" w:cs="宋体"/>
          <w:b/>
          <w:bCs/>
          <w:color w:val="auto"/>
          <w:highlight w:val="none"/>
        </w:rPr>
      </w:pPr>
      <w:r>
        <w:rPr>
          <w:rFonts w:hint="eastAsia" w:ascii="宋体" w:hAnsi="宋体" w:cs="宋体"/>
          <w:b/>
          <w:bCs/>
          <w:color w:val="auto"/>
          <w:highlight w:val="none"/>
        </w:rPr>
        <w:t>注：1. 供应商必须把招标文件第六章技术要求全部列入此表；</w:t>
      </w:r>
    </w:p>
    <w:p>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2．按照招标项目技术要求的顺序逐条对应填写；</w:t>
      </w:r>
    </w:p>
    <w:p>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3．供应商必须据实填写，不得虚假填写，否则将取消其投标或中标资格并追究相关责任；</w:t>
      </w:r>
    </w:p>
    <w:p>
      <w:pPr>
        <w:spacing w:line="360" w:lineRule="auto"/>
        <w:rPr>
          <w:rFonts w:ascii="宋体" w:hAnsi="宋体" w:cs="宋体"/>
          <w:b/>
          <w:bCs/>
          <w:color w:val="auto"/>
          <w:highlight w:val="none"/>
        </w:rPr>
      </w:pPr>
      <w:r>
        <w:rPr>
          <w:rFonts w:hint="eastAsia" w:ascii="宋体" w:hAnsi="宋体" w:cs="宋体"/>
          <w:b/>
          <w:bCs/>
          <w:color w:val="auto"/>
          <w:highlight w:val="none"/>
        </w:rPr>
        <w:t xml:space="preserve">    4.“响应/偏离”根据实际投标产品情况填写“正偏离、负偏离或完全响应”。</w:t>
      </w:r>
    </w:p>
    <w:p>
      <w:pPr>
        <w:spacing w:line="360" w:lineRule="auto"/>
        <w:jc w:val="left"/>
        <w:rPr>
          <w:rFonts w:ascii="宋体" w:hAnsi="宋体" w:cs="宋体"/>
          <w:color w:val="auto"/>
          <w:sz w:val="24"/>
          <w:highlight w:val="none"/>
        </w:rPr>
      </w:pP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法定代表人/单位负责人或授权代表：（签字或加盖个人名章）</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投标人名称：（单位盖章）</w:t>
      </w:r>
    </w:p>
    <w:p>
      <w:pPr>
        <w:spacing w:line="360" w:lineRule="auto"/>
        <w:rPr>
          <w:rFonts w:ascii="宋体" w:hAnsi="宋体" w:cs="宋体"/>
          <w:color w:val="auto"/>
          <w:sz w:val="24"/>
          <w:highlight w:val="none"/>
        </w:rPr>
      </w:pPr>
      <w:r>
        <w:rPr>
          <w:rFonts w:hint="eastAsia" w:ascii="宋体" w:hAnsi="宋体" w:cs="宋体"/>
          <w:color w:val="auto"/>
          <w:sz w:val="24"/>
          <w:highlight w:val="none"/>
        </w:rPr>
        <w:t>投标日期：</w:t>
      </w:r>
    </w:p>
    <w:p>
      <w:pPr>
        <w:spacing w:line="360" w:lineRule="auto"/>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b/>
          <w:color w:val="auto"/>
          <w:sz w:val="32"/>
          <w:szCs w:val="32"/>
          <w:highlight w:val="none"/>
        </w:rPr>
        <w:t>格式2-7</w:t>
      </w:r>
    </w:p>
    <w:p>
      <w:pPr>
        <w:widowControl/>
        <w:spacing w:line="360" w:lineRule="auto"/>
        <w:jc w:val="center"/>
        <w:outlineLvl w:val="1"/>
        <w:rPr>
          <w:rFonts w:ascii="宋体" w:hAnsi="宋体" w:cs="宋体"/>
          <w:b/>
          <w:color w:val="auto"/>
          <w:sz w:val="32"/>
          <w:szCs w:val="32"/>
          <w:highlight w:val="none"/>
        </w:rPr>
      </w:pPr>
      <w:r>
        <w:rPr>
          <w:rFonts w:hint="eastAsia" w:ascii="宋体" w:hAnsi="宋体" w:cs="宋体"/>
          <w:b/>
          <w:color w:val="auto"/>
          <w:sz w:val="32"/>
          <w:szCs w:val="32"/>
          <w:highlight w:val="none"/>
        </w:rPr>
        <w:t>六、商务应答表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项目名称：</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采购项目编号：</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包号:</w:t>
      </w:r>
    </w:p>
    <w:tbl>
      <w:tblPr>
        <w:tblStyle w:val="35"/>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792"/>
        <w:gridCol w:w="3015"/>
        <w:gridCol w:w="198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1"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序号</w:t>
            </w:r>
          </w:p>
        </w:tc>
        <w:tc>
          <w:tcPr>
            <w:tcW w:w="2792"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招标要求</w:t>
            </w:r>
          </w:p>
        </w:tc>
        <w:tc>
          <w:tcPr>
            <w:tcW w:w="3015"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投标应答</w:t>
            </w:r>
          </w:p>
        </w:tc>
        <w:tc>
          <w:tcPr>
            <w:tcW w:w="1989"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响应/偏离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51" w:type="dxa"/>
          </w:tcPr>
          <w:p>
            <w:pPr>
              <w:spacing w:line="360" w:lineRule="auto"/>
              <w:rPr>
                <w:rFonts w:ascii="宋体" w:hAnsi="宋体" w:cs="宋体"/>
                <w:color w:val="auto"/>
                <w:highlight w:val="none"/>
              </w:rPr>
            </w:pPr>
          </w:p>
        </w:tc>
        <w:tc>
          <w:tcPr>
            <w:tcW w:w="2792" w:type="dxa"/>
          </w:tcPr>
          <w:p>
            <w:pPr>
              <w:spacing w:line="360" w:lineRule="auto"/>
              <w:rPr>
                <w:rFonts w:ascii="宋体" w:hAnsi="宋体" w:cs="宋体"/>
                <w:color w:val="auto"/>
                <w:highlight w:val="none"/>
              </w:rPr>
            </w:pPr>
          </w:p>
        </w:tc>
        <w:tc>
          <w:tcPr>
            <w:tcW w:w="3015" w:type="dxa"/>
          </w:tcPr>
          <w:p>
            <w:pPr>
              <w:spacing w:line="360" w:lineRule="auto"/>
              <w:rPr>
                <w:rFonts w:ascii="宋体" w:hAnsi="宋体" w:cs="宋体"/>
                <w:color w:val="auto"/>
                <w:highlight w:val="none"/>
              </w:rPr>
            </w:pPr>
          </w:p>
        </w:tc>
        <w:tc>
          <w:tcPr>
            <w:tcW w:w="1989" w:type="dxa"/>
          </w:tcPr>
          <w:p>
            <w:pPr>
              <w:spacing w:line="360" w:lineRule="auto"/>
              <w:rPr>
                <w:rFonts w:ascii="宋体" w:hAnsi="宋体" w:cs="宋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51" w:type="dxa"/>
          </w:tcPr>
          <w:p>
            <w:pPr>
              <w:spacing w:line="360" w:lineRule="auto"/>
              <w:rPr>
                <w:rFonts w:ascii="宋体" w:hAnsi="宋体" w:cs="宋体"/>
                <w:color w:val="auto"/>
                <w:highlight w:val="none"/>
              </w:rPr>
            </w:pPr>
          </w:p>
        </w:tc>
        <w:tc>
          <w:tcPr>
            <w:tcW w:w="2792" w:type="dxa"/>
          </w:tcPr>
          <w:p>
            <w:pPr>
              <w:spacing w:line="360" w:lineRule="auto"/>
              <w:rPr>
                <w:rFonts w:ascii="宋体" w:hAnsi="宋体" w:cs="宋体"/>
                <w:color w:val="auto"/>
                <w:highlight w:val="none"/>
              </w:rPr>
            </w:pPr>
          </w:p>
        </w:tc>
        <w:tc>
          <w:tcPr>
            <w:tcW w:w="3015" w:type="dxa"/>
          </w:tcPr>
          <w:p>
            <w:pPr>
              <w:spacing w:line="360" w:lineRule="auto"/>
              <w:rPr>
                <w:rFonts w:ascii="宋体" w:hAnsi="宋体" w:cs="宋体"/>
                <w:color w:val="auto"/>
                <w:highlight w:val="none"/>
              </w:rPr>
            </w:pPr>
          </w:p>
        </w:tc>
        <w:tc>
          <w:tcPr>
            <w:tcW w:w="1989" w:type="dxa"/>
          </w:tcPr>
          <w:p>
            <w:pPr>
              <w:spacing w:line="360" w:lineRule="auto"/>
              <w:rPr>
                <w:rFonts w:ascii="宋体" w:hAnsi="宋体" w:cs="宋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51" w:type="dxa"/>
          </w:tcPr>
          <w:p>
            <w:pPr>
              <w:spacing w:line="360" w:lineRule="auto"/>
              <w:rPr>
                <w:rFonts w:ascii="宋体" w:hAnsi="宋体" w:cs="宋体"/>
                <w:color w:val="auto"/>
                <w:highlight w:val="none"/>
              </w:rPr>
            </w:pPr>
          </w:p>
        </w:tc>
        <w:tc>
          <w:tcPr>
            <w:tcW w:w="2792" w:type="dxa"/>
          </w:tcPr>
          <w:p>
            <w:pPr>
              <w:spacing w:line="360" w:lineRule="auto"/>
              <w:rPr>
                <w:rFonts w:ascii="宋体" w:hAnsi="宋体" w:cs="宋体"/>
                <w:color w:val="auto"/>
                <w:highlight w:val="none"/>
              </w:rPr>
            </w:pPr>
          </w:p>
        </w:tc>
        <w:tc>
          <w:tcPr>
            <w:tcW w:w="3015" w:type="dxa"/>
          </w:tcPr>
          <w:p>
            <w:pPr>
              <w:spacing w:line="360" w:lineRule="auto"/>
              <w:rPr>
                <w:rFonts w:ascii="宋体" w:hAnsi="宋体" w:cs="宋体"/>
                <w:color w:val="auto"/>
                <w:highlight w:val="none"/>
              </w:rPr>
            </w:pPr>
          </w:p>
        </w:tc>
        <w:tc>
          <w:tcPr>
            <w:tcW w:w="1989" w:type="dxa"/>
          </w:tcPr>
          <w:p>
            <w:pPr>
              <w:spacing w:line="360" w:lineRule="auto"/>
              <w:rPr>
                <w:rFonts w:ascii="宋体" w:hAnsi="宋体" w:cs="宋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51" w:type="dxa"/>
          </w:tcPr>
          <w:p>
            <w:pPr>
              <w:spacing w:line="360" w:lineRule="auto"/>
              <w:rPr>
                <w:rFonts w:ascii="宋体" w:hAnsi="宋体" w:cs="宋体"/>
                <w:color w:val="auto"/>
                <w:highlight w:val="none"/>
              </w:rPr>
            </w:pPr>
          </w:p>
        </w:tc>
        <w:tc>
          <w:tcPr>
            <w:tcW w:w="2792" w:type="dxa"/>
          </w:tcPr>
          <w:p>
            <w:pPr>
              <w:spacing w:line="360" w:lineRule="auto"/>
              <w:rPr>
                <w:rFonts w:ascii="宋体" w:hAnsi="宋体" w:cs="宋体"/>
                <w:color w:val="auto"/>
                <w:highlight w:val="none"/>
              </w:rPr>
            </w:pPr>
          </w:p>
        </w:tc>
        <w:tc>
          <w:tcPr>
            <w:tcW w:w="3015" w:type="dxa"/>
          </w:tcPr>
          <w:p>
            <w:pPr>
              <w:spacing w:line="360" w:lineRule="auto"/>
              <w:rPr>
                <w:rFonts w:ascii="宋体" w:hAnsi="宋体" w:cs="宋体"/>
                <w:color w:val="auto"/>
                <w:highlight w:val="none"/>
              </w:rPr>
            </w:pPr>
          </w:p>
        </w:tc>
        <w:tc>
          <w:tcPr>
            <w:tcW w:w="1989" w:type="dxa"/>
          </w:tcPr>
          <w:p>
            <w:pPr>
              <w:spacing w:line="360" w:lineRule="auto"/>
              <w:rPr>
                <w:rFonts w:ascii="宋体" w:hAnsi="宋体" w:cs="宋体"/>
                <w:color w:val="auto"/>
                <w:highlight w:val="none"/>
              </w:rPr>
            </w:pPr>
          </w:p>
        </w:tc>
      </w:tr>
    </w:tbl>
    <w:p>
      <w:pPr>
        <w:spacing w:line="360" w:lineRule="auto"/>
        <w:rPr>
          <w:rFonts w:ascii="宋体" w:hAnsi="宋体" w:cs="宋体"/>
          <w:b/>
          <w:bCs/>
          <w:color w:val="auto"/>
          <w:highlight w:val="none"/>
        </w:rPr>
      </w:pPr>
    </w:p>
    <w:p>
      <w:pPr>
        <w:spacing w:line="360" w:lineRule="auto"/>
        <w:rPr>
          <w:rFonts w:ascii="宋体" w:hAnsi="宋体" w:cs="宋体"/>
          <w:b/>
          <w:bCs/>
          <w:color w:val="auto"/>
          <w:highlight w:val="none"/>
        </w:rPr>
      </w:pPr>
      <w:r>
        <w:rPr>
          <w:rFonts w:hint="eastAsia" w:ascii="宋体" w:hAnsi="宋体" w:cs="宋体"/>
          <w:b/>
          <w:bCs/>
          <w:color w:val="auto"/>
          <w:highlight w:val="none"/>
        </w:rPr>
        <w:t>注：1. 供应商必须把招标文件第六章全部商务要求列入此表。</w:t>
      </w:r>
    </w:p>
    <w:p>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2．按照招标项目商务要求的顺序逐条对应填写。</w:t>
      </w:r>
    </w:p>
    <w:p>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3．供应商必须据实填写，不得虚假填写，否则将取消其投标或中标资格。</w:t>
      </w:r>
    </w:p>
    <w:p>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4.“响应/偏离”根据实际投标产品情况填写“正偏离、负偏离或完全响应”。</w:t>
      </w:r>
    </w:p>
    <w:p>
      <w:pPr>
        <w:spacing w:line="360" w:lineRule="auto"/>
        <w:rPr>
          <w:rFonts w:ascii="宋体" w:hAnsi="宋体" w:cs="宋体"/>
          <w:color w:val="auto"/>
          <w:highlight w:val="none"/>
        </w:rPr>
      </w:pP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法定代表人/单位负责人或授权代表：（签字或加盖个人名章）</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投标人名称：（单位盖章）</w:t>
      </w:r>
    </w:p>
    <w:p>
      <w:pPr>
        <w:spacing w:line="360" w:lineRule="auto"/>
        <w:rPr>
          <w:rFonts w:ascii="宋体" w:hAnsi="宋体" w:cs="宋体"/>
          <w:color w:val="auto"/>
          <w:sz w:val="24"/>
          <w:highlight w:val="none"/>
        </w:rPr>
      </w:pPr>
      <w:r>
        <w:rPr>
          <w:rFonts w:hint="eastAsia" w:ascii="宋体" w:hAnsi="宋体" w:cs="宋体"/>
          <w:color w:val="auto"/>
          <w:sz w:val="24"/>
          <w:highlight w:val="none"/>
        </w:rPr>
        <w:t>投标日期：</w:t>
      </w:r>
    </w:p>
    <w:p>
      <w:pPr>
        <w:spacing w:line="360" w:lineRule="auto"/>
        <w:rPr>
          <w:rFonts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格式2-8</w:t>
      </w:r>
    </w:p>
    <w:p>
      <w:pPr>
        <w:widowControl/>
        <w:spacing w:line="360" w:lineRule="auto"/>
        <w:jc w:val="center"/>
        <w:outlineLvl w:val="1"/>
        <w:rPr>
          <w:rFonts w:ascii="宋体" w:hAnsi="宋体" w:cs="宋体"/>
          <w:b/>
          <w:color w:val="auto"/>
          <w:sz w:val="32"/>
          <w:szCs w:val="32"/>
          <w:highlight w:val="none"/>
        </w:rPr>
      </w:pPr>
      <w:r>
        <w:rPr>
          <w:rFonts w:hint="eastAsia" w:ascii="宋体" w:hAnsi="宋体" w:cs="宋体"/>
          <w:b/>
          <w:color w:val="auto"/>
          <w:sz w:val="32"/>
          <w:szCs w:val="32"/>
          <w:highlight w:val="none"/>
        </w:rPr>
        <w:t>七、商务、技术、服务应答附表</w:t>
      </w:r>
    </w:p>
    <w:p>
      <w:pPr>
        <w:widowControl/>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（仅用于中标、成交结果公告，此表不作为评审内容）</w:t>
      </w:r>
    </w:p>
    <w:p>
      <w:pPr>
        <w:widowControl/>
        <w:spacing w:line="360"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根据《中华人民共和国政府采购法实施条例》第四十三条第三款要求，中标、成交结果公告应当公告中标（成交）供应商的相关内容，请供应商根据响应情况如实完善以下内容，结果公告时公布中标（成交）供应商的相关信息。</w:t>
      </w:r>
    </w:p>
    <w:tbl>
      <w:tblPr>
        <w:tblStyle w:val="35"/>
        <w:tblW w:w="0" w:type="auto"/>
        <w:tblInd w:w="131"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278"/>
        <w:gridCol w:w="463"/>
        <w:gridCol w:w="1635"/>
        <w:gridCol w:w="275"/>
        <w:gridCol w:w="1075"/>
        <w:gridCol w:w="30"/>
        <w:gridCol w:w="1529"/>
        <w:gridCol w:w="31"/>
        <w:gridCol w:w="1899"/>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8215" w:type="dxa"/>
            <w:gridSpan w:val="9"/>
            <w:tcBorders>
              <w:top w:val="single" w:color="auto" w:sz="18" w:space="0"/>
              <w:left w:val="single" w:color="auto" w:sz="18" w:space="0"/>
              <w:bottom w:val="single" w:color="auto" w:sz="6" w:space="0"/>
              <w:right w:val="single" w:color="auto" w:sz="18" w:space="0"/>
            </w:tcBorders>
            <w:vAlign w:val="center"/>
          </w:tcPr>
          <w:p>
            <w:pPr>
              <w:widowControl/>
              <w:spacing w:line="360" w:lineRule="auto"/>
              <w:jc w:val="center"/>
              <w:outlineLvl w:val="1"/>
              <w:rPr>
                <w:rFonts w:ascii="宋体" w:hAnsi="宋体" w:cs="宋体"/>
                <w:color w:val="auto"/>
                <w:sz w:val="24"/>
                <w:highlight w:val="none"/>
              </w:rPr>
            </w:pPr>
            <w:r>
              <w:rPr>
                <w:rFonts w:hint="eastAsia" w:ascii="宋体" w:hAnsi="宋体" w:cs="宋体"/>
                <w:b/>
                <w:color w:val="auto"/>
                <w:kern w:val="0"/>
                <w:sz w:val="24"/>
                <w:highlight w:val="none"/>
              </w:rPr>
              <w:t>中标（成交）供应商的相关信息</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741" w:type="dxa"/>
            <w:gridSpan w:val="2"/>
            <w:tcBorders>
              <w:top w:val="single" w:color="auto" w:sz="6" w:space="0"/>
              <w:left w:val="single" w:color="auto" w:sz="18" w:space="0"/>
              <w:bottom w:val="single" w:color="auto" w:sz="6" w:space="0"/>
              <w:right w:val="single" w:color="auto" w:sz="6" w:space="0"/>
            </w:tcBorders>
            <w:vAlign w:val="center"/>
          </w:tcPr>
          <w:p>
            <w:pPr>
              <w:widowControl/>
              <w:spacing w:line="360" w:lineRule="auto"/>
              <w:jc w:val="center"/>
              <w:outlineLvl w:val="1"/>
              <w:rPr>
                <w:rFonts w:ascii="宋体" w:hAnsi="宋体" w:cs="宋体"/>
                <w:color w:val="auto"/>
                <w:sz w:val="24"/>
                <w:highlight w:val="none"/>
              </w:rPr>
            </w:pPr>
            <w:r>
              <w:rPr>
                <w:rFonts w:hint="eastAsia" w:ascii="宋体" w:hAnsi="宋体" w:cs="宋体"/>
                <w:color w:val="auto"/>
                <w:sz w:val="24"/>
                <w:highlight w:val="none"/>
              </w:rPr>
              <w:t>项目名称</w:t>
            </w:r>
          </w:p>
        </w:tc>
        <w:tc>
          <w:tcPr>
            <w:tcW w:w="6474" w:type="dxa"/>
            <w:gridSpan w:val="7"/>
            <w:tcBorders>
              <w:top w:val="single" w:color="auto" w:sz="6" w:space="0"/>
              <w:left w:val="single" w:color="auto" w:sz="6" w:space="0"/>
              <w:bottom w:val="single" w:color="auto" w:sz="6" w:space="0"/>
              <w:right w:val="single" w:color="auto" w:sz="18" w:space="0"/>
            </w:tcBorders>
            <w:vAlign w:val="center"/>
          </w:tcPr>
          <w:p>
            <w:pPr>
              <w:widowControl/>
              <w:spacing w:line="360" w:lineRule="auto"/>
              <w:ind w:firstLine="470" w:firstLineChars="196"/>
              <w:jc w:val="center"/>
              <w:rPr>
                <w:rFonts w:ascii="宋体" w:hAnsi="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741" w:type="dxa"/>
            <w:gridSpan w:val="2"/>
            <w:tcBorders>
              <w:top w:val="single" w:color="auto" w:sz="6" w:space="0"/>
              <w:left w:val="single" w:color="auto" w:sz="18" w:space="0"/>
              <w:bottom w:val="single" w:color="auto" w:sz="6" w:space="0"/>
              <w:right w:val="single" w:color="auto" w:sz="6" w:space="0"/>
            </w:tcBorders>
            <w:vAlign w:val="center"/>
          </w:tcPr>
          <w:p>
            <w:pPr>
              <w:widowControl/>
              <w:spacing w:line="360" w:lineRule="auto"/>
              <w:jc w:val="center"/>
              <w:outlineLvl w:val="1"/>
              <w:rPr>
                <w:rFonts w:ascii="宋体" w:hAnsi="宋体" w:cs="宋体"/>
                <w:color w:val="auto"/>
                <w:sz w:val="24"/>
                <w:highlight w:val="none"/>
              </w:rPr>
            </w:pPr>
            <w:r>
              <w:rPr>
                <w:rFonts w:hint="eastAsia" w:ascii="宋体" w:hAnsi="宋体" w:cs="宋体"/>
                <w:color w:val="auto"/>
                <w:sz w:val="24"/>
                <w:highlight w:val="none"/>
              </w:rPr>
              <w:t>投标人名称</w:t>
            </w:r>
          </w:p>
        </w:tc>
        <w:tc>
          <w:tcPr>
            <w:tcW w:w="6474" w:type="dxa"/>
            <w:gridSpan w:val="7"/>
            <w:tcBorders>
              <w:top w:val="single" w:color="auto" w:sz="6" w:space="0"/>
              <w:left w:val="single" w:color="auto" w:sz="6" w:space="0"/>
              <w:bottom w:val="single" w:color="auto" w:sz="6" w:space="0"/>
              <w:right w:val="single" w:color="auto" w:sz="18" w:space="0"/>
            </w:tcBorders>
            <w:vAlign w:val="center"/>
          </w:tcPr>
          <w:p>
            <w:pPr>
              <w:widowControl/>
              <w:spacing w:line="360" w:lineRule="auto"/>
              <w:ind w:firstLine="470" w:firstLineChars="196"/>
              <w:jc w:val="center"/>
              <w:rPr>
                <w:rFonts w:ascii="宋体" w:hAnsi="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741" w:type="dxa"/>
            <w:gridSpan w:val="2"/>
            <w:tcBorders>
              <w:top w:val="single" w:color="auto" w:sz="6" w:space="0"/>
              <w:left w:val="single" w:color="auto" w:sz="18" w:space="0"/>
              <w:bottom w:val="single" w:color="auto" w:sz="6" w:space="0"/>
              <w:right w:val="single" w:color="auto" w:sz="6" w:space="0"/>
            </w:tcBorders>
            <w:vAlign w:val="center"/>
          </w:tcPr>
          <w:p>
            <w:pPr>
              <w:widowControl/>
              <w:spacing w:line="360" w:lineRule="auto"/>
              <w:jc w:val="center"/>
              <w:outlineLvl w:val="1"/>
              <w:rPr>
                <w:rFonts w:ascii="宋体" w:hAnsi="宋体" w:cs="宋体"/>
                <w:color w:val="auto"/>
                <w:sz w:val="24"/>
                <w:highlight w:val="none"/>
              </w:rPr>
            </w:pPr>
            <w:r>
              <w:rPr>
                <w:rFonts w:hint="eastAsia" w:ascii="宋体" w:hAnsi="宋体" w:cs="宋体"/>
                <w:color w:val="auto"/>
                <w:sz w:val="24"/>
                <w:highlight w:val="none"/>
              </w:rPr>
              <w:t>注册地址</w:t>
            </w:r>
          </w:p>
        </w:tc>
        <w:tc>
          <w:tcPr>
            <w:tcW w:w="2985" w:type="dxa"/>
            <w:gridSpan w:val="3"/>
            <w:tcBorders>
              <w:top w:val="single" w:color="auto" w:sz="6" w:space="0"/>
              <w:left w:val="single" w:color="auto" w:sz="6" w:space="0"/>
              <w:bottom w:val="single" w:color="auto" w:sz="6" w:space="0"/>
              <w:right w:val="single" w:color="auto" w:sz="4" w:space="0"/>
            </w:tcBorders>
            <w:vAlign w:val="center"/>
          </w:tcPr>
          <w:p>
            <w:pPr>
              <w:widowControl/>
              <w:spacing w:line="360" w:lineRule="auto"/>
              <w:jc w:val="center"/>
              <w:rPr>
                <w:rFonts w:ascii="宋体" w:hAnsi="宋体" w:cs="宋体"/>
                <w:color w:val="auto"/>
                <w:sz w:val="24"/>
                <w:highlight w:val="none"/>
              </w:rPr>
            </w:pPr>
          </w:p>
        </w:tc>
        <w:tc>
          <w:tcPr>
            <w:tcW w:w="1590" w:type="dxa"/>
            <w:gridSpan w:val="3"/>
            <w:tcBorders>
              <w:top w:val="single" w:color="auto" w:sz="6" w:space="0"/>
              <w:left w:val="single" w:color="auto" w:sz="4" w:space="0"/>
              <w:bottom w:val="single" w:color="auto" w:sz="6" w:space="0"/>
              <w:right w:val="single" w:color="auto" w:sz="4" w:space="0"/>
            </w:tcBorders>
            <w:vAlign w:val="center"/>
          </w:tcPr>
          <w:p>
            <w:pPr>
              <w:widowControl/>
              <w:spacing w:line="360" w:lineRule="auto"/>
              <w:jc w:val="center"/>
              <w:outlineLvl w:val="1"/>
              <w:rPr>
                <w:rFonts w:ascii="宋体" w:hAnsi="宋体" w:cs="宋体"/>
                <w:color w:val="auto"/>
                <w:sz w:val="24"/>
                <w:highlight w:val="none"/>
              </w:rPr>
            </w:pPr>
            <w:r>
              <w:rPr>
                <w:rFonts w:hint="eastAsia" w:ascii="宋体" w:hAnsi="宋体" w:cs="宋体"/>
                <w:color w:val="auto"/>
                <w:sz w:val="24"/>
                <w:highlight w:val="none"/>
              </w:rPr>
              <w:t>行政区域</w:t>
            </w:r>
          </w:p>
        </w:tc>
        <w:tc>
          <w:tcPr>
            <w:tcW w:w="1899" w:type="dxa"/>
            <w:tcBorders>
              <w:top w:val="single" w:color="auto" w:sz="6" w:space="0"/>
              <w:left w:val="single" w:color="auto" w:sz="4" w:space="0"/>
              <w:bottom w:val="single" w:color="auto" w:sz="6" w:space="0"/>
              <w:right w:val="single" w:color="auto" w:sz="18" w:space="0"/>
            </w:tcBorders>
            <w:vAlign w:val="center"/>
          </w:tcPr>
          <w:p>
            <w:pPr>
              <w:widowControl/>
              <w:spacing w:line="360" w:lineRule="auto"/>
              <w:ind w:firstLine="470" w:firstLineChars="196"/>
              <w:jc w:val="center"/>
              <w:rPr>
                <w:rFonts w:ascii="宋体" w:hAnsi="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741" w:type="dxa"/>
            <w:gridSpan w:val="2"/>
            <w:tcBorders>
              <w:top w:val="single" w:color="auto" w:sz="6" w:space="0"/>
              <w:left w:val="single" w:color="auto" w:sz="18" w:space="0"/>
              <w:bottom w:val="single" w:color="auto" w:sz="6" w:space="0"/>
              <w:right w:val="single" w:color="auto" w:sz="6" w:space="0"/>
            </w:tcBorders>
            <w:vAlign w:val="center"/>
          </w:tcPr>
          <w:p>
            <w:pPr>
              <w:widowControl/>
              <w:spacing w:line="360" w:lineRule="auto"/>
              <w:jc w:val="center"/>
              <w:outlineLvl w:val="1"/>
              <w:rPr>
                <w:rFonts w:ascii="宋体" w:hAnsi="宋体" w:cs="宋体"/>
                <w:color w:val="auto"/>
                <w:sz w:val="24"/>
                <w:highlight w:val="none"/>
              </w:rPr>
            </w:pPr>
            <w:r>
              <w:rPr>
                <w:rFonts w:hint="eastAsia" w:ascii="宋体" w:hAnsi="宋体" w:cs="宋体"/>
                <w:color w:val="auto"/>
                <w:sz w:val="24"/>
                <w:highlight w:val="none"/>
              </w:rPr>
              <w:t>供应商规模</w:t>
            </w:r>
          </w:p>
        </w:tc>
        <w:tc>
          <w:tcPr>
            <w:tcW w:w="6474" w:type="dxa"/>
            <w:gridSpan w:val="7"/>
            <w:tcBorders>
              <w:top w:val="single" w:color="auto" w:sz="6" w:space="0"/>
              <w:left w:val="single" w:color="auto" w:sz="6" w:space="0"/>
              <w:bottom w:val="single" w:color="auto" w:sz="6" w:space="0"/>
              <w:right w:val="single" w:color="auto" w:sz="18" w:space="0"/>
            </w:tcBorders>
            <w:vAlign w:val="center"/>
          </w:tcPr>
          <w:p>
            <w:pPr>
              <w:widowControl/>
              <w:spacing w:line="360" w:lineRule="auto"/>
              <w:jc w:val="center"/>
              <w:outlineLvl w:val="1"/>
              <w:rPr>
                <w:rFonts w:ascii="宋体" w:hAnsi="宋体" w:cs="宋体"/>
                <w:color w:val="auto"/>
                <w:sz w:val="24"/>
                <w:highlight w:val="none"/>
              </w:rPr>
            </w:pPr>
            <w:r>
              <w:rPr>
                <w:rFonts w:hint="eastAsia" w:ascii="宋体" w:hAnsi="宋体" w:cs="宋体"/>
                <w:color w:val="auto"/>
                <w:szCs w:val="21"/>
                <w:highlight w:val="none"/>
              </w:rPr>
              <w:t>□大型企业   □中型企业   □小微型企业（对应处打“√”）</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741" w:type="dxa"/>
            <w:gridSpan w:val="2"/>
            <w:vMerge w:val="restart"/>
            <w:tcBorders>
              <w:top w:val="single" w:color="auto" w:sz="6" w:space="0"/>
              <w:left w:val="single" w:color="auto" w:sz="18" w:space="0"/>
              <w:bottom w:val="single" w:color="auto" w:sz="6" w:space="0"/>
              <w:right w:val="single" w:color="auto" w:sz="6" w:space="0"/>
            </w:tcBorders>
            <w:vAlign w:val="center"/>
          </w:tcPr>
          <w:p>
            <w:pPr>
              <w:widowControl/>
              <w:spacing w:line="360" w:lineRule="auto"/>
              <w:jc w:val="center"/>
              <w:outlineLvl w:val="1"/>
              <w:rPr>
                <w:rFonts w:ascii="宋体" w:hAnsi="宋体" w:cs="宋体"/>
                <w:color w:val="auto"/>
                <w:sz w:val="24"/>
                <w:highlight w:val="none"/>
              </w:rPr>
            </w:pPr>
            <w:r>
              <w:rPr>
                <w:rFonts w:hint="eastAsia" w:ascii="宋体" w:hAnsi="宋体" w:cs="宋体"/>
                <w:color w:val="auto"/>
                <w:sz w:val="24"/>
                <w:highlight w:val="none"/>
              </w:rPr>
              <w:t>单位联系方式</w:t>
            </w:r>
          </w:p>
        </w:tc>
        <w:tc>
          <w:tcPr>
            <w:tcW w:w="1635"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outlineLvl w:val="1"/>
              <w:rPr>
                <w:rFonts w:ascii="宋体" w:hAnsi="宋体" w:cs="宋体"/>
                <w:color w:val="auto"/>
                <w:sz w:val="24"/>
                <w:highlight w:val="none"/>
              </w:rPr>
            </w:pPr>
            <w:r>
              <w:rPr>
                <w:rFonts w:hint="eastAsia" w:ascii="宋体" w:hAnsi="宋体" w:cs="宋体"/>
                <w:color w:val="auto"/>
                <w:sz w:val="24"/>
                <w:highlight w:val="none"/>
              </w:rPr>
              <w:t>单位联系人</w:t>
            </w:r>
          </w:p>
        </w:tc>
        <w:tc>
          <w:tcPr>
            <w:tcW w:w="1380" w:type="dxa"/>
            <w:gridSpan w:val="3"/>
            <w:tcBorders>
              <w:top w:val="single" w:color="auto" w:sz="6" w:space="0"/>
              <w:left w:val="single" w:color="auto" w:sz="6" w:space="0"/>
              <w:bottom w:val="single" w:color="auto" w:sz="6" w:space="0"/>
              <w:right w:val="single" w:color="auto" w:sz="6" w:space="0"/>
            </w:tcBorders>
            <w:vAlign w:val="center"/>
          </w:tcPr>
          <w:p>
            <w:pPr>
              <w:widowControl/>
              <w:spacing w:line="360" w:lineRule="auto"/>
              <w:ind w:firstLine="470" w:firstLineChars="196"/>
              <w:jc w:val="center"/>
              <w:rPr>
                <w:rFonts w:ascii="宋体" w:hAnsi="宋体" w:cs="宋体"/>
                <w:color w:val="auto"/>
                <w:sz w:val="24"/>
                <w:highlight w:val="none"/>
              </w:rPr>
            </w:pPr>
          </w:p>
        </w:tc>
        <w:tc>
          <w:tcPr>
            <w:tcW w:w="1529"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outlineLvl w:val="1"/>
              <w:rPr>
                <w:rFonts w:ascii="宋体" w:hAnsi="宋体" w:cs="宋体"/>
                <w:color w:val="auto"/>
                <w:sz w:val="24"/>
                <w:highlight w:val="none"/>
              </w:rPr>
            </w:pPr>
            <w:r>
              <w:rPr>
                <w:rFonts w:hint="eastAsia" w:ascii="宋体" w:hAnsi="宋体" w:cs="宋体"/>
                <w:color w:val="auto"/>
                <w:sz w:val="24"/>
                <w:highlight w:val="none"/>
              </w:rPr>
              <w:t>单位电话</w:t>
            </w:r>
          </w:p>
        </w:tc>
        <w:tc>
          <w:tcPr>
            <w:tcW w:w="1930" w:type="dxa"/>
            <w:gridSpan w:val="2"/>
            <w:tcBorders>
              <w:top w:val="single" w:color="auto" w:sz="6" w:space="0"/>
              <w:left w:val="single" w:color="auto" w:sz="6" w:space="0"/>
              <w:bottom w:val="single" w:color="auto" w:sz="6" w:space="0"/>
              <w:right w:val="single" w:color="auto" w:sz="18" w:space="0"/>
            </w:tcBorders>
            <w:vAlign w:val="center"/>
          </w:tcPr>
          <w:p>
            <w:pPr>
              <w:widowControl/>
              <w:spacing w:line="360" w:lineRule="auto"/>
              <w:ind w:firstLine="470" w:firstLineChars="196"/>
              <w:jc w:val="center"/>
              <w:rPr>
                <w:rFonts w:ascii="宋体" w:hAnsi="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741" w:type="dxa"/>
            <w:gridSpan w:val="2"/>
            <w:vMerge w:val="continue"/>
            <w:tcBorders>
              <w:top w:val="single" w:color="auto" w:sz="6" w:space="0"/>
              <w:left w:val="single" w:color="auto" w:sz="18" w:space="0"/>
              <w:bottom w:val="single" w:color="auto" w:sz="6" w:space="0"/>
              <w:right w:val="single" w:color="auto" w:sz="6" w:space="0"/>
            </w:tcBorders>
            <w:vAlign w:val="center"/>
          </w:tcPr>
          <w:p>
            <w:pPr>
              <w:widowControl/>
              <w:spacing w:line="360" w:lineRule="auto"/>
              <w:jc w:val="center"/>
              <w:rPr>
                <w:rFonts w:ascii="宋体" w:hAnsi="宋体" w:cs="宋体"/>
                <w:color w:val="auto"/>
                <w:sz w:val="24"/>
                <w:highlight w:val="none"/>
              </w:rPr>
            </w:pPr>
          </w:p>
        </w:tc>
        <w:tc>
          <w:tcPr>
            <w:tcW w:w="1635"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outlineLvl w:val="1"/>
              <w:rPr>
                <w:rFonts w:ascii="宋体" w:hAnsi="宋体" w:cs="宋体"/>
                <w:color w:val="auto"/>
                <w:sz w:val="24"/>
                <w:highlight w:val="none"/>
              </w:rPr>
            </w:pPr>
            <w:r>
              <w:rPr>
                <w:rFonts w:hint="eastAsia" w:ascii="宋体" w:hAnsi="宋体" w:cs="宋体"/>
                <w:color w:val="auto"/>
                <w:sz w:val="24"/>
                <w:highlight w:val="none"/>
              </w:rPr>
              <w:t>单位邮箱</w:t>
            </w:r>
          </w:p>
        </w:tc>
        <w:tc>
          <w:tcPr>
            <w:tcW w:w="4839" w:type="dxa"/>
            <w:gridSpan w:val="6"/>
            <w:tcBorders>
              <w:top w:val="single" w:color="auto" w:sz="6" w:space="0"/>
              <w:left w:val="single" w:color="auto" w:sz="6" w:space="0"/>
              <w:bottom w:val="single" w:color="auto" w:sz="6" w:space="0"/>
              <w:right w:val="single" w:color="auto" w:sz="18" w:space="0"/>
            </w:tcBorders>
            <w:vAlign w:val="center"/>
          </w:tcPr>
          <w:p>
            <w:pPr>
              <w:widowControl/>
              <w:spacing w:line="360" w:lineRule="auto"/>
              <w:ind w:firstLine="470" w:firstLineChars="196"/>
              <w:jc w:val="center"/>
              <w:rPr>
                <w:rFonts w:ascii="宋体" w:hAnsi="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278" w:type="dxa"/>
            <w:vMerge w:val="restart"/>
            <w:tcBorders>
              <w:top w:val="single" w:color="auto" w:sz="6" w:space="0"/>
              <w:left w:val="single" w:color="auto" w:sz="18" w:space="0"/>
              <w:bottom w:val="single" w:color="auto" w:sz="18" w:space="0"/>
              <w:right w:val="single" w:color="auto" w:sz="4" w:space="0"/>
            </w:tcBorders>
            <w:vAlign w:val="center"/>
          </w:tcPr>
          <w:p>
            <w:pPr>
              <w:widowControl/>
              <w:spacing w:line="360" w:lineRule="auto"/>
              <w:jc w:val="left"/>
              <w:outlineLvl w:val="1"/>
              <w:rPr>
                <w:rFonts w:ascii="宋体" w:hAnsi="宋体" w:cs="宋体"/>
                <w:b/>
                <w:bCs/>
                <w:color w:val="auto"/>
                <w:sz w:val="24"/>
                <w:highlight w:val="none"/>
              </w:rPr>
            </w:pPr>
            <w:r>
              <w:rPr>
                <w:rFonts w:hint="eastAsia" w:ascii="宋体" w:hAnsi="宋体" w:cs="宋体"/>
                <w:b/>
                <w:bCs/>
                <w:color w:val="auto"/>
                <w:sz w:val="24"/>
                <w:highlight w:val="none"/>
              </w:rPr>
              <w:t>供应商应答“采购文件”的主要内容</w:t>
            </w:r>
          </w:p>
        </w:tc>
        <w:tc>
          <w:tcPr>
            <w:tcW w:w="2373" w:type="dxa"/>
            <w:gridSpan w:val="3"/>
            <w:tcBorders>
              <w:top w:val="single" w:color="auto" w:sz="6" w:space="0"/>
              <w:left w:val="single" w:color="auto" w:sz="4" w:space="0"/>
              <w:bottom w:val="single" w:color="auto" w:sz="6" w:space="0"/>
              <w:right w:val="single" w:color="auto" w:sz="4" w:space="0"/>
            </w:tcBorders>
            <w:vAlign w:val="center"/>
          </w:tcPr>
          <w:p>
            <w:pPr>
              <w:spacing w:line="360" w:lineRule="auto"/>
              <w:jc w:val="left"/>
              <w:rPr>
                <w:rFonts w:ascii="宋体" w:hAnsi="宋体" w:cs="宋体"/>
                <w:b/>
                <w:bCs/>
                <w:color w:val="auto"/>
                <w:sz w:val="24"/>
                <w:highlight w:val="none"/>
              </w:rPr>
            </w:pPr>
            <w:r>
              <w:rPr>
                <w:rFonts w:hint="eastAsia" w:ascii="宋体" w:hAnsi="宋体" w:cs="宋体"/>
                <w:bCs/>
                <w:color w:val="auto"/>
                <w:kern w:val="0"/>
                <w:sz w:val="24"/>
                <w:highlight w:val="none"/>
              </w:rPr>
              <w:t>主要中标或者成交标的的名称</w:t>
            </w:r>
          </w:p>
        </w:tc>
        <w:tc>
          <w:tcPr>
            <w:tcW w:w="4564" w:type="dxa"/>
            <w:gridSpan w:val="5"/>
            <w:tcBorders>
              <w:top w:val="single" w:color="auto" w:sz="6" w:space="0"/>
              <w:left w:val="single" w:color="auto" w:sz="4" w:space="0"/>
              <w:bottom w:val="single" w:color="auto" w:sz="6" w:space="0"/>
              <w:right w:val="single" w:color="auto" w:sz="18" w:space="0"/>
            </w:tcBorders>
            <w:vAlign w:val="center"/>
          </w:tcPr>
          <w:p>
            <w:pPr>
              <w:spacing w:line="360" w:lineRule="auto"/>
              <w:jc w:val="left"/>
              <w:rPr>
                <w:rFonts w:ascii="宋体" w:hAnsi="宋体" w:cs="宋体"/>
                <w:b/>
                <w:bCs/>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278" w:type="dxa"/>
            <w:vMerge w:val="continue"/>
            <w:tcBorders>
              <w:top w:val="single" w:color="auto" w:sz="6" w:space="0"/>
              <w:left w:val="single" w:color="auto" w:sz="18" w:space="0"/>
              <w:bottom w:val="single" w:color="auto" w:sz="18" w:space="0"/>
              <w:right w:val="single" w:color="auto" w:sz="4" w:space="0"/>
            </w:tcBorders>
            <w:vAlign w:val="center"/>
          </w:tcPr>
          <w:p>
            <w:pPr>
              <w:widowControl/>
              <w:spacing w:line="360" w:lineRule="auto"/>
              <w:jc w:val="left"/>
              <w:rPr>
                <w:rFonts w:ascii="宋体" w:hAnsi="宋体" w:cs="宋体"/>
                <w:b/>
                <w:bCs/>
                <w:color w:val="auto"/>
                <w:sz w:val="24"/>
                <w:highlight w:val="none"/>
              </w:rPr>
            </w:pPr>
          </w:p>
        </w:tc>
        <w:tc>
          <w:tcPr>
            <w:tcW w:w="2373" w:type="dxa"/>
            <w:gridSpan w:val="3"/>
            <w:tcBorders>
              <w:top w:val="single" w:color="auto" w:sz="6" w:space="0"/>
              <w:left w:val="single" w:color="auto" w:sz="4" w:space="0"/>
              <w:bottom w:val="single" w:color="auto" w:sz="6" w:space="0"/>
              <w:right w:val="single" w:color="auto" w:sz="4" w:space="0"/>
            </w:tcBorders>
            <w:vAlign w:val="center"/>
          </w:tcPr>
          <w:p>
            <w:pPr>
              <w:spacing w:line="360" w:lineRule="auto"/>
              <w:jc w:val="left"/>
              <w:rPr>
                <w:rFonts w:ascii="宋体" w:hAnsi="宋体" w:cs="宋体"/>
                <w:b/>
                <w:bCs/>
                <w:color w:val="auto"/>
                <w:sz w:val="24"/>
                <w:highlight w:val="none"/>
              </w:rPr>
            </w:pPr>
            <w:r>
              <w:rPr>
                <w:rFonts w:hint="eastAsia" w:ascii="宋体" w:hAnsi="宋体" w:cs="宋体"/>
                <w:bCs/>
                <w:color w:val="auto"/>
                <w:kern w:val="0"/>
                <w:sz w:val="24"/>
                <w:highlight w:val="none"/>
              </w:rPr>
              <w:t>主要中标或者成交标的的规格型号</w:t>
            </w:r>
          </w:p>
        </w:tc>
        <w:tc>
          <w:tcPr>
            <w:tcW w:w="4564" w:type="dxa"/>
            <w:gridSpan w:val="5"/>
            <w:tcBorders>
              <w:top w:val="single" w:color="auto" w:sz="6" w:space="0"/>
              <w:left w:val="single" w:color="auto" w:sz="4" w:space="0"/>
              <w:bottom w:val="single" w:color="auto" w:sz="6" w:space="0"/>
              <w:right w:val="single" w:color="auto" w:sz="18" w:space="0"/>
            </w:tcBorders>
            <w:vAlign w:val="center"/>
          </w:tcPr>
          <w:p>
            <w:pPr>
              <w:spacing w:line="360" w:lineRule="auto"/>
              <w:jc w:val="left"/>
              <w:rPr>
                <w:rFonts w:ascii="宋体" w:hAnsi="宋体" w:cs="宋体"/>
                <w:b/>
                <w:bCs/>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278" w:type="dxa"/>
            <w:vMerge w:val="continue"/>
            <w:tcBorders>
              <w:top w:val="single" w:color="auto" w:sz="6" w:space="0"/>
              <w:left w:val="single" w:color="auto" w:sz="18" w:space="0"/>
              <w:bottom w:val="single" w:color="auto" w:sz="18" w:space="0"/>
              <w:right w:val="single" w:color="auto" w:sz="4" w:space="0"/>
            </w:tcBorders>
            <w:vAlign w:val="center"/>
          </w:tcPr>
          <w:p>
            <w:pPr>
              <w:widowControl/>
              <w:spacing w:line="360" w:lineRule="auto"/>
              <w:jc w:val="left"/>
              <w:rPr>
                <w:rFonts w:ascii="宋体" w:hAnsi="宋体" w:cs="宋体"/>
                <w:b/>
                <w:bCs/>
                <w:color w:val="auto"/>
                <w:sz w:val="24"/>
                <w:highlight w:val="none"/>
              </w:rPr>
            </w:pPr>
          </w:p>
        </w:tc>
        <w:tc>
          <w:tcPr>
            <w:tcW w:w="2373" w:type="dxa"/>
            <w:gridSpan w:val="3"/>
            <w:tcBorders>
              <w:top w:val="single" w:color="auto" w:sz="6" w:space="0"/>
              <w:left w:val="single" w:color="auto" w:sz="4" w:space="0"/>
              <w:bottom w:val="single" w:color="auto" w:sz="6" w:space="0"/>
              <w:right w:val="single" w:color="auto" w:sz="4" w:space="0"/>
            </w:tcBorders>
            <w:vAlign w:val="center"/>
          </w:tcPr>
          <w:p>
            <w:pPr>
              <w:spacing w:line="360" w:lineRule="auto"/>
              <w:jc w:val="left"/>
              <w:rPr>
                <w:rFonts w:ascii="宋体" w:hAnsi="宋体" w:cs="宋体"/>
                <w:b/>
                <w:bCs/>
                <w:color w:val="auto"/>
                <w:sz w:val="24"/>
                <w:highlight w:val="none"/>
              </w:rPr>
            </w:pPr>
            <w:r>
              <w:rPr>
                <w:rFonts w:hint="eastAsia" w:ascii="宋体" w:hAnsi="宋体" w:cs="宋体"/>
                <w:bCs/>
                <w:color w:val="auto"/>
                <w:kern w:val="0"/>
                <w:sz w:val="24"/>
                <w:highlight w:val="none"/>
              </w:rPr>
              <w:t>主要中标或者成交标的的数量</w:t>
            </w:r>
          </w:p>
        </w:tc>
        <w:tc>
          <w:tcPr>
            <w:tcW w:w="4564" w:type="dxa"/>
            <w:gridSpan w:val="5"/>
            <w:tcBorders>
              <w:top w:val="single" w:color="auto" w:sz="6" w:space="0"/>
              <w:left w:val="single" w:color="auto" w:sz="4" w:space="0"/>
              <w:bottom w:val="single" w:color="auto" w:sz="6" w:space="0"/>
              <w:right w:val="single" w:color="auto" w:sz="18" w:space="0"/>
            </w:tcBorders>
            <w:vAlign w:val="center"/>
          </w:tcPr>
          <w:p>
            <w:pPr>
              <w:spacing w:line="360" w:lineRule="auto"/>
              <w:jc w:val="left"/>
              <w:rPr>
                <w:rFonts w:ascii="宋体" w:hAnsi="宋体" w:cs="宋体"/>
                <w:b/>
                <w:bCs/>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278" w:type="dxa"/>
            <w:vMerge w:val="continue"/>
            <w:tcBorders>
              <w:top w:val="single" w:color="auto" w:sz="6" w:space="0"/>
              <w:left w:val="single" w:color="auto" w:sz="18" w:space="0"/>
              <w:bottom w:val="single" w:color="auto" w:sz="18" w:space="0"/>
              <w:right w:val="single" w:color="auto" w:sz="4" w:space="0"/>
            </w:tcBorders>
            <w:vAlign w:val="center"/>
          </w:tcPr>
          <w:p>
            <w:pPr>
              <w:widowControl/>
              <w:spacing w:line="360" w:lineRule="auto"/>
              <w:jc w:val="left"/>
              <w:rPr>
                <w:rFonts w:ascii="宋体" w:hAnsi="宋体" w:cs="宋体"/>
                <w:b/>
                <w:bCs/>
                <w:color w:val="auto"/>
                <w:sz w:val="24"/>
                <w:highlight w:val="none"/>
              </w:rPr>
            </w:pPr>
          </w:p>
        </w:tc>
        <w:tc>
          <w:tcPr>
            <w:tcW w:w="2373" w:type="dxa"/>
            <w:gridSpan w:val="3"/>
            <w:tcBorders>
              <w:top w:val="single" w:color="auto" w:sz="6" w:space="0"/>
              <w:left w:val="single" w:color="auto" w:sz="4" w:space="0"/>
              <w:bottom w:val="single" w:color="auto" w:sz="6" w:space="0"/>
              <w:right w:val="single" w:color="auto" w:sz="4" w:space="0"/>
            </w:tcBorders>
            <w:vAlign w:val="center"/>
          </w:tcPr>
          <w:p>
            <w:pPr>
              <w:spacing w:line="360" w:lineRule="auto"/>
              <w:jc w:val="left"/>
              <w:rPr>
                <w:rFonts w:ascii="宋体" w:hAnsi="宋体" w:cs="宋体"/>
                <w:b/>
                <w:bCs/>
                <w:color w:val="auto"/>
                <w:sz w:val="24"/>
                <w:highlight w:val="none"/>
              </w:rPr>
            </w:pPr>
            <w:r>
              <w:rPr>
                <w:rFonts w:hint="eastAsia" w:ascii="宋体" w:hAnsi="宋体" w:cs="宋体"/>
                <w:bCs/>
                <w:color w:val="auto"/>
                <w:kern w:val="0"/>
                <w:sz w:val="24"/>
                <w:highlight w:val="none"/>
              </w:rPr>
              <w:t>主要中标或者成交标的的单价</w:t>
            </w:r>
          </w:p>
        </w:tc>
        <w:tc>
          <w:tcPr>
            <w:tcW w:w="4564" w:type="dxa"/>
            <w:gridSpan w:val="5"/>
            <w:tcBorders>
              <w:top w:val="single" w:color="auto" w:sz="6" w:space="0"/>
              <w:left w:val="single" w:color="auto" w:sz="4" w:space="0"/>
              <w:bottom w:val="single" w:color="auto" w:sz="6" w:space="0"/>
              <w:right w:val="single" w:color="auto" w:sz="18" w:space="0"/>
            </w:tcBorders>
            <w:vAlign w:val="center"/>
          </w:tcPr>
          <w:p>
            <w:pPr>
              <w:spacing w:line="360" w:lineRule="auto"/>
              <w:jc w:val="left"/>
              <w:rPr>
                <w:rFonts w:ascii="宋体" w:hAnsi="宋体" w:cs="宋体"/>
                <w:b/>
                <w:bCs/>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278" w:type="dxa"/>
            <w:vMerge w:val="continue"/>
            <w:tcBorders>
              <w:top w:val="single" w:color="auto" w:sz="6" w:space="0"/>
              <w:left w:val="single" w:color="auto" w:sz="18" w:space="0"/>
              <w:bottom w:val="single" w:color="auto" w:sz="18" w:space="0"/>
              <w:right w:val="single" w:color="auto" w:sz="4" w:space="0"/>
            </w:tcBorders>
            <w:vAlign w:val="center"/>
          </w:tcPr>
          <w:p>
            <w:pPr>
              <w:widowControl/>
              <w:spacing w:line="360" w:lineRule="auto"/>
              <w:jc w:val="left"/>
              <w:rPr>
                <w:rFonts w:ascii="宋体" w:hAnsi="宋体" w:cs="宋体"/>
                <w:b/>
                <w:bCs/>
                <w:color w:val="auto"/>
                <w:sz w:val="24"/>
                <w:highlight w:val="none"/>
              </w:rPr>
            </w:pPr>
          </w:p>
        </w:tc>
        <w:tc>
          <w:tcPr>
            <w:tcW w:w="2373" w:type="dxa"/>
            <w:gridSpan w:val="3"/>
            <w:tcBorders>
              <w:top w:val="single" w:color="auto" w:sz="6" w:space="0"/>
              <w:left w:val="single" w:color="auto" w:sz="4" w:space="0"/>
              <w:bottom w:val="single" w:color="auto" w:sz="18" w:space="0"/>
              <w:right w:val="single" w:color="auto" w:sz="4" w:space="0"/>
            </w:tcBorders>
            <w:vAlign w:val="center"/>
          </w:tcPr>
          <w:p>
            <w:pPr>
              <w:spacing w:line="360" w:lineRule="auto"/>
              <w:jc w:val="left"/>
              <w:rPr>
                <w:rFonts w:ascii="宋体" w:hAnsi="宋体" w:cs="宋体"/>
                <w:b/>
                <w:bCs/>
                <w:color w:val="auto"/>
                <w:sz w:val="24"/>
                <w:highlight w:val="none"/>
              </w:rPr>
            </w:pPr>
            <w:r>
              <w:rPr>
                <w:rFonts w:hint="eastAsia" w:ascii="宋体" w:hAnsi="宋体" w:cs="宋体"/>
                <w:bCs/>
                <w:color w:val="auto"/>
                <w:kern w:val="0"/>
                <w:sz w:val="24"/>
                <w:highlight w:val="none"/>
              </w:rPr>
              <w:t>主要中标或者成交标的的服务要求（如：交货期、质保期、售后服务等等）</w:t>
            </w:r>
          </w:p>
        </w:tc>
        <w:tc>
          <w:tcPr>
            <w:tcW w:w="4564" w:type="dxa"/>
            <w:gridSpan w:val="5"/>
            <w:tcBorders>
              <w:top w:val="single" w:color="auto" w:sz="6" w:space="0"/>
              <w:left w:val="single" w:color="auto" w:sz="4" w:space="0"/>
              <w:bottom w:val="single" w:color="auto" w:sz="18" w:space="0"/>
              <w:right w:val="single" w:color="auto" w:sz="18" w:space="0"/>
            </w:tcBorders>
            <w:vAlign w:val="center"/>
          </w:tcPr>
          <w:p>
            <w:pPr>
              <w:numPr>
                <w:ilvl w:val="0"/>
                <w:numId w:val="10"/>
              </w:num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w:t>
            </w:r>
          </w:p>
          <w:p>
            <w:pPr>
              <w:numPr>
                <w:ilvl w:val="0"/>
                <w:numId w:val="10"/>
              </w:num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w:t>
            </w:r>
          </w:p>
          <w:p>
            <w:pPr>
              <w:numPr>
                <w:ilvl w:val="0"/>
                <w:numId w:val="10"/>
              </w:num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w:t>
            </w:r>
          </w:p>
          <w:p>
            <w:pPr>
              <w:spacing w:line="360" w:lineRule="auto"/>
              <w:jc w:val="left"/>
              <w:rPr>
                <w:rFonts w:ascii="宋体" w:hAnsi="宋体" w:cs="宋体"/>
                <w:b/>
                <w:bCs/>
                <w:color w:val="auto"/>
                <w:sz w:val="24"/>
                <w:highlight w:val="none"/>
              </w:rPr>
            </w:pPr>
            <w:r>
              <w:rPr>
                <w:rFonts w:hint="eastAsia" w:ascii="宋体" w:hAnsi="宋体" w:cs="宋体"/>
                <w:bCs/>
                <w:color w:val="auto"/>
                <w:sz w:val="24"/>
                <w:highlight w:val="none"/>
              </w:rPr>
              <w:t>......</w:t>
            </w:r>
          </w:p>
        </w:tc>
      </w:tr>
    </w:tbl>
    <w:p>
      <w:pPr>
        <w:spacing w:line="360" w:lineRule="auto"/>
        <w:rPr>
          <w:rFonts w:ascii="宋体" w:hAnsi="宋体" w:cs="宋体"/>
          <w:b/>
          <w:bCs/>
          <w:color w:val="auto"/>
          <w:szCs w:val="21"/>
          <w:highlight w:val="none"/>
        </w:rPr>
      </w:pPr>
    </w:p>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注：1、供应商需如实完善表格内容。</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2、供应商应答的主要内容应与投标文件一致，可以进行简要概括性表述。</w:t>
      </w:r>
    </w:p>
    <w:p>
      <w:pPr>
        <w:spacing w:line="360" w:lineRule="auto"/>
        <w:ind w:firstLine="422" w:firstLineChars="200"/>
        <w:rPr>
          <w:rFonts w:ascii="宋体" w:hAnsi="宋体" w:cs="宋体"/>
          <w:color w:val="auto"/>
          <w:sz w:val="24"/>
          <w:highlight w:val="none"/>
        </w:rPr>
      </w:pPr>
      <w:r>
        <w:rPr>
          <w:rFonts w:hint="eastAsia" w:ascii="宋体" w:hAnsi="宋体" w:cs="宋体"/>
          <w:b/>
          <w:bCs/>
          <w:color w:val="auto"/>
          <w:szCs w:val="21"/>
          <w:highlight w:val="none"/>
        </w:rPr>
        <w:t>3、供应商应答的主要内容仅用于结果公告，供应商自行完善的内容视为不涉及供应商商业秘密。若供应商没有填写或没有递交此表，视为允许采购代理机构将供应商投标文件中所有相关的应答内容进行公告</w:t>
      </w:r>
      <w:r>
        <w:rPr>
          <w:rFonts w:hint="eastAsia" w:ascii="宋体" w:hAnsi="宋体" w:cs="宋体"/>
          <w:color w:val="auto"/>
          <w:sz w:val="24"/>
          <w:highlight w:val="none"/>
        </w:rPr>
        <w:t>。</w:t>
      </w:r>
    </w:p>
    <w:p>
      <w:pPr>
        <w:spacing w:line="360" w:lineRule="auto"/>
        <w:jc w:val="left"/>
        <w:rPr>
          <w:rFonts w:ascii="宋体" w:hAnsi="宋体" w:cs="宋体"/>
          <w:color w:val="auto"/>
          <w:sz w:val="24"/>
          <w:highlight w:val="none"/>
        </w:rPr>
      </w:pP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法定代表人/单位负责人或授权代表：（签字或加盖个人名章）</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投标人名称：（单位盖章）</w:t>
      </w:r>
    </w:p>
    <w:p>
      <w:pPr>
        <w:spacing w:line="360" w:lineRule="auto"/>
        <w:rPr>
          <w:rFonts w:ascii="宋体" w:hAnsi="宋体" w:cs="宋体"/>
          <w:color w:val="auto"/>
          <w:sz w:val="24"/>
          <w:highlight w:val="none"/>
        </w:rPr>
      </w:pPr>
      <w:r>
        <w:rPr>
          <w:rFonts w:hint="eastAsia" w:ascii="宋体" w:hAnsi="宋体" w:cs="宋体"/>
          <w:color w:val="auto"/>
          <w:sz w:val="24"/>
          <w:highlight w:val="none"/>
        </w:rPr>
        <w:t>投标日期：</w:t>
      </w:r>
    </w:p>
    <w:p>
      <w:pPr>
        <w:spacing w:line="360" w:lineRule="auto"/>
        <w:rPr>
          <w:rFonts w:ascii="宋体" w:hAnsi="宋体" w:cs="宋体"/>
          <w:b/>
          <w:color w:val="auto"/>
          <w:sz w:val="32"/>
          <w:szCs w:val="32"/>
          <w:highlight w:val="none"/>
        </w:rPr>
      </w:pPr>
      <w:r>
        <w:rPr>
          <w:rFonts w:hint="eastAsia" w:ascii="宋体" w:hAnsi="宋体" w:cs="宋体"/>
          <w:b/>
          <w:color w:val="auto"/>
          <w:sz w:val="36"/>
          <w:szCs w:val="36"/>
          <w:highlight w:val="none"/>
        </w:rPr>
        <w:br w:type="page"/>
      </w:r>
      <w:r>
        <w:rPr>
          <w:rFonts w:hint="eastAsia" w:ascii="宋体" w:hAnsi="宋体" w:cs="宋体"/>
          <w:b/>
          <w:color w:val="auto"/>
          <w:sz w:val="32"/>
          <w:szCs w:val="32"/>
          <w:highlight w:val="none"/>
        </w:rPr>
        <w:t>格式2-9</w:t>
      </w:r>
    </w:p>
    <w:p>
      <w:pPr>
        <w:widowControl/>
        <w:spacing w:line="360" w:lineRule="auto"/>
        <w:jc w:val="center"/>
        <w:outlineLvl w:val="1"/>
        <w:rPr>
          <w:rFonts w:ascii="宋体" w:hAnsi="宋体" w:cs="宋体"/>
          <w:b/>
          <w:color w:val="auto"/>
          <w:sz w:val="32"/>
          <w:szCs w:val="32"/>
          <w:highlight w:val="none"/>
        </w:rPr>
      </w:pPr>
      <w:r>
        <w:rPr>
          <w:rFonts w:hint="eastAsia" w:ascii="宋体" w:hAnsi="宋体" w:cs="宋体"/>
          <w:b/>
          <w:color w:val="auto"/>
          <w:sz w:val="32"/>
          <w:szCs w:val="32"/>
          <w:highlight w:val="none"/>
        </w:rPr>
        <w:t>八、投标人基本情况表</w:t>
      </w:r>
    </w:p>
    <w:tbl>
      <w:tblPr>
        <w:tblStyle w:val="35"/>
        <w:tblW w:w="0" w:type="auto"/>
        <w:tblInd w:w="131"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78"/>
        <w:gridCol w:w="993"/>
        <w:gridCol w:w="1047"/>
        <w:gridCol w:w="1247"/>
        <w:gridCol w:w="1320"/>
        <w:gridCol w:w="355"/>
        <w:gridCol w:w="495"/>
        <w:gridCol w:w="108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78" w:type="dxa"/>
            <w:vAlign w:val="center"/>
          </w:tcPr>
          <w:p>
            <w:pPr>
              <w:widowControl/>
              <w:spacing w:line="360" w:lineRule="auto"/>
              <w:jc w:val="left"/>
              <w:outlineLvl w:val="1"/>
              <w:rPr>
                <w:rFonts w:ascii="宋体" w:hAnsi="宋体" w:cs="宋体"/>
                <w:color w:val="auto"/>
                <w:sz w:val="24"/>
                <w:highlight w:val="none"/>
              </w:rPr>
            </w:pPr>
            <w:r>
              <w:rPr>
                <w:rFonts w:hint="eastAsia" w:ascii="宋体" w:hAnsi="宋体" w:cs="宋体"/>
                <w:color w:val="auto"/>
                <w:sz w:val="24"/>
                <w:highlight w:val="none"/>
              </w:rPr>
              <w:t>投标人名称</w:t>
            </w:r>
          </w:p>
        </w:tc>
        <w:tc>
          <w:tcPr>
            <w:tcW w:w="6537" w:type="dxa"/>
            <w:gridSpan w:val="7"/>
            <w:vAlign w:val="center"/>
          </w:tcPr>
          <w:p>
            <w:pPr>
              <w:widowControl/>
              <w:spacing w:line="360" w:lineRule="auto"/>
              <w:ind w:firstLine="470" w:firstLineChars="196"/>
              <w:jc w:val="left"/>
              <w:rPr>
                <w:rFonts w:ascii="宋体" w:hAnsi="宋体" w:cs="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78" w:type="dxa"/>
            <w:vAlign w:val="center"/>
          </w:tcPr>
          <w:p>
            <w:pPr>
              <w:widowControl/>
              <w:spacing w:line="360" w:lineRule="auto"/>
              <w:jc w:val="left"/>
              <w:outlineLvl w:val="1"/>
              <w:rPr>
                <w:rFonts w:ascii="宋体" w:hAnsi="宋体" w:cs="宋体"/>
                <w:color w:val="auto"/>
                <w:sz w:val="24"/>
                <w:highlight w:val="none"/>
              </w:rPr>
            </w:pPr>
            <w:r>
              <w:rPr>
                <w:rFonts w:hint="eastAsia" w:ascii="宋体" w:hAnsi="宋体" w:cs="宋体"/>
                <w:color w:val="auto"/>
                <w:sz w:val="24"/>
                <w:highlight w:val="none"/>
              </w:rPr>
              <w:t>注册地址</w:t>
            </w:r>
          </w:p>
        </w:tc>
        <w:tc>
          <w:tcPr>
            <w:tcW w:w="3287" w:type="dxa"/>
            <w:gridSpan w:val="3"/>
            <w:vAlign w:val="center"/>
          </w:tcPr>
          <w:p>
            <w:pPr>
              <w:widowControl/>
              <w:spacing w:line="360" w:lineRule="auto"/>
              <w:ind w:firstLine="470" w:firstLineChars="196"/>
              <w:jc w:val="left"/>
              <w:rPr>
                <w:rFonts w:ascii="宋体" w:hAnsi="宋体" w:cs="宋体"/>
                <w:color w:val="auto"/>
                <w:sz w:val="24"/>
                <w:highlight w:val="none"/>
              </w:rPr>
            </w:pPr>
          </w:p>
        </w:tc>
        <w:tc>
          <w:tcPr>
            <w:tcW w:w="1320" w:type="dxa"/>
            <w:vAlign w:val="center"/>
          </w:tcPr>
          <w:p>
            <w:pPr>
              <w:widowControl/>
              <w:spacing w:line="360" w:lineRule="auto"/>
              <w:jc w:val="left"/>
              <w:outlineLvl w:val="1"/>
              <w:rPr>
                <w:rFonts w:ascii="宋体" w:hAnsi="宋体" w:cs="宋体"/>
                <w:color w:val="auto"/>
                <w:sz w:val="24"/>
                <w:highlight w:val="none"/>
              </w:rPr>
            </w:pPr>
            <w:r>
              <w:rPr>
                <w:rFonts w:hint="eastAsia" w:ascii="宋体" w:hAnsi="宋体" w:cs="宋体"/>
                <w:color w:val="auto"/>
                <w:sz w:val="24"/>
                <w:highlight w:val="none"/>
              </w:rPr>
              <w:t>邮政编码</w:t>
            </w:r>
          </w:p>
        </w:tc>
        <w:tc>
          <w:tcPr>
            <w:tcW w:w="1930" w:type="dxa"/>
            <w:gridSpan w:val="3"/>
            <w:vAlign w:val="center"/>
          </w:tcPr>
          <w:p>
            <w:pPr>
              <w:widowControl/>
              <w:spacing w:line="360" w:lineRule="auto"/>
              <w:ind w:firstLine="470" w:firstLineChars="196"/>
              <w:jc w:val="left"/>
              <w:rPr>
                <w:rFonts w:ascii="宋体" w:hAnsi="宋体" w:cs="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78" w:type="dxa"/>
            <w:vMerge w:val="restart"/>
            <w:vAlign w:val="center"/>
          </w:tcPr>
          <w:p>
            <w:pPr>
              <w:widowControl/>
              <w:spacing w:line="360" w:lineRule="auto"/>
              <w:jc w:val="left"/>
              <w:outlineLvl w:val="1"/>
              <w:rPr>
                <w:rFonts w:ascii="宋体" w:hAnsi="宋体" w:cs="宋体"/>
                <w:color w:val="auto"/>
                <w:sz w:val="24"/>
                <w:highlight w:val="none"/>
              </w:rPr>
            </w:pPr>
            <w:r>
              <w:rPr>
                <w:rFonts w:hint="eastAsia" w:ascii="宋体" w:hAnsi="宋体" w:cs="宋体"/>
                <w:color w:val="auto"/>
                <w:sz w:val="24"/>
                <w:highlight w:val="none"/>
              </w:rPr>
              <w:t>联系方式</w:t>
            </w:r>
          </w:p>
        </w:tc>
        <w:tc>
          <w:tcPr>
            <w:tcW w:w="993" w:type="dxa"/>
            <w:vAlign w:val="center"/>
          </w:tcPr>
          <w:p>
            <w:pPr>
              <w:widowControl/>
              <w:spacing w:line="360" w:lineRule="auto"/>
              <w:jc w:val="left"/>
              <w:outlineLvl w:val="1"/>
              <w:rPr>
                <w:rFonts w:ascii="宋体" w:hAnsi="宋体" w:cs="宋体"/>
                <w:color w:val="auto"/>
                <w:sz w:val="24"/>
                <w:highlight w:val="none"/>
              </w:rPr>
            </w:pPr>
            <w:r>
              <w:rPr>
                <w:rFonts w:hint="eastAsia" w:ascii="宋体" w:hAnsi="宋体" w:cs="宋体"/>
                <w:color w:val="auto"/>
                <w:sz w:val="24"/>
                <w:highlight w:val="none"/>
              </w:rPr>
              <w:t>联系人</w:t>
            </w:r>
          </w:p>
        </w:tc>
        <w:tc>
          <w:tcPr>
            <w:tcW w:w="2294" w:type="dxa"/>
            <w:gridSpan w:val="2"/>
            <w:vAlign w:val="center"/>
          </w:tcPr>
          <w:p>
            <w:pPr>
              <w:widowControl/>
              <w:spacing w:line="360" w:lineRule="auto"/>
              <w:ind w:firstLine="470" w:firstLineChars="196"/>
              <w:jc w:val="left"/>
              <w:rPr>
                <w:rFonts w:ascii="宋体" w:hAnsi="宋体" w:cs="宋体"/>
                <w:color w:val="auto"/>
                <w:sz w:val="24"/>
                <w:highlight w:val="none"/>
              </w:rPr>
            </w:pPr>
          </w:p>
        </w:tc>
        <w:tc>
          <w:tcPr>
            <w:tcW w:w="1320" w:type="dxa"/>
            <w:vAlign w:val="center"/>
          </w:tcPr>
          <w:p>
            <w:pPr>
              <w:widowControl/>
              <w:spacing w:line="360" w:lineRule="auto"/>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电话</w:t>
            </w:r>
          </w:p>
        </w:tc>
        <w:tc>
          <w:tcPr>
            <w:tcW w:w="1930" w:type="dxa"/>
            <w:gridSpan w:val="3"/>
            <w:vAlign w:val="center"/>
          </w:tcPr>
          <w:p>
            <w:pPr>
              <w:widowControl/>
              <w:spacing w:line="360" w:lineRule="auto"/>
              <w:ind w:firstLine="470" w:firstLineChars="196"/>
              <w:jc w:val="left"/>
              <w:rPr>
                <w:rFonts w:ascii="宋体" w:hAnsi="宋体" w:cs="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678" w:type="dxa"/>
            <w:vMerge w:val="continue"/>
            <w:vAlign w:val="center"/>
          </w:tcPr>
          <w:p>
            <w:pPr>
              <w:widowControl/>
              <w:spacing w:line="360" w:lineRule="auto"/>
              <w:jc w:val="left"/>
              <w:rPr>
                <w:rFonts w:ascii="宋体" w:hAnsi="宋体" w:cs="宋体"/>
                <w:color w:val="auto"/>
                <w:sz w:val="24"/>
                <w:highlight w:val="none"/>
              </w:rPr>
            </w:pPr>
          </w:p>
        </w:tc>
        <w:tc>
          <w:tcPr>
            <w:tcW w:w="993" w:type="dxa"/>
            <w:vAlign w:val="center"/>
          </w:tcPr>
          <w:p>
            <w:pPr>
              <w:widowControl/>
              <w:spacing w:line="360" w:lineRule="auto"/>
              <w:jc w:val="left"/>
              <w:outlineLvl w:val="1"/>
              <w:rPr>
                <w:rFonts w:ascii="宋体" w:hAnsi="宋体" w:cs="宋体"/>
                <w:color w:val="auto"/>
                <w:sz w:val="24"/>
                <w:highlight w:val="none"/>
              </w:rPr>
            </w:pPr>
            <w:r>
              <w:rPr>
                <w:rFonts w:hint="eastAsia" w:ascii="宋体" w:hAnsi="宋体" w:cs="宋体"/>
                <w:color w:val="auto"/>
                <w:sz w:val="24"/>
                <w:highlight w:val="none"/>
              </w:rPr>
              <w:t>传真</w:t>
            </w:r>
          </w:p>
        </w:tc>
        <w:tc>
          <w:tcPr>
            <w:tcW w:w="2294" w:type="dxa"/>
            <w:gridSpan w:val="2"/>
            <w:vAlign w:val="center"/>
          </w:tcPr>
          <w:p>
            <w:pPr>
              <w:widowControl/>
              <w:spacing w:line="360" w:lineRule="auto"/>
              <w:ind w:firstLine="470" w:firstLineChars="196"/>
              <w:jc w:val="left"/>
              <w:rPr>
                <w:rFonts w:ascii="宋体" w:hAnsi="宋体" w:cs="宋体"/>
                <w:color w:val="auto"/>
                <w:sz w:val="24"/>
                <w:highlight w:val="none"/>
              </w:rPr>
            </w:pPr>
          </w:p>
        </w:tc>
        <w:tc>
          <w:tcPr>
            <w:tcW w:w="1320" w:type="dxa"/>
            <w:vAlign w:val="center"/>
          </w:tcPr>
          <w:p>
            <w:pPr>
              <w:widowControl/>
              <w:spacing w:line="360" w:lineRule="auto"/>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网址</w:t>
            </w:r>
          </w:p>
        </w:tc>
        <w:tc>
          <w:tcPr>
            <w:tcW w:w="1930" w:type="dxa"/>
            <w:gridSpan w:val="3"/>
            <w:vAlign w:val="center"/>
          </w:tcPr>
          <w:p>
            <w:pPr>
              <w:widowControl/>
              <w:spacing w:line="360" w:lineRule="auto"/>
              <w:ind w:firstLine="470" w:firstLineChars="196"/>
              <w:jc w:val="left"/>
              <w:rPr>
                <w:rFonts w:ascii="宋体" w:hAnsi="宋体" w:cs="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78" w:type="dxa"/>
            <w:vAlign w:val="center"/>
          </w:tcPr>
          <w:p>
            <w:pPr>
              <w:widowControl/>
              <w:spacing w:line="360" w:lineRule="auto"/>
              <w:jc w:val="left"/>
              <w:outlineLvl w:val="1"/>
              <w:rPr>
                <w:rFonts w:ascii="宋体" w:hAnsi="宋体" w:cs="宋体"/>
                <w:color w:val="auto"/>
                <w:sz w:val="24"/>
                <w:highlight w:val="none"/>
              </w:rPr>
            </w:pPr>
            <w:r>
              <w:rPr>
                <w:rFonts w:hint="eastAsia" w:ascii="宋体" w:hAnsi="宋体" w:cs="宋体"/>
                <w:color w:val="auto"/>
                <w:sz w:val="24"/>
                <w:highlight w:val="none"/>
              </w:rPr>
              <w:t>组织结构</w:t>
            </w:r>
          </w:p>
        </w:tc>
        <w:tc>
          <w:tcPr>
            <w:tcW w:w="6537" w:type="dxa"/>
            <w:gridSpan w:val="7"/>
            <w:vAlign w:val="center"/>
          </w:tcPr>
          <w:p>
            <w:pPr>
              <w:widowControl/>
              <w:spacing w:line="360" w:lineRule="auto"/>
              <w:ind w:firstLine="470" w:firstLineChars="196"/>
              <w:jc w:val="left"/>
              <w:rPr>
                <w:rFonts w:ascii="宋体" w:hAnsi="宋体" w:cs="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678" w:type="dxa"/>
            <w:vAlign w:val="center"/>
          </w:tcPr>
          <w:p>
            <w:pPr>
              <w:widowControl/>
              <w:spacing w:line="360" w:lineRule="auto"/>
              <w:jc w:val="left"/>
              <w:outlineLvl w:val="1"/>
              <w:rPr>
                <w:rFonts w:ascii="宋体" w:hAnsi="宋体" w:cs="宋体"/>
                <w:color w:val="auto"/>
                <w:sz w:val="24"/>
                <w:highlight w:val="none"/>
              </w:rPr>
            </w:pPr>
            <w:r>
              <w:rPr>
                <w:rFonts w:hint="eastAsia" w:ascii="宋体" w:hAnsi="宋体" w:cs="宋体"/>
                <w:color w:val="auto"/>
                <w:sz w:val="24"/>
                <w:highlight w:val="none"/>
              </w:rPr>
              <w:t>法定代表人/单位负责人</w:t>
            </w:r>
          </w:p>
        </w:tc>
        <w:tc>
          <w:tcPr>
            <w:tcW w:w="993" w:type="dxa"/>
            <w:vAlign w:val="center"/>
          </w:tcPr>
          <w:p>
            <w:pPr>
              <w:widowControl/>
              <w:spacing w:line="360" w:lineRule="auto"/>
              <w:jc w:val="left"/>
              <w:outlineLvl w:val="1"/>
              <w:rPr>
                <w:rFonts w:ascii="宋体" w:hAnsi="宋体" w:cs="宋体"/>
                <w:color w:val="auto"/>
                <w:sz w:val="24"/>
                <w:highlight w:val="none"/>
              </w:rPr>
            </w:pPr>
            <w:r>
              <w:rPr>
                <w:rFonts w:hint="eastAsia" w:ascii="宋体" w:hAnsi="宋体" w:cs="宋体"/>
                <w:color w:val="auto"/>
                <w:sz w:val="24"/>
                <w:highlight w:val="none"/>
              </w:rPr>
              <w:t>姓名</w:t>
            </w:r>
          </w:p>
        </w:tc>
        <w:tc>
          <w:tcPr>
            <w:tcW w:w="1047" w:type="dxa"/>
            <w:vAlign w:val="center"/>
          </w:tcPr>
          <w:p>
            <w:pPr>
              <w:widowControl/>
              <w:spacing w:line="360" w:lineRule="auto"/>
              <w:ind w:firstLine="470" w:firstLineChars="196"/>
              <w:jc w:val="left"/>
              <w:rPr>
                <w:rFonts w:ascii="宋体" w:hAnsi="宋体" w:cs="宋体"/>
                <w:color w:val="auto"/>
                <w:sz w:val="24"/>
                <w:highlight w:val="none"/>
              </w:rPr>
            </w:pPr>
          </w:p>
        </w:tc>
        <w:tc>
          <w:tcPr>
            <w:tcW w:w="1247" w:type="dxa"/>
            <w:vAlign w:val="center"/>
          </w:tcPr>
          <w:p>
            <w:pPr>
              <w:widowControl/>
              <w:spacing w:line="360" w:lineRule="auto"/>
              <w:jc w:val="left"/>
              <w:outlineLvl w:val="1"/>
              <w:rPr>
                <w:rFonts w:ascii="宋体" w:hAnsi="宋体" w:cs="宋体"/>
                <w:color w:val="auto"/>
                <w:sz w:val="24"/>
                <w:highlight w:val="none"/>
              </w:rPr>
            </w:pPr>
            <w:r>
              <w:rPr>
                <w:rFonts w:hint="eastAsia" w:ascii="宋体" w:hAnsi="宋体" w:cs="宋体"/>
                <w:color w:val="auto"/>
                <w:sz w:val="24"/>
                <w:highlight w:val="none"/>
              </w:rPr>
              <w:t>技术职称</w:t>
            </w:r>
          </w:p>
        </w:tc>
        <w:tc>
          <w:tcPr>
            <w:tcW w:w="1320" w:type="dxa"/>
            <w:vAlign w:val="center"/>
          </w:tcPr>
          <w:p>
            <w:pPr>
              <w:widowControl/>
              <w:spacing w:line="360" w:lineRule="auto"/>
              <w:ind w:firstLine="470" w:firstLineChars="196"/>
              <w:jc w:val="left"/>
              <w:rPr>
                <w:rFonts w:ascii="宋体" w:hAnsi="宋体" w:cs="宋体"/>
                <w:color w:val="auto"/>
                <w:sz w:val="24"/>
                <w:highlight w:val="none"/>
              </w:rPr>
            </w:pPr>
          </w:p>
        </w:tc>
        <w:tc>
          <w:tcPr>
            <w:tcW w:w="850" w:type="dxa"/>
            <w:gridSpan w:val="2"/>
            <w:vAlign w:val="center"/>
          </w:tcPr>
          <w:p>
            <w:pPr>
              <w:widowControl/>
              <w:spacing w:line="360" w:lineRule="auto"/>
              <w:jc w:val="left"/>
              <w:outlineLvl w:val="1"/>
              <w:rPr>
                <w:rFonts w:ascii="宋体" w:hAnsi="宋体" w:cs="宋体"/>
                <w:color w:val="auto"/>
                <w:sz w:val="24"/>
                <w:highlight w:val="none"/>
              </w:rPr>
            </w:pPr>
            <w:r>
              <w:rPr>
                <w:rFonts w:hint="eastAsia" w:ascii="宋体" w:hAnsi="宋体" w:cs="宋体"/>
                <w:color w:val="auto"/>
                <w:sz w:val="24"/>
                <w:highlight w:val="none"/>
              </w:rPr>
              <w:t>电话</w:t>
            </w:r>
          </w:p>
        </w:tc>
        <w:tc>
          <w:tcPr>
            <w:tcW w:w="1080" w:type="dxa"/>
            <w:vAlign w:val="center"/>
          </w:tcPr>
          <w:p>
            <w:pPr>
              <w:widowControl/>
              <w:spacing w:line="360" w:lineRule="auto"/>
              <w:ind w:firstLine="470" w:firstLineChars="196"/>
              <w:jc w:val="left"/>
              <w:rPr>
                <w:rFonts w:ascii="宋体" w:hAnsi="宋体" w:cs="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678" w:type="dxa"/>
            <w:vAlign w:val="center"/>
          </w:tcPr>
          <w:p>
            <w:pPr>
              <w:widowControl/>
              <w:spacing w:line="360" w:lineRule="auto"/>
              <w:jc w:val="left"/>
              <w:outlineLvl w:val="1"/>
              <w:rPr>
                <w:rFonts w:ascii="宋体" w:hAnsi="宋体" w:cs="宋体"/>
                <w:color w:val="auto"/>
                <w:sz w:val="24"/>
                <w:highlight w:val="none"/>
              </w:rPr>
            </w:pPr>
            <w:r>
              <w:rPr>
                <w:rFonts w:hint="eastAsia" w:ascii="宋体" w:hAnsi="宋体" w:cs="宋体"/>
                <w:color w:val="auto"/>
                <w:sz w:val="24"/>
                <w:highlight w:val="none"/>
              </w:rPr>
              <w:t>技术负责人</w:t>
            </w:r>
          </w:p>
        </w:tc>
        <w:tc>
          <w:tcPr>
            <w:tcW w:w="993" w:type="dxa"/>
            <w:vAlign w:val="center"/>
          </w:tcPr>
          <w:p>
            <w:pPr>
              <w:widowControl/>
              <w:spacing w:line="360" w:lineRule="auto"/>
              <w:jc w:val="left"/>
              <w:outlineLvl w:val="1"/>
              <w:rPr>
                <w:rFonts w:ascii="宋体" w:hAnsi="宋体" w:cs="宋体"/>
                <w:color w:val="auto"/>
                <w:sz w:val="24"/>
                <w:highlight w:val="none"/>
              </w:rPr>
            </w:pPr>
            <w:r>
              <w:rPr>
                <w:rFonts w:hint="eastAsia" w:ascii="宋体" w:hAnsi="宋体" w:cs="宋体"/>
                <w:color w:val="auto"/>
                <w:sz w:val="24"/>
                <w:highlight w:val="none"/>
              </w:rPr>
              <w:t>姓名</w:t>
            </w:r>
          </w:p>
        </w:tc>
        <w:tc>
          <w:tcPr>
            <w:tcW w:w="1047" w:type="dxa"/>
            <w:vAlign w:val="center"/>
          </w:tcPr>
          <w:p>
            <w:pPr>
              <w:widowControl/>
              <w:spacing w:line="360" w:lineRule="auto"/>
              <w:ind w:firstLine="470" w:firstLineChars="196"/>
              <w:jc w:val="left"/>
              <w:rPr>
                <w:rFonts w:ascii="宋体" w:hAnsi="宋体" w:cs="宋体"/>
                <w:color w:val="auto"/>
                <w:sz w:val="24"/>
                <w:highlight w:val="none"/>
              </w:rPr>
            </w:pPr>
          </w:p>
        </w:tc>
        <w:tc>
          <w:tcPr>
            <w:tcW w:w="1247" w:type="dxa"/>
            <w:vAlign w:val="center"/>
          </w:tcPr>
          <w:p>
            <w:pPr>
              <w:widowControl/>
              <w:spacing w:line="360" w:lineRule="auto"/>
              <w:jc w:val="left"/>
              <w:outlineLvl w:val="1"/>
              <w:rPr>
                <w:rFonts w:ascii="宋体" w:hAnsi="宋体" w:cs="宋体"/>
                <w:color w:val="auto"/>
                <w:sz w:val="24"/>
                <w:highlight w:val="none"/>
              </w:rPr>
            </w:pPr>
            <w:r>
              <w:rPr>
                <w:rFonts w:hint="eastAsia" w:ascii="宋体" w:hAnsi="宋体" w:cs="宋体"/>
                <w:color w:val="auto"/>
                <w:sz w:val="24"/>
                <w:highlight w:val="none"/>
              </w:rPr>
              <w:t>技术职称</w:t>
            </w:r>
          </w:p>
        </w:tc>
        <w:tc>
          <w:tcPr>
            <w:tcW w:w="1320" w:type="dxa"/>
            <w:vAlign w:val="center"/>
          </w:tcPr>
          <w:p>
            <w:pPr>
              <w:widowControl/>
              <w:spacing w:line="360" w:lineRule="auto"/>
              <w:ind w:firstLine="470" w:firstLineChars="196"/>
              <w:jc w:val="left"/>
              <w:rPr>
                <w:rFonts w:ascii="宋体" w:hAnsi="宋体" w:cs="宋体"/>
                <w:color w:val="auto"/>
                <w:sz w:val="24"/>
                <w:highlight w:val="none"/>
              </w:rPr>
            </w:pPr>
          </w:p>
        </w:tc>
        <w:tc>
          <w:tcPr>
            <w:tcW w:w="850" w:type="dxa"/>
            <w:gridSpan w:val="2"/>
            <w:vAlign w:val="center"/>
          </w:tcPr>
          <w:p>
            <w:pPr>
              <w:widowControl/>
              <w:spacing w:line="360" w:lineRule="auto"/>
              <w:jc w:val="left"/>
              <w:outlineLvl w:val="1"/>
              <w:rPr>
                <w:rFonts w:ascii="宋体" w:hAnsi="宋体" w:cs="宋体"/>
                <w:color w:val="auto"/>
                <w:sz w:val="24"/>
                <w:highlight w:val="none"/>
              </w:rPr>
            </w:pPr>
            <w:r>
              <w:rPr>
                <w:rFonts w:hint="eastAsia" w:ascii="宋体" w:hAnsi="宋体" w:cs="宋体"/>
                <w:color w:val="auto"/>
                <w:sz w:val="24"/>
                <w:highlight w:val="none"/>
              </w:rPr>
              <w:t>电话</w:t>
            </w:r>
          </w:p>
        </w:tc>
        <w:tc>
          <w:tcPr>
            <w:tcW w:w="1080" w:type="dxa"/>
            <w:vAlign w:val="center"/>
          </w:tcPr>
          <w:p>
            <w:pPr>
              <w:widowControl/>
              <w:spacing w:line="360" w:lineRule="auto"/>
              <w:ind w:firstLine="470" w:firstLineChars="196"/>
              <w:jc w:val="left"/>
              <w:rPr>
                <w:rFonts w:ascii="宋体" w:hAnsi="宋体" w:cs="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78" w:type="dxa"/>
            <w:vAlign w:val="center"/>
          </w:tcPr>
          <w:p>
            <w:pPr>
              <w:widowControl/>
              <w:spacing w:line="360" w:lineRule="auto"/>
              <w:jc w:val="left"/>
              <w:outlineLvl w:val="1"/>
              <w:rPr>
                <w:rFonts w:ascii="宋体" w:hAnsi="宋体" w:cs="宋体"/>
                <w:color w:val="auto"/>
                <w:sz w:val="24"/>
                <w:highlight w:val="none"/>
              </w:rPr>
            </w:pPr>
            <w:r>
              <w:rPr>
                <w:rFonts w:hint="eastAsia" w:ascii="宋体" w:hAnsi="宋体" w:cs="宋体"/>
                <w:color w:val="auto"/>
                <w:sz w:val="24"/>
                <w:highlight w:val="none"/>
              </w:rPr>
              <w:t>成立时间</w:t>
            </w:r>
          </w:p>
        </w:tc>
        <w:tc>
          <w:tcPr>
            <w:tcW w:w="2040" w:type="dxa"/>
            <w:gridSpan w:val="2"/>
            <w:vAlign w:val="center"/>
          </w:tcPr>
          <w:p>
            <w:pPr>
              <w:widowControl/>
              <w:spacing w:line="360" w:lineRule="auto"/>
              <w:ind w:firstLine="470" w:firstLineChars="196"/>
              <w:jc w:val="left"/>
              <w:rPr>
                <w:rFonts w:ascii="宋体" w:hAnsi="宋体" w:cs="宋体"/>
                <w:color w:val="auto"/>
                <w:sz w:val="24"/>
                <w:highlight w:val="none"/>
              </w:rPr>
            </w:pPr>
          </w:p>
        </w:tc>
        <w:tc>
          <w:tcPr>
            <w:tcW w:w="4497" w:type="dxa"/>
            <w:gridSpan w:val="5"/>
            <w:vAlign w:val="center"/>
          </w:tcPr>
          <w:p>
            <w:pPr>
              <w:widowControl/>
              <w:spacing w:line="360" w:lineRule="auto"/>
              <w:jc w:val="left"/>
              <w:outlineLvl w:val="1"/>
              <w:rPr>
                <w:rFonts w:ascii="宋体" w:hAnsi="宋体" w:cs="宋体"/>
                <w:color w:val="auto"/>
                <w:sz w:val="24"/>
                <w:highlight w:val="none"/>
              </w:rPr>
            </w:pPr>
            <w:r>
              <w:rPr>
                <w:rFonts w:hint="eastAsia" w:ascii="宋体" w:hAnsi="宋体" w:cs="宋体"/>
                <w:color w:val="auto"/>
                <w:sz w:val="24"/>
                <w:highlight w:val="none"/>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78" w:type="dxa"/>
            <w:vAlign w:val="center"/>
          </w:tcPr>
          <w:p>
            <w:pPr>
              <w:widowControl/>
              <w:spacing w:line="360" w:lineRule="auto"/>
              <w:jc w:val="left"/>
              <w:outlineLvl w:val="1"/>
              <w:rPr>
                <w:rFonts w:ascii="宋体" w:hAnsi="宋体" w:cs="宋体"/>
                <w:color w:val="auto"/>
                <w:sz w:val="24"/>
                <w:highlight w:val="none"/>
              </w:rPr>
            </w:pPr>
            <w:r>
              <w:rPr>
                <w:rFonts w:hint="eastAsia" w:ascii="宋体" w:hAnsi="宋体" w:cs="宋体"/>
                <w:color w:val="auto"/>
                <w:sz w:val="24"/>
                <w:highlight w:val="none"/>
              </w:rPr>
              <w:t>企业资质等级</w:t>
            </w:r>
          </w:p>
        </w:tc>
        <w:tc>
          <w:tcPr>
            <w:tcW w:w="2040" w:type="dxa"/>
            <w:gridSpan w:val="2"/>
            <w:vAlign w:val="center"/>
          </w:tcPr>
          <w:p>
            <w:pPr>
              <w:widowControl/>
              <w:spacing w:line="360" w:lineRule="auto"/>
              <w:ind w:firstLine="470" w:firstLineChars="196"/>
              <w:jc w:val="left"/>
              <w:rPr>
                <w:rFonts w:ascii="宋体" w:hAnsi="宋体" w:cs="宋体"/>
                <w:color w:val="auto"/>
                <w:sz w:val="24"/>
                <w:highlight w:val="none"/>
              </w:rPr>
            </w:pPr>
          </w:p>
        </w:tc>
        <w:tc>
          <w:tcPr>
            <w:tcW w:w="1247" w:type="dxa"/>
            <w:vMerge w:val="restart"/>
            <w:vAlign w:val="center"/>
          </w:tcPr>
          <w:p>
            <w:pPr>
              <w:widowControl/>
              <w:spacing w:line="360" w:lineRule="auto"/>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其中</w:t>
            </w:r>
          </w:p>
        </w:tc>
        <w:tc>
          <w:tcPr>
            <w:tcW w:w="1675" w:type="dxa"/>
            <w:gridSpan w:val="2"/>
            <w:vAlign w:val="center"/>
          </w:tcPr>
          <w:p>
            <w:pPr>
              <w:widowControl/>
              <w:spacing w:line="360" w:lineRule="auto"/>
              <w:jc w:val="left"/>
              <w:outlineLvl w:val="1"/>
              <w:rPr>
                <w:rFonts w:ascii="宋体" w:hAnsi="宋体" w:cs="宋体"/>
                <w:color w:val="auto"/>
                <w:sz w:val="24"/>
                <w:highlight w:val="none"/>
              </w:rPr>
            </w:pPr>
            <w:r>
              <w:rPr>
                <w:rFonts w:hint="eastAsia" w:ascii="宋体" w:hAnsi="宋体" w:cs="宋体"/>
                <w:color w:val="auto"/>
                <w:sz w:val="24"/>
                <w:highlight w:val="none"/>
              </w:rPr>
              <w:t>项目经理</w:t>
            </w:r>
          </w:p>
        </w:tc>
        <w:tc>
          <w:tcPr>
            <w:tcW w:w="1575" w:type="dxa"/>
            <w:gridSpan w:val="2"/>
            <w:vAlign w:val="center"/>
          </w:tcPr>
          <w:p>
            <w:pPr>
              <w:widowControl/>
              <w:spacing w:line="360" w:lineRule="auto"/>
              <w:ind w:firstLine="470" w:firstLineChars="196"/>
              <w:jc w:val="left"/>
              <w:rPr>
                <w:rFonts w:ascii="宋体" w:hAnsi="宋体" w:cs="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78" w:type="dxa"/>
            <w:vAlign w:val="center"/>
          </w:tcPr>
          <w:p>
            <w:pPr>
              <w:widowControl/>
              <w:spacing w:line="360" w:lineRule="auto"/>
              <w:jc w:val="left"/>
              <w:outlineLvl w:val="1"/>
              <w:rPr>
                <w:rFonts w:ascii="宋体" w:hAnsi="宋体" w:cs="宋体"/>
                <w:color w:val="auto"/>
                <w:sz w:val="24"/>
                <w:highlight w:val="none"/>
              </w:rPr>
            </w:pPr>
            <w:r>
              <w:rPr>
                <w:rFonts w:hint="eastAsia" w:ascii="宋体" w:hAnsi="宋体" w:cs="宋体"/>
                <w:color w:val="auto"/>
                <w:sz w:val="24"/>
                <w:highlight w:val="none"/>
              </w:rPr>
              <w:t>营业执照号</w:t>
            </w:r>
          </w:p>
        </w:tc>
        <w:tc>
          <w:tcPr>
            <w:tcW w:w="2040" w:type="dxa"/>
            <w:gridSpan w:val="2"/>
            <w:vAlign w:val="center"/>
          </w:tcPr>
          <w:p>
            <w:pPr>
              <w:widowControl/>
              <w:spacing w:line="360" w:lineRule="auto"/>
              <w:ind w:firstLine="470" w:firstLineChars="196"/>
              <w:jc w:val="left"/>
              <w:rPr>
                <w:rFonts w:ascii="宋体" w:hAnsi="宋体" w:cs="宋体"/>
                <w:color w:val="auto"/>
                <w:sz w:val="24"/>
                <w:highlight w:val="none"/>
              </w:rPr>
            </w:pPr>
          </w:p>
        </w:tc>
        <w:tc>
          <w:tcPr>
            <w:tcW w:w="1247" w:type="dxa"/>
            <w:vMerge w:val="continue"/>
            <w:vAlign w:val="center"/>
          </w:tcPr>
          <w:p>
            <w:pPr>
              <w:widowControl/>
              <w:spacing w:line="360" w:lineRule="auto"/>
              <w:jc w:val="left"/>
              <w:rPr>
                <w:rFonts w:ascii="宋体" w:hAnsi="宋体" w:cs="宋体"/>
                <w:color w:val="auto"/>
                <w:sz w:val="24"/>
                <w:highlight w:val="none"/>
              </w:rPr>
            </w:pPr>
          </w:p>
        </w:tc>
        <w:tc>
          <w:tcPr>
            <w:tcW w:w="1675" w:type="dxa"/>
            <w:gridSpan w:val="2"/>
            <w:vAlign w:val="center"/>
          </w:tcPr>
          <w:p>
            <w:pPr>
              <w:widowControl/>
              <w:spacing w:line="360" w:lineRule="auto"/>
              <w:jc w:val="left"/>
              <w:outlineLvl w:val="1"/>
              <w:rPr>
                <w:rFonts w:ascii="宋体" w:hAnsi="宋体" w:cs="宋体"/>
                <w:color w:val="auto"/>
                <w:sz w:val="24"/>
                <w:highlight w:val="none"/>
              </w:rPr>
            </w:pPr>
            <w:r>
              <w:rPr>
                <w:rFonts w:hint="eastAsia" w:ascii="宋体" w:hAnsi="宋体" w:cs="宋体"/>
                <w:color w:val="auto"/>
                <w:sz w:val="24"/>
                <w:highlight w:val="none"/>
              </w:rPr>
              <w:t>高级职称人员</w:t>
            </w:r>
          </w:p>
        </w:tc>
        <w:tc>
          <w:tcPr>
            <w:tcW w:w="1575" w:type="dxa"/>
            <w:gridSpan w:val="2"/>
            <w:vAlign w:val="center"/>
          </w:tcPr>
          <w:p>
            <w:pPr>
              <w:widowControl/>
              <w:spacing w:line="360" w:lineRule="auto"/>
              <w:ind w:firstLine="470" w:firstLineChars="196"/>
              <w:jc w:val="left"/>
              <w:rPr>
                <w:rFonts w:ascii="宋体" w:hAnsi="宋体" w:cs="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78" w:type="dxa"/>
            <w:vAlign w:val="center"/>
          </w:tcPr>
          <w:p>
            <w:pPr>
              <w:widowControl/>
              <w:spacing w:line="360" w:lineRule="auto"/>
              <w:jc w:val="left"/>
              <w:outlineLvl w:val="1"/>
              <w:rPr>
                <w:rFonts w:ascii="宋体" w:hAnsi="宋体" w:cs="宋体"/>
                <w:color w:val="auto"/>
                <w:sz w:val="24"/>
                <w:highlight w:val="none"/>
              </w:rPr>
            </w:pPr>
            <w:r>
              <w:rPr>
                <w:rFonts w:hint="eastAsia" w:ascii="宋体" w:hAnsi="宋体" w:cs="宋体"/>
                <w:color w:val="auto"/>
                <w:sz w:val="24"/>
                <w:highlight w:val="none"/>
              </w:rPr>
              <w:t>注册资金</w:t>
            </w:r>
          </w:p>
        </w:tc>
        <w:tc>
          <w:tcPr>
            <w:tcW w:w="2040" w:type="dxa"/>
            <w:gridSpan w:val="2"/>
            <w:vAlign w:val="center"/>
          </w:tcPr>
          <w:p>
            <w:pPr>
              <w:widowControl/>
              <w:spacing w:line="360" w:lineRule="auto"/>
              <w:ind w:firstLine="470" w:firstLineChars="196"/>
              <w:jc w:val="left"/>
              <w:rPr>
                <w:rFonts w:ascii="宋体" w:hAnsi="宋体" w:cs="宋体"/>
                <w:color w:val="auto"/>
                <w:sz w:val="24"/>
                <w:highlight w:val="none"/>
              </w:rPr>
            </w:pPr>
          </w:p>
        </w:tc>
        <w:tc>
          <w:tcPr>
            <w:tcW w:w="1247" w:type="dxa"/>
            <w:vMerge w:val="continue"/>
            <w:vAlign w:val="center"/>
          </w:tcPr>
          <w:p>
            <w:pPr>
              <w:widowControl/>
              <w:spacing w:line="360" w:lineRule="auto"/>
              <w:jc w:val="left"/>
              <w:rPr>
                <w:rFonts w:ascii="宋体" w:hAnsi="宋体" w:cs="宋体"/>
                <w:color w:val="auto"/>
                <w:sz w:val="24"/>
                <w:highlight w:val="none"/>
              </w:rPr>
            </w:pPr>
          </w:p>
        </w:tc>
        <w:tc>
          <w:tcPr>
            <w:tcW w:w="1675" w:type="dxa"/>
            <w:gridSpan w:val="2"/>
            <w:vAlign w:val="center"/>
          </w:tcPr>
          <w:p>
            <w:pPr>
              <w:widowControl/>
              <w:spacing w:line="360" w:lineRule="auto"/>
              <w:jc w:val="left"/>
              <w:outlineLvl w:val="1"/>
              <w:rPr>
                <w:rFonts w:ascii="宋体" w:hAnsi="宋体" w:cs="宋体"/>
                <w:color w:val="auto"/>
                <w:sz w:val="24"/>
                <w:highlight w:val="none"/>
              </w:rPr>
            </w:pPr>
            <w:r>
              <w:rPr>
                <w:rFonts w:hint="eastAsia" w:ascii="宋体" w:hAnsi="宋体" w:cs="宋体"/>
                <w:color w:val="auto"/>
                <w:sz w:val="24"/>
                <w:highlight w:val="none"/>
              </w:rPr>
              <w:t>中级职称人员</w:t>
            </w:r>
          </w:p>
        </w:tc>
        <w:tc>
          <w:tcPr>
            <w:tcW w:w="1575" w:type="dxa"/>
            <w:gridSpan w:val="2"/>
            <w:vAlign w:val="center"/>
          </w:tcPr>
          <w:p>
            <w:pPr>
              <w:widowControl/>
              <w:spacing w:line="360" w:lineRule="auto"/>
              <w:ind w:firstLine="470" w:firstLineChars="196"/>
              <w:jc w:val="left"/>
              <w:rPr>
                <w:rFonts w:ascii="宋体" w:hAnsi="宋体" w:cs="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78" w:type="dxa"/>
            <w:vAlign w:val="center"/>
          </w:tcPr>
          <w:p>
            <w:pPr>
              <w:widowControl/>
              <w:spacing w:line="360" w:lineRule="auto"/>
              <w:jc w:val="left"/>
              <w:outlineLvl w:val="1"/>
              <w:rPr>
                <w:rFonts w:ascii="宋体" w:hAnsi="宋体" w:cs="宋体"/>
                <w:color w:val="auto"/>
                <w:sz w:val="24"/>
                <w:highlight w:val="none"/>
              </w:rPr>
            </w:pPr>
            <w:r>
              <w:rPr>
                <w:rFonts w:hint="eastAsia" w:ascii="宋体" w:hAnsi="宋体" w:cs="宋体"/>
                <w:color w:val="auto"/>
                <w:sz w:val="24"/>
                <w:highlight w:val="none"/>
              </w:rPr>
              <w:t>开户银行</w:t>
            </w:r>
          </w:p>
        </w:tc>
        <w:tc>
          <w:tcPr>
            <w:tcW w:w="2040" w:type="dxa"/>
            <w:gridSpan w:val="2"/>
            <w:vAlign w:val="center"/>
          </w:tcPr>
          <w:p>
            <w:pPr>
              <w:widowControl/>
              <w:spacing w:line="360" w:lineRule="auto"/>
              <w:ind w:firstLine="470" w:firstLineChars="196"/>
              <w:jc w:val="left"/>
              <w:rPr>
                <w:rFonts w:ascii="宋体" w:hAnsi="宋体" w:cs="宋体"/>
                <w:color w:val="auto"/>
                <w:sz w:val="24"/>
                <w:highlight w:val="none"/>
              </w:rPr>
            </w:pPr>
          </w:p>
        </w:tc>
        <w:tc>
          <w:tcPr>
            <w:tcW w:w="1247" w:type="dxa"/>
            <w:vMerge w:val="continue"/>
            <w:vAlign w:val="center"/>
          </w:tcPr>
          <w:p>
            <w:pPr>
              <w:widowControl/>
              <w:spacing w:line="360" w:lineRule="auto"/>
              <w:jc w:val="left"/>
              <w:rPr>
                <w:rFonts w:ascii="宋体" w:hAnsi="宋体" w:cs="宋体"/>
                <w:color w:val="auto"/>
                <w:sz w:val="24"/>
                <w:highlight w:val="none"/>
              </w:rPr>
            </w:pPr>
          </w:p>
        </w:tc>
        <w:tc>
          <w:tcPr>
            <w:tcW w:w="1675" w:type="dxa"/>
            <w:gridSpan w:val="2"/>
            <w:vAlign w:val="center"/>
          </w:tcPr>
          <w:p>
            <w:pPr>
              <w:widowControl/>
              <w:spacing w:line="360" w:lineRule="auto"/>
              <w:jc w:val="left"/>
              <w:outlineLvl w:val="1"/>
              <w:rPr>
                <w:rFonts w:ascii="宋体" w:hAnsi="宋体" w:cs="宋体"/>
                <w:color w:val="auto"/>
                <w:sz w:val="24"/>
                <w:highlight w:val="none"/>
              </w:rPr>
            </w:pPr>
            <w:r>
              <w:rPr>
                <w:rFonts w:hint="eastAsia" w:ascii="宋体" w:hAnsi="宋体" w:cs="宋体"/>
                <w:color w:val="auto"/>
                <w:sz w:val="24"/>
                <w:highlight w:val="none"/>
              </w:rPr>
              <w:t>初级职称人员</w:t>
            </w:r>
          </w:p>
        </w:tc>
        <w:tc>
          <w:tcPr>
            <w:tcW w:w="1575" w:type="dxa"/>
            <w:gridSpan w:val="2"/>
            <w:vAlign w:val="center"/>
          </w:tcPr>
          <w:p>
            <w:pPr>
              <w:widowControl/>
              <w:spacing w:line="360" w:lineRule="auto"/>
              <w:ind w:firstLine="470" w:firstLineChars="196"/>
              <w:jc w:val="left"/>
              <w:rPr>
                <w:rFonts w:ascii="宋体" w:hAnsi="宋体" w:cs="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78" w:type="dxa"/>
            <w:vAlign w:val="center"/>
          </w:tcPr>
          <w:p>
            <w:pPr>
              <w:widowControl/>
              <w:spacing w:line="360" w:lineRule="auto"/>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账号</w:t>
            </w:r>
          </w:p>
        </w:tc>
        <w:tc>
          <w:tcPr>
            <w:tcW w:w="2040" w:type="dxa"/>
            <w:gridSpan w:val="2"/>
            <w:vAlign w:val="center"/>
          </w:tcPr>
          <w:p>
            <w:pPr>
              <w:widowControl/>
              <w:spacing w:line="360" w:lineRule="auto"/>
              <w:ind w:firstLine="470" w:firstLineChars="196"/>
              <w:jc w:val="left"/>
              <w:rPr>
                <w:rFonts w:ascii="宋体" w:hAnsi="宋体" w:cs="宋体"/>
                <w:color w:val="auto"/>
                <w:sz w:val="24"/>
                <w:highlight w:val="none"/>
              </w:rPr>
            </w:pPr>
          </w:p>
        </w:tc>
        <w:tc>
          <w:tcPr>
            <w:tcW w:w="1247" w:type="dxa"/>
            <w:vMerge w:val="continue"/>
            <w:vAlign w:val="center"/>
          </w:tcPr>
          <w:p>
            <w:pPr>
              <w:widowControl/>
              <w:spacing w:line="360" w:lineRule="auto"/>
              <w:jc w:val="left"/>
              <w:rPr>
                <w:rFonts w:ascii="宋体" w:hAnsi="宋体" w:cs="宋体"/>
                <w:color w:val="auto"/>
                <w:sz w:val="24"/>
                <w:highlight w:val="none"/>
              </w:rPr>
            </w:pPr>
          </w:p>
        </w:tc>
        <w:tc>
          <w:tcPr>
            <w:tcW w:w="1675" w:type="dxa"/>
            <w:gridSpan w:val="2"/>
            <w:vAlign w:val="center"/>
          </w:tcPr>
          <w:p>
            <w:pPr>
              <w:widowControl/>
              <w:spacing w:line="360" w:lineRule="auto"/>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技工</w:t>
            </w:r>
          </w:p>
        </w:tc>
        <w:tc>
          <w:tcPr>
            <w:tcW w:w="1575" w:type="dxa"/>
            <w:gridSpan w:val="2"/>
            <w:vAlign w:val="center"/>
          </w:tcPr>
          <w:p>
            <w:pPr>
              <w:widowControl/>
              <w:spacing w:line="360" w:lineRule="auto"/>
              <w:ind w:firstLine="470" w:firstLineChars="196"/>
              <w:jc w:val="left"/>
              <w:rPr>
                <w:rFonts w:ascii="宋体" w:hAnsi="宋体" w:cs="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68" w:hRule="atLeast"/>
        </w:trPr>
        <w:tc>
          <w:tcPr>
            <w:tcW w:w="1678" w:type="dxa"/>
            <w:vAlign w:val="center"/>
          </w:tcPr>
          <w:p>
            <w:pPr>
              <w:widowControl/>
              <w:spacing w:line="360" w:lineRule="auto"/>
              <w:jc w:val="left"/>
              <w:outlineLvl w:val="1"/>
              <w:rPr>
                <w:rFonts w:ascii="宋体" w:hAnsi="宋体" w:cs="宋体"/>
                <w:color w:val="auto"/>
                <w:sz w:val="24"/>
                <w:highlight w:val="none"/>
              </w:rPr>
            </w:pPr>
            <w:r>
              <w:rPr>
                <w:rFonts w:hint="eastAsia" w:ascii="宋体" w:hAnsi="宋体" w:cs="宋体"/>
                <w:color w:val="auto"/>
                <w:sz w:val="24"/>
                <w:highlight w:val="none"/>
              </w:rPr>
              <w:t>经营范围</w:t>
            </w:r>
          </w:p>
        </w:tc>
        <w:tc>
          <w:tcPr>
            <w:tcW w:w="6537" w:type="dxa"/>
            <w:gridSpan w:val="7"/>
            <w:vAlign w:val="center"/>
          </w:tcPr>
          <w:p>
            <w:pPr>
              <w:widowControl/>
              <w:spacing w:line="360" w:lineRule="auto"/>
              <w:ind w:firstLine="470" w:firstLineChars="196"/>
              <w:jc w:val="left"/>
              <w:rPr>
                <w:rFonts w:ascii="宋体" w:hAnsi="宋体" w:cs="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99" w:hRule="atLeast"/>
        </w:trPr>
        <w:tc>
          <w:tcPr>
            <w:tcW w:w="1678" w:type="dxa"/>
          </w:tcPr>
          <w:p>
            <w:pPr>
              <w:widowControl/>
              <w:spacing w:line="360" w:lineRule="auto"/>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备注</w:t>
            </w:r>
          </w:p>
        </w:tc>
        <w:tc>
          <w:tcPr>
            <w:tcW w:w="6537" w:type="dxa"/>
            <w:gridSpan w:val="7"/>
          </w:tcPr>
          <w:p>
            <w:pPr>
              <w:widowControl/>
              <w:spacing w:line="360" w:lineRule="auto"/>
              <w:ind w:firstLine="470" w:firstLineChars="196"/>
              <w:jc w:val="left"/>
              <w:rPr>
                <w:rFonts w:ascii="宋体" w:hAnsi="宋体" w:cs="宋体"/>
                <w:color w:val="auto"/>
                <w:sz w:val="24"/>
                <w:highlight w:val="none"/>
              </w:rPr>
            </w:pPr>
          </w:p>
        </w:tc>
      </w:tr>
    </w:tbl>
    <w:p>
      <w:pPr>
        <w:spacing w:line="360" w:lineRule="auto"/>
        <w:jc w:val="left"/>
        <w:rPr>
          <w:rFonts w:ascii="宋体" w:hAnsi="宋体" w:cs="宋体"/>
          <w:color w:val="auto"/>
          <w:sz w:val="24"/>
          <w:highlight w:val="none"/>
        </w:rPr>
      </w:pP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法定代表人/单位负责人或授权代表：（签字或加盖个人名章）</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投标人名称：（单位盖章）</w:t>
      </w:r>
    </w:p>
    <w:p>
      <w:pPr>
        <w:spacing w:line="360" w:lineRule="auto"/>
        <w:rPr>
          <w:rFonts w:ascii="宋体" w:hAnsi="宋体" w:cs="宋体"/>
          <w:color w:val="auto"/>
          <w:sz w:val="24"/>
          <w:highlight w:val="none"/>
        </w:rPr>
      </w:pPr>
      <w:r>
        <w:rPr>
          <w:rFonts w:hint="eastAsia" w:ascii="宋体" w:hAnsi="宋体" w:cs="宋体"/>
          <w:color w:val="auto"/>
          <w:sz w:val="24"/>
          <w:highlight w:val="none"/>
        </w:rPr>
        <w:t>投标日期：</w:t>
      </w:r>
    </w:p>
    <w:p>
      <w:pPr>
        <w:spacing w:line="360" w:lineRule="auto"/>
        <w:rPr>
          <w:rFonts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格式2-10</w:t>
      </w:r>
    </w:p>
    <w:p>
      <w:pPr>
        <w:widowControl/>
        <w:spacing w:line="360" w:lineRule="auto"/>
        <w:jc w:val="center"/>
        <w:outlineLvl w:val="1"/>
        <w:rPr>
          <w:rFonts w:ascii="宋体" w:hAnsi="宋体" w:cs="宋体"/>
          <w:b/>
          <w:color w:val="auto"/>
          <w:sz w:val="36"/>
          <w:szCs w:val="36"/>
          <w:highlight w:val="none"/>
        </w:rPr>
      </w:pPr>
      <w:r>
        <w:rPr>
          <w:rFonts w:hint="eastAsia" w:ascii="宋体" w:hAnsi="宋体" w:cs="宋体"/>
          <w:b/>
          <w:color w:val="auto"/>
          <w:sz w:val="36"/>
          <w:szCs w:val="36"/>
          <w:highlight w:val="none"/>
        </w:rPr>
        <w:t>九、类似项目业绩一览表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项目名称：</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采购项目编号：</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包号:</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046"/>
        <w:gridCol w:w="1440"/>
        <w:gridCol w:w="1320"/>
        <w:gridCol w:w="1161"/>
        <w:gridCol w:w="1260"/>
        <w:gridCol w:w="9"/>
        <w:gridCol w:w="1621"/>
        <w:gridCol w:w="99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46" w:type="dxa"/>
            <w:tcBorders>
              <w:top w:val="double" w:color="auto" w:sz="4" w:space="0"/>
              <w:left w:val="double" w:color="auto" w:sz="4" w:space="0"/>
              <w:bottom w:val="single" w:color="auto" w:sz="6" w:space="0"/>
              <w:right w:val="single" w:color="auto" w:sz="6" w:space="0"/>
            </w:tcBorders>
            <w:vAlign w:val="center"/>
          </w:tcPr>
          <w:p>
            <w:pPr>
              <w:widowControl/>
              <w:spacing w:line="360" w:lineRule="auto"/>
              <w:jc w:val="left"/>
              <w:outlineLvl w:val="1"/>
              <w:rPr>
                <w:rFonts w:ascii="宋体" w:hAnsi="宋体" w:cs="宋体"/>
                <w:color w:val="auto"/>
                <w:sz w:val="24"/>
                <w:highlight w:val="none"/>
              </w:rPr>
            </w:pPr>
            <w:r>
              <w:rPr>
                <w:rFonts w:hint="eastAsia" w:ascii="宋体" w:hAnsi="宋体" w:cs="宋体"/>
                <w:color w:val="auto"/>
                <w:sz w:val="24"/>
                <w:highlight w:val="none"/>
              </w:rPr>
              <w:t>年份</w:t>
            </w:r>
          </w:p>
        </w:tc>
        <w:tc>
          <w:tcPr>
            <w:tcW w:w="1440" w:type="dxa"/>
            <w:tcBorders>
              <w:top w:val="double" w:color="auto" w:sz="4" w:space="0"/>
              <w:left w:val="single" w:color="auto" w:sz="6" w:space="0"/>
              <w:bottom w:val="single" w:color="auto" w:sz="6" w:space="0"/>
              <w:right w:val="single" w:color="auto" w:sz="6" w:space="0"/>
            </w:tcBorders>
            <w:vAlign w:val="center"/>
          </w:tcPr>
          <w:p>
            <w:pPr>
              <w:widowControl/>
              <w:spacing w:line="360" w:lineRule="auto"/>
              <w:jc w:val="left"/>
              <w:outlineLvl w:val="1"/>
              <w:rPr>
                <w:rFonts w:ascii="宋体" w:hAnsi="宋体" w:cs="宋体"/>
                <w:color w:val="auto"/>
                <w:sz w:val="24"/>
                <w:highlight w:val="none"/>
              </w:rPr>
            </w:pPr>
            <w:r>
              <w:rPr>
                <w:rFonts w:hint="eastAsia" w:ascii="宋体" w:hAnsi="宋体" w:cs="宋体"/>
                <w:color w:val="auto"/>
                <w:sz w:val="24"/>
                <w:highlight w:val="none"/>
              </w:rPr>
              <w:t>用户名称</w:t>
            </w:r>
          </w:p>
        </w:tc>
        <w:tc>
          <w:tcPr>
            <w:tcW w:w="1320" w:type="dxa"/>
            <w:tcBorders>
              <w:top w:val="double" w:color="auto" w:sz="4" w:space="0"/>
              <w:left w:val="single" w:color="auto" w:sz="6" w:space="0"/>
              <w:bottom w:val="single" w:color="auto" w:sz="6" w:space="0"/>
              <w:right w:val="single" w:color="auto" w:sz="6" w:space="0"/>
            </w:tcBorders>
            <w:vAlign w:val="center"/>
          </w:tcPr>
          <w:p>
            <w:pPr>
              <w:widowControl/>
              <w:spacing w:line="360" w:lineRule="auto"/>
              <w:jc w:val="left"/>
              <w:outlineLvl w:val="1"/>
              <w:rPr>
                <w:rFonts w:ascii="宋体" w:hAnsi="宋体" w:cs="宋体"/>
                <w:color w:val="auto"/>
                <w:sz w:val="24"/>
                <w:highlight w:val="none"/>
              </w:rPr>
            </w:pPr>
            <w:r>
              <w:rPr>
                <w:rFonts w:hint="eastAsia" w:ascii="宋体" w:hAnsi="宋体" w:cs="宋体"/>
                <w:color w:val="auto"/>
                <w:sz w:val="24"/>
                <w:highlight w:val="none"/>
              </w:rPr>
              <w:t>项目名称</w:t>
            </w:r>
          </w:p>
        </w:tc>
        <w:tc>
          <w:tcPr>
            <w:tcW w:w="1161" w:type="dxa"/>
            <w:tcBorders>
              <w:top w:val="double" w:color="auto" w:sz="4" w:space="0"/>
              <w:left w:val="single" w:color="auto" w:sz="6" w:space="0"/>
              <w:bottom w:val="single" w:color="auto" w:sz="6" w:space="0"/>
              <w:right w:val="single" w:color="auto" w:sz="6" w:space="0"/>
            </w:tcBorders>
            <w:vAlign w:val="center"/>
          </w:tcPr>
          <w:p>
            <w:pPr>
              <w:widowControl/>
              <w:spacing w:line="360" w:lineRule="auto"/>
              <w:jc w:val="left"/>
              <w:outlineLvl w:val="1"/>
              <w:rPr>
                <w:rFonts w:ascii="宋体" w:hAnsi="宋体" w:cs="宋体"/>
                <w:color w:val="auto"/>
                <w:sz w:val="24"/>
                <w:highlight w:val="none"/>
              </w:rPr>
            </w:pPr>
            <w:r>
              <w:rPr>
                <w:rFonts w:hint="eastAsia" w:ascii="宋体" w:hAnsi="宋体" w:cs="宋体"/>
                <w:color w:val="auto"/>
                <w:sz w:val="24"/>
                <w:highlight w:val="none"/>
              </w:rPr>
              <w:t>完成时间</w:t>
            </w:r>
          </w:p>
        </w:tc>
        <w:tc>
          <w:tcPr>
            <w:tcW w:w="1260" w:type="dxa"/>
            <w:tcBorders>
              <w:top w:val="double" w:color="auto" w:sz="4" w:space="0"/>
              <w:left w:val="single" w:color="auto" w:sz="6" w:space="0"/>
              <w:bottom w:val="single" w:color="auto" w:sz="6" w:space="0"/>
              <w:right w:val="single" w:color="auto" w:sz="6" w:space="0"/>
            </w:tcBorders>
            <w:vAlign w:val="center"/>
          </w:tcPr>
          <w:p>
            <w:pPr>
              <w:widowControl/>
              <w:spacing w:line="360" w:lineRule="auto"/>
              <w:jc w:val="left"/>
              <w:outlineLvl w:val="1"/>
              <w:rPr>
                <w:rFonts w:ascii="宋体" w:hAnsi="宋体" w:cs="宋体"/>
                <w:color w:val="auto"/>
                <w:sz w:val="24"/>
                <w:highlight w:val="none"/>
              </w:rPr>
            </w:pPr>
            <w:r>
              <w:rPr>
                <w:rFonts w:hint="eastAsia" w:ascii="宋体" w:hAnsi="宋体" w:cs="宋体"/>
                <w:color w:val="auto"/>
                <w:sz w:val="24"/>
                <w:highlight w:val="none"/>
              </w:rPr>
              <w:t>合同金额</w:t>
            </w:r>
          </w:p>
        </w:tc>
        <w:tc>
          <w:tcPr>
            <w:tcW w:w="1630" w:type="dxa"/>
            <w:gridSpan w:val="2"/>
            <w:tcBorders>
              <w:top w:val="double" w:color="auto" w:sz="4" w:space="0"/>
              <w:left w:val="single" w:color="auto" w:sz="6" w:space="0"/>
              <w:bottom w:val="single" w:color="auto" w:sz="6" w:space="0"/>
              <w:right w:val="single" w:color="auto" w:sz="4" w:space="0"/>
            </w:tcBorders>
            <w:vAlign w:val="center"/>
          </w:tcPr>
          <w:p>
            <w:pPr>
              <w:widowControl/>
              <w:spacing w:line="360" w:lineRule="auto"/>
              <w:jc w:val="left"/>
              <w:outlineLvl w:val="1"/>
              <w:rPr>
                <w:rFonts w:ascii="宋体" w:hAnsi="宋体" w:cs="宋体"/>
                <w:color w:val="auto"/>
                <w:sz w:val="24"/>
                <w:highlight w:val="none"/>
              </w:rPr>
            </w:pPr>
            <w:r>
              <w:rPr>
                <w:rFonts w:hint="eastAsia" w:ascii="宋体" w:hAnsi="宋体" w:cs="宋体"/>
                <w:color w:val="auto"/>
                <w:sz w:val="24"/>
                <w:highlight w:val="none"/>
              </w:rPr>
              <w:t>是否通过验收</w:t>
            </w:r>
          </w:p>
        </w:tc>
        <w:tc>
          <w:tcPr>
            <w:tcW w:w="992" w:type="dxa"/>
            <w:tcBorders>
              <w:top w:val="double" w:color="auto" w:sz="4" w:space="0"/>
              <w:left w:val="single" w:color="auto" w:sz="4" w:space="0"/>
              <w:bottom w:val="single" w:color="auto" w:sz="6" w:space="0"/>
              <w:right w:val="double" w:color="auto" w:sz="4" w:space="0"/>
            </w:tcBorders>
            <w:vAlign w:val="center"/>
          </w:tcPr>
          <w:p>
            <w:pPr>
              <w:widowControl/>
              <w:spacing w:line="360" w:lineRule="auto"/>
              <w:jc w:val="left"/>
              <w:outlineLvl w:val="1"/>
              <w:rPr>
                <w:rFonts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46" w:type="dxa"/>
            <w:tcBorders>
              <w:top w:val="single" w:color="auto" w:sz="6" w:space="0"/>
              <w:left w:val="double" w:color="auto" w:sz="4" w:space="0"/>
              <w:bottom w:val="single" w:color="auto" w:sz="6" w:space="0"/>
              <w:right w:val="single" w:color="auto" w:sz="6" w:space="0"/>
            </w:tcBorders>
            <w:vAlign w:val="center"/>
          </w:tcPr>
          <w:p>
            <w:pPr>
              <w:widowControl/>
              <w:spacing w:line="360" w:lineRule="auto"/>
              <w:ind w:firstLine="470" w:firstLineChars="196"/>
              <w:jc w:val="left"/>
              <w:rPr>
                <w:rFonts w:ascii="宋体" w:hAnsi="宋体" w:cs="宋体"/>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vAlign w:val="center"/>
          </w:tcPr>
          <w:p>
            <w:pPr>
              <w:widowControl/>
              <w:spacing w:line="360" w:lineRule="auto"/>
              <w:ind w:firstLine="470" w:firstLineChars="196"/>
              <w:jc w:val="left"/>
              <w:rPr>
                <w:rFonts w:ascii="宋体" w:hAnsi="宋体" w:cs="宋体"/>
                <w:color w:val="auto"/>
                <w:sz w:val="24"/>
                <w:highlight w:val="none"/>
              </w:rPr>
            </w:pPr>
          </w:p>
        </w:tc>
        <w:tc>
          <w:tcPr>
            <w:tcW w:w="1320" w:type="dxa"/>
            <w:tcBorders>
              <w:top w:val="single" w:color="auto" w:sz="6" w:space="0"/>
              <w:left w:val="single" w:color="auto" w:sz="6" w:space="0"/>
              <w:bottom w:val="single" w:color="auto" w:sz="6" w:space="0"/>
              <w:right w:val="single" w:color="auto" w:sz="6" w:space="0"/>
            </w:tcBorders>
            <w:vAlign w:val="center"/>
          </w:tcPr>
          <w:p>
            <w:pPr>
              <w:widowControl/>
              <w:spacing w:line="360" w:lineRule="auto"/>
              <w:ind w:firstLine="470" w:firstLineChars="196"/>
              <w:jc w:val="left"/>
              <w:rPr>
                <w:rFonts w:ascii="宋体" w:hAnsi="宋体" w:cs="宋体"/>
                <w:color w:val="auto"/>
                <w:sz w:val="24"/>
                <w:highlight w:val="none"/>
              </w:rPr>
            </w:pPr>
          </w:p>
        </w:tc>
        <w:tc>
          <w:tcPr>
            <w:tcW w:w="1161" w:type="dxa"/>
            <w:tcBorders>
              <w:top w:val="single" w:color="auto" w:sz="6" w:space="0"/>
              <w:left w:val="single" w:color="auto" w:sz="6" w:space="0"/>
              <w:bottom w:val="single" w:color="auto" w:sz="6" w:space="0"/>
              <w:right w:val="single" w:color="auto" w:sz="6" w:space="0"/>
            </w:tcBorders>
            <w:vAlign w:val="center"/>
          </w:tcPr>
          <w:p>
            <w:pPr>
              <w:widowControl/>
              <w:spacing w:line="360" w:lineRule="auto"/>
              <w:ind w:firstLine="470" w:firstLineChars="196"/>
              <w:jc w:val="left"/>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widowControl/>
              <w:spacing w:line="360" w:lineRule="auto"/>
              <w:ind w:firstLine="470" w:firstLineChars="196"/>
              <w:jc w:val="left"/>
              <w:rPr>
                <w:rFonts w:ascii="宋体" w:hAnsi="宋体" w:cs="宋体"/>
                <w:color w:val="auto"/>
                <w:sz w:val="24"/>
                <w:highlight w:val="none"/>
              </w:rPr>
            </w:pPr>
          </w:p>
        </w:tc>
        <w:tc>
          <w:tcPr>
            <w:tcW w:w="1630" w:type="dxa"/>
            <w:gridSpan w:val="2"/>
            <w:tcBorders>
              <w:top w:val="single" w:color="auto" w:sz="6" w:space="0"/>
              <w:left w:val="single" w:color="auto" w:sz="6" w:space="0"/>
              <w:bottom w:val="single" w:color="auto" w:sz="6" w:space="0"/>
              <w:right w:val="single" w:color="auto" w:sz="4" w:space="0"/>
            </w:tcBorders>
            <w:vAlign w:val="center"/>
          </w:tcPr>
          <w:p>
            <w:pPr>
              <w:widowControl/>
              <w:spacing w:line="360" w:lineRule="auto"/>
              <w:ind w:firstLine="470" w:firstLineChars="196"/>
              <w:jc w:val="left"/>
              <w:rPr>
                <w:rFonts w:ascii="宋体" w:hAnsi="宋体" w:cs="宋体"/>
                <w:color w:val="auto"/>
                <w:sz w:val="24"/>
                <w:highlight w:val="none"/>
              </w:rPr>
            </w:pPr>
          </w:p>
        </w:tc>
        <w:tc>
          <w:tcPr>
            <w:tcW w:w="992" w:type="dxa"/>
            <w:tcBorders>
              <w:top w:val="single" w:color="auto" w:sz="6" w:space="0"/>
              <w:left w:val="single" w:color="auto" w:sz="4" w:space="0"/>
              <w:bottom w:val="single" w:color="auto" w:sz="6" w:space="0"/>
              <w:right w:val="double" w:color="auto" w:sz="4" w:space="0"/>
            </w:tcBorders>
            <w:vAlign w:val="center"/>
          </w:tcPr>
          <w:p>
            <w:pPr>
              <w:widowControl/>
              <w:spacing w:line="360" w:lineRule="auto"/>
              <w:ind w:firstLine="470" w:firstLineChars="196"/>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46" w:type="dxa"/>
            <w:tcBorders>
              <w:top w:val="single" w:color="auto" w:sz="6" w:space="0"/>
              <w:left w:val="double" w:color="auto" w:sz="4" w:space="0"/>
              <w:bottom w:val="single" w:color="auto" w:sz="6" w:space="0"/>
              <w:right w:val="single" w:color="auto" w:sz="6" w:space="0"/>
            </w:tcBorders>
            <w:vAlign w:val="center"/>
          </w:tcPr>
          <w:p>
            <w:pPr>
              <w:widowControl/>
              <w:spacing w:line="360" w:lineRule="auto"/>
              <w:ind w:firstLine="470" w:firstLineChars="196"/>
              <w:jc w:val="left"/>
              <w:rPr>
                <w:rFonts w:ascii="宋体" w:hAnsi="宋体" w:cs="宋体"/>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vAlign w:val="center"/>
          </w:tcPr>
          <w:p>
            <w:pPr>
              <w:widowControl/>
              <w:spacing w:line="360" w:lineRule="auto"/>
              <w:ind w:firstLine="470" w:firstLineChars="196"/>
              <w:jc w:val="left"/>
              <w:rPr>
                <w:rFonts w:ascii="宋体" w:hAnsi="宋体" w:cs="宋体"/>
                <w:color w:val="auto"/>
                <w:sz w:val="24"/>
                <w:highlight w:val="none"/>
              </w:rPr>
            </w:pPr>
          </w:p>
        </w:tc>
        <w:tc>
          <w:tcPr>
            <w:tcW w:w="1320" w:type="dxa"/>
            <w:tcBorders>
              <w:top w:val="single" w:color="auto" w:sz="6" w:space="0"/>
              <w:left w:val="single" w:color="auto" w:sz="6" w:space="0"/>
              <w:bottom w:val="single" w:color="auto" w:sz="6" w:space="0"/>
              <w:right w:val="single" w:color="auto" w:sz="6" w:space="0"/>
            </w:tcBorders>
            <w:vAlign w:val="center"/>
          </w:tcPr>
          <w:p>
            <w:pPr>
              <w:widowControl/>
              <w:spacing w:line="360" w:lineRule="auto"/>
              <w:ind w:firstLine="470" w:firstLineChars="196"/>
              <w:jc w:val="left"/>
              <w:rPr>
                <w:rFonts w:ascii="宋体" w:hAnsi="宋体" w:cs="宋体"/>
                <w:color w:val="auto"/>
                <w:sz w:val="24"/>
                <w:highlight w:val="none"/>
              </w:rPr>
            </w:pPr>
          </w:p>
        </w:tc>
        <w:tc>
          <w:tcPr>
            <w:tcW w:w="1161" w:type="dxa"/>
            <w:tcBorders>
              <w:top w:val="single" w:color="auto" w:sz="6" w:space="0"/>
              <w:left w:val="single" w:color="auto" w:sz="6" w:space="0"/>
              <w:bottom w:val="single" w:color="auto" w:sz="6" w:space="0"/>
              <w:right w:val="single" w:color="auto" w:sz="6" w:space="0"/>
            </w:tcBorders>
            <w:vAlign w:val="center"/>
          </w:tcPr>
          <w:p>
            <w:pPr>
              <w:widowControl/>
              <w:spacing w:line="360" w:lineRule="auto"/>
              <w:ind w:firstLine="470" w:firstLineChars="196"/>
              <w:jc w:val="left"/>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widowControl/>
              <w:spacing w:line="360" w:lineRule="auto"/>
              <w:ind w:firstLine="470" w:firstLineChars="196"/>
              <w:jc w:val="left"/>
              <w:rPr>
                <w:rFonts w:ascii="宋体" w:hAnsi="宋体" w:cs="宋体"/>
                <w:color w:val="auto"/>
                <w:sz w:val="24"/>
                <w:highlight w:val="none"/>
              </w:rPr>
            </w:pPr>
          </w:p>
        </w:tc>
        <w:tc>
          <w:tcPr>
            <w:tcW w:w="1630" w:type="dxa"/>
            <w:gridSpan w:val="2"/>
            <w:tcBorders>
              <w:top w:val="single" w:color="auto" w:sz="6" w:space="0"/>
              <w:left w:val="single" w:color="auto" w:sz="6" w:space="0"/>
              <w:bottom w:val="single" w:color="auto" w:sz="6" w:space="0"/>
              <w:right w:val="single" w:color="auto" w:sz="4" w:space="0"/>
            </w:tcBorders>
            <w:vAlign w:val="center"/>
          </w:tcPr>
          <w:p>
            <w:pPr>
              <w:widowControl/>
              <w:spacing w:line="360" w:lineRule="auto"/>
              <w:ind w:firstLine="470" w:firstLineChars="196"/>
              <w:jc w:val="left"/>
              <w:rPr>
                <w:rFonts w:ascii="宋体" w:hAnsi="宋体" w:cs="宋体"/>
                <w:color w:val="auto"/>
                <w:sz w:val="24"/>
                <w:highlight w:val="none"/>
              </w:rPr>
            </w:pPr>
          </w:p>
        </w:tc>
        <w:tc>
          <w:tcPr>
            <w:tcW w:w="992" w:type="dxa"/>
            <w:tcBorders>
              <w:top w:val="single" w:color="auto" w:sz="6" w:space="0"/>
              <w:left w:val="single" w:color="auto" w:sz="4" w:space="0"/>
              <w:bottom w:val="single" w:color="auto" w:sz="6" w:space="0"/>
              <w:right w:val="double" w:color="auto" w:sz="4" w:space="0"/>
            </w:tcBorders>
            <w:vAlign w:val="center"/>
          </w:tcPr>
          <w:p>
            <w:pPr>
              <w:widowControl/>
              <w:spacing w:line="360" w:lineRule="auto"/>
              <w:ind w:firstLine="470" w:firstLineChars="196"/>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46" w:type="dxa"/>
            <w:tcBorders>
              <w:top w:val="single" w:color="auto" w:sz="6" w:space="0"/>
              <w:left w:val="double" w:color="auto" w:sz="4" w:space="0"/>
              <w:bottom w:val="single" w:color="auto" w:sz="6" w:space="0"/>
              <w:right w:val="single" w:color="auto" w:sz="6" w:space="0"/>
            </w:tcBorders>
            <w:vAlign w:val="center"/>
          </w:tcPr>
          <w:p>
            <w:pPr>
              <w:widowControl/>
              <w:spacing w:line="360" w:lineRule="auto"/>
              <w:ind w:firstLine="470" w:firstLineChars="196"/>
              <w:jc w:val="left"/>
              <w:rPr>
                <w:rFonts w:ascii="宋体" w:hAnsi="宋体" w:cs="宋体"/>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vAlign w:val="center"/>
          </w:tcPr>
          <w:p>
            <w:pPr>
              <w:widowControl/>
              <w:spacing w:line="360" w:lineRule="auto"/>
              <w:ind w:firstLine="470" w:firstLineChars="196"/>
              <w:jc w:val="left"/>
              <w:rPr>
                <w:rFonts w:ascii="宋体" w:hAnsi="宋体" w:cs="宋体"/>
                <w:color w:val="auto"/>
                <w:sz w:val="24"/>
                <w:highlight w:val="none"/>
              </w:rPr>
            </w:pPr>
          </w:p>
        </w:tc>
        <w:tc>
          <w:tcPr>
            <w:tcW w:w="1320" w:type="dxa"/>
            <w:tcBorders>
              <w:top w:val="single" w:color="auto" w:sz="6" w:space="0"/>
              <w:left w:val="single" w:color="auto" w:sz="6" w:space="0"/>
              <w:bottom w:val="single" w:color="auto" w:sz="6" w:space="0"/>
              <w:right w:val="single" w:color="auto" w:sz="6" w:space="0"/>
            </w:tcBorders>
            <w:vAlign w:val="center"/>
          </w:tcPr>
          <w:p>
            <w:pPr>
              <w:widowControl/>
              <w:spacing w:line="360" w:lineRule="auto"/>
              <w:ind w:firstLine="470" w:firstLineChars="196"/>
              <w:jc w:val="left"/>
              <w:rPr>
                <w:rFonts w:ascii="宋体" w:hAnsi="宋体" w:cs="宋体"/>
                <w:color w:val="auto"/>
                <w:sz w:val="24"/>
                <w:highlight w:val="none"/>
              </w:rPr>
            </w:pPr>
          </w:p>
        </w:tc>
        <w:tc>
          <w:tcPr>
            <w:tcW w:w="1161" w:type="dxa"/>
            <w:tcBorders>
              <w:top w:val="single" w:color="auto" w:sz="6" w:space="0"/>
              <w:left w:val="single" w:color="auto" w:sz="6" w:space="0"/>
              <w:bottom w:val="single" w:color="auto" w:sz="6" w:space="0"/>
              <w:right w:val="single" w:color="auto" w:sz="6" w:space="0"/>
            </w:tcBorders>
            <w:vAlign w:val="center"/>
          </w:tcPr>
          <w:p>
            <w:pPr>
              <w:widowControl/>
              <w:spacing w:line="360" w:lineRule="auto"/>
              <w:ind w:firstLine="470" w:firstLineChars="196"/>
              <w:jc w:val="left"/>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widowControl/>
              <w:spacing w:line="360" w:lineRule="auto"/>
              <w:ind w:firstLine="470" w:firstLineChars="196"/>
              <w:jc w:val="left"/>
              <w:rPr>
                <w:rFonts w:ascii="宋体" w:hAnsi="宋体" w:cs="宋体"/>
                <w:color w:val="auto"/>
                <w:sz w:val="24"/>
                <w:highlight w:val="none"/>
              </w:rPr>
            </w:pPr>
          </w:p>
        </w:tc>
        <w:tc>
          <w:tcPr>
            <w:tcW w:w="1630" w:type="dxa"/>
            <w:gridSpan w:val="2"/>
            <w:tcBorders>
              <w:top w:val="single" w:color="auto" w:sz="6" w:space="0"/>
              <w:left w:val="single" w:color="auto" w:sz="6" w:space="0"/>
              <w:bottom w:val="single" w:color="auto" w:sz="6" w:space="0"/>
              <w:right w:val="single" w:color="auto" w:sz="4" w:space="0"/>
            </w:tcBorders>
            <w:vAlign w:val="center"/>
          </w:tcPr>
          <w:p>
            <w:pPr>
              <w:widowControl/>
              <w:spacing w:line="360" w:lineRule="auto"/>
              <w:ind w:firstLine="470" w:firstLineChars="196"/>
              <w:jc w:val="left"/>
              <w:rPr>
                <w:rFonts w:ascii="宋体" w:hAnsi="宋体" w:cs="宋体"/>
                <w:color w:val="auto"/>
                <w:sz w:val="24"/>
                <w:highlight w:val="none"/>
              </w:rPr>
            </w:pPr>
          </w:p>
        </w:tc>
        <w:tc>
          <w:tcPr>
            <w:tcW w:w="992" w:type="dxa"/>
            <w:tcBorders>
              <w:top w:val="single" w:color="auto" w:sz="6" w:space="0"/>
              <w:left w:val="single" w:color="auto" w:sz="4" w:space="0"/>
              <w:bottom w:val="single" w:color="auto" w:sz="6" w:space="0"/>
              <w:right w:val="double" w:color="auto" w:sz="4" w:space="0"/>
            </w:tcBorders>
            <w:vAlign w:val="center"/>
          </w:tcPr>
          <w:p>
            <w:pPr>
              <w:widowControl/>
              <w:spacing w:line="360" w:lineRule="auto"/>
              <w:ind w:firstLine="470" w:firstLineChars="196"/>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46" w:type="dxa"/>
            <w:tcBorders>
              <w:top w:val="single" w:color="auto" w:sz="6" w:space="0"/>
              <w:left w:val="double" w:color="auto" w:sz="4" w:space="0"/>
              <w:bottom w:val="single" w:color="auto" w:sz="6" w:space="0"/>
              <w:right w:val="single" w:color="auto" w:sz="6" w:space="0"/>
            </w:tcBorders>
            <w:vAlign w:val="center"/>
          </w:tcPr>
          <w:p>
            <w:pPr>
              <w:widowControl/>
              <w:spacing w:line="360" w:lineRule="auto"/>
              <w:ind w:firstLine="470" w:firstLineChars="196"/>
              <w:jc w:val="left"/>
              <w:rPr>
                <w:rFonts w:ascii="宋体" w:hAnsi="宋体" w:cs="宋体"/>
                <w:color w:val="auto"/>
                <w:sz w:val="24"/>
                <w:highlight w:val="none"/>
              </w:rPr>
            </w:pPr>
          </w:p>
        </w:tc>
        <w:tc>
          <w:tcPr>
            <w:tcW w:w="1440" w:type="dxa"/>
            <w:tcBorders>
              <w:top w:val="single" w:color="auto" w:sz="6" w:space="0"/>
              <w:left w:val="single" w:color="auto" w:sz="6" w:space="0"/>
              <w:bottom w:val="single" w:color="auto" w:sz="6" w:space="0"/>
              <w:right w:val="single" w:color="auto" w:sz="4" w:space="0"/>
            </w:tcBorders>
            <w:vAlign w:val="center"/>
          </w:tcPr>
          <w:p>
            <w:pPr>
              <w:widowControl/>
              <w:spacing w:line="360" w:lineRule="auto"/>
              <w:ind w:firstLine="470" w:firstLineChars="196"/>
              <w:jc w:val="left"/>
              <w:rPr>
                <w:rFonts w:ascii="宋体" w:hAnsi="宋体" w:cs="宋体"/>
                <w:color w:val="auto"/>
                <w:sz w:val="24"/>
                <w:highlight w:val="none"/>
              </w:rPr>
            </w:pPr>
          </w:p>
        </w:tc>
        <w:tc>
          <w:tcPr>
            <w:tcW w:w="1320" w:type="dxa"/>
            <w:tcBorders>
              <w:top w:val="single" w:color="auto" w:sz="6" w:space="0"/>
              <w:left w:val="single" w:color="auto" w:sz="4" w:space="0"/>
              <w:bottom w:val="single" w:color="auto" w:sz="6" w:space="0"/>
              <w:right w:val="single" w:color="auto" w:sz="6" w:space="0"/>
            </w:tcBorders>
            <w:vAlign w:val="center"/>
          </w:tcPr>
          <w:p>
            <w:pPr>
              <w:widowControl/>
              <w:spacing w:line="360" w:lineRule="auto"/>
              <w:ind w:firstLine="470" w:firstLineChars="196"/>
              <w:jc w:val="left"/>
              <w:rPr>
                <w:rFonts w:ascii="宋体" w:hAnsi="宋体" w:cs="宋体"/>
                <w:color w:val="auto"/>
                <w:sz w:val="24"/>
                <w:highlight w:val="none"/>
              </w:rPr>
            </w:pPr>
          </w:p>
        </w:tc>
        <w:tc>
          <w:tcPr>
            <w:tcW w:w="1161" w:type="dxa"/>
            <w:tcBorders>
              <w:top w:val="single" w:color="auto" w:sz="6" w:space="0"/>
              <w:left w:val="single" w:color="auto" w:sz="6" w:space="0"/>
              <w:bottom w:val="single" w:color="auto" w:sz="6" w:space="0"/>
              <w:right w:val="single" w:color="auto" w:sz="6" w:space="0"/>
            </w:tcBorders>
            <w:vAlign w:val="center"/>
          </w:tcPr>
          <w:p>
            <w:pPr>
              <w:widowControl/>
              <w:spacing w:line="360" w:lineRule="auto"/>
              <w:ind w:firstLine="470" w:firstLineChars="196"/>
              <w:jc w:val="left"/>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widowControl/>
              <w:spacing w:line="360" w:lineRule="auto"/>
              <w:ind w:firstLine="470" w:firstLineChars="196"/>
              <w:jc w:val="left"/>
              <w:rPr>
                <w:rFonts w:ascii="宋体" w:hAnsi="宋体" w:cs="宋体"/>
                <w:color w:val="auto"/>
                <w:sz w:val="24"/>
                <w:highlight w:val="none"/>
              </w:rPr>
            </w:pPr>
          </w:p>
        </w:tc>
        <w:tc>
          <w:tcPr>
            <w:tcW w:w="1630" w:type="dxa"/>
            <w:gridSpan w:val="2"/>
            <w:tcBorders>
              <w:top w:val="single" w:color="auto" w:sz="6" w:space="0"/>
              <w:left w:val="single" w:color="auto" w:sz="6" w:space="0"/>
              <w:bottom w:val="single" w:color="auto" w:sz="6" w:space="0"/>
              <w:right w:val="single" w:color="auto" w:sz="4" w:space="0"/>
            </w:tcBorders>
            <w:vAlign w:val="center"/>
          </w:tcPr>
          <w:p>
            <w:pPr>
              <w:widowControl/>
              <w:spacing w:line="360" w:lineRule="auto"/>
              <w:ind w:firstLine="470" w:firstLineChars="196"/>
              <w:jc w:val="left"/>
              <w:rPr>
                <w:rFonts w:ascii="宋体" w:hAnsi="宋体" w:cs="宋体"/>
                <w:color w:val="auto"/>
                <w:sz w:val="24"/>
                <w:highlight w:val="none"/>
              </w:rPr>
            </w:pPr>
          </w:p>
        </w:tc>
        <w:tc>
          <w:tcPr>
            <w:tcW w:w="992" w:type="dxa"/>
            <w:tcBorders>
              <w:top w:val="single" w:color="auto" w:sz="6" w:space="0"/>
              <w:left w:val="single" w:color="auto" w:sz="4" w:space="0"/>
              <w:bottom w:val="single" w:color="auto" w:sz="6" w:space="0"/>
              <w:right w:val="double" w:color="auto" w:sz="4" w:space="0"/>
            </w:tcBorders>
            <w:vAlign w:val="center"/>
          </w:tcPr>
          <w:p>
            <w:pPr>
              <w:widowControl/>
              <w:spacing w:line="360" w:lineRule="auto"/>
              <w:ind w:firstLine="470" w:firstLineChars="196"/>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46" w:type="dxa"/>
            <w:tcBorders>
              <w:top w:val="single" w:color="auto" w:sz="6" w:space="0"/>
              <w:left w:val="double" w:color="auto" w:sz="4" w:space="0"/>
              <w:bottom w:val="single" w:color="auto" w:sz="6" w:space="0"/>
              <w:right w:val="single" w:color="auto" w:sz="4" w:space="0"/>
            </w:tcBorders>
            <w:vAlign w:val="center"/>
          </w:tcPr>
          <w:p>
            <w:pPr>
              <w:widowControl/>
              <w:spacing w:line="360" w:lineRule="auto"/>
              <w:ind w:firstLine="470" w:firstLineChars="196"/>
              <w:jc w:val="left"/>
              <w:rPr>
                <w:rFonts w:ascii="宋体" w:hAnsi="宋体" w:cs="宋体"/>
                <w:color w:val="auto"/>
                <w:sz w:val="24"/>
                <w:highlight w:val="none"/>
              </w:rPr>
            </w:pPr>
          </w:p>
        </w:tc>
        <w:tc>
          <w:tcPr>
            <w:tcW w:w="1440" w:type="dxa"/>
            <w:tcBorders>
              <w:top w:val="single" w:color="auto" w:sz="6" w:space="0"/>
              <w:left w:val="single" w:color="auto" w:sz="4" w:space="0"/>
              <w:bottom w:val="single" w:color="auto" w:sz="6" w:space="0"/>
              <w:right w:val="single" w:color="auto" w:sz="4" w:space="0"/>
            </w:tcBorders>
            <w:vAlign w:val="center"/>
          </w:tcPr>
          <w:p>
            <w:pPr>
              <w:widowControl/>
              <w:spacing w:line="360" w:lineRule="auto"/>
              <w:ind w:firstLine="470" w:firstLineChars="196"/>
              <w:jc w:val="left"/>
              <w:rPr>
                <w:rFonts w:ascii="宋体" w:hAnsi="宋体" w:cs="宋体"/>
                <w:color w:val="auto"/>
                <w:sz w:val="24"/>
                <w:highlight w:val="none"/>
              </w:rPr>
            </w:pPr>
          </w:p>
        </w:tc>
        <w:tc>
          <w:tcPr>
            <w:tcW w:w="1320" w:type="dxa"/>
            <w:tcBorders>
              <w:top w:val="single" w:color="auto" w:sz="6" w:space="0"/>
              <w:left w:val="single" w:color="auto" w:sz="4" w:space="0"/>
              <w:bottom w:val="single" w:color="auto" w:sz="6" w:space="0"/>
              <w:right w:val="single" w:color="auto" w:sz="4" w:space="0"/>
            </w:tcBorders>
            <w:vAlign w:val="center"/>
          </w:tcPr>
          <w:p>
            <w:pPr>
              <w:widowControl/>
              <w:spacing w:line="360" w:lineRule="auto"/>
              <w:ind w:firstLine="470" w:firstLineChars="196"/>
              <w:jc w:val="left"/>
              <w:rPr>
                <w:rFonts w:ascii="宋体" w:hAnsi="宋体" w:cs="宋体"/>
                <w:color w:val="auto"/>
                <w:sz w:val="24"/>
                <w:highlight w:val="none"/>
              </w:rPr>
            </w:pPr>
          </w:p>
        </w:tc>
        <w:tc>
          <w:tcPr>
            <w:tcW w:w="1161" w:type="dxa"/>
            <w:tcBorders>
              <w:top w:val="single" w:color="auto" w:sz="6" w:space="0"/>
              <w:left w:val="single" w:color="auto" w:sz="4" w:space="0"/>
              <w:bottom w:val="single" w:color="auto" w:sz="6" w:space="0"/>
              <w:right w:val="single" w:color="auto" w:sz="4" w:space="0"/>
            </w:tcBorders>
            <w:vAlign w:val="center"/>
          </w:tcPr>
          <w:p>
            <w:pPr>
              <w:widowControl/>
              <w:spacing w:line="360" w:lineRule="auto"/>
              <w:ind w:firstLine="470" w:firstLineChars="196"/>
              <w:jc w:val="left"/>
              <w:rPr>
                <w:rFonts w:ascii="宋体" w:hAnsi="宋体" w:cs="宋体"/>
                <w:color w:val="auto"/>
                <w:sz w:val="24"/>
                <w:highlight w:val="none"/>
              </w:rPr>
            </w:pPr>
          </w:p>
        </w:tc>
        <w:tc>
          <w:tcPr>
            <w:tcW w:w="1269" w:type="dxa"/>
            <w:gridSpan w:val="2"/>
            <w:tcBorders>
              <w:top w:val="single" w:color="auto" w:sz="6" w:space="0"/>
              <w:left w:val="single" w:color="auto" w:sz="4" w:space="0"/>
              <w:bottom w:val="single" w:color="auto" w:sz="6" w:space="0"/>
              <w:right w:val="single" w:color="auto" w:sz="4" w:space="0"/>
            </w:tcBorders>
            <w:vAlign w:val="center"/>
          </w:tcPr>
          <w:p>
            <w:pPr>
              <w:widowControl/>
              <w:spacing w:line="360" w:lineRule="auto"/>
              <w:ind w:firstLine="470" w:firstLineChars="196"/>
              <w:jc w:val="left"/>
              <w:rPr>
                <w:rFonts w:ascii="宋体" w:hAnsi="宋体" w:cs="宋体"/>
                <w:color w:val="auto"/>
                <w:sz w:val="24"/>
                <w:highlight w:val="none"/>
              </w:rPr>
            </w:pPr>
          </w:p>
        </w:tc>
        <w:tc>
          <w:tcPr>
            <w:tcW w:w="1621" w:type="dxa"/>
            <w:tcBorders>
              <w:top w:val="single" w:color="auto" w:sz="6" w:space="0"/>
              <w:left w:val="single" w:color="auto" w:sz="4" w:space="0"/>
              <w:bottom w:val="single" w:color="auto" w:sz="6" w:space="0"/>
              <w:right w:val="single" w:color="auto" w:sz="4" w:space="0"/>
            </w:tcBorders>
            <w:vAlign w:val="center"/>
          </w:tcPr>
          <w:p>
            <w:pPr>
              <w:widowControl/>
              <w:spacing w:line="360" w:lineRule="auto"/>
              <w:ind w:firstLine="470" w:firstLineChars="196"/>
              <w:jc w:val="left"/>
              <w:rPr>
                <w:rFonts w:ascii="宋体" w:hAnsi="宋体" w:cs="宋体"/>
                <w:color w:val="auto"/>
                <w:sz w:val="24"/>
                <w:highlight w:val="none"/>
              </w:rPr>
            </w:pPr>
          </w:p>
        </w:tc>
        <w:tc>
          <w:tcPr>
            <w:tcW w:w="992" w:type="dxa"/>
            <w:tcBorders>
              <w:top w:val="single" w:color="auto" w:sz="6" w:space="0"/>
              <w:left w:val="single" w:color="auto" w:sz="4" w:space="0"/>
              <w:bottom w:val="single" w:color="auto" w:sz="6" w:space="0"/>
              <w:right w:val="double" w:color="auto" w:sz="4" w:space="0"/>
            </w:tcBorders>
            <w:vAlign w:val="center"/>
          </w:tcPr>
          <w:p>
            <w:pPr>
              <w:widowControl/>
              <w:spacing w:line="360" w:lineRule="auto"/>
              <w:ind w:firstLine="470" w:firstLineChars="196"/>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46" w:type="dxa"/>
            <w:tcBorders>
              <w:top w:val="single" w:color="auto" w:sz="6" w:space="0"/>
              <w:left w:val="double" w:color="auto" w:sz="4" w:space="0"/>
              <w:bottom w:val="single" w:color="auto" w:sz="6" w:space="0"/>
              <w:right w:val="single" w:color="auto" w:sz="6" w:space="0"/>
            </w:tcBorders>
            <w:vAlign w:val="center"/>
          </w:tcPr>
          <w:p>
            <w:pPr>
              <w:widowControl/>
              <w:spacing w:line="360" w:lineRule="auto"/>
              <w:ind w:firstLine="470" w:firstLineChars="196"/>
              <w:jc w:val="left"/>
              <w:rPr>
                <w:rFonts w:ascii="宋体" w:hAnsi="宋体" w:cs="宋体"/>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vAlign w:val="center"/>
          </w:tcPr>
          <w:p>
            <w:pPr>
              <w:widowControl/>
              <w:spacing w:line="360" w:lineRule="auto"/>
              <w:ind w:firstLine="470" w:firstLineChars="196"/>
              <w:jc w:val="left"/>
              <w:rPr>
                <w:rFonts w:ascii="宋体" w:hAnsi="宋体" w:cs="宋体"/>
                <w:color w:val="auto"/>
                <w:sz w:val="24"/>
                <w:highlight w:val="none"/>
              </w:rPr>
            </w:pPr>
          </w:p>
        </w:tc>
        <w:tc>
          <w:tcPr>
            <w:tcW w:w="1320" w:type="dxa"/>
            <w:tcBorders>
              <w:top w:val="single" w:color="auto" w:sz="6" w:space="0"/>
              <w:left w:val="single" w:color="auto" w:sz="6" w:space="0"/>
              <w:bottom w:val="single" w:color="auto" w:sz="6" w:space="0"/>
              <w:right w:val="single" w:color="auto" w:sz="6" w:space="0"/>
            </w:tcBorders>
            <w:vAlign w:val="center"/>
          </w:tcPr>
          <w:p>
            <w:pPr>
              <w:widowControl/>
              <w:spacing w:line="360" w:lineRule="auto"/>
              <w:ind w:firstLine="470" w:firstLineChars="196"/>
              <w:jc w:val="left"/>
              <w:rPr>
                <w:rFonts w:ascii="宋体" w:hAnsi="宋体" w:cs="宋体"/>
                <w:color w:val="auto"/>
                <w:sz w:val="24"/>
                <w:highlight w:val="none"/>
              </w:rPr>
            </w:pPr>
          </w:p>
        </w:tc>
        <w:tc>
          <w:tcPr>
            <w:tcW w:w="1161" w:type="dxa"/>
            <w:tcBorders>
              <w:top w:val="single" w:color="auto" w:sz="6" w:space="0"/>
              <w:left w:val="single" w:color="auto" w:sz="6" w:space="0"/>
              <w:bottom w:val="single" w:color="auto" w:sz="6" w:space="0"/>
              <w:right w:val="single" w:color="auto" w:sz="6" w:space="0"/>
            </w:tcBorders>
            <w:vAlign w:val="center"/>
          </w:tcPr>
          <w:p>
            <w:pPr>
              <w:widowControl/>
              <w:spacing w:line="360" w:lineRule="auto"/>
              <w:ind w:firstLine="470" w:firstLineChars="196"/>
              <w:jc w:val="left"/>
              <w:rPr>
                <w:rFonts w:ascii="宋体" w:hAnsi="宋体" w:cs="宋体"/>
                <w:color w:val="auto"/>
                <w:sz w:val="24"/>
                <w:highlight w:val="none"/>
              </w:rPr>
            </w:pPr>
          </w:p>
        </w:tc>
        <w:tc>
          <w:tcPr>
            <w:tcW w:w="1269" w:type="dxa"/>
            <w:gridSpan w:val="2"/>
            <w:tcBorders>
              <w:top w:val="single" w:color="auto" w:sz="6" w:space="0"/>
              <w:left w:val="single" w:color="auto" w:sz="6" w:space="0"/>
              <w:bottom w:val="single" w:color="auto" w:sz="6" w:space="0"/>
              <w:right w:val="single" w:color="auto" w:sz="4" w:space="0"/>
            </w:tcBorders>
            <w:vAlign w:val="center"/>
          </w:tcPr>
          <w:p>
            <w:pPr>
              <w:widowControl/>
              <w:spacing w:line="360" w:lineRule="auto"/>
              <w:ind w:firstLine="470" w:firstLineChars="196"/>
              <w:jc w:val="left"/>
              <w:rPr>
                <w:rFonts w:ascii="宋体" w:hAnsi="宋体" w:cs="宋体"/>
                <w:color w:val="auto"/>
                <w:sz w:val="24"/>
                <w:highlight w:val="none"/>
              </w:rPr>
            </w:pPr>
          </w:p>
        </w:tc>
        <w:tc>
          <w:tcPr>
            <w:tcW w:w="1621" w:type="dxa"/>
            <w:tcBorders>
              <w:top w:val="single" w:color="auto" w:sz="6" w:space="0"/>
              <w:left w:val="single" w:color="auto" w:sz="4" w:space="0"/>
              <w:bottom w:val="single" w:color="auto" w:sz="6" w:space="0"/>
              <w:right w:val="single" w:color="auto" w:sz="4" w:space="0"/>
            </w:tcBorders>
            <w:vAlign w:val="center"/>
          </w:tcPr>
          <w:p>
            <w:pPr>
              <w:widowControl/>
              <w:spacing w:line="360" w:lineRule="auto"/>
              <w:ind w:firstLine="470" w:firstLineChars="196"/>
              <w:jc w:val="left"/>
              <w:rPr>
                <w:rFonts w:ascii="宋体" w:hAnsi="宋体" w:cs="宋体"/>
                <w:color w:val="auto"/>
                <w:sz w:val="24"/>
                <w:highlight w:val="none"/>
              </w:rPr>
            </w:pPr>
          </w:p>
        </w:tc>
        <w:tc>
          <w:tcPr>
            <w:tcW w:w="992" w:type="dxa"/>
            <w:tcBorders>
              <w:top w:val="single" w:color="auto" w:sz="6" w:space="0"/>
              <w:left w:val="single" w:color="auto" w:sz="4" w:space="0"/>
              <w:bottom w:val="single" w:color="auto" w:sz="6" w:space="0"/>
              <w:right w:val="double" w:color="auto" w:sz="4" w:space="0"/>
            </w:tcBorders>
            <w:vAlign w:val="center"/>
          </w:tcPr>
          <w:p>
            <w:pPr>
              <w:widowControl/>
              <w:spacing w:line="360" w:lineRule="auto"/>
              <w:ind w:firstLine="470" w:firstLineChars="196"/>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46" w:type="dxa"/>
            <w:tcBorders>
              <w:top w:val="single" w:color="auto" w:sz="6" w:space="0"/>
              <w:left w:val="double" w:color="auto" w:sz="4" w:space="0"/>
              <w:bottom w:val="single" w:color="auto" w:sz="6" w:space="0"/>
              <w:right w:val="single" w:color="auto" w:sz="6" w:space="0"/>
            </w:tcBorders>
            <w:vAlign w:val="center"/>
          </w:tcPr>
          <w:p>
            <w:pPr>
              <w:widowControl/>
              <w:spacing w:line="360" w:lineRule="auto"/>
              <w:ind w:firstLine="470" w:firstLineChars="196"/>
              <w:jc w:val="left"/>
              <w:rPr>
                <w:rFonts w:ascii="宋体" w:hAnsi="宋体" w:cs="宋体"/>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vAlign w:val="center"/>
          </w:tcPr>
          <w:p>
            <w:pPr>
              <w:widowControl/>
              <w:spacing w:line="360" w:lineRule="auto"/>
              <w:ind w:firstLine="470" w:firstLineChars="196"/>
              <w:jc w:val="left"/>
              <w:rPr>
                <w:rFonts w:ascii="宋体" w:hAnsi="宋体" w:cs="宋体"/>
                <w:color w:val="auto"/>
                <w:sz w:val="24"/>
                <w:highlight w:val="none"/>
              </w:rPr>
            </w:pPr>
          </w:p>
        </w:tc>
        <w:tc>
          <w:tcPr>
            <w:tcW w:w="1320" w:type="dxa"/>
            <w:tcBorders>
              <w:top w:val="single" w:color="auto" w:sz="6" w:space="0"/>
              <w:left w:val="single" w:color="auto" w:sz="6" w:space="0"/>
              <w:bottom w:val="single" w:color="auto" w:sz="6" w:space="0"/>
              <w:right w:val="single" w:color="auto" w:sz="6" w:space="0"/>
            </w:tcBorders>
            <w:vAlign w:val="center"/>
          </w:tcPr>
          <w:p>
            <w:pPr>
              <w:widowControl/>
              <w:spacing w:line="360" w:lineRule="auto"/>
              <w:ind w:firstLine="470" w:firstLineChars="196"/>
              <w:jc w:val="left"/>
              <w:rPr>
                <w:rFonts w:ascii="宋体" w:hAnsi="宋体" w:cs="宋体"/>
                <w:color w:val="auto"/>
                <w:sz w:val="24"/>
                <w:highlight w:val="none"/>
              </w:rPr>
            </w:pPr>
          </w:p>
        </w:tc>
        <w:tc>
          <w:tcPr>
            <w:tcW w:w="1161" w:type="dxa"/>
            <w:tcBorders>
              <w:top w:val="single" w:color="auto" w:sz="6" w:space="0"/>
              <w:left w:val="single" w:color="auto" w:sz="6" w:space="0"/>
              <w:bottom w:val="single" w:color="auto" w:sz="6" w:space="0"/>
              <w:right w:val="single" w:color="auto" w:sz="6" w:space="0"/>
            </w:tcBorders>
            <w:vAlign w:val="center"/>
          </w:tcPr>
          <w:p>
            <w:pPr>
              <w:widowControl/>
              <w:spacing w:line="360" w:lineRule="auto"/>
              <w:ind w:firstLine="470" w:firstLineChars="196"/>
              <w:jc w:val="left"/>
              <w:rPr>
                <w:rFonts w:ascii="宋体" w:hAnsi="宋体" w:cs="宋体"/>
                <w:color w:val="auto"/>
                <w:sz w:val="24"/>
                <w:highlight w:val="none"/>
              </w:rPr>
            </w:pPr>
          </w:p>
        </w:tc>
        <w:tc>
          <w:tcPr>
            <w:tcW w:w="1269" w:type="dxa"/>
            <w:gridSpan w:val="2"/>
            <w:tcBorders>
              <w:top w:val="single" w:color="auto" w:sz="6" w:space="0"/>
              <w:left w:val="single" w:color="auto" w:sz="6" w:space="0"/>
              <w:bottom w:val="single" w:color="auto" w:sz="6" w:space="0"/>
              <w:right w:val="single" w:color="auto" w:sz="4" w:space="0"/>
            </w:tcBorders>
            <w:vAlign w:val="center"/>
          </w:tcPr>
          <w:p>
            <w:pPr>
              <w:widowControl/>
              <w:spacing w:line="360" w:lineRule="auto"/>
              <w:ind w:firstLine="470" w:firstLineChars="196"/>
              <w:jc w:val="left"/>
              <w:rPr>
                <w:rFonts w:ascii="宋体" w:hAnsi="宋体" w:cs="宋体"/>
                <w:color w:val="auto"/>
                <w:sz w:val="24"/>
                <w:highlight w:val="none"/>
              </w:rPr>
            </w:pPr>
          </w:p>
        </w:tc>
        <w:tc>
          <w:tcPr>
            <w:tcW w:w="1621" w:type="dxa"/>
            <w:tcBorders>
              <w:top w:val="single" w:color="auto" w:sz="6" w:space="0"/>
              <w:left w:val="single" w:color="auto" w:sz="4" w:space="0"/>
              <w:bottom w:val="single" w:color="auto" w:sz="6" w:space="0"/>
              <w:right w:val="single" w:color="auto" w:sz="4" w:space="0"/>
            </w:tcBorders>
            <w:vAlign w:val="center"/>
          </w:tcPr>
          <w:p>
            <w:pPr>
              <w:widowControl/>
              <w:spacing w:line="360" w:lineRule="auto"/>
              <w:ind w:firstLine="470" w:firstLineChars="196"/>
              <w:jc w:val="left"/>
              <w:rPr>
                <w:rFonts w:ascii="宋体" w:hAnsi="宋体" w:cs="宋体"/>
                <w:color w:val="auto"/>
                <w:sz w:val="24"/>
                <w:highlight w:val="none"/>
              </w:rPr>
            </w:pPr>
          </w:p>
        </w:tc>
        <w:tc>
          <w:tcPr>
            <w:tcW w:w="992" w:type="dxa"/>
            <w:tcBorders>
              <w:top w:val="single" w:color="auto" w:sz="6" w:space="0"/>
              <w:left w:val="single" w:color="auto" w:sz="4" w:space="0"/>
              <w:bottom w:val="single" w:color="auto" w:sz="6" w:space="0"/>
              <w:right w:val="double" w:color="auto" w:sz="4" w:space="0"/>
            </w:tcBorders>
            <w:vAlign w:val="center"/>
          </w:tcPr>
          <w:p>
            <w:pPr>
              <w:widowControl/>
              <w:spacing w:line="360" w:lineRule="auto"/>
              <w:ind w:firstLine="470" w:firstLineChars="196"/>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46" w:type="dxa"/>
            <w:tcBorders>
              <w:top w:val="single" w:color="auto" w:sz="6" w:space="0"/>
              <w:left w:val="double" w:color="auto" w:sz="4" w:space="0"/>
              <w:bottom w:val="single" w:color="auto" w:sz="6" w:space="0"/>
              <w:right w:val="single" w:color="auto" w:sz="6" w:space="0"/>
            </w:tcBorders>
            <w:vAlign w:val="center"/>
          </w:tcPr>
          <w:p>
            <w:pPr>
              <w:widowControl/>
              <w:spacing w:line="360" w:lineRule="auto"/>
              <w:ind w:firstLine="470" w:firstLineChars="196"/>
              <w:jc w:val="left"/>
              <w:rPr>
                <w:rFonts w:ascii="宋体" w:hAnsi="宋体" w:cs="宋体"/>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vAlign w:val="center"/>
          </w:tcPr>
          <w:p>
            <w:pPr>
              <w:widowControl/>
              <w:spacing w:line="360" w:lineRule="auto"/>
              <w:ind w:firstLine="470" w:firstLineChars="196"/>
              <w:jc w:val="left"/>
              <w:rPr>
                <w:rFonts w:ascii="宋体" w:hAnsi="宋体" w:cs="宋体"/>
                <w:color w:val="auto"/>
                <w:sz w:val="24"/>
                <w:highlight w:val="none"/>
              </w:rPr>
            </w:pPr>
          </w:p>
        </w:tc>
        <w:tc>
          <w:tcPr>
            <w:tcW w:w="1320" w:type="dxa"/>
            <w:tcBorders>
              <w:top w:val="single" w:color="auto" w:sz="6" w:space="0"/>
              <w:left w:val="single" w:color="auto" w:sz="6" w:space="0"/>
              <w:bottom w:val="single" w:color="auto" w:sz="6" w:space="0"/>
              <w:right w:val="single" w:color="auto" w:sz="6" w:space="0"/>
            </w:tcBorders>
            <w:vAlign w:val="center"/>
          </w:tcPr>
          <w:p>
            <w:pPr>
              <w:widowControl/>
              <w:spacing w:line="360" w:lineRule="auto"/>
              <w:ind w:firstLine="470" w:firstLineChars="196"/>
              <w:jc w:val="left"/>
              <w:rPr>
                <w:rFonts w:ascii="宋体" w:hAnsi="宋体" w:cs="宋体"/>
                <w:color w:val="auto"/>
                <w:sz w:val="24"/>
                <w:highlight w:val="none"/>
              </w:rPr>
            </w:pPr>
          </w:p>
        </w:tc>
        <w:tc>
          <w:tcPr>
            <w:tcW w:w="1161" w:type="dxa"/>
            <w:tcBorders>
              <w:top w:val="single" w:color="auto" w:sz="6" w:space="0"/>
              <w:left w:val="single" w:color="auto" w:sz="6" w:space="0"/>
              <w:bottom w:val="single" w:color="auto" w:sz="6" w:space="0"/>
              <w:right w:val="single" w:color="auto" w:sz="6" w:space="0"/>
            </w:tcBorders>
            <w:vAlign w:val="center"/>
          </w:tcPr>
          <w:p>
            <w:pPr>
              <w:widowControl/>
              <w:spacing w:line="360" w:lineRule="auto"/>
              <w:ind w:firstLine="470" w:firstLineChars="196"/>
              <w:jc w:val="left"/>
              <w:rPr>
                <w:rFonts w:ascii="宋体" w:hAnsi="宋体" w:cs="宋体"/>
                <w:color w:val="auto"/>
                <w:sz w:val="24"/>
                <w:highlight w:val="none"/>
              </w:rPr>
            </w:pPr>
          </w:p>
        </w:tc>
        <w:tc>
          <w:tcPr>
            <w:tcW w:w="1269" w:type="dxa"/>
            <w:gridSpan w:val="2"/>
            <w:tcBorders>
              <w:top w:val="single" w:color="auto" w:sz="6" w:space="0"/>
              <w:left w:val="single" w:color="auto" w:sz="6" w:space="0"/>
              <w:bottom w:val="single" w:color="auto" w:sz="6" w:space="0"/>
              <w:right w:val="single" w:color="auto" w:sz="4" w:space="0"/>
            </w:tcBorders>
            <w:vAlign w:val="center"/>
          </w:tcPr>
          <w:p>
            <w:pPr>
              <w:widowControl/>
              <w:spacing w:line="360" w:lineRule="auto"/>
              <w:ind w:firstLine="470" w:firstLineChars="196"/>
              <w:jc w:val="left"/>
              <w:rPr>
                <w:rFonts w:ascii="宋体" w:hAnsi="宋体" w:cs="宋体"/>
                <w:color w:val="auto"/>
                <w:sz w:val="24"/>
                <w:highlight w:val="none"/>
              </w:rPr>
            </w:pPr>
          </w:p>
        </w:tc>
        <w:tc>
          <w:tcPr>
            <w:tcW w:w="1621" w:type="dxa"/>
            <w:tcBorders>
              <w:top w:val="single" w:color="auto" w:sz="6" w:space="0"/>
              <w:left w:val="single" w:color="auto" w:sz="4" w:space="0"/>
              <w:bottom w:val="single" w:color="auto" w:sz="6" w:space="0"/>
              <w:right w:val="single" w:color="auto" w:sz="4" w:space="0"/>
            </w:tcBorders>
            <w:vAlign w:val="center"/>
          </w:tcPr>
          <w:p>
            <w:pPr>
              <w:widowControl/>
              <w:spacing w:line="360" w:lineRule="auto"/>
              <w:ind w:firstLine="470" w:firstLineChars="196"/>
              <w:jc w:val="left"/>
              <w:rPr>
                <w:rFonts w:ascii="宋体" w:hAnsi="宋体" w:cs="宋体"/>
                <w:color w:val="auto"/>
                <w:sz w:val="24"/>
                <w:highlight w:val="none"/>
              </w:rPr>
            </w:pPr>
          </w:p>
        </w:tc>
        <w:tc>
          <w:tcPr>
            <w:tcW w:w="992" w:type="dxa"/>
            <w:tcBorders>
              <w:top w:val="single" w:color="auto" w:sz="6" w:space="0"/>
              <w:left w:val="single" w:color="auto" w:sz="4" w:space="0"/>
              <w:bottom w:val="single" w:color="auto" w:sz="6" w:space="0"/>
              <w:right w:val="double" w:color="auto" w:sz="4" w:space="0"/>
            </w:tcBorders>
            <w:vAlign w:val="center"/>
          </w:tcPr>
          <w:p>
            <w:pPr>
              <w:widowControl/>
              <w:spacing w:line="360" w:lineRule="auto"/>
              <w:ind w:firstLine="470" w:firstLineChars="196"/>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1046" w:type="dxa"/>
            <w:tcBorders>
              <w:top w:val="single" w:color="auto" w:sz="6" w:space="0"/>
              <w:left w:val="double" w:color="auto" w:sz="4" w:space="0"/>
              <w:bottom w:val="single" w:color="auto" w:sz="4" w:space="0"/>
              <w:right w:val="single" w:color="auto" w:sz="6" w:space="0"/>
            </w:tcBorders>
            <w:vAlign w:val="center"/>
          </w:tcPr>
          <w:p>
            <w:pPr>
              <w:widowControl/>
              <w:spacing w:line="360" w:lineRule="auto"/>
              <w:ind w:firstLine="470" w:firstLineChars="196"/>
              <w:jc w:val="left"/>
              <w:rPr>
                <w:rFonts w:ascii="宋体" w:hAnsi="宋体" w:cs="宋体"/>
                <w:color w:val="auto"/>
                <w:sz w:val="24"/>
                <w:highlight w:val="none"/>
              </w:rPr>
            </w:pPr>
          </w:p>
        </w:tc>
        <w:tc>
          <w:tcPr>
            <w:tcW w:w="1440" w:type="dxa"/>
            <w:tcBorders>
              <w:top w:val="single" w:color="auto" w:sz="6" w:space="0"/>
              <w:left w:val="single" w:color="auto" w:sz="6" w:space="0"/>
              <w:bottom w:val="single" w:color="auto" w:sz="4" w:space="0"/>
              <w:right w:val="single" w:color="auto" w:sz="6" w:space="0"/>
            </w:tcBorders>
            <w:vAlign w:val="center"/>
          </w:tcPr>
          <w:p>
            <w:pPr>
              <w:widowControl/>
              <w:spacing w:line="360" w:lineRule="auto"/>
              <w:ind w:firstLine="470" w:firstLineChars="196"/>
              <w:jc w:val="left"/>
              <w:rPr>
                <w:rFonts w:ascii="宋体" w:hAnsi="宋体" w:cs="宋体"/>
                <w:color w:val="auto"/>
                <w:sz w:val="24"/>
                <w:highlight w:val="none"/>
              </w:rPr>
            </w:pPr>
          </w:p>
        </w:tc>
        <w:tc>
          <w:tcPr>
            <w:tcW w:w="1320" w:type="dxa"/>
            <w:tcBorders>
              <w:top w:val="single" w:color="auto" w:sz="6" w:space="0"/>
              <w:left w:val="single" w:color="auto" w:sz="6" w:space="0"/>
              <w:bottom w:val="single" w:color="auto" w:sz="4" w:space="0"/>
              <w:right w:val="single" w:color="auto" w:sz="6" w:space="0"/>
            </w:tcBorders>
            <w:vAlign w:val="center"/>
          </w:tcPr>
          <w:p>
            <w:pPr>
              <w:widowControl/>
              <w:spacing w:line="360" w:lineRule="auto"/>
              <w:ind w:firstLine="470" w:firstLineChars="196"/>
              <w:jc w:val="left"/>
              <w:rPr>
                <w:rFonts w:ascii="宋体" w:hAnsi="宋体" w:cs="宋体"/>
                <w:color w:val="auto"/>
                <w:sz w:val="24"/>
                <w:highlight w:val="none"/>
              </w:rPr>
            </w:pPr>
          </w:p>
        </w:tc>
        <w:tc>
          <w:tcPr>
            <w:tcW w:w="1161" w:type="dxa"/>
            <w:tcBorders>
              <w:top w:val="single" w:color="auto" w:sz="6" w:space="0"/>
              <w:left w:val="single" w:color="auto" w:sz="6" w:space="0"/>
              <w:bottom w:val="single" w:color="auto" w:sz="4" w:space="0"/>
              <w:right w:val="single" w:color="auto" w:sz="6" w:space="0"/>
            </w:tcBorders>
            <w:vAlign w:val="center"/>
          </w:tcPr>
          <w:p>
            <w:pPr>
              <w:widowControl/>
              <w:spacing w:line="360" w:lineRule="auto"/>
              <w:ind w:firstLine="470" w:firstLineChars="196"/>
              <w:jc w:val="left"/>
              <w:rPr>
                <w:rFonts w:ascii="宋体" w:hAnsi="宋体" w:cs="宋体"/>
                <w:color w:val="auto"/>
                <w:sz w:val="24"/>
                <w:highlight w:val="none"/>
              </w:rPr>
            </w:pPr>
          </w:p>
        </w:tc>
        <w:tc>
          <w:tcPr>
            <w:tcW w:w="1269" w:type="dxa"/>
            <w:gridSpan w:val="2"/>
            <w:tcBorders>
              <w:top w:val="single" w:color="auto" w:sz="6" w:space="0"/>
              <w:left w:val="single" w:color="auto" w:sz="6" w:space="0"/>
              <w:bottom w:val="single" w:color="auto" w:sz="4" w:space="0"/>
              <w:right w:val="single" w:color="auto" w:sz="4" w:space="0"/>
            </w:tcBorders>
            <w:vAlign w:val="center"/>
          </w:tcPr>
          <w:p>
            <w:pPr>
              <w:widowControl/>
              <w:spacing w:line="360" w:lineRule="auto"/>
              <w:ind w:firstLine="470" w:firstLineChars="196"/>
              <w:jc w:val="left"/>
              <w:rPr>
                <w:rFonts w:ascii="宋体" w:hAnsi="宋体" w:cs="宋体"/>
                <w:color w:val="auto"/>
                <w:sz w:val="24"/>
                <w:highlight w:val="none"/>
              </w:rPr>
            </w:pPr>
          </w:p>
        </w:tc>
        <w:tc>
          <w:tcPr>
            <w:tcW w:w="1621" w:type="dxa"/>
            <w:tcBorders>
              <w:top w:val="single" w:color="auto" w:sz="6" w:space="0"/>
              <w:left w:val="single" w:color="auto" w:sz="4" w:space="0"/>
              <w:bottom w:val="single" w:color="auto" w:sz="4" w:space="0"/>
              <w:right w:val="single" w:color="auto" w:sz="4" w:space="0"/>
            </w:tcBorders>
            <w:vAlign w:val="center"/>
          </w:tcPr>
          <w:p>
            <w:pPr>
              <w:widowControl/>
              <w:spacing w:line="360" w:lineRule="auto"/>
              <w:ind w:firstLine="470" w:firstLineChars="196"/>
              <w:jc w:val="left"/>
              <w:rPr>
                <w:rFonts w:ascii="宋体" w:hAnsi="宋体" w:cs="宋体"/>
                <w:color w:val="auto"/>
                <w:sz w:val="24"/>
                <w:highlight w:val="none"/>
              </w:rPr>
            </w:pPr>
          </w:p>
        </w:tc>
        <w:tc>
          <w:tcPr>
            <w:tcW w:w="992" w:type="dxa"/>
            <w:tcBorders>
              <w:top w:val="single" w:color="auto" w:sz="6" w:space="0"/>
              <w:left w:val="single" w:color="auto" w:sz="4" w:space="0"/>
              <w:bottom w:val="single" w:color="auto" w:sz="4" w:space="0"/>
              <w:right w:val="double" w:color="auto" w:sz="4" w:space="0"/>
            </w:tcBorders>
            <w:vAlign w:val="center"/>
          </w:tcPr>
          <w:p>
            <w:pPr>
              <w:widowControl/>
              <w:spacing w:line="360" w:lineRule="auto"/>
              <w:ind w:firstLine="470" w:firstLineChars="196"/>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1046" w:type="dxa"/>
            <w:tcBorders>
              <w:top w:val="single" w:color="auto" w:sz="4" w:space="0"/>
              <w:left w:val="double" w:color="auto" w:sz="4" w:space="0"/>
              <w:bottom w:val="single" w:color="auto" w:sz="4" w:space="0"/>
              <w:right w:val="single" w:color="auto" w:sz="6" w:space="0"/>
            </w:tcBorders>
            <w:vAlign w:val="center"/>
          </w:tcPr>
          <w:p>
            <w:pPr>
              <w:widowControl/>
              <w:spacing w:line="360" w:lineRule="auto"/>
              <w:ind w:firstLine="470" w:firstLineChars="196"/>
              <w:jc w:val="left"/>
              <w:rPr>
                <w:rFonts w:ascii="宋体" w:hAnsi="宋体" w:cs="宋体"/>
                <w:color w:val="auto"/>
                <w:sz w:val="24"/>
                <w:highlight w:val="none"/>
              </w:rPr>
            </w:pPr>
          </w:p>
        </w:tc>
        <w:tc>
          <w:tcPr>
            <w:tcW w:w="1440" w:type="dxa"/>
            <w:tcBorders>
              <w:top w:val="single" w:color="auto" w:sz="4" w:space="0"/>
              <w:left w:val="single" w:color="auto" w:sz="6" w:space="0"/>
              <w:bottom w:val="single" w:color="auto" w:sz="4" w:space="0"/>
              <w:right w:val="single" w:color="auto" w:sz="6" w:space="0"/>
            </w:tcBorders>
            <w:vAlign w:val="center"/>
          </w:tcPr>
          <w:p>
            <w:pPr>
              <w:widowControl/>
              <w:spacing w:line="360" w:lineRule="auto"/>
              <w:ind w:firstLine="470" w:firstLineChars="196"/>
              <w:jc w:val="left"/>
              <w:rPr>
                <w:rFonts w:ascii="宋体" w:hAnsi="宋体" w:cs="宋体"/>
                <w:color w:val="auto"/>
                <w:sz w:val="24"/>
                <w:highlight w:val="none"/>
              </w:rPr>
            </w:pPr>
          </w:p>
        </w:tc>
        <w:tc>
          <w:tcPr>
            <w:tcW w:w="1320" w:type="dxa"/>
            <w:tcBorders>
              <w:top w:val="single" w:color="auto" w:sz="4" w:space="0"/>
              <w:left w:val="single" w:color="auto" w:sz="6" w:space="0"/>
              <w:bottom w:val="single" w:color="auto" w:sz="4" w:space="0"/>
              <w:right w:val="single" w:color="auto" w:sz="6" w:space="0"/>
            </w:tcBorders>
            <w:vAlign w:val="center"/>
          </w:tcPr>
          <w:p>
            <w:pPr>
              <w:widowControl/>
              <w:spacing w:line="360" w:lineRule="auto"/>
              <w:ind w:firstLine="470" w:firstLineChars="196"/>
              <w:jc w:val="left"/>
              <w:rPr>
                <w:rFonts w:ascii="宋体" w:hAnsi="宋体" w:cs="宋体"/>
                <w:color w:val="auto"/>
                <w:sz w:val="24"/>
                <w:highlight w:val="none"/>
              </w:rPr>
            </w:pPr>
          </w:p>
        </w:tc>
        <w:tc>
          <w:tcPr>
            <w:tcW w:w="1161" w:type="dxa"/>
            <w:tcBorders>
              <w:top w:val="single" w:color="auto" w:sz="4" w:space="0"/>
              <w:left w:val="single" w:color="auto" w:sz="6" w:space="0"/>
              <w:bottom w:val="single" w:color="auto" w:sz="4" w:space="0"/>
              <w:right w:val="single" w:color="auto" w:sz="6" w:space="0"/>
            </w:tcBorders>
            <w:vAlign w:val="center"/>
          </w:tcPr>
          <w:p>
            <w:pPr>
              <w:widowControl/>
              <w:spacing w:line="360" w:lineRule="auto"/>
              <w:ind w:firstLine="470" w:firstLineChars="196"/>
              <w:jc w:val="left"/>
              <w:rPr>
                <w:rFonts w:ascii="宋体" w:hAnsi="宋体" w:cs="宋体"/>
                <w:color w:val="auto"/>
                <w:sz w:val="24"/>
                <w:highlight w:val="none"/>
              </w:rPr>
            </w:pPr>
          </w:p>
        </w:tc>
        <w:tc>
          <w:tcPr>
            <w:tcW w:w="1269" w:type="dxa"/>
            <w:gridSpan w:val="2"/>
            <w:tcBorders>
              <w:top w:val="single" w:color="auto" w:sz="4" w:space="0"/>
              <w:left w:val="single" w:color="auto" w:sz="6" w:space="0"/>
              <w:bottom w:val="single" w:color="auto" w:sz="4" w:space="0"/>
              <w:right w:val="single" w:color="auto" w:sz="4" w:space="0"/>
            </w:tcBorders>
            <w:vAlign w:val="center"/>
          </w:tcPr>
          <w:p>
            <w:pPr>
              <w:widowControl/>
              <w:spacing w:line="360" w:lineRule="auto"/>
              <w:ind w:firstLine="470" w:firstLineChars="196"/>
              <w:jc w:val="left"/>
              <w:rPr>
                <w:rFonts w:ascii="宋体" w:hAnsi="宋体" w:cs="宋体"/>
                <w:color w:val="auto"/>
                <w:sz w:val="24"/>
                <w:highlight w:val="none"/>
              </w:rPr>
            </w:pPr>
          </w:p>
        </w:tc>
        <w:tc>
          <w:tcPr>
            <w:tcW w:w="1621"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70" w:firstLineChars="196"/>
              <w:jc w:val="left"/>
              <w:rPr>
                <w:rFonts w:ascii="宋体" w:hAnsi="宋体" w:cs="宋体"/>
                <w:color w:val="auto"/>
                <w:sz w:val="24"/>
                <w:highlight w:val="none"/>
              </w:rPr>
            </w:pPr>
          </w:p>
        </w:tc>
        <w:tc>
          <w:tcPr>
            <w:tcW w:w="992" w:type="dxa"/>
            <w:tcBorders>
              <w:top w:val="single" w:color="auto" w:sz="4" w:space="0"/>
              <w:left w:val="single" w:color="auto" w:sz="4" w:space="0"/>
              <w:bottom w:val="single" w:color="auto" w:sz="4" w:space="0"/>
              <w:right w:val="double" w:color="auto" w:sz="4" w:space="0"/>
            </w:tcBorders>
            <w:vAlign w:val="center"/>
          </w:tcPr>
          <w:p>
            <w:pPr>
              <w:widowControl/>
              <w:spacing w:line="360" w:lineRule="auto"/>
              <w:ind w:firstLine="470" w:firstLineChars="196"/>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1046" w:type="dxa"/>
            <w:tcBorders>
              <w:top w:val="single" w:color="auto" w:sz="4" w:space="0"/>
              <w:left w:val="double" w:color="auto" w:sz="4" w:space="0"/>
              <w:bottom w:val="single" w:color="auto" w:sz="4" w:space="0"/>
              <w:right w:val="single" w:color="auto" w:sz="6" w:space="0"/>
            </w:tcBorders>
            <w:vAlign w:val="center"/>
          </w:tcPr>
          <w:p>
            <w:pPr>
              <w:widowControl/>
              <w:spacing w:line="360" w:lineRule="auto"/>
              <w:ind w:firstLine="470" w:firstLineChars="196"/>
              <w:jc w:val="left"/>
              <w:rPr>
                <w:rFonts w:ascii="宋体" w:hAnsi="宋体" w:cs="宋体"/>
                <w:color w:val="auto"/>
                <w:sz w:val="24"/>
                <w:highlight w:val="none"/>
              </w:rPr>
            </w:pPr>
          </w:p>
        </w:tc>
        <w:tc>
          <w:tcPr>
            <w:tcW w:w="1440" w:type="dxa"/>
            <w:tcBorders>
              <w:top w:val="single" w:color="auto" w:sz="4" w:space="0"/>
              <w:left w:val="single" w:color="auto" w:sz="6" w:space="0"/>
              <w:bottom w:val="single" w:color="auto" w:sz="4" w:space="0"/>
              <w:right w:val="single" w:color="auto" w:sz="6" w:space="0"/>
            </w:tcBorders>
            <w:vAlign w:val="center"/>
          </w:tcPr>
          <w:p>
            <w:pPr>
              <w:widowControl/>
              <w:spacing w:line="360" w:lineRule="auto"/>
              <w:ind w:firstLine="470" w:firstLineChars="196"/>
              <w:jc w:val="left"/>
              <w:rPr>
                <w:rFonts w:ascii="宋体" w:hAnsi="宋体" w:cs="宋体"/>
                <w:color w:val="auto"/>
                <w:sz w:val="24"/>
                <w:highlight w:val="none"/>
              </w:rPr>
            </w:pPr>
          </w:p>
        </w:tc>
        <w:tc>
          <w:tcPr>
            <w:tcW w:w="1320" w:type="dxa"/>
            <w:tcBorders>
              <w:top w:val="single" w:color="auto" w:sz="4" w:space="0"/>
              <w:left w:val="single" w:color="auto" w:sz="6" w:space="0"/>
              <w:bottom w:val="single" w:color="auto" w:sz="4" w:space="0"/>
              <w:right w:val="single" w:color="auto" w:sz="6" w:space="0"/>
            </w:tcBorders>
            <w:vAlign w:val="center"/>
          </w:tcPr>
          <w:p>
            <w:pPr>
              <w:widowControl/>
              <w:spacing w:line="360" w:lineRule="auto"/>
              <w:ind w:firstLine="470" w:firstLineChars="196"/>
              <w:jc w:val="left"/>
              <w:rPr>
                <w:rFonts w:ascii="宋体" w:hAnsi="宋体" w:cs="宋体"/>
                <w:color w:val="auto"/>
                <w:sz w:val="24"/>
                <w:highlight w:val="none"/>
              </w:rPr>
            </w:pPr>
          </w:p>
        </w:tc>
        <w:tc>
          <w:tcPr>
            <w:tcW w:w="1161" w:type="dxa"/>
            <w:tcBorders>
              <w:top w:val="single" w:color="auto" w:sz="4" w:space="0"/>
              <w:left w:val="single" w:color="auto" w:sz="6" w:space="0"/>
              <w:bottom w:val="single" w:color="auto" w:sz="4" w:space="0"/>
              <w:right w:val="single" w:color="auto" w:sz="6" w:space="0"/>
            </w:tcBorders>
            <w:vAlign w:val="center"/>
          </w:tcPr>
          <w:p>
            <w:pPr>
              <w:widowControl/>
              <w:spacing w:line="360" w:lineRule="auto"/>
              <w:ind w:firstLine="470" w:firstLineChars="196"/>
              <w:jc w:val="left"/>
              <w:rPr>
                <w:rFonts w:ascii="宋体" w:hAnsi="宋体" w:cs="宋体"/>
                <w:color w:val="auto"/>
                <w:sz w:val="24"/>
                <w:highlight w:val="none"/>
              </w:rPr>
            </w:pPr>
          </w:p>
        </w:tc>
        <w:tc>
          <w:tcPr>
            <w:tcW w:w="1269" w:type="dxa"/>
            <w:gridSpan w:val="2"/>
            <w:tcBorders>
              <w:top w:val="single" w:color="auto" w:sz="4" w:space="0"/>
              <w:left w:val="single" w:color="auto" w:sz="6" w:space="0"/>
              <w:bottom w:val="single" w:color="auto" w:sz="4" w:space="0"/>
              <w:right w:val="single" w:color="auto" w:sz="4" w:space="0"/>
            </w:tcBorders>
            <w:vAlign w:val="center"/>
          </w:tcPr>
          <w:p>
            <w:pPr>
              <w:widowControl/>
              <w:spacing w:line="360" w:lineRule="auto"/>
              <w:ind w:firstLine="470" w:firstLineChars="196"/>
              <w:jc w:val="left"/>
              <w:rPr>
                <w:rFonts w:ascii="宋体" w:hAnsi="宋体" w:cs="宋体"/>
                <w:color w:val="auto"/>
                <w:sz w:val="24"/>
                <w:highlight w:val="none"/>
              </w:rPr>
            </w:pPr>
          </w:p>
        </w:tc>
        <w:tc>
          <w:tcPr>
            <w:tcW w:w="1621"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70" w:firstLineChars="196"/>
              <w:jc w:val="left"/>
              <w:rPr>
                <w:rFonts w:ascii="宋体" w:hAnsi="宋体" w:cs="宋体"/>
                <w:color w:val="auto"/>
                <w:sz w:val="24"/>
                <w:highlight w:val="none"/>
              </w:rPr>
            </w:pPr>
          </w:p>
        </w:tc>
        <w:tc>
          <w:tcPr>
            <w:tcW w:w="992" w:type="dxa"/>
            <w:tcBorders>
              <w:top w:val="single" w:color="auto" w:sz="4" w:space="0"/>
              <w:left w:val="single" w:color="auto" w:sz="4" w:space="0"/>
              <w:bottom w:val="single" w:color="auto" w:sz="4" w:space="0"/>
              <w:right w:val="double" w:color="auto" w:sz="4" w:space="0"/>
            </w:tcBorders>
            <w:vAlign w:val="center"/>
          </w:tcPr>
          <w:p>
            <w:pPr>
              <w:widowControl/>
              <w:spacing w:line="360" w:lineRule="auto"/>
              <w:ind w:firstLine="470" w:firstLineChars="196"/>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1046" w:type="dxa"/>
            <w:tcBorders>
              <w:top w:val="single" w:color="auto" w:sz="4" w:space="0"/>
              <w:left w:val="double" w:color="auto" w:sz="4" w:space="0"/>
              <w:bottom w:val="single" w:color="auto" w:sz="4" w:space="0"/>
              <w:right w:val="single" w:color="auto" w:sz="6" w:space="0"/>
            </w:tcBorders>
            <w:vAlign w:val="center"/>
          </w:tcPr>
          <w:p>
            <w:pPr>
              <w:widowControl/>
              <w:spacing w:line="360" w:lineRule="auto"/>
              <w:ind w:firstLine="470" w:firstLineChars="196"/>
              <w:jc w:val="left"/>
              <w:rPr>
                <w:rFonts w:ascii="宋体" w:hAnsi="宋体" w:cs="宋体"/>
                <w:color w:val="auto"/>
                <w:sz w:val="24"/>
                <w:highlight w:val="none"/>
              </w:rPr>
            </w:pPr>
          </w:p>
        </w:tc>
        <w:tc>
          <w:tcPr>
            <w:tcW w:w="1440" w:type="dxa"/>
            <w:tcBorders>
              <w:top w:val="single" w:color="auto" w:sz="4" w:space="0"/>
              <w:left w:val="single" w:color="auto" w:sz="6" w:space="0"/>
              <w:bottom w:val="single" w:color="auto" w:sz="4" w:space="0"/>
              <w:right w:val="single" w:color="auto" w:sz="6" w:space="0"/>
            </w:tcBorders>
            <w:vAlign w:val="center"/>
          </w:tcPr>
          <w:p>
            <w:pPr>
              <w:widowControl/>
              <w:spacing w:line="360" w:lineRule="auto"/>
              <w:ind w:firstLine="470" w:firstLineChars="196"/>
              <w:jc w:val="left"/>
              <w:rPr>
                <w:rFonts w:ascii="宋体" w:hAnsi="宋体" w:cs="宋体"/>
                <w:color w:val="auto"/>
                <w:sz w:val="24"/>
                <w:highlight w:val="none"/>
              </w:rPr>
            </w:pPr>
          </w:p>
        </w:tc>
        <w:tc>
          <w:tcPr>
            <w:tcW w:w="1320" w:type="dxa"/>
            <w:tcBorders>
              <w:top w:val="single" w:color="auto" w:sz="4" w:space="0"/>
              <w:left w:val="single" w:color="auto" w:sz="6" w:space="0"/>
              <w:bottom w:val="single" w:color="auto" w:sz="4" w:space="0"/>
              <w:right w:val="single" w:color="auto" w:sz="6" w:space="0"/>
            </w:tcBorders>
            <w:vAlign w:val="center"/>
          </w:tcPr>
          <w:p>
            <w:pPr>
              <w:widowControl/>
              <w:spacing w:line="360" w:lineRule="auto"/>
              <w:ind w:firstLine="470" w:firstLineChars="196"/>
              <w:jc w:val="left"/>
              <w:rPr>
                <w:rFonts w:ascii="宋体" w:hAnsi="宋体" w:cs="宋体"/>
                <w:color w:val="auto"/>
                <w:sz w:val="24"/>
                <w:highlight w:val="none"/>
              </w:rPr>
            </w:pPr>
          </w:p>
        </w:tc>
        <w:tc>
          <w:tcPr>
            <w:tcW w:w="1161" w:type="dxa"/>
            <w:tcBorders>
              <w:top w:val="single" w:color="auto" w:sz="4" w:space="0"/>
              <w:left w:val="single" w:color="auto" w:sz="6" w:space="0"/>
              <w:bottom w:val="single" w:color="auto" w:sz="4" w:space="0"/>
              <w:right w:val="single" w:color="auto" w:sz="6" w:space="0"/>
            </w:tcBorders>
            <w:vAlign w:val="center"/>
          </w:tcPr>
          <w:p>
            <w:pPr>
              <w:widowControl/>
              <w:spacing w:line="360" w:lineRule="auto"/>
              <w:ind w:firstLine="470" w:firstLineChars="196"/>
              <w:jc w:val="left"/>
              <w:rPr>
                <w:rFonts w:ascii="宋体" w:hAnsi="宋体" w:cs="宋体"/>
                <w:color w:val="auto"/>
                <w:sz w:val="24"/>
                <w:highlight w:val="none"/>
              </w:rPr>
            </w:pPr>
          </w:p>
        </w:tc>
        <w:tc>
          <w:tcPr>
            <w:tcW w:w="1269" w:type="dxa"/>
            <w:gridSpan w:val="2"/>
            <w:tcBorders>
              <w:top w:val="single" w:color="auto" w:sz="4" w:space="0"/>
              <w:left w:val="single" w:color="auto" w:sz="6" w:space="0"/>
              <w:bottom w:val="single" w:color="auto" w:sz="4" w:space="0"/>
              <w:right w:val="single" w:color="auto" w:sz="4" w:space="0"/>
            </w:tcBorders>
            <w:vAlign w:val="center"/>
          </w:tcPr>
          <w:p>
            <w:pPr>
              <w:widowControl/>
              <w:spacing w:line="360" w:lineRule="auto"/>
              <w:ind w:firstLine="470" w:firstLineChars="196"/>
              <w:jc w:val="left"/>
              <w:rPr>
                <w:rFonts w:ascii="宋体" w:hAnsi="宋体" w:cs="宋体"/>
                <w:color w:val="auto"/>
                <w:sz w:val="24"/>
                <w:highlight w:val="none"/>
              </w:rPr>
            </w:pPr>
          </w:p>
        </w:tc>
        <w:tc>
          <w:tcPr>
            <w:tcW w:w="1621"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70" w:firstLineChars="196"/>
              <w:jc w:val="left"/>
              <w:rPr>
                <w:rFonts w:ascii="宋体" w:hAnsi="宋体" w:cs="宋体"/>
                <w:color w:val="auto"/>
                <w:sz w:val="24"/>
                <w:highlight w:val="none"/>
              </w:rPr>
            </w:pPr>
          </w:p>
        </w:tc>
        <w:tc>
          <w:tcPr>
            <w:tcW w:w="992" w:type="dxa"/>
            <w:tcBorders>
              <w:top w:val="single" w:color="auto" w:sz="4" w:space="0"/>
              <w:left w:val="single" w:color="auto" w:sz="4" w:space="0"/>
              <w:bottom w:val="single" w:color="auto" w:sz="4" w:space="0"/>
              <w:right w:val="double" w:color="auto" w:sz="4" w:space="0"/>
            </w:tcBorders>
            <w:vAlign w:val="center"/>
          </w:tcPr>
          <w:p>
            <w:pPr>
              <w:widowControl/>
              <w:spacing w:line="360" w:lineRule="auto"/>
              <w:ind w:firstLine="470" w:firstLineChars="196"/>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1046" w:type="dxa"/>
            <w:tcBorders>
              <w:top w:val="single" w:color="auto" w:sz="4" w:space="0"/>
              <w:left w:val="double" w:color="auto" w:sz="4" w:space="0"/>
              <w:bottom w:val="double" w:color="auto" w:sz="4" w:space="0"/>
              <w:right w:val="single" w:color="auto" w:sz="6" w:space="0"/>
            </w:tcBorders>
            <w:vAlign w:val="center"/>
          </w:tcPr>
          <w:p>
            <w:pPr>
              <w:widowControl/>
              <w:spacing w:line="360" w:lineRule="auto"/>
              <w:ind w:firstLine="470" w:firstLineChars="196"/>
              <w:jc w:val="left"/>
              <w:rPr>
                <w:rFonts w:ascii="宋体" w:hAnsi="宋体" w:cs="宋体"/>
                <w:color w:val="auto"/>
                <w:sz w:val="24"/>
                <w:highlight w:val="none"/>
              </w:rPr>
            </w:pPr>
          </w:p>
        </w:tc>
        <w:tc>
          <w:tcPr>
            <w:tcW w:w="1440" w:type="dxa"/>
            <w:tcBorders>
              <w:top w:val="single" w:color="auto" w:sz="4" w:space="0"/>
              <w:left w:val="single" w:color="auto" w:sz="6" w:space="0"/>
              <w:bottom w:val="double" w:color="auto" w:sz="4" w:space="0"/>
              <w:right w:val="single" w:color="auto" w:sz="6" w:space="0"/>
            </w:tcBorders>
            <w:vAlign w:val="center"/>
          </w:tcPr>
          <w:p>
            <w:pPr>
              <w:widowControl/>
              <w:spacing w:line="360" w:lineRule="auto"/>
              <w:ind w:firstLine="470" w:firstLineChars="196"/>
              <w:jc w:val="left"/>
              <w:rPr>
                <w:rFonts w:ascii="宋体" w:hAnsi="宋体" w:cs="宋体"/>
                <w:color w:val="auto"/>
                <w:sz w:val="24"/>
                <w:highlight w:val="none"/>
              </w:rPr>
            </w:pPr>
          </w:p>
        </w:tc>
        <w:tc>
          <w:tcPr>
            <w:tcW w:w="1320" w:type="dxa"/>
            <w:tcBorders>
              <w:top w:val="single" w:color="auto" w:sz="4" w:space="0"/>
              <w:left w:val="single" w:color="auto" w:sz="6" w:space="0"/>
              <w:bottom w:val="double" w:color="auto" w:sz="4" w:space="0"/>
              <w:right w:val="single" w:color="auto" w:sz="6" w:space="0"/>
            </w:tcBorders>
            <w:vAlign w:val="center"/>
          </w:tcPr>
          <w:p>
            <w:pPr>
              <w:widowControl/>
              <w:spacing w:line="360" w:lineRule="auto"/>
              <w:ind w:firstLine="470" w:firstLineChars="196"/>
              <w:jc w:val="left"/>
              <w:rPr>
                <w:rFonts w:ascii="宋体" w:hAnsi="宋体" w:cs="宋体"/>
                <w:color w:val="auto"/>
                <w:sz w:val="24"/>
                <w:highlight w:val="none"/>
              </w:rPr>
            </w:pPr>
          </w:p>
        </w:tc>
        <w:tc>
          <w:tcPr>
            <w:tcW w:w="1161" w:type="dxa"/>
            <w:tcBorders>
              <w:top w:val="single" w:color="auto" w:sz="4" w:space="0"/>
              <w:left w:val="single" w:color="auto" w:sz="6" w:space="0"/>
              <w:bottom w:val="double" w:color="auto" w:sz="4" w:space="0"/>
              <w:right w:val="single" w:color="auto" w:sz="6" w:space="0"/>
            </w:tcBorders>
            <w:vAlign w:val="center"/>
          </w:tcPr>
          <w:p>
            <w:pPr>
              <w:widowControl/>
              <w:spacing w:line="360" w:lineRule="auto"/>
              <w:ind w:firstLine="470" w:firstLineChars="196"/>
              <w:jc w:val="left"/>
              <w:rPr>
                <w:rFonts w:ascii="宋体" w:hAnsi="宋体" w:cs="宋体"/>
                <w:color w:val="auto"/>
                <w:sz w:val="24"/>
                <w:highlight w:val="none"/>
              </w:rPr>
            </w:pPr>
          </w:p>
        </w:tc>
        <w:tc>
          <w:tcPr>
            <w:tcW w:w="1269" w:type="dxa"/>
            <w:gridSpan w:val="2"/>
            <w:tcBorders>
              <w:top w:val="single" w:color="auto" w:sz="4" w:space="0"/>
              <w:left w:val="single" w:color="auto" w:sz="6" w:space="0"/>
              <w:bottom w:val="double" w:color="auto" w:sz="4" w:space="0"/>
              <w:right w:val="single" w:color="auto" w:sz="4" w:space="0"/>
            </w:tcBorders>
            <w:vAlign w:val="center"/>
          </w:tcPr>
          <w:p>
            <w:pPr>
              <w:widowControl/>
              <w:spacing w:line="360" w:lineRule="auto"/>
              <w:ind w:firstLine="470" w:firstLineChars="196"/>
              <w:jc w:val="left"/>
              <w:rPr>
                <w:rFonts w:ascii="宋体" w:hAnsi="宋体" w:cs="宋体"/>
                <w:color w:val="auto"/>
                <w:sz w:val="24"/>
                <w:highlight w:val="none"/>
              </w:rPr>
            </w:pPr>
          </w:p>
        </w:tc>
        <w:tc>
          <w:tcPr>
            <w:tcW w:w="1621" w:type="dxa"/>
            <w:tcBorders>
              <w:top w:val="single" w:color="auto" w:sz="4" w:space="0"/>
              <w:left w:val="single" w:color="auto" w:sz="4" w:space="0"/>
              <w:bottom w:val="double" w:color="auto" w:sz="4" w:space="0"/>
              <w:right w:val="single" w:color="auto" w:sz="4" w:space="0"/>
            </w:tcBorders>
            <w:vAlign w:val="center"/>
          </w:tcPr>
          <w:p>
            <w:pPr>
              <w:widowControl/>
              <w:spacing w:line="360" w:lineRule="auto"/>
              <w:ind w:firstLine="470" w:firstLineChars="196"/>
              <w:jc w:val="left"/>
              <w:rPr>
                <w:rFonts w:ascii="宋体" w:hAnsi="宋体" w:cs="宋体"/>
                <w:color w:val="auto"/>
                <w:sz w:val="24"/>
                <w:highlight w:val="none"/>
              </w:rPr>
            </w:pPr>
          </w:p>
        </w:tc>
        <w:tc>
          <w:tcPr>
            <w:tcW w:w="992" w:type="dxa"/>
            <w:tcBorders>
              <w:top w:val="single" w:color="auto" w:sz="4" w:space="0"/>
              <w:left w:val="single" w:color="auto" w:sz="4" w:space="0"/>
              <w:bottom w:val="double" w:color="auto" w:sz="4" w:space="0"/>
              <w:right w:val="double" w:color="auto" w:sz="4" w:space="0"/>
            </w:tcBorders>
            <w:vAlign w:val="center"/>
          </w:tcPr>
          <w:p>
            <w:pPr>
              <w:widowControl/>
              <w:spacing w:line="360" w:lineRule="auto"/>
              <w:ind w:firstLine="470" w:firstLineChars="196"/>
              <w:jc w:val="left"/>
              <w:rPr>
                <w:rFonts w:ascii="宋体" w:hAnsi="宋体" w:cs="宋体"/>
                <w:color w:val="auto"/>
                <w:sz w:val="24"/>
                <w:highlight w:val="none"/>
              </w:rPr>
            </w:pPr>
          </w:p>
        </w:tc>
      </w:tr>
    </w:tbl>
    <w:p>
      <w:pPr>
        <w:spacing w:line="360" w:lineRule="auto"/>
        <w:rPr>
          <w:rFonts w:ascii="宋体" w:hAnsi="宋体" w:cs="宋体"/>
          <w:b/>
          <w:bCs/>
          <w:color w:val="auto"/>
          <w:highlight w:val="none"/>
        </w:rPr>
      </w:pPr>
    </w:p>
    <w:p>
      <w:pPr>
        <w:spacing w:line="360" w:lineRule="auto"/>
        <w:rPr>
          <w:rFonts w:ascii="宋体" w:hAnsi="宋体" w:cs="宋体"/>
          <w:b/>
          <w:bCs/>
          <w:color w:val="auto"/>
          <w:highlight w:val="none"/>
        </w:rPr>
      </w:pPr>
      <w:r>
        <w:rPr>
          <w:rFonts w:hint="eastAsia" w:ascii="宋体" w:hAnsi="宋体" w:cs="宋体"/>
          <w:b/>
          <w:bCs/>
          <w:color w:val="auto"/>
          <w:highlight w:val="none"/>
        </w:rPr>
        <w:t>注：以上业绩需提供招标文件要求的有关书面证明材料。</w:t>
      </w:r>
    </w:p>
    <w:p>
      <w:pPr>
        <w:spacing w:line="360" w:lineRule="auto"/>
        <w:jc w:val="left"/>
        <w:rPr>
          <w:rFonts w:ascii="宋体" w:hAnsi="宋体" w:cs="宋体"/>
          <w:color w:val="auto"/>
          <w:sz w:val="24"/>
          <w:highlight w:val="none"/>
        </w:rPr>
      </w:pP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法定代表人/单位负责人或授权代表：（签字或加盖个人名章）</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投标人名称：（单位盖章）</w:t>
      </w:r>
    </w:p>
    <w:p>
      <w:pPr>
        <w:spacing w:line="360" w:lineRule="auto"/>
        <w:rPr>
          <w:rFonts w:ascii="宋体" w:hAnsi="宋体" w:cs="宋体"/>
          <w:color w:val="auto"/>
          <w:sz w:val="24"/>
          <w:highlight w:val="none"/>
        </w:rPr>
      </w:pPr>
      <w:r>
        <w:rPr>
          <w:rFonts w:hint="eastAsia" w:ascii="宋体" w:hAnsi="宋体" w:cs="宋体"/>
          <w:color w:val="auto"/>
          <w:sz w:val="24"/>
          <w:highlight w:val="none"/>
        </w:rPr>
        <w:t>投标日期：</w:t>
      </w:r>
    </w:p>
    <w:p>
      <w:pPr>
        <w:spacing w:line="360" w:lineRule="auto"/>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b/>
          <w:color w:val="auto"/>
          <w:sz w:val="32"/>
          <w:szCs w:val="32"/>
          <w:highlight w:val="none"/>
        </w:rPr>
        <w:t>格式2-11</w:t>
      </w:r>
    </w:p>
    <w:p>
      <w:pPr>
        <w:widowControl/>
        <w:spacing w:line="360" w:lineRule="auto"/>
        <w:jc w:val="center"/>
        <w:outlineLvl w:val="1"/>
        <w:rPr>
          <w:rFonts w:ascii="宋体" w:hAnsi="宋体" w:cs="宋体"/>
          <w:b/>
          <w:color w:val="auto"/>
          <w:sz w:val="32"/>
          <w:szCs w:val="32"/>
          <w:highlight w:val="none"/>
        </w:rPr>
      </w:pPr>
      <w:r>
        <w:rPr>
          <w:rFonts w:hint="eastAsia" w:ascii="宋体" w:hAnsi="宋体" w:cs="宋体"/>
          <w:b/>
          <w:color w:val="auto"/>
          <w:sz w:val="32"/>
          <w:szCs w:val="32"/>
          <w:highlight w:val="none"/>
        </w:rPr>
        <w:t>十、投标人本项目管理、技术、服务人员情况表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项目名称：</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采购项目编号：</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包号:</w:t>
      </w:r>
    </w:p>
    <w:tbl>
      <w:tblPr>
        <w:tblStyle w:val="35"/>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810"/>
        <w:gridCol w:w="811"/>
        <w:gridCol w:w="811"/>
        <w:gridCol w:w="1414"/>
        <w:gridCol w:w="1057"/>
        <w:gridCol w:w="743"/>
        <w:gridCol w:w="846"/>
        <w:gridCol w:w="74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434" w:type="dxa"/>
            <w:vMerge w:val="restart"/>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类别</w:t>
            </w:r>
          </w:p>
        </w:tc>
        <w:tc>
          <w:tcPr>
            <w:tcW w:w="810" w:type="dxa"/>
            <w:vMerge w:val="restart"/>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职务</w:t>
            </w:r>
          </w:p>
        </w:tc>
        <w:tc>
          <w:tcPr>
            <w:tcW w:w="811" w:type="dxa"/>
            <w:vMerge w:val="restart"/>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姓名</w:t>
            </w:r>
          </w:p>
        </w:tc>
        <w:tc>
          <w:tcPr>
            <w:tcW w:w="811" w:type="dxa"/>
            <w:vMerge w:val="restart"/>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职称</w:t>
            </w:r>
          </w:p>
        </w:tc>
        <w:tc>
          <w:tcPr>
            <w:tcW w:w="1414" w:type="dxa"/>
            <w:vMerge w:val="restart"/>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常住地</w:t>
            </w:r>
          </w:p>
        </w:tc>
        <w:tc>
          <w:tcPr>
            <w:tcW w:w="3389" w:type="dxa"/>
            <w:gridSpan w:val="4"/>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资格证明（附原件原色电子件）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434" w:type="dxa"/>
            <w:vMerge w:val="continue"/>
            <w:vAlign w:val="center"/>
          </w:tcPr>
          <w:p>
            <w:pPr>
              <w:spacing w:line="360" w:lineRule="auto"/>
              <w:rPr>
                <w:rFonts w:ascii="宋体" w:hAnsi="宋体" w:cs="宋体"/>
                <w:color w:val="auto"/>
                <w:highlight w:val="none"/>
              </w:rPr>
            </w:pPr>
          </w:p>
        </w:tc>
        <w:tc>
          <w:tcPr>
            <w:tcW w:w="810" w:type="dxa"/>
            <w:vMerge w:val="continue"/>
            <w:vAlign w:val="center"/>
          </w:tcPr>
          <w:p>
            <w:pPr>
              <w:spacing w:line="360" w:lineRule="auto"/>
              <w:rPr>
                <w:rFonts w:ascii="宋体" w:hAnsi="宋体" w:cs="宋体"/>
                <w:color w:val="auto"/>
                <w:highlight w:val="none"/>
              </w:rPr>
            </w:pPr>
          </w:p>
        </w:tc>
        <w:tc>
          <w:tcPr>
            <w:tcW w:w="811" w:type="dxa"/>
            <w:vMerge w:val="continue"/>
            <w:vAlign w:val="center"/>
          </w:tcPr>
          <w:p>
            <w:pPr>
              <w:spacing w:line="360" w:lineRule="auto"/>
              <w:rPr>
                <w:rFonts w:ascii="宋体" w:hAnsi="宋体" w:cs="宋体"/>
                <w:color w:val="auto"/>
                <w:highlight w:val="none"/>
              </w:rPr>
            </w:pPr>
          </w:p>
        </w:tc>
        <w:tc>
          <w:tcPr>
            <w:tcW w:w="811" w:type="dxa"/>
            <w:vMerge w:val="continue"/>
            <w:vAlign w:val="center"/>
          </w:tcPr>
          <w:p>
            <w:pPr>
              <w:spacing w:line="360" w:lineRule="auto"/>
              <w:rPr>
                <w:rFonts w:ascii="宋体" w:hAnsi="宋体" w:cs="宋体"/>
                <w:color w:val="auto"/>
                <w:highlight w:val="none"/>
              </w:rPr>
            </w:pPr>
          </w:p>
        </w:tc>
        <w:tc>
          <w:tcPr>
            <w:tcW w:w="1414" w:type="dxa"/>
            <w:vMerge w:val="continue"/>
            <w:vAlign w:val="center"/>
          </w:tcPr>
          <w:p>
            <w:pPr>
              <w:spacing w:line="360" w:lineRule="auto"/>
              <w:rPr>
                <w:rFonts w:ascii="宋体" w:hAnsi="宋体" w:cs="宋体"/>
                <w:color w:val="auto"/>
                <w:highlight w:val="none"/>
              </w:rPr>
            </w:pPr>
          </w:p>
        </w:tc>
        <w:tc>
          <w:tcPr>
            <w:tcW w:w="1057"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证书名称</w:t>
            </w:r>
          </w:p>
        </w:tc>
        <w:tc>
          <w:tcPr>
            <w:tcW w:w="743"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级别</w:t>
            </w:r>
          </w:p>
        </w:tc>
        <w:tc>
          <w:tcPr>
            <w:tcW w:w="846"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证号</w:t>
            </w:r>
          </w:p>
        </w:tc>
        <w:tc>
          <w:tcPr>
            <w:tcW w:w="743"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专业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434" w:type="dxa"/>
            <w:vMerge w:val="restart"/>
          </w:tcPr>
          <w:p>
            <w:pPr>
              <w:spacing w:line="360" w:lineRule="auto"/>
              <w:jc w:val="center"/>
              <w:rPr>
                <w:rFonts w:ascii="宋体" w:hAnsi="宋体" w:cs="宋体"/>
                <w:color w:val="auto"/>
                <w:highlight w:val="none"/>
              </w:rPr>
            </w:pPr>
            <w:r>
              <w:rPr>
                <w:rFonts w:hint="eastAsia" w:ascii="宋体" w:hAnsi="宋体" w:cs="宋体"/>
                <w:color w:val="auto"/>
                <w:highlight w:val="none"/>
              </w:rPr>
              <w:t>管</w:t>
            </w:r>
          </w:p>
          <w:p>
            <w:pPr>
              <w:spacing w:line="360" w:lineRule="auto"/>
              <w:jc w:val="center"/>
              <w:rPr>
                <w:rFonts w:ascii="宋体" w:hAnsi="宋体" w:cs="宋体"/>
                <w:color w:val="auto"/>
                <w:highlight w:val="none"/>
              </w:rPr>
            </w:pPr>
            <w:r>
              <w:rPr>
                <w:rFonts w:hint="eastAsia" w:ascii="宋体" w:hAnsi="宋体" w:cs="宋体"/>
                <w:color w:val="auto"/>
                <w:highlight w:val="none"/>
              </w:rPr>
              <w:t>理</w:t>
            </w:r>
          </w:p>
          <w:p>
            <w:pPr>
              <w:spacing w:line="360" w:lineRule="auto"/>
              <w:jc w:val="center"/>
              <w:rPr>
                <w:rFonts w:ascii="宋体" w:hAnsi="宋体" w:cs="宋体"/>
                <w:color w:val="auto"/>
                <w:highlight w:val="none"/>
              </w:rPr>
            </w:pPr>
            <w:r>
              <w:rPr>
                <w:rFonts w:hint="eastAsia" w:ascii="宋体" w:hAnsi="宋体" w:cs="宋体"/>
                <w:color w:val="auto"/>
                <w:highlight w:val="none"/>
              </w:rPr>
              <w:t>人</w:t>
            </w:r>
          </w:p>
          <w:p>
            <w:pPr>
              <w:spacing w:line="360" w:lineRule="auto"/>
              <w:jc w:val="center"/>
              <w:rPr>
                <w:rFonts w:ascii="宋体" w:hAnsi="宋体" w:cs="宋体"/>
                <w:color w:val="auto"/>
                <w:sz w:val="28"/>
                <w:highlight w:val="none"/>
              </w:rPr>
            </w:pPr>
            <w:r>
              <w:rPr>
                <w:rFonts w:hint="eastAsia" w:ascii="宋体" w:hAnsi="宋体" w:cs="宋体"/>
                <w:color w:val="auto"/>
                <w:highlight w:val="none"/>
              </w:rPr>
              <w:t>员</w:t>
            </w:r>
          </w:p>
        </w:tc>
        <w:tc>
          <w:tcPr>
            <w:tcW w:w="810" w:type="dxa"/>
          </w:tcPr>
          <w:p>
            <w:pPr>
              <w:spacing w:line="360" w:lineRule="auto"/>
              <w:jc w:val="center"/>
              <w:rPr>
                <w:rFonts w:ascii="宋体" w:hAnsi="宋体" w:cs="宋体"/>
                <w:color w:val="auto"/>
                <w:sz w:val="28"/>
                <w:highlight w:val="none"/>
              </w:rPr>
            </w:pPr>
          </w:p>
        </w:tc>
        <w:tc>
          <w:tcPr>
            <w:tcW w:w="811" w:type="dxa"/>
          </w:tcPr>
          <w:p>
            <w:pPr>
              <w:spacing w:line="360" w:lineRule="auto"/>
              <w:jc w:val="center"/>
              <w:rPr>
                <w:rFonts w:ascii="宋体" w:hAnsi="宋体" w:cs="宋体"/>
                <w:color w:val="auto"/>
                <w:sz w:val="28"/>
                <w:highlight w:val="none"/>
              </w:rPr>
            </w:pPr>
          </w:p>
        </w:tc>
        <w:tc>
          <w:tcPr>
            <w:tcW w:w="811" w:type="dxa"/>
          </w:tcPr>
          <w:p>
            <w:pPr>
              <w:spacing w:line="360" w:lineRule="auto"/>
              <w:jc w:val="center"/>
              <w:rPr>
                <w:rFonts w:ascii="宋体" w:hAnsi="宋体" w:cs="宋体"/>
                <w:color w:val="auto"/>
                <w:sz w:val="28"/>
                <w:highlight w:val="none"/>
              </w:rPr>
            </w:pPr>
          </w:p>
        </w:tc>
        <w:tc>
          <w:tcPr>
            <w:tcW w:w="1414" w:type="dxa"/>
          </w:tcPr>
          <w:p>
            <w:pPr>
              <w:spacing w:line="360" w:lineRule="auto"/>
              <w:jc w:val="center"/>
              <w:rPr>
                <w:rFonts w:ascii="宋体" w:hAnsi="宋体" w:cs="宋体"/>
                <w:color w:val="auto"/>
                <w:sz w:val="28"/>
                <w:highlight w:val="none"/>
              </w:rPr>
            </w:pPr>
          </w:p>
        </w:tc>
        <w:tc>
          <w:tcPr>
            <w:tcW w:w="1057" w:type="dxa"/>
          </w:tcPr>
          <w:p>
            <w:pPr>
              <w:spacing w:line="360" w:lineRule="auto"/>
              <w:jc w:val="center"/>
              <w:rPr>
                <w:rFonts w:ascii="宋体" w:hAnsi="宋体" w:cs="宋体"/>
                <w:color w:val="auto"/>
                <w:sz w:val="28"/>
                <w:highlight w:val="none"/>
              </w:rPr>
            </w:pPr>
          </w:p>
        </w:tc>
        <w:tc>
          <w:tcPr>
            <w:tcW w:w="743" w:type="dxa"/>
          </w:tcPr>
          <w:p>
            <w:pPr>
              <w:spacing w:line="360" w:lineRule="auto"/>
              <w:jc w:val="center"/>
              <w:rPr>
                <w:rFonts w:ascii="宋体" w:hAnsi="宋体" w:cs="宋体"/>
                <w:color w:val="auto"/>
                <w:sz w:val="28"/>
                <w:highlight w:val="none"/>
              </w:rPr>
            </w:pPr>
          </w:p>
        </w:tc>
        <w:tc>
          <w:tcPr>
            <w:tcW w:w="846" w:type="dxa"/>
          </w:tcPr>
          <w:p>
            <w:pPr>
              <w:spacing w:line="360" w:lineRule="auto"/>
              <w:jc w:val="center"/>
              <w:rPr>
                <w:rFonts w:ascii="宋体" w:hAnsi="宋体" w:cs="宋体"/>
                <w:color w:val="auto"/>
                <w:sz w:val="28"/>
                <w:highlight w:val="none"/>
              </w:rPr>
            </w:pPr>
          </w:p>
        </w:tc>
        <w:tc>
          <w:tcPr>
            <w:tcW w:w="743" w:type="dxa"/>
          </w:tcPr>
          <w:p>
            <w:pPr>
              <w:spacing w:line="360" w:lineRule="auto"/>
              <w:jc w:val="center"/>
              <w:rPr>
                <w:rFonts w:ascii="宋体" w:hAnsi="宋体" w:cs="宋体"/>
                <w:color w:val="auto"/>
                <w:sz w:val="28"/>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434" w:type="dxa"/>
            <w:vMerge w:val="continue"/>
          </w:tcPr>
          <w:p>
            <w:pPr>
              <w:spacing w:line="360" w:lineRule="auto"/>
              <w:rPr>
                <w:rFonts w:ascii="宋体" w:hAnsi="宋体" w:cs="宋体"/>
                <w:color w:val="auto"/>
                <w:highlight w:val="none"/>
              </w:rPr>
            </w:pPr>
          </w:p>
        </w:tc>
        <w:tc>
          <w:tcPr>
            <w:tcW w:w="810" w:type="dxa"/>
          </w:tcPr>
          <w:p>
            <w:pPr>
              <w:spacing w:line="360" w:lineRule="auto"/>
              <w:jc w:val="center"/>
              <w:rPr>
                <w:rFonts w:ascii="宋体" w:hAnsi="宋体" w:cs="宋体"/>
                <w:color w:val="auto"/>
                <w:sz w:val="28"/>
                <w:highlight w:val="none"/>
              </w:rPr>
            </w:pPr>
          </w:p>
        </w:tc>
        <w:tc>
          <w:tcPr>
            <w:tcW w:w="811" w:type="dxa"/>
          </w:tcPr>
          <w:p>
            <w:pPr>
              <w:spacing w:line="360" w:lineRule="auto"/>
              <w:jc w:val="center"/>
              <w:rPr>
                <w:rFonts w:ascii="宋体" w:hAnsi="宋体" w:cs="宋体"/>
                <w:color w:val="auto"/>
                <w:sz w:val="28"/>
                <w:highlight w:val="none"/>
              </w:rPr>
            </w:pPr>
          </w:p>
        </w:tc>
        <w:tc>
          <w:tcPr>
            <w:tcW w:w="811" w:type="dxa"/>
          </w:tcPr>
          <w:p>
            <w:pPr>
              <w:spacing w:line="360" w:lineRule="auto"/>
              <w:jc w:val="center"/>
              <w:rPr>
                <w:rFonts w:ascii="宋体" w:hAnsi="宋体" w:cs="宋体"/>
                <w:color w:val="auto"/>
                <w:sz w:val="28"/>
                <w:highlight w:val="none"/>
              </w:rPr>
            </w:pPr>
          </w:p>
        </w:tc>
        <w:tc>
          <w:tcPr>
            <w:tcW w:w="1414" w:type="dxa"/>
          </w:tcPr>
          <w:p>
            <w:pPr>
              <w:spacing w:line="360" w:lineRule="auto"/>
              <w:jc w:val="center"/>
              <w:rPr>
                <w:rFonts w:ascii="宋体" w:hAnsi="宋体" w:cs="宋体"/>
                <w:color w:val="auto"/>
                <w:sz w:val="28"/>
                <w:highlight w:val="none"/>
              </w:rPr>
            </w:pPr>
          </w:p>
        </w:tc>
        <w:tc>
          <w:tcPr>
            <w:tcW w:w="1057" w:type="dxa"/>
          </w:tcPr>
          <w:p>
            <w:pPr>
              <w:spacing w:line="360" w:lineRule="auto"/>
              <w:jc w:val="center"/>
              <w:rPr>
                <w:rFonts w:ascii="宋体" w:hAnsi="宋体" w:cs="宋体"/>
                <w:color w:val="auto"/>
                <w:sz w:val="28"/>
                <w:highlight w:val="none"/>
              </w:rPr>
            </w:pPr>
          </w:p>
        </w:tc>
        <w:tc>
          <w:tcPr>
            <w:tcW w:w="743" w:type="dxa"/>
          </w:tcPr>
          <w:p>
            <w:pPr>
              <w:spacing w:line="360" w:lineRule="auto"/>
              <w:jc w:val="center"/>
              <w:rPr>
                <w:rFonts w:ascii="宋体" w:hAnsi="宋体" w:cs="宋体"/>
                <w:color w:val="auto"/>
                <w:sz w:val="28"/>
                <w:highlight w:val="none"/>
              </w:rPr>
            </w:pPr>
          </w:p>
        </w:tc>
        <w:tc>
          <w:tcPr>
            <w:tcW w:w="846" w:type="dxa"/>
          </w:tcPr>
          <w:p>
            <w:pPr>
              <w:spacing w:line="360" w:lineRule="auto"/>
              <w:jc w:val="center"/>
              <w:rPr>
                <w:rFonts w:ascii="宋体" w:hAnsi="宋体" w:cs="宋体"/>
                <w:color w:val="auto"/>
                <w:sz w:val="28"/>
                <w:highlight w:val="none"/>
              </w:rPr>
            </w:pPr>
          </w:p>
        </w:tc>
        <w:tc>
          <w:tcPr>
            <w:tcW w:w="743" w:type="dxa"/>
          </w:tcPr>
          <w:p>
            <w:pPr>
              <w:spacing w:line="360" w:lineRule="auto"/>
              <w:jc w:val="center"/>
              <w:rPr>
                <w:rFonts w:ascii="宋体" w:hAnsi="宋体" w:cs="宋体"/>
                <w:color w:val="auto"/>
                <w:sz w:val="28"/>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434" w:type="dxa"/>
            <w:vMerge w:val="continue"/>
          </w:tcPr>
          <w:p>
            <w:pPr>
              <w:spacing w:line="360" w:lineRule="auto"/>
              <w:rPr>
                <w:rFonts w:ascii="宋体" w:hAnsi="宋体" w:cs="宋体"/>
                <w:color w:val="auto"/>
                <w:highlight w:val="none"/>
              </w:rPr>
            </w:pPr>
          </w:p>
        </w:tc>
        <w:tc>
          <w:tcPr>
            <w:tcW w:w="810" w:type="dxa"/>
          </w:tcPr>
          <w:p>
            <w:pPr>
              <w:spacing w:line="360" w:lineRule="auto"/>
              <w:jc w:val="center"/>
              <w:rPr>
                <w:rFonts w:ascii="宋体" w:hAnsi="宋体" w:cs="宋体"/>
                <w:color w:val="auto"/>
                <w:sz w:val="28"/>
                <w:highlight w:val="none"/>
              </w:rPr>
            </w:pPr>
          </w:p>
        </w:tc>
        <w:tc>
          <w:tcPr>
            <w:tcW w:w="811" w:type="dxa"/>
          </w:tcPr>
          <w:p>
            <w:pPr>
              <w:spacing w:line="360" w:lineRule="auto"/>
              <w:jc w:val="center"/>
              <w:rPr>
                <w:rFonts w:ascii="宋体" w:hAnsi="宋体" w:cs="宋体"/>
                <w:color w:val="auto"/>
                <w:sz w:val="28"/>
                <w:highlight w:val="none"/>
              </w:rPr>
            </w:pPr>
          </w:p>
        </w:tc>
        <w:tc>
          <w:tcPr>
            <w:tcW w:w="811" w:type="dxa"/>
          </w:tcPr>
          <w:p>
            <w:pPr>
              <w:spacing w:line="360" w:lineRule="auto"/>
              <w:jc w:val="center"/>
              <w:rPr>
                <w:rFonts w:ascii="宋体" w:hAnsi="宋体" w:cs="宋体"/>
                <w:color w:val="auto"/>
                <w:sz w:val="28"/>
                <w:highlight w:val="none"/>
              </w:rPr>
            </w:pPr>
          </w:p>
        </w:tc>
        <w:tc>
          <w:tcPr>
            <w:tcW w:w="1414" w:type="dxa"/>
          </w:tcPr>
          <w:p>
            <w:pPr>
              <w:spacing w:line="360" w:lineRule="auto"/>
              <w:jc w:val="center"/>
              <w:rPr>
                <w:rFonts w:ascii="宋体" w:hAnsi="宋体" w:cs="宋体"/>
                <w:color w:val="auto"/>
                <w:sz w:val="28"/>
                <w:highlight w:val="none"/>
              </w:rPr>
            </w:pPr>
          </w:p>
        </w:tc>
        <w:tc>
          <w:tcPr>
            <w:tcW w:w="1057" w:type="dxa"/>
          </w:tcPr>
          <w:p>
            <w:pPr>
              <w:spacing w:line="360" w:lineRule="auto"/>
              <w:jc w:val="center"/>
              <w:rPr>
                <w:rFonts w:ascii="宋体" w:hAnsi="宋体" w:cs="宋体"/>
                <w:color w:val="auto"/>
                <w:sz w:val="28"/>
                <w:highlight w:val="none"/>
              </w:rPr>
            </w:pPr>
          </w:p>
        </w:tc>
        <w:tc>
          <w:tcPr>
            <w:tcW w:w="743" w:type="dxa"/>
          </w:tcPr>
          <w:p>
            <w:pPr>
              <w:spacing w:line="360" w:lineRule="auto"/>
              <w:jc w:val="center"/>
              <w:rPr>
                <w:rFonts w:ascii="宋体" w:hAnsi="宋体" w:cs="宋体"/>
                <w:color w:val="auto"/>
                <w:sz w:val="28"/>
                <w:highlight w:val="none"/>
              </w:rPr>
            </w:pPr>
          </w:p>
        </w:tc>
        <w:tc>
          <w:tcPr>
            <w:tcW w:w="846" w:type="dxa"/>
          </w:tcPr>
          <w:p>
            <w:pPr>
              <w:spacing w:line="360" w:lineRule="auto"/>
              <w:jc w:val="center"/>
              <w:rPr>
                <w:rFonts w:ascii="宋体" w:hAnsi="宋体" w:cs="宋体"/>
                <w:color w:val="auto"/>
                <w:sz w:val="28"/>
                <w:highlight w:val="none"/>
              </w:rPr>
            </w:pPr>
          </w:p>
        </w:tc>
        <w:tc>
          <w:tcPr>
            <w:tcW w:w="743" w:type="dxa"/>
          </w:tcPr>
          <w:p>
            <w:pPr>
              <w:spacing w:line="360" w:lineRule="auto"/>
              <w:jc w:val="center"/>
              <w:rPr>
                <w:rFonts w:ascii="宋体" w:hAnsi="宋体" w:cs="宋体"/>
                <w:color w:val="auto"/>
                <w:sz w:val="28"/>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434" w:type="dxa"/>
            <w:vMerge w:val="restart"/>
          </w:tcPr>
          <w:p>
            <w:pPr>
              <w:spacing w:line="360" w:lineRule="auto"/>
              <w:jc w:val="center"/>
              <w:rPr>
                <w:rFonts w:ascii="宋体" w:hAnsi="宋体" w:cs="宋体"/>
                <w:color w:val="auto"/>
                <w:highlight w:val="none"/>
              </w:rPr>
            </w:pPr>
            <w:r>
              <w:rPr>
                <w:rFonts w:hint="eastAsia" w:ascii="宋体" w:hAnsi="宋体" w:cs="宋体"/>
                <w:color w:val="auto"/>
                <w:highlight w:val="none"/>
              </w:rPr>
              <w:t>技</w:t>
            </w:r>
          </w:p>
          <w:p>
            <w:pPr>
              <w:spacing w:line="360" w:lineRule="auto"/>
              <w:jc w:val="center"/>
              <w:rPr>
                <w:rFonts w:ascii="宋体" w:hAnsi="宋体" w:cs="宋体"/>
                <w:color w:val="auto"/>
                <w:highlight w:val="none"/>
              </w:rPr>
            </w:pPr>
            <w:r>
              <w:rPr>
                <w:rFonts w:hint="eastAsia" w:ascii="宋体" w:hAnsi="宋体" w:cs="宋体"/>
                <w:color w:val="auto"/>
                <w:highlight w:val="none"/>
              </w:rPr>
              <w:t>术</w:t>
            </w:r>
          </w:p>
          <w:p>
            <w:pPr>
              <w:spacing w:line="360" w:lineRule="auto"/>
              <w:jc w:val="center"/>
              <w:rPr>
                <w:rFonts w:ascii="宋体" w:hAnsi="宋体" w:cs="宋体"/>
                <w:color w:val="auto"/>
                <w:highlight w:val="none"/>
              </w:rPr>
            </w:pPr>
            <w:r>
              <w:rPr>
                <w:rFonts w:hint="eastAsia" w:ascii="宋体" w:hAnsi="宋体" w:cs="宋体"/>
                <w:color w:val="auto"/>
                <w:highlight w:val="none"/>
              </w:rPr>
              <w:t>人</w:t>
            </w:r>
          </w:p>
          <w:p>
            <w:pPr>
              <w:spacing w:line="360" w:lineRule="auto"/>
              <w:jc w:val="center"/>
              <w:rPr>
                <w:rFonts w:ascii="宋体" w:hAnsi="宋体" w:cs="宋体"/>
                <w:color w:val="auto"/>
                <w:highlight w:val="none"/>
              </w:rPr>
            </w:pPr>
            <w:r>
              <w:rPr>
                <w:rFonts w:hint="eastAsia" w:ascii="宋体" w:hAnsi="宋体" w:cs="宋体"/>
                <w:color w:val="auto"/>
                <w:highlight w:val="none"/>
              </w:rPr>
              <w:t>员</w:t>
            </w:r>
          </w:p>
        </w:tc>
        <w:tc>
          <w:tcPr>
            <w:tcW w:w="810" w:type="dxa"/>
          </w:tcPr>
          <w:p>
            <w:pPr>
              <w:spacing w:line="360" w:lineRule="auto"/>
              <w:jc w:val="center"/>
              <w:rPr>
                <w:rFonts w:ascii="宋体" w:hAnsi="宋体" w:cs="宋体"/>
                <w:color w:val="auto"/>
                <w:sz w:val="28"/>
                <w:highlight w:val="none"/>
              </w:rPr>
            </w:pPr>
          </w:p>
        </w:tc>
        <w:tc>
          <w:tcPr>
            <w:tcW w:w="811" w:type="dxa"/>
          </w:tcPr>
          <w:p>
            <w:pPr>
              <w:spacing w:line="360" w:lineRule="auto"/>
              <w:jc w:val="center"/>
              <w:rPr>
                <w:rFonts w:ascii="宋体" w:hAnsi="宋体" w:cs="宋体"/>
                <w:color w:val="auto"/>
                <w:sz w:val="28"/>
                <w:highlight w:val="none"/>
              </w:rPr>
            </w:pPr>
          </w:p>
        </w:tc>
        <w:tc>
          <w:tcPr>
            <w:tcW w:w="811" w:type="dxa"/>
          </w:tcPr>
          <w:p>
            <w:pPr>
              <w:spacing w:line="360" w:lineRule="auto"/>
              <w:jc w:val="center"/>
              <w:rPr>
                <w:rFonts w:ascii="宋体" w:hAnsi="宋体" w:cs="宋体"/>
                <w:color w:val="auto"/>
                <w:sz w:val="28"/>
                <w:highlight w:val="none"/>
              </w:rPr>
            </w:pPr>
          </w:p>
        </w:tc>
        <w:tc>
          <w:tcPr>
            <w:tcW w:w="1414" w:type="dxa"/>
          </w:tcPr>
          <w:p>
            <w:pPr>
              <w:spacing w:line="360" w:lineRule="auto"/>
              <w:jc w:val="center"/>
              <w:rPr>
                <w:rFonts w:ascii="宋体" w:hAnsi="宋体" w:cs="宋体"/>
                <w:color w:val="auto"/>
                <w:sz w:val="28"/>
                <w:highlight w:val="none"/>
              </w:rPr>
            </w:pPr>
          </w:p>
        </w:tc>
        <w:tc>
          <w:tcPr>
            <w:tcW w:w="1057" w:type="dxa"/>
          </w:tcPr>
          <w:p>
            <w:pPr>
              <w:spacing w:line="360" w:lineRule="auto"/>
              <w:jc w:val="center"/>
              <w:rPr>
                <w:rFonts w:ascii="宋体" w:hAnsi="宋体" w:cs="宋体"/>
                <w:color w:val="auto"/>
                <w:sz w:val="28"/>
                <w:highlight w:val="none"/>
              </w:rPr>
            </w:pPr>
          </w:p>
        </w:tc>
        <w:tc>
          <w:tcPr>
            <w:tcW w:w="743" w:type="dxa"/>
          </w:tcPr>
          <w:p>
            <w:pPr>
              <w:spacing w:line="360" w:lineRule="auto"/>
              <w:jc w:val="center"/>
              <w:rPr>
                <w:rFonts w:ascii="宋体" w:hAnsi="宋体" w:cs="宋体"/>
                <w:color w:val="auto"/>
                <w:sz w:val="28"/>
                <w:highlight w:val="none"/>
              </w:rPr>
            </w:pPr>
          </w:p>
        </w:tc>
        <w:tc>
          <w:tcPr>
            <w:tcW w:w="846" w:type="dxa"/>
          </w:tcPr>
          <w:p>
            <w:pPr>
              <w:spacing w:line="360" w:lineRule="auto"/>
              <w:jc w:val="center"/>
              <w:rPr>
                <w:rFonts w:ascii="宋体" w:hAnsi="宋体" w:cs="宋体"/>
                <w:color w:val="auto"/>
                <w:sz w:val="28"/>
                <w:highlight w:val="none"/>
              </w:rPr>
            </w:pPr>
          </w:p>
        </w:tc>
        <w:tc>
          <w:tcPr>
            <w:tcW w:w="743" w:type="dxa"/>
          </w:tcPr>
          <w:p>
            <w:pPr>
              <w:spacing w:line="360" w:lineRule="auto"/>
              <w:jc w:val="center"/>
              <w:rPr>
                <w:rFonts w:ascii="宋体" w:hAnsi="宋体" w:cs="宋体"/>
                <w:color w:val="auto"/>
                <w:sz w:val="28"/>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434" w:type="dxa"/>
            <w:vMerge w:val="continue"/>
          </w:tcPr>
          <w:p>
            <w:pPr>
              <w:spacing w:line="360" w:lineRule="auto"/>
              <w:rPr>
                <w:rFonts w:ascii="宋体" w:hAnsi="宋体" w:cs="宋体"/>
                <w:color w:val="auto"/>
                <w:highlight w:val="none"/>
              </w:rPr>
            </w:pPr>
          </w:p>
        </w:tc>
        <w:tc>
          <w:tcPr>
            <w:tcW w:w="810" w:type="dxa"/>
          </w:tcPr>
          <w:p>
            <w:pPr>
              <w:spacing w:line="360" w:lineRule="auto"/>
              <w:jc w:val="center"/>
              <w:rPr>
                <w:rFonts w:ascii="宋体" w:hAnsi="宋体" w:cs="宋体"/>
                <w:color w:val="auto"/>
                <w:sz w:val="28"/>
                <w:highlight w:val="none"/>
              </w:rPr>
            </w:pPr>
          </w:p>
        </w:tc>
        <w:tc>
          <w:tcPr>
            <w:tcW w:w="811" w:type="dxa"/>
          </w:tcPr>
          <w:p>
            <w:pPr>
              <w:spacing w:line="360" w:lineRule="auto"/>
              <w:jc w:val="center"/>
              <w:rPr>
                <w:rFonts w:ascii="宋体" w:hAnsi="宋体" w:cs="宋体"/>
                <w:color w:val="auto"/>
                <w:sz w:val="28"/>
                <w:highlight w:val="none"/>
              </w:rPr>
            </w:pPr>
          </w:p>
        </w:tc>
        <w:tc>
          <w:tcPr>
            <w:tcW w:w="811" w:type="dxa"/>
          </w:tcPr>
          <w:p>
            <w:pPr>
              <w:spacing w:line="360" w:lineRule="auto"/>
              <w:jc w:val="center"/>
              <w:rPr>
                <w:rFonts w:ascii="宋体" w:hAnsi="宋体" w:cs="宋体"/>
                <w:color w:val="auto"/>
                <w:sz w:val="28"/>
                <w:highlight w:val="none"/>
              </w:rPr>
            </w:pPr>
          </w:p>
        </w:tc>
        <w:tc>
          <w:tcPr>
            <w:tcW w:w="1414" w:type="dxa"/>
          </w:tcPr>
          <w:p>
            <w:pPr>
              <w:spacing w:line="360" w:lineRule="auto"/>
              <w:jc w:val="center"/>
              <w:rPr>
                <w:rFonts w:ascii="宋体" w:hAnsi="宋体" w:cs="宋体"/>
                <w:color w:val="auto"/>
                <w:sz w:val="28"/>
                <w:highlight w:val="none"/>
              </w:rPr>
            </w:pPr>
          </w:p>
        </w:tc>
        <w:tc>
          <w:tcPr>
            <w:tcW w:w="1057" w:type="dxa"/>
          </w:tcPr>
          <w:p>
            <w:pPr>
              <w:spacing w:line="360" w:lineRule="auto"/>
              <w:jc w:val="center"/>
              <w:rPr>
                <w:rFonts w:ascii="宋体" w:hAnsi="宋体" w:cs="宋体"/>
                <w:color w:val="auto"/>
                <w:sz w:val="28"/>
                <w:highlight w:val="none"/>
              </w:rPr>
            </w:pPr>
          </w:p>
        </w:tc>
        <w:tc>
          <w:tcPr>
            <w:tcW w:w="743" w:type="dxa"/>
          </w:tcPr>
          <w:p>
            <w:pPr>
              <w:spacing w:line="360" w:lineRule="auto"/>
              <w:jc w:val="center"/>
              <w:rPr>
                <w:rFonts w:ascii="宋体" w:hAnsi="宋体" w:cs="宋体"/>
                <w:color w:val="auto"/>
                <w:sz w:val="28"/>
                <w:highlight w:val="none"/>
              </w:rPr>
            </w:pPr>
          </w:p>
        </w:tc>
        <w:tc>
          <w:tcPr>
            <w:tcW w:w="846" w:type="dxa"/>
          </w:tcPr>
          <w:p>
            <w:pPr>
              <w:spacing w:line="360" w:lineRule="auto"/>
              <w:jc w:val="center"/>
              <w:rPr>
                <w:rFonts w:ascii="宋体" w:hAnsi="宋体" w:cs="宋体"/>
                <w:color w:val="auto"/>
                <w:sz w:val="28"/>
                <w:highlight w:val="none"/>
              </w:rPr>
            </w:pPr>
          </w:p>
        </w:tc>
        <w:tc>
          <w:tcPr>
            <w:tcW w:w="743" w:type="dxa"/>
          </w:tcPr>
          <w:p>
            <w:pPr>
              <w:spacing w:line="360" w:lineRule="auto"/>
              <w:jc w:val="center"/>
              <w:rPr>
                <w:rFonts w:ascii="宋体" w:hAnsi="宋体" w:cs="宋体"/>
                <w:color w:val="auto"/>
                <w:sz w:val="28"/>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434" w:type="dxa"/>
            <w:vMerge w:val="continue"/>
          </w:tcPr>
          <w:p>
            <w:pPr>
              <w:spacing w:line="360" w:lineRule="auto"/>
              <w:rPr>
                <w:rFonts w:ascii="宋体" w:hAnsi="宋体" w:cs="宋体"/>
                <w:color w:val="auto"/>
                <w:highlight w:val="none"/>
              </w:rPr>
            </w:pPr>
          </w:p>
        </w:tc>
        <w:tc>
          <w:tcPr>
            <w:tcW w:w="810" w:type="dxa"/>
          </w:tcPr>
          <w:p>
            <w:pPr>
              <w:spacing w:line="360" w:lineRule="auto"/>
              <w:jc w:val="center"/>
              <w:rPr>
                <w:rFonts w:ascii="宋体" w:hAnsi="宋体" w:cs="宋体"/>
                <w:color w:val="auto"/>
                <w:sz w:val="28"/>
                <w:highlight w:val="none"/>
              </w:rPr>
            </w:pPr>
          </w:p>
        </w:tc>
        <w:tc>
          <w:tcPr>
            <w:tcW w:w="811" w:type="dxa"/>
          </w:tcPr>
          <w:p>
            <w:pPr>
              <w:spacing w:line="360" w:lineRule="auto"/>
              <w:jc w:val="center"/>
              <w:rPr>
                <w:rFonts w:ascii="宋体" w:hAnsi="宋体" w:cs="宋体"/>
                <w:color w:val="auto"/>
                <w:sz w:val="28"/>
                <w:highlight w:val="none"/>
              </w:rPr>
            </w:pPr>
          </w:p>
        </w:tc>
        <w:tc>
          <w:tcPr>
            <w:tcW w:w="811" w:type="dxa"/>
          </w:tcPr>
          <w:p>
            <w:pPr>
              <w:spacing w:line="360" w:lineRule="auto"/>
              <w:jc w:val="center"/>
              <w:rPr>
                <w:rFonts w:ascii="宋体" w:hAnsi="宋体" w:cs="宋体"/>
                <w:color w:val="auto"/>
                <w:sz w:val="28"/>
                <w:highlight w:val="none"/>
              </w:rPr>
            </w:pPr>
          </w:p>
        </w:tc>
        <w:tc>
          <w:tcPr>
            <w:tcW w:w="1414" w:type="dxa"/>
          </w:tcPr>
          <w:p>
            <w:pPr>
              <w:spacing w:line="360" w:lineRule="auto"/>
              <w:jc w:val="center"/>
              <w:rPr>
                <w:rFonts w:ascii="宋体" w:hAnsi="宋体" w:cs="宋体"/>
                <w:color w:val="auto"/>
                <w:sz w:val="28"/>
                <w:highlight w:val="none"/>
              </w:rPr>
            </w:pPr>
          </w:p>
        </w:tc>
        <w:tc>
          <w:tcPr>
            <w:tcW w:w="1057" w:type="dxa"/>
          </w:tcPr>
          <w:p>
            <w:pPr>
              <w:spacing w:line="360" w:lineRule="auto"/>
              <w:jc w:val="center"/>
              <w:rPr>
                <w:rFonts w:ascii="宋体" w:hAnsi="宋体" w:cs="宋体"/>
                <w:color w:val="auto"/>
                <w:sz w:val="28"/>
                <w:highlight w:val="none"/>
              </w:rPr>
            </w:pPr>
          </w:p>
        </w:tc>
        <w:tc>
          <w:tcPr>
            <w:tcW w:w="743" w:type="dxa"/>
          </w:tcPr>
          <w:p>
            <w:pPr>
              <w:spacing w:line="360" w:lineRule="auto"/>
              <w:jc w:val="center"/>
              <w:rPr>
                <w:rFonts w:ascii="宋体" w:hAnsi="宋体" w:cs="宋体"/>
                <w:color w:val="auto"/>
                <w:sz w:val="28"/>
                <w:highlight w:val="none"/>
              </w:rPr>
            </w:pPr>
          </w:p>
        </w:tc>
        <w:tc>
          <w:tcPr>
            <w:tcW w:w="846" w:type="dxa"/>
          </w:tcPr>
          <w:p>
            <w:pPr>
              <w:spacing w:line="360" w:lineRule="auto"/>
              <w:jc w:val="center"/>
              <w:rPr>
                <w:rFonts w:ascii="宋体" w:hAnsi="宋体" w:cs="宋体"/>
                <w:color w:val="auto"/>
                <w:sz w:val="28"/>
                <w:highlight w:val="none"/>
              </w:rPr>
            </w:pPr>
          </w:p>
        </w:tc>
        <w:tc>
          <w:tcPr>
            <w:tcW w:w="743" w:type="dxa"/>
          </w:tcPr>
          <w:p>
            <w:pPr>
              <w:spacing w:line="360" w:lineRule="auto"/>
              <w:jc w:val="center"/>
              <w:rPr>
                <w:rFonts w:ascii="宋体" w:hAnsi="宋体" w:cs="宋体"/>
                <w:color w:val="auto"/>
                <w:sz w:val="28"/>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434" w:type="dxa"/>
            <w:vMerge w:val="restart"/>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售后</w:t>
            </w:r>
          </w:p>
          <w:p>
            <w:pPr>
              <w:spacing w:line="360" w:lineRule="auto"/>
              <w:jc w:val="center"/>
              <w:rPr>
                <w:rFonts w:ascii="宋体" w:hAnsi="宋体" w:cs="宋体"/>
                <w:color w:val="auto"/>
                <w:highlight w:val="none"/>
              </w:rPr>
            </w:pPr>
            <w:r>
              <w:rPr>
                <w:rFonts w:hint="eastAsia" w:ascii="宋体" w:hAnsi="宋体" w:cs="宋体"/>
                <w:color w:val="auto"/>
                <w:highlight w:val="none"/>
              </w:rPr>
              <w:t>服务</w:t>
            </w:r>
          </w:p>
          <w:p>
            <w:pPr>
              <w:spacing w:line="360" w:lineRule="auto"/>
              <w:jc w:val="center"/>
              <w:rPr>
                <w:rFonts w:ascii="宋体" w:hAnsi="宋体" w:cs="宋体"/>
                <w:color w:val="auto"/>
                <w:highlight w:val="none"/>
              </w:rPr>
            </w:pPr>
            <w:r>
              <w:rPr>
                <w:rFonts w:hint="eastAsia" w:ascii="宋体" w:hAnsi="宋体" w:cs="宋体"/>
                <w:color w:val="auto"/>
                <w:highlight w:val="none"/>
              </w:rPr>
              <w:t>人员</w:t>
            </w:r>
          </w:p>
        </w:tc>
        <w:tc>
          <w:tcPr>
            <w:tcW w:w="810" w:type="dxa"/>
          </w:tcPr>
          <w:p>
            <w:pPr>
              <w:spacing w:line="360" w:lineRule="auto"/>
              <w:jc w:val="center"/>
              <w:rPr>
                <w:rFonts w:ascii="宋体" w:hAnsi="宋体" w:cs="宋体"/>
                <w:color w:val="auto"/>
                <w:sz w:val="28"/>
                <w:highlight w:val="none"/>
              </w:rPr>
            </w:pPr>
          </w:p>
        </w:tc>
        <w:tc>
          <w:tcPr>
            <w:tcW w:w="811" w:type="dxa"/>
          </w:tcPr>
          <w:p>
            <w:pPr>
              <w:spacing w:line="360" w:lineRule="auto"/>
              <w:jc w:val="center"/>
              <w:rPr>
                <w:rFonts w:ascii="宋体" w:hAnsi="宋体" w:cs="宋体"/>
                <w:color w:val="auto"/>
                <w:sz w:val="28"/>
                <w:highlight w:val="none"/>
              </w:rPr>
            </w:pPr>
          </w:p>
        </w:tc>
        <w:tc>
          <w:tcPr>
            <w:tcW w:w="811" w:type="dxa"/>
          </w:tcPr>
          <w:p>
            <w:pPr>
              <w:spacing w:line="360" w:lineRule="auto"/>
              <w:jc w:val="center"/>
              <w:rPr>
                <w:rFonts w:ascii="宋体" w:hAnsi="宋体" w:cs="宋体"/>
                <w:color w:val="auto"/>
                <w:sz w:val="28"/>
                <w:highlight w:val="none"/>
              </w:rPr>
            </w:pPr>
          </w:p>
        </w:tc>
        <w:tc>
          <w:tcPr>
            <w:tcW w:w="1414" w:type="dxa"/>
          </w:tcPr>
          <w:p>
            <w:pPr>
              <w:spacing w:line="360" w:lineRule="auto"/>
              <w:jc w:val="center"/>
              <w:rPr>
                <w:rFonts w:ascii="宋体" w:hAnsi="宋体" w:cs="宋体"/>
                <w:color w:val="auto"/>
                <w:sz w:val="28"/>
                <w:highlight w:val="none"/>
              </w:rPr>
            </w:pPr>
          </w:p>
        </w:tc>
        <w:tc>
          <w:tcPr>
            <w:tcW w:w="1057" w:type="dxa"/>
          </w:tcPr>
          <w:p>
            <w:pPr>
              <w:spacing w:line="360" w:lineRule="auto"/>
              <w:jc w:val="center"/>
              <w:rPr>
                <w:rFonts w:ascii="宋体" w:hAnsi="宋体" w:cs="宋体"/>
                <w:color w:val="auto"/>
                <w:sz w:val="28"/>
                <w:highlight w:val="none"/>
              </w:rPr>
            </w:pPr>
          </w:p>
        </w:tc>
        <w:tc>
          <w:tcPr>
            <w:tcW w:w="743" w:type="dxa"/>
          </w:tcPr>
          <w:p>
            <w:pPr>
              <w:spacing w:line="360" w:lineRule="auto"/>
              <w:jc w:val="center"/>
              <w:rPr>
                <w:rFonts w:ascii="宋体" w:hAnsi="宋体" w:cs="宋体"/>
                <w:color w:val="auto"/>
                <w:sz w:val="28"/>
                <w:highlight w:val="none"/>
              </w:rPr>
            </w:pPr>
          </w:p>
        </w:tc>
        <w:tc>
          <w:tcPr>
            <w:tcW w:w="846" w:type="dxa"/>
          </w:tcPr>
          <w:p>
            <w:pPr>
              <w:spacing w:line="360" w:lineRule="auto"/>
              <w:jc w:val="center"/>
              <w:rPr>
                <w:rFonts w:ascii="宋体" w:hAnsi="宋体" w:cs="宋体"/>
                <w:color w:val="auto"/>
                <w:sz w:val="28"/>
                <w:highlight w:val="none"/>
              </w:rPr>
            </w:pPr>
          </w:p>
        </w:tc>
        <w:tc>
          <w:tcPr>
            <w:tcW w:w="743" w:type="dxa"/>
          </w:tcPr>
          <w:p>
            <w:pPr>
              <w:spacing w:line="360" w:lineRule="auto"/>
              <w:jc w:val="center"/>
              <w:rPr>
                <w:rFonts w:ascii="宋体" w:hAnsi="宋体" w:cs="宋体"/>
                <w:color w:val="auto"/>
                <w:sz w:val="28"/>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434" w:type="dxa"/>
            <w:vMerge w:val="continue"/>
          </w:tcPr>
          <w:p>
            <w:pPr>
              <w:spacing w:line="360" w:lineRule="auto"/>
              <w:rPr>
                <w:rFonts w:ascii="宋体" w:hAnsi="宋体" w:cs="宋体"/>
                <w:color w:val="auto"/>
                <w:highlight w:val="none"/>
              </w:rPr>
            </w:pPr>
          </w:p>
        </w:tc>
        <w:tc>
          <w:tcPr>
            <w:tcW w:w="810" w:type="dxa"/>
          </w:tcPr>
          <w:p>
            <w:pPr>
              <w:spacing w:line="360" w:lineRule="auto"/>
              <w:jc w:val="center"/>
              <w:rPr>
                <w:rFonts w:ascii="宋体" w:hAnsi="宋体" w:cs="宋体"/>
                <w:color w:val="auto"/>
                <w:sz w:val="28"/>
                <w:highlight w:val="none"/>
              </w:rPr>
            </w:pPr>
          </w:p>
        </w:tc>
        <w:tc>
          <w:tcPr>
            <w:tcW w:w="811" w:type="dxa"/>
          </w:tcPr>
          <w:p>
            <w:pPr>
              <w:spacing w:line="360" w:lineRule="auto"/>
              <w:jc w:val="center"/>
              <w:rPr>
                <w:rFonts w:ascii="宋体" w:hAnsi="宋体" w:cs="宋体"/>
                <w:b/>
                <w:bCs/>
                <w:color w:val="auto"/>
                <w:sz w:val="28"/>
                <w:highlight w:val="none"/>
              </w:rPr>
            </w:pPr>
          </w:p>
        </w:tc>
        <w:tc>
          <w:tcPr>
            <w:tcW w:w="811" w:type="dxa"/>
          </w:tcPr>
          <w:p>
            <w:pPr>
              <w:spacing w:line="360" w:lineRule="auto"/>
              <w:jc w:val="center"/>
              <w:rPr>
                <w:rFonts w:ascii="宋体" w:hAnsi="宋体" w:cs="宋体"/>
                <w:b/>
                <w:bCs/>
                <w:color w:val="auto"/>
                <w:sz w:val="28"/>
                <w:highlight w:val="none"/>
              </w:rPr>
            </w:pPr>
          </w:p>
        </w:tc>
        <w:tc>
          <w:tcPr>
            <w:tcW w:w="1414" w:type="dxa"/>
          </w:tcPr>
          <w:p>
            <w:pPr>
              <w:spacing w:line="360" w:lineRule="auto"/>
              <w:jc w:val="center"/>
              <w:rPr>
                <w:rFonts w:ascii="宋体" w:hAnsi="宋体" w:cs="宋体"/>
                <w:b/>
                <w:bCs/>
                <w:color w:val="auto"/>
                <w:sz w:val="28"/>
                <w:highlight w:val="none"/>
              </w:rPr>
            </w:pPr>
          </w:p>
        </w:tc>
        <w:tc>
          <w:tcPr>
            <w:tcW w:w="1057" w:type="dxa"/>
          </w:tcPr>
          <w:p>
            <w:pPr>
              <w:spacing w:line="360" w:lineRule="auto"/>
              <w:jc w:val="center"/>
              <w:rPr>
                <w:rFonts w:ascii="宋体" w:hAnsi="宋体" w:cs="宋体"/>
                <w:b/>
                <w:bCs/>
                <w:color w:val="auto"/>
                <w:sz w:val="28"/>
                <w:highlight w:val="none"/>
              </w:rPr>
            </w:pPr>
          </w:p>
        </w:tc>
        <w:tc>
          <w:tcPr>
            <w:tcW w:w="743" w:type="dxa"/>
          </w:tcPr>
          <w:p>
            <w:pPr>
              <w:spacing w:line="360" w:lineRule="auto"/>
              <w:jc w:val="center"/>
              <w:rPr>
                <w:rFonts w:ascii="宋体" w:hAnsi="宋体" w:cs="宋体"/>
                <w:b/>
                <w:bCs/>
                <w:color w:val="auto"/>
                <w:sz w:val="28"/>
                <w:highlight w:val="none"/>
              </w:rPr>
            </w:pPr>
          </w:p>
        </w:tc>
        <w:tc>
          <w:tcPr>
            <w:tcW w:w="846" w:type="dxa"/>
          </w:tcPr>
          <w:p>
            <w:pPr>
              <w:spacing w:line="360" w:lineRule="auto"/>
              <w:jc w:val="center"/>
              <w:rPr>
                <w:rFonts w:ascii="宋体" w:hAnsi="宋体" w:cs="宋体"/>
                <w:b/>
                <w:bCs/>
                <w:color w:val="auto"/>
                <w:sz w:val="28"/>
                <w:highlight w:val="none"/>
              </w:rPr>
            </w:pPr>
          </w:p>
        </w:tc>
        <w:tc>
          <w:tcPr>
            <w:tcW w:w="743" w:type="dxa"/>
          </w:tcPr>
          <w:p>
            <w:pPr>
              <w:spacing w:line="360" w:lineRule="auto"/>
              <w:jc w:val="center"/>
              <w:rPr>
                <w:rFonts w:ascii="宋体" w:hAnsi="宋体" w:cs="宋体"/>
                <w:b/>
                <w:bCs/>
                <w:color w:val="auto"/>
                <w:sz w:val="28"/>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434" w:type="dxa"/>
            <w:vMerge w:val="continue"/>
          </w:tcPr>
          <w:p>
            <w:pPr>
              <w:spacing w:line="360" w:lineRule="auto"/>
              <w:rPr>
                <w:rFonts w:ascii="宋体" w:hAnsi="宋体" w:cs="宋体"/>
                <w:color w:val="auto"/>
                <w:highlight w:val="none"/>
              </w:rPr>
            </w:pPr>
          </w:p>
        </w:tc>
        <w:tc>
          <w:tcPr>
            <w:tcW w:w="810" w:type="dxa"/>
          </w:tcPr>
          <w:p>
            <w:pPr>
              <w:spacing w:line="360" w:lineRule="auto"/>
              <w:jc w:val="center"/>
              <w:rPr>
                <w:rFonts w:ascii="宋体" w:hAnsi="宋体" w:cs="宋体"/>
                <w:color w:val="auto"/>
                <w:sz w:val="28"/>
                <w:highlight w:val="none"/>
              </w:rPr>
            </w:pPr>
          </w:p>
        </w:tc>
        <w:tc>
          <w:tcPr>
            <w:tcW w:w="811" w:type="dxa"/>
          </w:tcPr>
          <w:p>
            <w:pPr>
              <w:spacing w:line="360" w:lineRule="auto"/>
              <w:jc w:val="center"/>
              <w:rPr>
                <w:rFonts w:ascii="宋体" w:hAnsi="宋体" w:cs="宋体"/>
                <w:b/>
                <w:bCs/>
                <w:color w:val="auto"/>
                <w:sz w:val="28"/>
                <w:highlight w:val="none"/>
              </w:rPr>
            </w:pPr>
          </w:p>
        </w:tc>
        <w:tc>
          <w:tcPr>
            <w:tcW w:w="811" w:type="dxa"/>
          </w:tcPr>
          <w:p>
            <w:pPr>
              <w:spacing w:line="360" w:lineRule="auto"/>
              <w:jc w:val="center"/>
              <w:rPr>
                <w:rFonts w:ascii="宋体" w:hAnsi="宋体" w:cs="宋体"/>
                <w:b/>
                <w:bCs/>
                <w:color w:val="auto"/>
                <w:sz w:val="28"/>
                <w:highlight w:val="none"/>
              </w:rPr>
            </w:pPr>
          </w:p>
        </w:tc>
        <w:tc>
          <w:tcPr>
            <w:tcW w:w="1414" w:type="dxa"/>
          </w:tcPr>
          <w:p>
            <w:pPr>
              <w:spacing w:line="360" w:lineRule="auto"/>
              <w:jc w:val="center"/>
              <w:rPr>
                <w:rFonts w:ascii="宋体" w:hAnsi="宋体" w:cs="宋体"/>
                <w:b/>
                <w:bCs/>
                <w:color w:val="auto"/>
                <w:sz w:val="28"/>
                <w:highlight w:val="none"/>
              </w:rPr>
            </w:pPr>
          </w:p>
        </w:tc>
        <w:tc>
          <w:tcPr>
            <w:tcW w:w="1057" w:type="dxa"/>
          </w:tcPr>
          <w:p>
            <w:pPr>
              <w:spacing w:line="360" w:lineRule="auto"/>
              <w:jc w:val="center"/>
              <w:rPr>
                <w:rFonts w:ascii="宋体" w:hAnsi="宋体" w:cs="宋体"/>
                <w:b/>
                <w:bCs/>
                <w:color w:val="auto"/>
                <w:sz w:val="28"/>
                <w:highlight w:val="none"/>
              </w:rPr>
            </w:pPr>
          </w:p>
        </w:tc>
        <w:tc>
          <w:tcPr>
            <w:tcW w:w="743" w:type="dxa"/>
          </w:tcPr>
          <w:p>
            <w:pPr>
              <w:spacing w:line="360" w:lineRule="auto"/>
              <w:jc w:val="center"/>
              <w:rPr>
                <w:rFonts w:ascii="宋体" w:hAnsi="宋体" w:cs="宋体"/>
                <w:b/>
                <w:bCs/>
                <w:color w:val="auto"/>
                <w:sz w:val="28"/>
                <w:highlight w:val="none"/>
              </w:rPr>
            </w:pPr>
          </w:p>
        </w:tc>
        <w:tc>
          <w:tcPr>
            <w:tcW w:w="846" w:type="dxa"/>
          </w:tcPr>
          <w:p>
            <w:pPr>
              <w:spacing w:line="360" w:lineRule="auto"/>
              <w:jc w:val="center"/>
              <w:rPr>
                <w:rFonts w:ascii="宋体" w:hAnsi="宋体" w:cs="宋体"/>
                <w:b/>
                <w:bCs/>
                <w:color w:val="auto"/>
                <w:sz w:val="28"/>
                <w:highlight w:val="none"/>
              </w:rPr>
            </w:pPr>
          </w:p>
        </w:tc>
        <w:tc>
          <w:tcPr>
            <w:tcW w:w="743" w:type="dxa"/>
          </w:tcPr>
          <w:p>
            <w:pPr>
              <w:spacing w:line="360" w:lineRule="auto"/>
              <w:jc w:val="center"/>
              <w:rPr>
                <w:rFonts w:ascii="宋体" w:hAnsi="宋体" w:cs="宋体"/>
                <w:b/>
                <w:bCs/>
                <w:color w:val="auto"/>
                <w:sz w:val="28"/>
                <w:highlight w:val="none"/>
              </w:rPr>
            </w:pPr>
          </w:p>
        </w:tc>
      </w:tr>
    </w:tbl>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法定代表人/单位负责人或授权代表：（签字或加盖个人名章）</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投标人名称：（单位盖章）</w:t>
      </w:r>
    </w:p>
    <w:p>
      <w:pPr>
        <w:spacing w:line="360" w:lineRule="auto"/>
        <w:rPr>
          <w:rFonts w:ascii="宋体" w:hAnsi="宋体" w:cs="宋体"/>
          <w:color w:val="auto"/>
          <w:sz w:val="24"/>
          <w:highlight w:val="none"/>
        </w:rPr>
      </w:pPr>
      <w:r>
        <w:rPr>
          <w:rFonts w:hint="eastAsia" w:ascii="宋体" w:hAnsi="宋体" w:cs="宋体"/>
          <w:color w:val="auto"/>
          <w:sz w:val="24"/>
          <w:highlight w:val="none"/>
        </w:rPr>
        <w:t>投标日期：</w:t>
      </w:r>
    </w:p>
    <w:p>
      <w:pPr>
        <w:spacing w:line="360" w:lineRule="auto"/>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b/>
          <w:color w:val="auto"/>
          <w:sz w:val="32"/>
          <w:szCs w:val="32"/>
          <w:highlight w:val="none"/>
        </w:rPr>
        <w:t>格式2-12</w:t>
      </w:r>
    </w:p>
    <w:bookmarkEnd w:id="183"/>
    <w:bookmarkEnd w:id="194"/>
    <w:bookmarkEnd w:id="195"/>
    <w:p>
      <w:pPr>
        <w:widowControl/>
        <w:spacing w:line="360" w:lineRule="auto"/>
        <w:jc w:val="center"/>
        <w:outlineLvl w:val="1"/>
        <w:rPr>
          <w:rFonts w:ascii="宋体" w:hAnsi="宋体"/>
          <w:b/>
          <w:color w:val="auto"/>
          <w:sz w:val="32"/>
          <w:szCs w:val="32"/>
          <w:highlight w:val="none"/>
        </w:rPr>
      </w:pPr>
      <w:bookmarkStart w:id="199" w:name="_Toc490290406"/>
      <w:r>
        <w:rPr>
          <w:rFonts w:hint="eastAsia" w:ascii="宋体" w:hAnsi="宋体"/>
          <w:b/>
          <w:color w:val="auto"/>
          <w:sz w:val="32"/>
          <w:szCs w:val="32"/>
          <w:highlight w:val="none"/>
        </w:rPr>
        <w:t>十一、知识产权声明函</w:t>
      </w:r>
    </w:p>
    <w:p>
      <w:pPr>
        <w:spacing w:line="360" w:lineRule="auto"/>
        <w:rPr>
          <w:rFonts w:hAnsi="宋体" w:cs="宋体"/>
          <w:color w:val="auto"/>
          <w:sz w:val="24"/>
          <w:highlight w:val="none"/>
        </w:rPr>
      </w:pPr>
      <w:r>
        <w:rPr>
          <w:rFonts w:hint="eastAsia" w:hAnsi="宋体" w:cs="宋体"/>
          <w:color w:val="auto"/>
          <w:sz w:val="24"/>
          <w:highlight w:val="none"/>
        </w:rPr>
        <w:t>致</w:t>
      </w:r>
      <w:r>
        <w:rPr>
          <w:rFonts w:hint="eastAsia" w:ascii="宋体" w:hAnsi="宋体" w:cs="宋体"/>
          <w:color w:val="auto"/>
          <w:spacing w:val="6"/>
          <w:sz w:val="24"/>
          <w:highlight w:val="none"/>
        </w:rPr>
        <w:t>四川轩辕招标代理有限公司：</w:t>
      </w:r>
    </w:p>
    <w:p>
      <w:pPr>
        <w:pStyle w:val="2"/>
        <w:spacing w:after="0" w:line="360" w:lineRule="auto"/>
        <w:ind w:firstLine="480" w:firstLineChars="200"/>
        <w:rPr>
          <w:rFonts w:hAnsi="宋体" w:cs="宋体"/>
          <w:bCs/>
          <w:color w:val="auto"/>
          <w:sz w:val="24"/>
          <w:highlight w:val="none"/>
        </w:rPr>
      </w:pPr>
      <w:r>
        <w:rPr>
          <w:rFonts w:hint="eastAsia" w:hAnsi="宋体" w:cs="宋体"/>
          <w:bCs/>
          <w:color w:val="auto"/>
          <w:sz w:val="24"/>
          <w:highlight w:val="none"/>
        </w:rPr>
        <w:t>本单位（公司名称）参加（项目名称）的投标活动，现承诺声明：</w:t>
      </w:r>
    </w:p>
    <w:p>
      <w:pPr>
        <w:pStyle w:val="2"/>
        <w:spacing w:after="0" w:line="360" w:lineRule="auto"/>
        <w:ind w:firstLine="480" w:firstLineChars="200"/>
        <w:rPr>
          <w:rFonts w:hAnsi="宋体" w:cs="宋体"/>
          <w:bCs/>
          <w:color w:val="auto"/>
          <w:sz w:val="24"/>
          <w:highlight w:val="none"/>
        </w:rPr>
      </w:pPr>
      <w:r>
        <w:rPr>
          <w:rFonts w:hint="eastAsia" w:hAnsi="宋体" w:cs="宋体"/>
          <w:bCs/>
          <w:color w:val="auto"/>
          <w:sz w:val="24"/>
          <w:highlight w:val="none"/>
        </w:rPr>
        <w:t>1.本单位保证在本项目使用的任何产品和服务（包括部分使用）时，不会产生因第三方提出侵犯其专利权、商标权或其它知识产权而引起的法律和经济纠纷，如因专利权、商标权或其它知识产权而引起法律和经济纠纷，由本单位承担所有相关责任。</w:t>
      </w:r>
    </w:p>
    <w:p>
      <w:pPr>
        <w:pStyle w:val="2"/>
        <w:spacing w:after="0" w:line="360" w:lineRule="auto"/>
        <w:ind w:firstLine="480" w:firstLineChars="200"/>
        <w:rPr>
          <w:rFonts w:hAnsi="宋体" w:cs="宋体"/>
          <w:bCs/>
          <w:color w:val="auto"/>
          <w:sz w:val="24"/>
          <w:highlight w:val="none"/>
        </w:rPr>
      </w:pPr>
      <w:r>
        <w:rPr>
          <w:rFonts w:hint="eastAsia" w:hAnsi="宋体" w:cs="宋体"/>
          <w:bCs/>
          <w:color w:val="auto"/>
          <w:sz w:val="24"/>
          <w:highlight w:val="none"/>
        </w:rPr>
        <w:t>2.采购人享有本项目实施过程中产生的知识成果及知识产权。</w:t>
      </w:r>
    </w:p>
    <w:p>
      <w:pPr>
        <w:pStyle w:val="2"/>
        <w:spacing w:after="0" w:line="360" w:lineRule="auto"/>
        <w:ind w:firstLine="480" w:firstLineChars="200"/>
        <w:rPr>
          <w:rFonts w:hAnsi="宋体" w:cs="宋体"/>
          <w:bCs/>
          <w:color w:val="auto"/>
          <w:sz w:val="24"/>
          <w:highlight w:val="none"/>
        </w:rPr>
      </w:pPr>
      <w:r>
        <w:rPr>
          <w:rFonts w:hint="eastAsia" w:hAnsi="宋体" w:cs="宋体"/>
          <w:bCs/>
          <w:color w:val="auto"/>
          <w:sz w:val="24"/>
          <w:highlight w:val="none"/>
        </w:rPr>
        <w:t>3.本单位声明如果在项目实施过程中涉及采用自有知识成果，本单位提供使用自有知识成果的相关资料并为其真实性单独负责，在使用该知识成果后，本单位提供开发接口和开发手册等技术文档给采购人，并承诺提供无限期技术支持，采购人享有永久使用权（含采购人委托第三方在该项目后续开发的使用权）。</w:t>
      </w:r>
    </w:p>
    <w:p>
      <w:pPr>
        <w:pStyle w:val="2"/>
        <w:spacing w:after="0" w:line="360" w:lineRule="auto"/>
        <w:ind w:firstLine="480" w:firstLineChars="200"/>
        <w:rPr>
          <w:color w:val="auto"/>
          <w:highlight w:val="none"/>
        </w:rPr>
      </w:pPr>
      <w:r>
        <w:rPr>
          <w:rFonts w:hint="eastAsia" w:hAnsi="宋体" w:cs="宋体"/>
          <w:bCs/>
          <w:color w:val="auto"/>
          <w:sz w:val="24"/>
          <w:highlight w:val="none"/>
        </w:rPr>
        <w:t xml:space="preserve">4.如采用本单位所不拥有的知识产权，本单位承诺在本项目投标报价中已经包括合法获取该知识产权的相关费用。 </w:t>
      </w:r>
    </w:p>
    <w:p>
      <w:pPr>
        <w:pStyle w:val="2"/>
        <w:spacing w:after="0" w:line="360" w:lineRule="auto"/>
        <w:ind w:firstLine="480" w:firstLineChars="200"/>
        <w:rPr>
          <w:rFonts w:hAnsi="宋体" w:cs="宋体"/>
          <w:bCs/>
          <w:color w:val="auto"/>
          <w:sz w:val="24"/>
          <w:highlight w:val="none"/>
        </w:rPr>
      </w:pPr>
      <w:r>
        <w:rPr>
          <w:rFonts w:hint="eastAsia" w:hAnsi="宋体" w:cs="宋体"/>
          <w:bCs/>
          <w:color w:val="auto"/>
          <w:sz w:val="24"/>
          <w:highlight w:val="none"/>
        </w:rPr>
        <w:t>本公司对上述承诺声明内容事项真实性负责。如经查实上述承诺声明的内容事项存在虚假或未履行，本单位愿意接受以提供虚假材料谋取中标追究法律责任。</w:t>
      </w:r>
    </w:p>
    <w:p>
      <w:pPr>
        <w:spacing w:line="360" w:lineRule="auto"/>
        <w:ind w:firstLine="480" w:firstLineChars="200"/>
        <w:rPr>
          <w:rFonts w:ascii="宋体" w:hAnsi="宋体"/>
          <w:color w:val="auto"/>
          <w:sz w:val="24"/>
          <w:highlight w:val="none"/>
        </w:rPr>
      </w:pP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法定代表人/单位负责人或授权代表：（签字或加盖个人名章）</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投标人名称：（单位盖章）</w:t>
      </w:r>
    </w:p>
    <w:p>
      <w:pPr>
        <w:spacing w:line="360" w:lineRule="auto"/>
        <w:rPr>
          <w:rFonts w:ascii="宋体" w:hAnsi="宋体"/>
          <w:color w:val="auto"/>
          <w:sz w:val="24"/>
          <w:highlight w:val="none"/>
        </w:rPr>
      </w:pPr>
      <w:r>
        <w:rPr>
          <w:rFonts w:hint="eastAsia" w:ascii="宋体" w:hAnsi="宋体" w:cs="宋体"/>
          <w:color w:val="auto"/>
          <w:sz w:val="24"/>
          <w:highlight w:val="none"/>
        </w:rPr>
        <w:t>投标日期：</w:t>
      </w:r>
    </w:p>
    <w:p>
      <w:pPr>
        <w:spacing w:line="360" w:lineRule="auto"/>
        <w:rPr>
          <w:rFonts w:ascii="宋体" w:hAnsi="宋体" w:cs="宋体"/>
          <w:b/>
          <w:color w:val="auto"/>
          <w:sz w:val="32"/>
          <w:szCs w:val="32"/>
          <w:highlight w:val="none"/>
        </w:rPr>
        <w:sectPr>
          <w:headerReference r:id="rId9" w:type="default"/>
          <w:footerReference r:id="rId10" w:type="default"/>
          <w:pgSz w:w="11906" w:h="16838"/>
          <w:pgMar w:top="1440" w:right="1474" w:bottom="1440" w:left="1474" w:header="851" w:footer="992" w:gutter="0"/>
          <w:cols w:space="720" w:num="1"/>
          <w:docGrid w:type="lines" w:linePitch="312" w:charSpace="0"/>
        </w:sectPr>
      </w:pPr>
    </w:p>
    <w:p>
      <w:pPr>
        <w:spacing w:line="360" w:lineRule="auto"/>
        <w:rPr>
          <w:rFonts w:ascii="宋体" w:hAnsi="宋体" w:cs="宋体"/>
          <w:b/>
          <w:color w:val="auto"/>
          <w:sz w:val="32"/>
          <w:szCs w:val="32"/>
          <w:highlight w:val="none"/>
        </w:rPr>
      </w:pPr>
      <w:r>
        <w:rPr>
          <w:rFonts w:hint="eastAsia" w:ascii="宋体" w:hAnsi="宋体" w:cs="宋体"/>
          <w:b/>
          <w:color w:val="auto"/>
          <w:sz w:val="32"/>
          <w:szCs w:val="32"/>
          <w:highlight w:val="none"/>
        </w:rPr>
        <w:t>格式2-13</w:t>
      </w:r>
    </w:p>
    <w:p>
      <w:pPr>
        <w:widowControl/>
        <w:spacing w:line="360" w:lineRule="auto"/>
        <w:jc w:val="center"/>
        <w:outlineLvl w:val="1"/>
        <w:rPr>
          <w:rFonts w:ascii="宋体" w:hAnsi="宋体" w:cs="宋体"/>
          <w:b/>
          <w:color w:val="auto"/>
          <w:sz w:val="32"/>
          <w:szCs w:val="32"/>
          <w:highlight w:val="none"/>
        </w:rPr>
      </w:pPr>
      <w:r>
        <w:rPr>
          <w:rFonts w:hint="eastAsia" w:ascii="宋体" w:hAnsi="宋体" w:cs="宋体"/>
          <w:b/>
          <w:color w:val="auto"/>
          <w:sz w:val="32"/>
          <w:szCs w:val="32"/>
          <w:highlight w:val="none"/>
        </w:rPr>
        <w:t>十二、中小企业声明函</w:t>
      </w:r>
    </w:p>
    <w:p>
      <w:pPr>
        <w:rPr>
          <w:color w:val="auto"/>
          <w:highlight w:val="none"/>
        </w:rPr>
      </w:pP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 号），本公司（联合体）参加</w:t>
      </w:r>
      <w:r>
        <w:rPr>
          <w:rFonts w:hint="eastAsia" w:ascii="宋体" w:hAnsi="宋体" w:cs="宋体"/>
          <w:color w:val="auto"/>
          <w:sz w:val="24"/>
          <w:highlight w:val="none"/>
          <w:u w:val="single"/>
        </w:rPr>
        <w:t xml:space="preserve"> （单位名称）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 xml:space="preserve">（项目名称） </w:t>
      </w:r>
      <w:r>
        <w:rPr>
          <w:rFonts w:hint="eastAsia" w:ascii="宋体" w:hAnsi="宋体" w:cs="宋体"/>
          <w:color w:val="auto"/>
          <w:sz w:val="24"/>
          <w:highlight w:val="none"/>
        </w:rPr>
        <w:t>采购活动，提供的货物全部由符合政策要求的中小企业制造。相关企业（含联合体中的中小企业、签订分包意向协议的中小企业）的具体情况如下：</w:t>
      </w:r>
      <w:bookmarkStart w:id="200" w:name="_Toc419811733"/>
      <w:bookmarkStart w:id="201" w:name="_Toc417911732"/>
      <w:bookmarkStart w:id="202" w:name="_Toc387658050"/>
      <w:bookmarkStart w:id="203" w:name="_Toc387147344"/>
      <w:bookmarkStart w:id="204" w:name="_Toc413748654"/>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 xml:space="preserve">（标的名称）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 </w:t>
      </w:r>
      <w:r>
        <w:rPr>
          <w:rFonts w:hint="eastAsia" w:ascii="宋体" w:hAnsi="宋体" w:cs="宋体"/>
          <w:color w:val="auto"/>
          <w:sz w:val="24"/>
          <w:highlight w:val="none"/>
        </w:rPr>
        <w:t>；制造商为</w:t>
      </w:r>
      <w:r>
        <w:rPr>
          <w:rFonts w:hint="eastAsia" w:ascii="宋体" w:hAnsi="宋体" w:cs="宋体"/>
          <w:color w:val="auto"/>
          <w:sz w:val="24"/>
          <w:highlight w:val="none"/>
          <w:u w:val="single"/>
        </w:rPr>
        <w:t xml:space="preserve"> （企业名称） </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（标的名称）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 </w:t>
      </w:r>
      <w:r>
        <w:rPr>
          <w:rFonts w:hint="eastAsia" w:ascii="宋体" w:hAnsi="宋体" w:cs="宋体"/>
          <w:color w:val="auto"/>
          <w:sz w:val="24"/>
          <w:highlight w:val="none"/>
        </w:rPr>
        <w:t>；制造商为</w:t>
      </w:r>
      <w:r>
        <w:rPr>
          <w:rFonts w:hint="eastAsia" w:ascii="宋体" w:hAnsi="宋体" w:cs="宋体"/>
          <w:color w:val="auto"/>
          <w:sz w:val="24"/>
          <w:highlight w:val="none"/>
          <w:u w:val="single"/>
        </w:rPr>
        <w:t xml:space="preserve"> （企业名称） </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企业名称（盖章）：</w:t>
      </w:r>
    </w:p>
    <w:p>
      <w:pPr>
        <w:spacing w:line="360" w:lineRule="auto"/>
        <w:ind w:firstLine="480" w:firstLineChars="200"/>
        <w:jc w:val="center"/>
        <w:rPr>
          <w:rFonts w:ascii="仿宋" w:hAnsi="仿宋" w:eastAsia="仿宋"/>
          <w:color w:val="auto"/>
          <w:sz w:val="24"/>
          <w:highlight w:val="none"/>
        </w:rPr>
      </w:pPr>
      <w:r>
        <w:rPr>
          <w:rFonts w:hint="eastAsia" w:ascii="宋体" w:hAnsi="宋体" w:cs="宋体"/>
          <w:color w:val="auto"/>
          <w:sz w:val="24"/>
          <w:highlight w:val="none"/>
        </w:rPr>
        <w:t xml:space="preserve">                        日 期：</w:t>
      </w:r>
    </w:p>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注：</w:t>
      </w:r>
    </w:p>
    <w:bookmarkEnd w:id="200"/>
    <w:bookmarkEnd w:id="201"/>
    <w:bookmarkEnd w:id="202"/>
    <w:bookmarkEnd w:id="203"/>
    <w:bookmarkEnd w:id="204"/>
    <w:p>
      <w:pPr>
        <w:spacing w:line="360" w:lineRule="auto"/>
        <w:rPr>
          <w:rFonts w:ascii="宋体" w:hAnsi="宋体" w:cs="宋体"/>
          <w:b/>
          <w:bCs/>
          <w:color w:val="auto"/>
          <w:szCs w:val="21"/>
          <w:highlight w:val="none"/>
        </w:rPr>
        <w:sectPr>
          <w:footerReference r:id="rId11" w:type="default"/>
          <w:pgSz w:w="11906" w:h="16838"/>
          <w:pgMar w:top="1440" w:right="1474" w:bottom="1440" w:left="1474" w:header="851" w:footer="992" w:gutter="0"/>
          <w:cols w:space="720" w:num="1"/>
          <w:docGrid w:type="lines" w:linePitch="312" w:charSpace="0"/>
        </w:sectPr>
      </w:pPr>
      <w:r>
        <w:rPr>
          <w:rFonts w:hint="eastAsia" w:ascii="宋体" w:hAnsi="宋体" w:cs="宋体"/>
          <w:b/>
          <w:bCs/>
          <w:color w:val="auto"/>
          <w:szCs w:val="21"/>
          <w:highlight w:val="none"/>
        </w:rPr>
        <w:t>1、从业人员、营业收入、资产总额填报上一年度数据，无上一年度数据的新成立企业可不填报。</w:t>
      </w:r>
    </w:p>
    <w:p>
      <w:pPr>
        <w:pStyle w:val="2"/>
        <w:rPr>
          <w:rFonts w:ascii="宋体" w:hAnsi="宋体" w:cs="宋体"/>
          <w:b/>
          <w:color w:val="auto"/>
          <w:sz w:val="32"/>
          <w:szCs w:val="32"/>
          <w:highlight w:val="none"/>
        </w:rPr>
      </w:pPr>
      <w:r>
        <w:rPr>
          <w:rFonts w:hint="eastAsia" w:ascii="宋体" w:hAnsi="宋体" w:cs="宋体"/>
          <w:b/>
          <w:color w:val="auto"/>
          <w:sz w:val="32"/>
          <w:szCs w:val="32"/>
          <w:highlight w:val="none"/>
        </w:rPr>
        <w:t>格式1-14</w:t>
      </w:r>
    </w:p>
    <w:p>
      <w:pPr>
        <w:widowControl/>
        <w:spacing w:line="360" w:lineRule="auto"/>
        <w:jc w:val="center"/>
        <w:outlineLvl w:val="1"/>
        <w:rPr>
          <w:rFonts w:ascii="宋体" w:hAnsi="宋体" w:cs="宋体"/>
          <w:b/>
          <w:color w:val="auto"/>
          <w:sz w:val="32"/>
          <w:szCs w:val="32"/>
          <w:highlight w:val="none"/>
        </w:rPr>
      </w:pPr>
      <w:r>
        <w:rPr>
          <w:rFonts w:hint="eastAsia" w:ascii="宋体" w:hAnsi="宋体" w:cs="宋体"/>
          <w:b/>
          <w:color w:val="auto"/>
          <w:sz w:val="32"/>
          <w:szCs w:val="32"/>
          <w:highlight w:val="none"/>
        </w:rPr>
        <w:t>十三、</w:t>
      </w:r>
      <w:bookmarkStart w:id="205" w:name="OLE_LINK13"/>
      <w:bookmarkStart w:id="206" w:name="OLE_LINK14"/>
      <w:r>
        <w:rPr>
          <w:rFonts w:hint="eastAsia" w:ascii="宋体" w:hAnsi="宋体" w:cs="宋体"/>
          <w:b/>
          <w:color w:val="auto"/>
          <w:sz w:val="32"/>
          <w:szCs w:val="32"/>
          <w:highlight w:val="none"/>
        </w:rPr>
        <w:t>残疾人福利性单位声明函</w:t>
      </w:r>
    </w:p>
    <w:bookmarkEnd w:id="205"/>
    <w:bookmarkEnd w:id="206"/>
    <w:p>
      <w:pPr>
        <w:spacing w:line="360" w:lineRule="auto"/>
        <w:rPr>
          <w:rFonts w:ascii="宋体" w:hAnsi="宋体" w:cs="宋体"/>
          <w:b/>
          <w:color w:val="auto"/>
          <w:spacing w:val="6"/>
          <w:sz w:val="24"/>
          <w:highlight w:val="none"/>
        </w:rPr>
      </w:pPr>
    </w:p>
    <w:p>
      <w:p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cs="宋体"/>
          <w:color w:val="auto"/>
          <w:sz w:val="24"/>
          <w:highlight w:val="none"/>
        </w:rPr>
        <w:t>〔2017〕 141</w:t>
      </w:r>
      <w:r>
        <w:rPr>
          <w:rFonts w:hint="eastAsia" w:ascii="宋体" w:hAnsi="宋体" w:cs="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本单位对上述声明的真实性负责。如有虚假，将依法承担相应责任。</w:t>
      </w:r>
    </w:p>
    <w:p>
      <w:pPr>
        <w:spacing w:line="360" w:lineRule="auto"/>
        <w:rPr>
          <w:rFonts w:ascii="宋体" w:hAnsi="宋体" w:cs="宋体"/>
          <w:color w:val="auto"/>
          <w:spacing w:val="6"/>
          <w:sz w:val="24"/>
          <w:highlight w:val="none"/>
        </w:rPr>
      </w:pPr>
    </w:p>
    <w:p>
      <w:pPr>
        <w:spacing w:line="360" w:lineRule="auto"/>
        <w:rPr>
          <w:rFonts w:ascii="宋体" w:hAnsi="宋体" w:cs="宋体"/>
          <w:color w:val="auto"/>
          <w:spacing w:val="6"/>
          <w:sz w:val="24"/>
          <w:highlight w:val="none"/>
        </w:rPr>
      </w:pPr>
    </w:p>
    <w:p>
      <w:pPr>
        <w:tabs>
          <w:tab w:val="left" w:pos="4860"/>
        </w:tabs>
        <w:spacing w:line="360" w:lineRule="auto"/>
        <w:ind w:right="1560"/>
        <w:rPr>
          <w:rFonts w:ascii="宋体" w:hAnsi="宋体" w:cs="宋体"/>
          <w:color w:val="auto"/>
          <w:spacing w:val="6"/>
          <w:sz w:val="24"/>
          <w:highlight w:val="none"/>
        </w:rPr>
      </w:pPr>
      <w:r>
        <w:rPr>
          <w:rFonts w:hint="eastAsia" w:ascii="宋体" w:hAnsi="宋体" w:cs="宋体"/>
          <w:color w:val="auto"/>
          <w:spacing w:val="6"/>
          <w:sz w:val="24"/>
          <w:highlight w:val="none"/>
        </w:rPr>
        <w:t>单位名称：（盖章）</w:t>
      </w:r>
    </w:p>
    <w:p>
      <w:pPr>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日  期：</w:t>
      </w:r>
    </w:p>
    <w:p>
      <w:pPr>
        <w:spacing w:line="360" w:lineRule="auto"/>
        <w:rPr>
          <w:rFonts w:ascii="宋体" w:hAnsi="宋体" w:cs="宋体"/>
          <w:color w:val="auto"/>
          <w:sz w:val="24"/>
          <w:highlight w:val="none"/>
        </w:rPr>
      </w:pPr>
    </w:p>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注：</w:t>
      </w:r>
    </w:p>
    <w:p>
      <w:pPr>
        <w:numPr>
          <w:ilvl w:val="0"/>
          <w:numId w:val="11"/>
        </w:num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残疾人福利性单位视同小型、微型企业，享受预留份额、评审中价格扣除等促进中小企业发展的政府采购政策。残疾人福利性单位属于小型、微型企业的，不重复享受政策。</w:t>
      </w:r>
    </w:p>
    <w:p>
      <w:pPr>
        <w:numPr>
          <w:ilvl w:val="0"/>
          <w:numId w:val="11"/>
        </w:num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投标人为非残疾人福利性单位的，可不提供此声明。</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highlight w:val="none"/>
        </w:rPr>
      </w:pPr>
    </w:p>
    <w:p>
      <w:pPr>
        <w:pStyle w:val="2"/>
        <w:rPr>
          <w:rFonts w:ascii="宋体" w:hAnsi="宋体" w:cs="宋体"/>
          <w:b/>
          <w:color w:val="auto"/>
          <w:sz w:val="32"/>
          <w:szCs w:val="32"/>
          <w:highlight w:val="none"/>
        </w:rPr>
      </w:pPr>
      <w:r>
        <w:rPr>
          <w:rStyle w:val="76"/>
          <w:rFonts w:hint="eastAsia" w:ascii="宋体" w:hAnsi="宋体" w:cs="宋体"/>
          <w:color w:val="auto"/>
          <w:highlight w:val="none"/>
        </w:rPr>
        <w:br w:type="page"/>
      </w:r>
      <w:r>
        <w:rPr>
          <w:rFonts w:hint="eastAsia" w:ascii="宋体" w:hAnsi="宋体" w:cs="宋体"/>
          <w:b/>
          <w:color w:val="auto"/>
          <w:sz w:val="32"/>
          <w:szCs w:val="32"/>
          <w:highlight w:val="none"/>
        </w:rPr>
        <w:t>格式1-15</w:t>
      </w:r>
    </w:p>
    <w:p>
      <w:pPr>
        <w:widowControl/>
        <w:spacing w:line="360" w:lineRule="auto"/>
        <w:jc w:val="center"/>
        <w:outlineLvl w:val="1"/>
        <w:rPr>
          <w:rFonts w:ascii="宋体" w:hAnsi="宋体" w:cs="宋体"/>
          <w:b/>
          <w:color w:val="auto"/>
          <w:sz w:val="32"/>
          <w:szCs w:val="32"/>
          <w:highlight w:val="none"/>
        </w:rPr>
      </w:pPr>
      <w:r>
        <w:rPr>
          <w:rFonts w:hint="eastAsia" w:ascii="宋体" w:hAnsi="宋体" w:cs="宋体"/>
          <w:b/>
          <w:color w:val="auto"/>
          <w:sz w:val="32"/>
          <w:szCs w:val="32"/>
          <w:highlight w:val="none"/>
        </w:rPr>
        <w:t>十四、监狱企业证明材料</w:t>
      </w:r>
    </w:p>
    <w:p>
      <w:pPr>
        <w:spacing w:line="360" w:lineRule="auto"/>
        <w:ind w:firstLine="480" w:firstLineChars="200"/>
        <w:jc w:val="left"/>
        <w:rPr>
          <w:rFonts w:ascii="宋体" w:hAnsi="宋体" w:cs="宋体"/>
          <w:color w:val="auto"/>
          <w:sz w:val="24"/>
          <w:highlight w:val="none"/>
        </w:rPr>
      </w:pPr>
    </w:p>
    <w:p>
      <w:pPr>
        <w:spacing w:line="360" w:lineRule="auto"/>
        <w:ind w:firstLine="504"/>
        <w:jc w:val="left"/>
        <w:rPr>
          <w:rFonts w:ascii="宋体" w:hAnsi="宋体" w:cs="宋体"/>
          <w:color w:val="auto"/>
          <w:spacing w:val="6"/>
          <w:sz w:val="24"/>
          <w:highlight w:val="none"/>
        </w:rPr>
      </w:pPr>
      <w:r>
        <w:rPr>
          <w:rFonts w:hint="eastAsia" w:ascii="宋体" w:hAnsi="宋体" w:cs="宋体"/>
          <w:color w:val="auto"/>
          <w:spacing w:val="6"/>
          <w:sz w:val="24"/>
          <w:highlight w:val="none"/>
        </w:rPr>
        <w:t>根据《政府采购支持监狱企业发展有关问题的通知》（财库〔2014〕68号）的规定监狱企业参加采购活动的，应提供由省级以上监狱管理局、戒毒管理局(含新疆生产建设兵团)出具的属于监狱企业的证明文件。</w:t>
      </w:r>
    </w:p>
    <w:p>
      <w:pPr>
        <w:spacing w:line="360" w:lineRule="auto"/>
        <w:ind w:firstLine="504"/>
        <w:jc w:val="left"/>
        <w:rPr>
          <w:rFonts w:ascii="宋体" w:hAnsi="宋体" w:cs="宋体"/>
          <w:color w:val="auto"/>
          <w:spacing w:val="6"/>
          <w:sz w:val="24"/>
          <w:highlight w:val="none"/>
        </w:rPr>
      </w:pPr>
      <w:r>
        <w:rPr>
          <w:rFonts w:hint="eastAsia" w:ascii="宋体" w:hAnsi="宋体" w:cs="宋体"/>
          <w:color w:val="auto"/>
          <w:spacing w:val="6"/>
          <w:sz w:val="24"/>
          <w:highlight w:val="none"/>
        </w:rPr>
        <w:t>注：</w:t>
      </w:r>
    </w:p>
    <w:p>
      <w:pPr>
        <w:spacing w:line="360" w:lineRule="auto"/>
        <w:ind w:firstLine="504"/>
        <w:jc w:val="left"/>
        <w:rPr>
          <w:rFonts w:ascii="宋体" w:hAnsi="宋体" w:cs="宋体"/>
          <w:color w:val="auto"/>
          <w:spacing w:val="6"/>
          <w:sz w:val="24"/>
          <w:highlight w:val="none"/>
        </w:rPr>
      </w:pPr>
      <w:r>
        <w:rPr>
          <w:rFonts w:hint="eastAsia" w:ascii="宋体" w:hAnsi="宋体" w:cs="宋体"/>
          <w:color w:val="auto"/>
          <w:spacing w:val="6"/>
          <w:sz w:val="24"/>
          <w:highlight w:val="none"/>
        </w:rPr>
        <w:t>1、投标人符合《政府采购支持监狱企业发展有关问题的通知》（财库〔2014〕68号）规定的划分标准为监狱企业适用。</w:t>
      </w:r>
    </w:p>
    <w:p>
      <w:pPr>
        <w:spacing w:line="360" w:lineRule="auto"/>
        <w:ind w:firstLine="504"/>
        <w:jc w:val="left"/>
        <w:rPr>
          <w:rFonts w:ascii="宋体" w:hAnsi="宋体" w:cs="宋体"/>
          <w:color w:val="auto"/>
          <w:spacing w:val="6"/>
          <w:sz w:val="24"/>
          <w:highlight w:val="none"/>
        </w:rPr>
        <w:sectPr>
          <w:headerReference r:id="rId12" w:type="default"/>
          <w:footerReference r:id="rId13" w:type="default"/>
          <w:pgSz w:w="11906" w:h="16838"/>
          <w:pgMar w:top="1440" w:right="1474" w:bottom="1440" w:left="1474" w:header="851" w:footer="992" w:gutter="0"/>
          <w:cols w:space="720" w:num="1"/>
          <w:docGrid w:type="lines" w:linePitch="312" w:charSpace="0"/>
        </w:sectPr>
      </w:pPr>
      <w:r>
        <w:rPr>
          <w:rFonts w:hint="eastAsia" w:ascii="宋体" w:hAnsi="宋体" w:cs="宋体"/>
          <w:color w:val="auto"/>
          <w:spacing w:val="6"/>
          <w:sz w:val="24"/>
          <w:highlight w:val="none"/>
        </w:rPr>
        <w:t>2、在政府采购活动中，监狱企业视同小型、微型企业，享受预留份额、评审中价格扣除等政府采购促进中小企业发展的政府采购政策。</w:t>
      </w:r>
    </w:p>
    <w:p>
      <w:pPr>
        <w:pStyle w:val="33"/>
        <w:spacing w:before="0" w:after="0" w:line="360" w:lineRule="auto"/>
        <w:rPr>
          <w:rFonts w:ascii="宋体" w:hAnsi="宋体" w:cs="宋体"/>
          <w:color w:val="auto"/>
          <w:highlight w:val="none"/>
        </w:rPr>
      </w:pPr>
      <w:bookmarkStart w:id="207" w:name="_Toc25182"/>
      <w:bookmarkStart w:id="208" w:name="_Toc5917"/>
      <w:r>
        <w:rPr>
          <w:rFonts w:hint="eastAsia" w:ascii="宋体" w:hAnsi="宋体" w:cs="宋体"/>
          <w:bCs w:val="0"/>
          <w:color w:val="auto"/>
          <w:highlight w:val="none"/>
        </w:rPr>
        <w:t>第四章  投标人和投标产品的资格、资质性及其他类似效力要求</w:t>
      </w:r>
      <w:bookmarkEnd w:id="199"/>
      <w:bookmarkEnd w:id="207"/>
      <w:bookmarkEnd w:id="208"/>
    </w:p>
    <w:p>
      <w:pPr>
        <w:pStyle w:val="5"/>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一、投标人资格、资质性及其他类似效力要求</w:t>
      </w:r>
    </w:p>
    <w:p>
      <w:pPr>
        <w:pStyle w:val="6"/>
        <w:ind w:firstLine="482"/>
        <w:rPr>
          <w:rFonts w:ascii="宋体" w:hAnsi="宋体" w:cs="宋体"/>
          <w:b/>
          <w:color w:val="auto"/>
          <w:sz w:val="24"/>
          <w:highlight w:val="none"/>
        </w:rPr>
      </w:pPr>
      <w:r>
        <w:rPr>
          <w:rFonts w:hint="eastAsia" w:ascii="宋体" w:hAnsi="宋体" w:cs="宋体"/>
          <w:b/>
          <w:color w:val="auto"/>
          <w:sz w:val="24"/>
          <w:highlight w:val="none"/>
        </w:rPr>
        <w:t>资格要求：</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（一）符合《中华人民共和国政府采购法》第二十二条规定的条件：</w:t>
      </w:r>
    </w:p>
    <w:p>
      <w:pPr>
        <w:pStyle w:val="87"/>
        <w:tabs>
          <w:tab w:val="left" w:pos="1260"/>
        </w:tabs>
        <w:ind w:firstLine="679" w:firstLineChars="283"/>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pStyle w:val="87"/>
        <w:tabs>
          <w:tab w:val="left" w:pos="1260"/>
        </w:tabs>
        <w:ind w:firstLine="679" w:firstLineChars="283"/>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pPr>
        <w:pStyle w:val="87"/>
        <w:tabs>
          <w:tab w:val="left" w:pos="1260"/>
        </w:tabs>
        <w:ind w:firstLine="679" w:firstLineChars="283"/>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pStyle w:val="87"/>
        <w:tabs>
          <w:tab w:val="left" w:pos="1260"/>
        </w:tabs>
        <w:ind w:firstLine="679" w:firstLineChars="283"/>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pStyle w:val="87"/>
        <w:tabs>
          <w:tab w:val="left" w:pos="1260"/>
        </w:tabs>
        <w:ind w:firstLine="679" w:firstLineChars="283"/>
        <w:rPr>
          <w:rFonts w:ascii="宋体" w:hAnsi="宋体" w:cs="宋体"/>
          <w:color w:val="auto"/>
          <w:sz w:val="24"/>
          <w:highlight w:val="none"/>
        </w:rPr>
      </w:pPr>
      <w:r>
        <w:rPr>
          <w:rFonts w:hint="eastAsia" w:ascii="宋体" w:hAnsi="宋体" w:cs="宋体"/>
          <w:color w:val="auto"/>
          <w:sz w:val="24"/>
          <w:highlight w:val="none"/>
        </w:rPr>
        <w:t>5、参加本次政府采购活动前三年内，在经营活动中没有重大违法记录；</w:t>
      </w:r>
    </w:p>
    <w:p>
      <w:pPr>
        <w:pStyle w:val="87"/>
        <w:tabs>
          <w:tab w:val="left" w:pos="1260"/>
        </w:tabs>
        <w:ind w:firstLine="679" w:firstLineChars="283"/>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（二）根据采购项目提出的特殊条件；</w:t>
      </w:r>
    </w:p>
    <w:p>
      <w:pPr>
        <w:pStyle w:val="87"/>
        <w:tabs>
          <w:tab w:val="left" w:pos="1260"/>
        </w:tabs>
        <w:ind w:firstLine="679" w:firstLineChars="283"/>
        <w:rPr>
          <w:rFonts w:ascii="宋体" w:hAnsi="宋体" w:cs="宋体"/>
          <w:color w:val="auto"/>
          <w:sz w:val="24"/>
          <w:highlight w:val="none"/>
        </w:rPr>
      </w:pPr>
      <w:r>
        <w:rPr>
          <w:rFonts w:hint="eastAsia" w:ascii="宋体" w:hAnsi="宋体" w:cs="宋体"/>
          <w:color w:val="auto"/>
          <w:sz w:val="24"/>
          <w:highlight w:val="none"/>
        </w:rPr>
        <w:t>1、若采购产品为医疗器械的，投标人须符合《医疗器械监督管理条例》要求并提供投标人经营该产品的经营许可/经营备案证明材料。</w:t>
      </w:r>
    </w:p>
    <w:p>
      <w:pPr>
        <w:pStyle w:val="87"/>
        <w:tabs>
          <w:tab w:val="left" w:pos="1260"/>
        </w:tabs>
        <w:ind w:firstLine="679" w:firstLineChars="283"/>
        <w:rPr>
          <w:rFonts w:ascii="宋体" w:hAnsi="宋体" w:cs="宋体"/>
          <w:color w:val="auto"/>
          <w:sz w:val="24"/>
          <w:highlight w:val="none"/>
        </w:rPr>
      </w:pPr>
      <w:r>
        <w:rPr>
          <w:rFonts w:hint="eastAsia" w:ascii="宋体" w:hAnsi="宋体" w:cs="宋体"/>
          <w:color w:val="auto"/>
          <w:sz w:val="24"/>
          <w:highlight w:val="none"/>
        </w:rPr>
        <w:t>2、本项目参加政府采购活动的投标人、法定代表人/主要负责人近3年内不得具有行贿犯罪记录。</w:t>
      </w:r>
    </w:p>
    <w:p>
      <w:pPr>
        <w:pStyle w:val="87"/>
        <w:tabs>
          <w:tab w:val="left" w:pos="1260"/>
        </w:tabs>
        <w:ind w:firstLine="679" w:firstLineChars="283"/>
        <w:rPr>
          <w:rFonts w:ascii="宋体" w:hAnsi="宋体" w:cs="宋体"/>
          <w:color w:val="auto"/>
          <w:sz w:val="24"/>
          <w:highlight w:val="none"/>
        </w:rPr>
      </w:pPr>
      <w:r>
        <w:rPr>
          <w:rFonts w:hint="eastAsia" w:ascii="宋体" w:hAnsi="宋体" w:cs="宋体"/>
          <w:color w:val="auto"/>
          <w:sz w:val="24"/>
          <w:highlight w:val="none"/>
        </w:rPr>
        <w:t>3、根据《财政部关于在政府采购活动中查询及使用信用记录的通知》（财库[2016]125号）的要求，截止至投标截止时间当日，采购代理机构将通过“信用中国”网站（www.creditchina.gov.cn）、“中国政府采购网”网站（www.ccgp.gov.cn）等渠道查询供应商的信用记录并保存信用记录结果网页截图，拒绝列入失信被执行人、重大税收违法案件当事人名单、政府采购严重违法失信行为记录名单中的供应商参加本项目的政府采购活动。</w:t>
      </w:r>
    </w:p>
    <w:p>
      <w:pPr>
        <w:pStyle w:val="6"/>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其他类似效力要求：</w:t>
      </w:r>
    </w:p>
    <w:p>
      <w:pPr>
        <w:pStyle w:val="87"/>
        <w:tabs>
          <w:tab w:val="left" w:pos="1260"/>
        </w:tabs>
        <w:ind w:firstLine="679" w:firstLineChars="283"/>
        <w:rPr>
          <w:rFonts w:ascii="宋体" w:hAnsi="宋体" w:cs="宋体"/>
          <w:color w:val="auto"/>
          <w:sz w:val="24"/>
          <w:highlight w:val="none"/>
        </w:rPr>
      </w:pPr>
      <w:r>
        <w:rPr>
          <w:rFonts w:hint="eastAsia" w:ascii="宋体" w:hAnsi="宋体" w:cs="宋体"/>
          <w:color w:val="auto"/>
          <w:sz w:val="24"/>
          <w:highlight w:val="none"/>
        </w:rPr>
        <w:t>1、本项目</w:t>
      </w:r>
      <w:r>
        <w:rPr>
          <w:rFonts w:hint="eastAsia" w:ascii="宋体" w:hAnsi="宋体" w:cs="宋体"/>
          <w:color w:val="auto"/>
          <w:sz w:val="24"/>
          <w:highlight w:val="none"/>
          <w:u w:val="single"/>
        </w:rPr>
        <w:t>不接受</w:t>
      </w:r>
      <w:r>
        <w:rPr>
          <w:rFonts w:hint="eastAsia" w:ascii="宋体" w:hAnsi="宋体" w:cs="宋体"/>
          <w:color w:val="auto"/>
          <w:sz w:val="24"/>
          <w:highlight w:val="none"/>
        </w:rPr>
        <w:t>联合体参与投标。</w:t>
      </w:r>
    </w:p>
    <w:p>
      <w:pPr>
        <w:pStyle w:val="5"/>
        <w:spacing w:before="0" w:after="0" w:line="360" w:lineRule="auto"/>
        <w:rPr>
          <w:rFonts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二、</w:t>
      </w:r>
      <w:r>
        <w:rPr>
          <w:rFonts w:hint="eastAsia" w:ascii="宋体" w:hAnsi="宋体" w:eastAsia="宋体" w:cs="宋体"/>
          <w:color w:val="auto"/>
          <w:sz w:val="24"/>
          <w:szCs w:val="24"/>
          <w:highlight w:val="none"/>
        </w:rPr>
        <w:t>投标产品的资格、资质性及其他类似效力要求</w:t>
      </w:r>
    </w:p>
    <w:p>
      <w:pPr>
        <w:spacing w:line="360" w:lineRule="auto"/>
        <w:rPr>
          <w:rFonts w:ascii="宋体" w:hAnsi="宋体" w:cs="宋体"/>
          <w:b/>
          <w:color w:val="auto"/>
          <w:szCs w:val="21"/>
          <w:highlight w:val="none"/>
        </w:rPr>
      </w:pPr>
      <w:r>
        <w:rPr>
          <w:rFonts w:hint="eastAsia" w:ascii="宋体" w:hAnsi="宋体" w:cs="宋体"/>
          <w:color w:val="auto"/>
          <w:sz w:val="24"/>
          <w:highlight w:val="none"/>
        </w:rPr>
        <w:t xml:space="preserve">    若采购产品为医疗器械的，投标产品须符合《医疗器械注册管理办法》要求并提供产品的注册/备案证明材料。</w:t>
      </w:r>
    </w:p>
    <w:p>
      <w:pPr>
        <w:pStyle w:val="87"/>
        <w:ind w:firstLine="0" w:firstLineChars="0"/>
        <w:rPr>
          <w:rFonts w:ascii="宋体" w:hAnsi="宋体" w:cs="宋体"/>
          <w:b/>
          <w:color w:val="auto"/>
          <w:szCs w:val="21"/>
          <w:highlight w:val="none"/>
        </w:rPr>
      </w:pPr>
    </w:p>
    <w:p>
      <w:pPr>
        <w:pStyle w:val="87"/>
        <w:ind w:firstLine="0" w:firstLineChars="0"/>
        <w:rPr>
          <w:rFonts w:ascii="宋体" w:hAnsi="宋体" w:cs="宋体"/>
          <w:b/>
          <w:color w:val="auto"/>
          <w:szCs w:val="21"/>
          <w:highlight w:val="none"/>
        </w:rPr>
      </w:pPr>
      <w:r>
        <w:rPr>
          <w:rFonts w:hint="eastAsia" w:ascii="宋体" w:hAnsi="宋体" w:cs="宋体"/>
          <w:b/>
          <w:color w:val="auto"/>
          <w:szCs w:val="21"/>
          <w:highlight w:val="none"/>
        </w:rPr>
        <w:t>注：1、本项目确定供应商重大违法记录中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款听证标准金额为准。</w:t>
      </w:r>
    </w:p>
    <w:p>
      <w:pPr>
        <w:pStyle w:val="87"/>
        <w:ind w:firstLine="420"/>
        <w:rPr>
          <w:rFonts w:ascii="宋体" w:hAnsi="宋体" w:cs="宋体"/>
          <w:color w:val="auto"/>
          <w:highlight w:val="none"/>
        </w:rPr>
      </w:pPr>
      <w:bookmarkStart w:id="209" w:name="_Toc490290410"/>
    </w:p>
    <w:p>
      <w:pPr>
        <w:pStyle w:val="33"/>
        <w:spacing w:before="0" w:after="0" w:line="360" w:lineRule="auto"/>
        <w:rPr>
          <w:rFonts w:ascii="宋体" w:hAnsi="宋体" w:cs="宋体"/>
          <w:color w:val="auto"/>
          <w:highlight w:val="none"/>
        </w:rPr>
      </w:pPr>
      <w:r>
        <w:rPr>
          <w:rFonts w:hint="eastAsia" w:ascii="宋体" w:hAnsi="宋体" w:cs="宋体"/>
          <w:b w:val="0"/>
          <w:color w:val="auto"/>
          <w:szCs w:val="21"/>
          <w:highlight w:val="none"/>
        </w:rPr>
        <w:br w:type="page"/>
      </w:r>
      <w:bookmarkStart w:id="210" w:name="_Toc10454"/>
      <w:bookmarkStart w:id="211" w:name="_Toc7835"/>
      <w:r>
        <w:rPr>
          <w:rFonts w:hint="eastAsia" w:ascii="宋体" w:hAnsi="宋体" w:cs="宋体"/>
          <w:bCs w:val="0"/>
          <w:color w:val="auto"/>
          <w:highlight w:val="none"/>
        </w:rPr>
        <w:t>第五章  投标人应当提供的资格、资质性及其他类似效力要求的相关证明材料</w:t>
      </w:r>
      <w:bookmarkEnd w:id="209"/>
      <w:bookmarkEnd w:id="210"/>
      <w:bookmarkEnd w:id="211"/>
    </w:p>
    <w:p>
      <w:pPr>
        <w:pStyle w:val="5"/>
        <w:spacing w:line="360" w:lineRule="auto"/>
        <w:jc w:val="left"/>
        <w:rPr>
          <w:rFonts w:ascii="宋体" w:hAnsi="宋体" w:eastAsia="宋体" w:cs="宋体"/>
          <w:color w:val="auto"/>
          <w:sz w:val="24"/>
          <w:szCs w:val="24"/>
          <w:highlight w:val="none"/>
        </w:rPr>
      </w:pPr>
      <w:bookmarkStart w:id="212" w:name="_Toc490290411"/>
      <w:r>
        <w:rPr>
          <w:rFonts w:hint="eastAsia" w:ascii="宋体" w:hAnsi="宋体" w:eastAsia="宋体" w:cs="宋体"/>
          <w:color w:val="auto"/>
          <w:sz w:val="24"/>
          <w:szCs w:val="24"/>
          <w:highlight w:val="none"/>
        </w:rPr>
        <w:t>一、应当提供的投标人资格、资质性及其他类似效力要求的相关证明材料</w:t>
      </w:r>
    </w:p>
    <w:p>
      <w:pPr>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（一）资格要求相关证明材料：</w:t>
      </w:r>
    </w:p>
    <w:p>
      <w:pPr>
        <w:pStyle w:val="87"/>
        <w:ind w:firstLine="480"/>
        <w:jc w:val="left"/>
        <w:rPr>
          <w:rFonts w:ascii="宋体" w:hAnsi="宋体" w:cs="宋体"/>
          <w:color w:val="auto"/>
          <w:sz w:val="24"/>
          <w:highlight w:val="none"/>
        </w:rPr>
      </w:pPr>
      <w:r>
        <w:rPr>
          <w:rFonts w:hint="eastAsia" w:ascii="宋体" w:hAnsi="宋体" w:cs="宋体"/>
          <w:color w:val="auto"/>
          <w:sz w:val="24"/>
          <w:highlight w:val="none"/>
        </w:rPr>
        <w:t>1、具有独立承担民事责任的能力</w:t>
      </w:r>
      <w:r>
        <w:rPr>
          <w:rFonts w:hint="eastAsia" w:ascii="宋体" w:hAnsi="宋体" w:cs="宋体"/>
          <w:b/>
          <w:color w:val="auto"/>
          <w:sz w:val="24"/>
          <w:highlight w:val="none"/>
        </w:rPr>
        <w:t>【</w:t>
      </w:r>
      <w:r>
        <w:rPr>
          <w:rFonts w:hint="eastAsia" w:ascii="宋体" w:hAnsi="宋体" w:cs="宋体"/>
          <w:b/>
          <w:bCs/>
          <w:color w:val="auto"/>
          <w:sz w:val="24"/>
          <w:highlight w:val="none"/>
        </w:rPr>
        <w:t>注：①供应商若为企业法人：提供“统一社会信用代码营业执照”；未换证的提供“营业执照、税务登记证、组织机构代码证或三证合一的营业执照”；②若为事业法人：提供“统一社会信用代码事业单位法人证书”；未换证的提交“事业单位法人证书、组织机构代码证”；③若为其他组织：提供“对应主管部门颁发的准许执业证明文件或营业执照”；④若为自然人：提供“身份证明材料”。以上均提供原件原色电子件加盖投标人电子签章</w:t>
      </w:r>
      <w:r>
        <w:rPr>
          <w:rFonts w:hint="eastAsia" w:ascii="宋体" w:hAnsi="宋体" w:cs="宋体"/>
          <w:color w:val="auto"/>
          <w:sz w:val="24"/>
          <w:highlight w:val="none"/>
        </w:rPr>
        <w:t>】；</w:t>
      </w:r>
    </w:p>
    <w:p>
      <w:pPr>
        <w:pStyle w:val="87"/>
        <w:ind w:firstLine="480"/>
        <w:jc w:val="left"/>
        <w:rPr>
          <w:rFonts w:ascii="宋体" w:hAnsi="宋体" w:cs="宋体"/>
          <w:color w:val="auto"/>
          <w:sz w:val="24"/>
          <w:highlight w:val="none"/>
        </w:rPr>
      </w:pPr>
      <w:r>
        <w:rPr>
          <w:rFonts w:hint="eastAsia" w:ascii="宋体" w:hAnsi="宋体" w:cs="宋体"/>
          <w:color w:val="auto"/>
          <w:sz w:val="24"/>
          <w:highlight w:val="none"/>
        </w:rPr>
        <w:t>2、具有良好商业信誉的证明材料</w:t>
      </w:r>
      <w:bookmarkStart w:id="213" w:name="_Hlk495647337"/>
      <w:r>
        <w:rPr>
          <w:rFonts w:hint="eastAsia" w:ascii="宋体" w:hAnsi="宋体" w:cs="宋体"/>
          <w:b/>
          <w:color w:val="auto"/>
          <w:sz w:val="24"/>
          <w:highlight w:val="none"/>
        </w:rPr>
        <w:t>【</w:t>
      </w:r>
      <w:r>
        <w:rPr>
          <w:rFonts w:hint="eastAsia" w:ascii="宋体" w:hAnsi="宋体" w:cs="宋体"/>
          <w:b/>
          <w:bCs/>
          <w:color w:val="auto"/>
          <w:sz w:val="24"/>
          <w:szCs w:val="22"/>
          <w:highlight w:val="none"/>
        </w:rPr>
        <w:t>注：按第三章的格式1-4及要求提供书面承诺函原件</w:t>
      </w:r>
      <w:bookmarkEnd w:id="213"/>
      <w:r>
        <w:rPr>
          <w:rFonts w:hint="eastAsia" w:ascii="宋体" w:hAnsi="宋体" w:cs="宋体"/>
          <w:color w:val="auto"/>
          <w:sz w:val="24"/>
          <w:highlight w:val="none"/>
        </w:rPr>
        <w:t>】；</w:t>
      </w:r>
    </w:p>
    <w:p>
      <w:pPr>
        <w:pStyle w:val="87"/>
        <w:ind w:firstLine="480"/>
        <w:jc w:val="left"/>
        <w:rPr>
          <w:rFonts w:ascii="宋体" w:hAnsi="宋体" w:cs="宋体"/>
          <w:color w:val="auto"/>
          <w:sz w:val="24"/>
          <w:highlight w:val="none"/>
        </w:rPr>
      </w:pPr>
      <w:r>
        <w:rPr>
          <w:rFonts w:hint="eastAsia" w:ascii="宋体" w:hAnsi="宋体" w:cs="宋体"/>
          <w:color w:val="auto"/>
          <w:sz w:val="24"/>
          <w:highlight w:val="none"/>
        </w:rPr>
        <w:t>3、具有健全的财务会计制度的证明材料</w:t>
      </w:r>
      <w:r>
        <w:rPr>
          <w:rFonts w:hint="eastAsia" w:ascii="宋体" w:hAnsi="宋体" w:cs="宋体"/>
          <w:b/>
          <w:color w:val="auto"/>
          <w:sz w:val="24"/>
          <w:highlight w:val="none"/>
        </w:rPr>
        <w:t>【</w:t>
      </w:r>
      <w:r>
        <w:rPr>
          <w:rFonts w:hint="eastAsia" w:ascii="宋体" w:hAnsi="宋体" w:cs="宋体"/>
          <w:b/>
          <w:bCs/>
          <w:color w:val="auto"/>
          <w:sz w:val="24"/>
          <w:highlight w:val="none"/>
        </w:rPr>
        <w:t>注：①提供2019年度或2020年度经审计的财务报告原件原色电子件加盖投标人电子签章（包含审计报告和审计报告中所涉及的财务报表和报表附注），</w:t>
      </w:r>
      <w:r>
        <w:rPr>
          <w:rFonts w:hint="eastAsia" w:ascii="宋体" w:hAnsi="宋体" w:cs="宋体"/>
          <w:b/>
          <w:color w:val="auto"/>
          <w:sz w:val="24"/>
          <w:highlight w:val="none"/>
        </w:rPr>
        <w:t>或提供2020年度供应商内部的财务报表</w:t>
      </w:r>
      <w:r>
        <w:rPr>
          <w:rFonts w:hint="eastAsia" w:ascii="宋体" w:hAnsi="宋体" w:cs="宋体"/>
          <w:b/>
          <w:bCs/>
          <w:color w:val="auto"/>
          <w:sz w:val="24"/>
          <w:highlight w:val="none"/>
        </w:rPr>
        <w:t>原件原色电子件加盖投标人电子签章</w:t>
      </w:r>
      <w:r>
        <w:rPr>
          <w:rFonts w:hint="eastAsia" w:ascii="宋体" w:hAnsi="宋体" w:cs="宋体"/>
          <w:b/>
          <w:color w:val="auto"/>
          <w:sz w:val="24"/>
          <w:highlight w:val="none"/>
        </w:rPr>
        <w:t>（至少包含资产负债表），也可提供距文件递交截止日一年内银行出具的资信证明（</w:t>
      </w:r>
      <w:r>
        <w:rPr>
          <w:rFonts w:hint="eastAsia" w:ascii="宋体" w:hAnsi="宋体" w:cs="宋体"/>
          <w:b/>
          <w:bCs/>
          <w:color w:val="auto"/>
          <w:sz w:val="24"/>
          <w:highlight w:val="none"/>
        </w:rPr>
        <w:t>原件原色电子件加盖投标人电子签章</w:t>
      </w:r>
      <w:r>
        <w:rPr>
          <w:rFonts w:hint="eastAsia" w:ascii="宋体" w:hAnsi="宋体" w:cs="宋体"/>
          <w:b/>
          <w:color w:val="auto"/>
          <w:sz w:val="24"/>
          <w:highlight w:val="none"/>
        </w:rPr>
        <w:t>）；②投标人注册时间至文件递交截止日不足一年的，可提供加盖</w:t>
      </w:r>
      <w:r>
        <w:rPr>
          <w:rFonts w:hint="eastAsia" w:ascii="宋体" w:hAnsi="宋体" w:cs="宋体"/>
          <w:b/>
          <w:bCs/>
          <w:color w:val="auto"/>
          <w:sz w:val="24"/>
          <w:highlight w:val="none"/>
        </w:rPr>
        <w:t>投标人电子签章</w:t>
      </w:r>
      <w:r>
        <w:rPr>
          <w:rFonts w:hint="eastAsia" w:ascii="宋体" w:hAnsi="宋体" w:cs="宋体"/>
          <w:b/>
          <w:color w:val="auto"/>
          <w:sz w:val="24"/>
          <w:highlight w:val="none"/>
        </w:rPr>
        <w:t>的验资报告或递交响应文件截止日一年内开户行出具的资信证明，或在工商备案的公司章程（</w:t>
      </w:r>
      <w:r>
        <w:rPr>
          <w:rFonts w:hint="eastAsia" w:ascii="宋体" w:hAnsi="宋体" w:cs="宋体"/>
          <w:b/>
          <w:bCs/>
          <w:color w:val="auto"/>
          <w:sz w:val="24"/>
          <w:highlight w:val="none"/>
        </w:rPr>
        <w:t>原件原色电子件加盖投标人电子签章</w:t>
      </w:r>
      <w:r>
        <w:rPr>
          <w:rFonts w:hint="eastAsia" w:ascii="宋体" w:hAnsi="宋体" w:cs="宋体"/>
          <w:b/>
          <w:color w:val="auto"/>
          <w:sz w:val="24"/>
          <w:highlight w:val="none"/>
        </w:rPr>
        <w:t>）</w:t>
      </w:r>
      <w:r>
        <w:rPr>
          <w:rFonts w:hint="eastAsia" w:ascii="宋体" w:hAnsi="宋体" w:cs="宋体"/>
          <w:color w:val="auto"/>
          <w:sz w:val="24"/>
          <w:highlight w:val="none"/>
        </w:rPr>
        <w:t>】。</w:t>
      </w:r>
    </w:p>
    <w:p>
      <w:pPr>
        <w:pStyle w:val="87"/>
        <w:ind w:firstLine="480"/>
        <w:jc w:val="left"/>
        <w:rPr>
          <w:rFonts w:ascii="宋体" w:hAnsi="宋体" w:cs="宋体"/>
          <w:color w:val="auto"/>
          <w:sz w:val="24"/>
          <w:highlight w:val="none"/>
        </w:rPr>
      </w:pPr>
      <w:r>
        <w:rPr>
          <w:rFonts w:hint="eastAsia" w:ascii="宋体" w:hAnsi="宋体" w:cs="宋体"/>
          <w:color w:val="auto"/>
          <w:sz w:val="24"/>
          <w:highlight w:val="none"/>
        </w:rPr>
        <w:t>4、具有依法缴纳税收和社会保障资金的良好记录</w:t>
      </w:r>
      <w:r>
        <w:rPr>
          <w:rFonts w:hint="eastAsia" w:ascii="宋体" w:hAnsi="宋体" w:cs="宋体"/>
          <w:b/>
          <w:color w:val="auto"/>
          <w:sz w:val="24"/>
          <w:highlight w:val="none"/>
        </w:rPr>
        <w:t>【</w:t>
      </w:r>
      <w:r>
        <w:rPr>
          <w:rFonts w:hint="eastAsia" w:ascii="宋体" w:hAnsi="宋体" w:cs="宋体"/>
          <w:b/>
          <w:bCs/>
          <w:color w:val="auto"/>
          <w:sz w:val="24"/>
          <w:highlight w:val="none"/>
        </w:rPr>
        <w:t>注：</w:t>
      </w:r>
      <w:r>
        <w:rPr>
          <w:rFonts w:hint="eastAsia" w:ascii="宋体" w:hAnsi="宋体" w:cs="宋体"/>
          <w:b/>
          <w:bCs/>
          <w:color w:val="auto"/>
          <w:sz w:val="24"/>
          <w:szCs w:val="22"/>
          <w:highlight w:val="none"/>
        </w:rPr>
        <w:t>①提供投标人缴纳2020年1月1日以来任意三个月缴纳税收的银行电子回单或者税务部门出具的纳税证明或完税证明材料的</w:t>
      </w:r>
      <w:r>
        <w:rPr>
          <w:rFonts w:hint="eastAsia" w:ascii="宋体" w:hAnsi="宋体" w:cs="宋体"/>
          <w:b/>
          <w:bCs/>
          <w:color w:val="auto"/>
          <w:sz w:val="24"/>
          <w:highlight w:val="none"/>
        </w:rPr>
        <w:t>原件原色电子件加盖投标人电子签章</w:t>
      </w:r>
      <w:r>
        <w:rPr>
          <w:rFonts w:hint="eastAsia" w:ascii="宋体" w:hAnsi="宋体" w:cs="宋体"/>
          <w:b/>
          <w:bCs/>
          <w:color w:val="auto"/>
          <w:sz w:val="24"/>
          <w:szCs w:val="22"/>
          <w:highlight w:val="none"/>
        </w:rPr>
        <w:t>，</w:t>
      </w:r>
      <w:r>
        <w:rPr>
          <w:rFonts w:hint="eastAsia" w:ascii="宋体" w:hAnsi="宋体" w:cs="宋体"/>
          <w:b/>
          <w:bCs/>
          <w:color w:val="auto"/>
          <w:sz w:val="24"/>
          <w:szCs w:val="22"/>
          <w:highlight w:val="none"/>
          <w:lang w:val="zh-CN"/>
        </w:rPr>
        <w:t>也可</w:t>
      </w:r>
      <w:r>
        <w:rPr>
          <w:rFonts w:hint="eastAsia" w:ascii="宋体" w:hAnsi="宋体" w:cs="宋体"/>
          <w:b/>
          <w:bCs/>
          <w:color w:val="auto"/>
          <w:sz w:val="24"/>
          <w:szCs w:val="22"/>
          <w:highlight w:val="none"/>
        </w:rPr>
        <w:t>提供承诺函，格式详见第三章 格式1-4。②提供投标人缴纳2020年1月1日以来任意三个月的缴纳社保的银行电子回单或社保部门出具的社保缴纳证明材料的</w:t>
      </w:r>
      <w:r>
        <w:rPr>
          <w:rFonts w:hint="eastAsia" w:ascii="宋体" w:hAnsi="宋体" w:cs="宋体"/>
          <w:b/>
          <w:bCs/>
          <w:color w:val="auto"/>
          <w:sz w:val="24"/>
          <w:highlight w:val="none"/>
        </w:rPr>
        <w:t>原件原色电子件加盖投标人电子签章</w:t>
      </w:r>
      <w:r>
        <w:rPr>
          <w:rFonts w:hint="eastAsia" w:ascii="宋体" w:hAnsi="宋体" w:cs="宋体"/>
          <w:b/>
          <w:bCs/>
          <w:color w:val="auto"/>
          <w:sz w:val="24"/>
          <w:szCs w:val="22"/>
          <w:highlight w:val="none"/>
        </w:rPr>
        <w:t>，</w:t>
      </w:r>
      <w:r>
        <w:rPr>
          <w:rFonts w:hint="eastAsia" w:ascii="宋体" w:hAnsi="宋体" w:cs="宋体"/>
          <w:b/>
          <w:bCs/>
          <w:color w:val="auto"/>
          <w:sz w:val="24"/>
          <w:szCs w:val="22"/>
          <w:highlight w:val="none"/>
          <w:lang w:val="zh-CN"/>
        </w:rPr>
        <w:t>也可</w:t>
      </w:r>
      <w:r>
        <w:rPr>
          <w:rFonts w:hint="eastAsia" w:ascii="宋体" w:hAnsi="宋体" w:cs="宋体"/>
          <w:b/>
          <w:bCs/>
          <w:color w:val="auto"/>
          <w:sz w:val="24"/>
          <w:szCs w:val="22"/>
          <w:highlight w:val="none"/>
        </w:rPr>
        <w:t>提供承诺函，格式详见第三章 格式1-4。</w:t>
      </w:r>
      <w:r>
        <w:rPr>
          <w:rFonts w:hint="eastAsia" w:ascii="宋体" w:hAnsi="宋体" w:cs="宋体"/>
          <w:color w:val="auto"/>
          <w:sz w:val="24"/>
          <w:highlight w:val="none"/>
        </w:rPr>
        <w:t>】</w:t>
      </w:r>
      <w:r>
        <w:rPr>
          <w:rFonts w:hint="eastAsia" w:ascii="宋体" w:hAnsi="宋体" w:cs="宋体"/>
          <w:b/>
          <w:bCs/>
          <w:color w:val="auto"/>
          <w:sz w:val="24"/>
          <w:highlight w:val="none"/>
        </w:rPr>
        <w:t>；</w:t>
      </w:r>
    </w:p>
    <w:p>
      <w:pPr>
        <w:pStyle w:val="87"/>
        <w:ind w:firstLine="480"/>
        <w:jc w:val="left"/>
        <w:rPr>
          <w:rFonts w:ascii="宋体" w:hAnsi="宋体" w:cs="宋体"/>
          <w:color w:val="auto"/>
          <w:sz w:val="24"/>
          <w:highlight w:val="none"/>
        </w:rPr>
      </w:pPr>
      <w:r>
        <w:rPr>
          <w:rFonts w:hint="eastAsia" w:ascii="宋体" w:hAnsi="宋体" w:cs="宋体"/>
          <w:color w:val="auto"/>
          <w:sz w:val="24"/>
          <w:highlight w:val="none"/>
        </w:rPr>
        <w:t>5、具备履行合同所必需的设备和专业技术能力的证明材料</w:t>
      </w:r>
      <w:r>
        <w:rPr>
          <w:rFonts w:hint="eastAsia" w:ascii="宋体" w:hAnsi="宋体" w:cs="宋体"/>
          <w:b/>
          <w:color w:val="auto"/>
          <w:sz w:val="24"/>
          <w:highlight w:val="none"/>
        </w:rPr>
        <w:t>【</w:t>
      </w:r>
      <w:r>
        <w:rPr>
          <w:rFonts w:hint="eastAsia" w:ascii="宋体" w:hAnsi="宋体" w:cs="宋体"/>
          <w:b/>
          <w:bCs/>
          <w:color w:val="auto"/>
          <w:sz w:val="24"/>
          <w:szCs w:val="22"/>
          <w:highlight w:val="none"/>
        </w:rPr>
        <w:t>注：按第三章的格式1-4及要求提供书面承诺函原件</w:t>
      </w:r>
      <w:r>
        <w:rPr>
          <w:rFonts w:hint="eastAsia" w:ascii="宋体" w:hAnsi="宋体" w:cs="宋体"/>
          <w:color w:val="auto"/>
          <w:sz w:val="24"/>
          <w:highlight w:val="none"/>
        </w:rPr>
        <w:t>】；</w:t>
      </w:r>
    </w:p>
    <w:p>
      <w:pPr>
        <w:pStyle w:val="87"/>
        <w:ind w:firstLine="480"/>
        <w:jc w:val="left"/>
        <w:rPr>
          <w:rFonts w:ascii="宋体" w:hAnsi="宋体" w:cs="宋体"/>
          <w:color w:val="auto"/>
          <w:sz w:val="24"/>
          <w:highlight w:val="none"/>
        </w:rPr>
      </w:pPr>
      <w:r>
        <w:rPr>
          <w:rFonts w:hint="eastAsia" w:ascii="宋体" w:hAnsi="宋体" w:cs="宋体"/>
          <w:color w:val="auto"/>
          <w:sz w:val="24"/>
          <w:highlight w:val="none"/>
        </w:rPr>
        <w:t>6、参加政府采购活动前3年内在经营活动中没有重大违法记录</w:t>
      </w:r>
      <w:r>
        <w:rPr>
          <w:rFonts w:hint="eastAsia" w:ascii="宋体" w:hAnsi="宋体" w:cs="宋体"/>
          <w:b/>
          <w:color w:val="auto"/>
          <w:sz w:val="24"/>
          <w:highlight w:val="none"/>
        </w:rPr>
        <w:t>【</w:t>
      </w:r>
      <w:r>
        <w:rPr>
          <w:rFonts w:hint="eastAsia" w:ascii="宋体" w:hAnsi="宋体" w:cs="宋体"/>
          <w:b/>
          <w:bCs/>
          <w:color w:val="auto"/>
          <w:sz w:val="24"/>
          <w:szCs w:val="22"/>
          <w:highlight w:val="none"/>
        </w:rPr>
        <w:t>注：按第三章的格式1-4及要求提供书面承诺函原件</w:t>
      </w:r>
      <w:r>
        <w:rPr>
          <w:rFonts w:hint="eastAsia" w:ascii="宋体" w:hAnsi="宋体" w:cs="宋体"/>
          <w:color w:val="auto"/>
          <w:sz w:val="24"/>
          <w:highlight w:val="none"/>
        </w:rPr>
        <w:t>】；</w:t>
      </w:r>
    </w:p>
    <w:p>
      <w:pPr>
        <w:pStyle w:val="87"/>
        <w:ind w:firstLine="480"/>
        <w:jc w:val="left"/>
        <w:rPr>
          <w:rFonts w:ascii="宋体" w:hAnsi="宋体" w:cs="宋体"/>
          <w:color w:val="auto"/>
          <w:sz w:val="24"/>
          <w:highlight w:val="none"/>
        </w:rPr>
      </w:pPr>
      <w:r>
        <w:rPr>
          <w:rFonts w:hint="eastAsia" w:ascii="宋体" w:hAnsi="宋体" w:cs="宋体"/>
          <w:color w:val="auto"/>
          <w:sz w:val="24"/>
          <w:highlight w:val="none"/>
        </w:rPr>
        <w:t>7、符合法律、行政法规规定的其他条件的证明材料</w:t>
      </w:r>
      <w:r>
        <w:rPr>
          <w:rFonts w:hint="eastAsia" w:ascii="宋体" w:hAnsi="宋体" w:cs="宋体"/>
          <w:b/>
          <w:color w:val="auto"/>
          <w:sz w:val="24"/>
          <w:highlight w:val="none"/>
        </w:rPr>
        <w:t>【</w:t>
      </w:r>
      <w:r>
        <w:rPr>
          <w:rFonts w:hint="eastAsia" w:ascii="宋体" w:hAnsi="宋体" w:cs="宋体"/>
          <w:b/>
          <w:bCs/>
          <w:color w:val="auto"/>
          <w:sz w:val="24"/>
          <w:szCs w:val="22"/>
          <w:highlight w:val="none"/>
        </w:rPr>
        <w:t>注：按第三章的格式1-4及要求提供书面承诺函原件</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8、本项目参加政府采购活动的投标人、法定代表人/主要负责人近3年内不得具有行贿犯罪记录。</w:t>
      </w:r>
      <w:r>
        <w:rPr>
          <w:rFonts w:hint="eastAsia" w:ascii="宋体" w:hAnsi="宋体" w:cs="宋体"/>
          <w:b/>
          <w:color w:val="auto"/>
          <w:sz w:val="24"/>
          <w:highlight w:val="none"/>
        </w:rPr>
        <w:t>【</w:t>
      </w:r>
      <w:r>
        <w:rPr>
          <w:rFonts w:hint="eastAsia" w:ascii="宋体" w:hAnsi="宋体" w:cs="宋体"/>
          <w:b/>
          <w:bCs/>
          <w:color w:val="auto"/>
          <w:sz w:val="24"/>
          <w:szCs w:val="22"/>
          <w:highlight w:val="none"/>
        </w:rPr>
        <w:t>注：按第三章的格式1-4及要求提供书面承诺函原件</w:t>
      </w:r>
      <w:r>
        <w:rPr>
          <w:rFonts w:hint="eastAsia" w:ascii="宋体" w:hAnsi="宋体" w:cs="宋体"/>
          <w:color w:val="auto"/>
          <w:sz w:val="24"/>
          <w:highlight w:val="none"/>
        </w:rPr>
        <w:t>】</w:t>
      </w:r>
      <w:r>
        <w:rPr>
          <w:rFonts w:hint="eastAsia" w:ascii="宋体" w:hAnsi="宋体" w:cs="宋体"/>
          <w:b/>
          <w:bCs/>
          <w:color w:val="auto"/>
          <w:sz w:val="24"/>
          <w:highlight w:val="none"/>
        </w:rPr>
        <w:t>；</w:t>
      </w:r>
    </w:p>
    <w:p>
      <w:pPr>
        <w:spacing w:line="360" w:lineRule="auto"/>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9、若采购产品为医疗器械的，投标人须符合《医疗器械监督管理条例》要求并提供投标人经营该产品的经营许可/经营备案证明材料。【</w:t>
      </w:r>
      <w:r>
        <w:rPr>
          <w:rFonts w:hint="eastAsia" w:ascii="宋体" w:hAnsi="宋体" w:cs="宋体"/>
          <w:b/>
          <w:bCs/>
          <w:color w:val="auto"/>
          <w:sz w:val="24"/>
          <w:highlight w:val="none"/>
        </w:rPr>
        <w:t>提供相关证明材料原件原色电子件加盖投标人电子签章</w:t>
      </w:r>
      <w:r>
        <w:rPr>
          <w:rFonts w:hint="eastAsia" w:ascii="宋体" w:hAnsi="宋体" w:cs="宋体"/>
          <w:color w:val="auto"/>
          <w:sz w:val="24"/>
          <w:highlight w:val="none"/>
        </w:rPr>
        <w:t>】</w:t>
      </w:r>
    </w:p>
    <w:p>
      <w:pPr>
        <w:pStyle w:val="87"/>
        <w:ind w:firstLine="0" w:firstLineChars="0"/>
        <w:rPr>
          <w:rFonts w:ascii="宋体" w:hAnsi="宋体" w:cs="宋体"/>
          <w:b/>
          <w:bCs/>
          <w:color w:val="auto"/>
          <w:sz w:val="24"/>
          <w:highlight w:val="none"/>
        </w:rPr>
      </w:pPr>
      <w:r>
        <w:rPr>
          <w:rFonts w:hint="eastAsia" w:ascii="宋体" w:hAnsi="宋体" w:cs="宋体"/>
          <w:b/>
          <w:bCs/>
          <w:color w:val="auto"/>
          <w:sz w:val="24"/>
          <w:highlight w:val="none"/>
        </w:rPr>
        <w:t>（二）其他类似效力要求相关证明材料：</w:t>
      </w:r>
    </w:p>
    <w:p>
      <w:pPr>
        <w:spacing w:line="360" w:lineRule="auto"/>
        <w:ind w:firstLine="480" w:firstLineChars="200"/>
        <w:jc w:val="left"/>
        <w:rPr>
          <w:rFonts w:ascii="宋体" w:hAnsi="宋体" w:cs="宋体"/>
          <w:b/>
          <w:bCs/>
          <w:color w:val="auto"/>
          <w:sz w:val="24"/>
          <w:highlight w:val="none"/>
        </w:rPr>
      </w:pPr>
      <w:r>
        <w:rPr>
          <w:rFonts w:hint="eastAsia" w:ascii="宋体" w:hAnsi="宋体" w:cs="宋体"/>
          <w:bCs/>
          <w:color w:val="auto"/>
          <w:sz w:val="24"/>
          <w:highlight w:val="none"/>
        </w:rPr>
        <w:t>1、法定代表人/单位负责人身份证明材料；</w:t>
      </w:r>
      <w:r>
        <w:rPr>
          <w:rFonts w:hint="eastAsia" w:ascii="宋体" w:hAnsi="宋体" w:cs="宋体"/>
          <w:color w:val="auto"/>
          <w:sz w:val="24"/>
          <w:highlight w:val="none"/>
        </w:rPr>
        <w:t>【</w:t>
      </w:r>
      <w:r>
        <w:rPr>
          <w:rFonts w:hint="eastAsia" w:ascii="宋体" w:hAnsi="宋体" w:cs="宋体"/>
          <w:b/>
          <w:bCs/>
          <w:color w:val="auto"/>
          <w:sz w:val="24"/>
          <w:highlight w:val="none"/>
        </w:rPr>
        <w:t>提供相关证明材料原件原色电子件加盖投标人电子签章</w:t>
      </w:r>
      <w:r>
        <w:rPr>
          <w:rFonts w:hint="eastAsia" w:ascii="宋体" w:hAnsi="宋体" w:cs="宋体"/>
          <w:color w:val="auto"/>
          <w:sz w:val="24"/>
          <w:highlight w:val="none"/>
        </w:rPr>
        <w:t>】</w:t>
      </w:r>
    </w:p>
    <w:p>
      <w:pPr>
        <w:spacing w:line="360" w:lineRule="auto"/>
        <w:ind w:firstLine="480" w:firstLineChars="200"/>
        <w:jc w:val="left"/>
        <w:rPr>
          <w:rFonts w:ascii="宋体" w:hAnsi="宋体" w:cs="宋体"/>
          <w:b/>
          <w:bCs/>
          <w:color w:val="auto"/>
          <w:sz w:val="24"/>
          <w:highlight w:val="none"/>
        </w:rPr>
      </w:pPr>
      <w:r>
        <w:rPr>
          <w:rFonts w:hint="eastAsia" w:ascii="宋体" w:hAnsi="宋体" w:cs="宋体"/>
          <w:bCs/>
          <w:color w:val="auto"/>
          <w:sz w:val="24"/>
          <w:highlight w:val="none"/>
        </w:rPr>
        <w:t>2、投标人为非法定代表人，需提供法定代表人授权书原件及法定代表人与被授权人身份证；</w:t>
      </w:r>
      <w:r>
        <w:rPr>
          <w:rFonts w:hint="eastAsia" w:ascii="宋体" w:hAnsi="宋体" w:cs="宋体"/>
          <w:color w:val="auto"/>
          <w:sz w:val="24"/>
          <w:highlight w:val="none"/>
        </w:rPr>
        <w:t>【</w:t>
      </w:r>
      <w:r>
        <w:rPr>
          <w:rFonts w:hint="eastAsia" w:ascii="宋体" w:hAnsi="宋体" w:cs="宋体"/>
          <w:b/>
          <w:bCs/>
          <w:color w:val="auto"/>
          <w:sz w:val="24"/>
          <w:highlight w:val="none"/>
        </w:rPr>
        <w:t>提供相关证明材料原件原色电子件加盖投标人电子签章</w:t>
      </w:r>
      <w:r>
        <w:rPr>
          <w:rFonts w:hint="eastAsia" w:ascii="宋体" w:hAnsi="宋体" w:cs="宋体"/>
          <w:color w:val="auto"/>
          <w:sz w:val="24"/>
          <w:highlight w:val="none"/>
        </w:rPr>
        <w:t>】</w:t>
      </w:r>
    </w:p>
    <w:p>
      <w:pPr>
        <w:pStyle w:val="87"/>
        <w:ind w:firstLine="480"/>
        <w:rPr>
          <w:rFonts w:ascii="宋体" w:hAnsi="宋体" w:cs="宋体"/>
          <w:bCs/>
          <w:color w:val="auto"/>
          <w:sz w:val="24"/>
          <w:highlight w:val="none"/>
        </w:rPr>
      </w:pPr>
    </w:p>
    <w:p>
      <w:pPr>
        <w:pStyle w:val="5"/>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二、应当提供的投标产品的资格、资质性及其他类似效力要求：</w:t>
      </w:r>
    </w:p>
    <w:bookmarkEnd w:id="212"/>
    <w:p>
      <w:pPr>
        <w:spacing w:line="360" w:lineRule="auto"/>
        <w:ind w:firstLine="480" w:firstLineChars="200"/>
        <w:jc w:val="left"/>
        <w:rPr>
          <w:rFonts w:ascii="宋体" w:hAnsi="宋体" w:cs="宋体"/>
          <w:color w:val="auto"/>
          <w:sz w:val="24"/>
          <w:highlight w:val="none"/>
        </w:rPr>
      </w:pPr>
      <w:bookmarkStart w:id="214" w:name="_Toc217446093"/>
      <w:r>
        <w:rPr>
          <w:rFonts w:hint="eastAsia" w:ascii="宋体" w:hAnsi="宋体" w:cs="宋体"/>
          <w:color w:val="auto"/>
          <w:sz w:val="24"/>
          <w:highlight w:val="none"/>
        </w:rPr>
        <w:t>1、若采购产品为医疗器械的，投标产品须符合《医疗器械注册管理办法》要求并提供产品的注册/备案证明材料。【</w:t>
      </w:r>
      <w:r>
        <w:rPr>
          <w:rFonts w:hint="eastAsia" w:ascii="宋体" w:hAnsi="宋体" w:cs="宋体"/>
          <w:b/>
          <w:bCs/>
          <w:color w:val="auto"/>
          <w:sz w:val="24"/>
          <w:highlight w:val="none"/>
        </w:rPr>
        <w:t>提供相关证明材料原件原色电子件加盖投标人电子签章</w:t>
      </w:r>
      <w:r>
        <w:rPr>
          <w:rFonts w:hint="eastAsia" w:ascii="宋体" w:hAnsi="宋体" w:cs="宋体"/>
          <w:color w:val="auto"/>
          <w:sz w:val="24"/>
          <w:highlight w:val="none"/>
        </w:rPr>
        <w:t>】</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注：1.本章要求提供的相关证明材料应当与第四章的规定要求对应，除投标人自愿以外，不能要求投标人提供额外的证明材料。如果要求提供额外的证明材料，投标人有权不予提供，且不影响投标文件的有效性和完整性。</w:t>
      </w:r>
    </w:p>
    <w:p>
      <w:pPr>
        <w:numPr>
          <w:ilvl w:val="0"/>
          <w:numId w:val="12"/>
        </w:numPr>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本章要求提供的相关证明材料应当结合采购项目具体情况和投标人的组织机构性质确定，不得一概而论。</w:t>
      </w:r>
      <w:bookmarkStart w:id="215" w:name="_Toc490290413"/>
      <w:bookmarkStart w:id="216" w:name="_Hlk490467174"/>
    </w:p>
    <w:p>
      <w:pPr>
        <w:numPr>
          <w:ilvl w:val="0"/>
          <w:numId w:val="12"/>
        </w:numPr>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本章要求按第三章的格式1-4及要求提供书面承诺函原件的条款只需提供一份涵盖所有内容的承诺函，不需多份提供。</w:t>
      </w:r>
    </w:p>
    <w:p>
      <w:pPr>
        <w:pStyle w:val="33"/>
        <w:spacing w:line="360" w:lineRule="auto"/>
        <w:rPr>
          <w:rFonts w:ascii="宋体" w:hAnsi="宋体" w:cs="宋体"/>
          <w:color w:val="auto"/>
          <w:highlight w:val="none"/>
        </w:rPr>
      </w:pPr>
      <w:r>
        <w:rPr>
          <w:rFonts w:hint="eastAsia" w:ascii="宋体" w:hAnsi="宋体" w:cs="宋体"/>
          <w:color w:val="auto"/>
          <w:highlight w:val="none"/>
        </w:rPr>
        <w:br w:type="page"/>
      </w:r>
      <w:bookmarkStart w:id="217" w:name="_Toc32366"/>
      <w:bookmarkStart w:id="218" w:name="_Toc30426"/>
      <w:r>
        <w:rPr>
          <w:rFonts w:hint="eastAsia" w:ascii="宋体" w:hAnsi="宋体" w:cs="宋体"/>
          <w:color w:val="auto"/>
          <w:highlight w:val="none"/>
        </w:rPr>
        <w:t>第六章 招标项目技术、服务、政府采购合同内容条款及其他商务要求</w:t>
      </w:r>
      <w:bookmarkEnd w:id="214"/>
      <w:bookmarkEnd w:id="215"/>
      <w:bookmarkEnd w:id="217"/>
      <w:bookmarkEnd w:id="218"/>
    </w:p>
    <w:bookmarkEnd w:id="216"/>
    <w:p>
      <w:pPr>
        <w:pStyle w:val="2"/>
        <w:spacing w:after="0" w:line="360" w:lineRule="auto"/>
        <w:rPr>
          <w:rFonts w:ascii="宋体" w:hAnsi="宋体" w:eastAsia="Times New Roman" w:cs="宋体"/>
          <w:b/>
          <w:bCs/>
          <w:color w:val="auto"/>
          <w:sz w:val="24"/>
          <w:highlight w:val="none"/>
        </w:rPr>
      </w:pPr>
      <w:bookmarkStart w:id="219" w:name="_Toc490290414"/>
      <w:r>
        <w:rPr>
          <w:rFonts w:hint="eastAsia" w:ascii="宋体" w:hAnsi="宋体" w:eastAsia="Times New Roman" w:cs="宋体"/>
          <w:b/>
          <w:bCs/>
          <w:color w:val="auto"/>
          <w:sz w:val="24"/>
          <w:highlight w:val="none"/>
        </w:rPr>
        <w:t>一、项目概述</w:t>
      </w:r>
    </w:p>
    <w:p>
      <w:pPr>
        <w:widowControl/>
        <w:adjustRightInd w:val="0"/>
        <w:snapToGrid w:val="0"/>
        <w:spacing w:line="360" w:lineRule="auto"/>
        <w:ind w:firstLine="480" w:firstLineChars="200"/>
        <w:jc w:val="left"/>
        <w:rPr>
          <w:rFonts w:ascii="宋体" w:hAnsi="宋体"/>
          <w:color w:val="auto"/>
          <w:kern w:val="0"/>
          <w:sz w:val="24"/>
          <w:highlight w:val="none"/>
        </w:rPr>
      </w:pPr>
      <w:r>
        <w:rPr>
          <w:rFonts w:hint="eastAsia" w:ascii="宋体" w:hAnsi="宋体"/>
          <w:color w:val="auto"/>
          <w:kern w:val="0"/>
          <w:sz w:val="24"/>
          <w:highlight w:val="none"/>
        </w:rPr>
        <w:t>1、项目概况：本项目共11个包，采购</w:t>
      </w:r>
      <w:r>
        <w:rPr>
          <w:rFonts w:hint="eastAsia" w:ascii="宋体" w:hAnsi="宋体" w:cs="宋体"/>
          <w:color w:val="auto"/>
          <w:sz w:val="24"/>
          <w:highlight w:val="none"/>
        </w:rPr>
        <w:t>医疗设备</w:t>
      </w:r>
      <w:r>
        <w:rPr>
          <w:rFonts w:hint="eastAsia" w:ascii="宋体" w:hAnsi="宋体"/>
          <w:color w:val="auto"/>
          <w:kern w:val="0"/>
          <w:sz w:val="24"/>
          <w:highlight w:val="none"/>
        </w:rPr>
        <w:t>一批：</w:t>
      </w:r>
    </w:p>
    <w:p>
      <w:pPr>
        <w:widowControl/>
        <w:adjustRightInd w:val="0"/>
        <w:snapToGrid w:val="0"/>
        <w:spacing w:line="360" w:lineRule="auto"/>
        <w:ind w:firstLine="480" w:firstLineChars="200"/>
        <w:jc w:val="left"/>
        <w:rPr>
          <w:rFonts w:ascii="宋体" w:hAnsi="宋体"/>
          <w:color w:val="auto"/>
          <w:kern w:val="0"/>
          <w:sz w:val="24"/>
          <w:highlight w:val="none"/>
        </w:rPr>
      </w:pPr>
      <w:r>
        <w:rPr>
          <w:rFonts w:hint="eastAsia" w:ascii="宋体" w:hAnsi="宋体"/>
          <w:color w:val="auto"/>
          <w:kern w:val="0"/>
          <w:sz w:val="24"/>
          <w:highlight w:val="none"/>
        </w:rPr>
        <w:t>2、采购清单、标的名称及所属行业：</w:t>
      </w:r>
    </w:p>
    <w:tbl>
      <w:tblPr>
        <w:tblStyle w:val="36"/>
        <w:tblW w:w="10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579"/>
        <w:gridCol w:w="3911"/>
        <w:gridCol w:w="568"/>
        <w:gridCol w:w="578"/>
        <w:gridCol w:w="1348"/>
        <w:gridCol w:w="1322"/>
        <w:gridCol w:w="887"/>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906"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包号</w:t>
            </w:r>
          </w:p>
        </w:tc>
        <w:tc>
          <w:tcPr>
            <w:tcW w:w="579" w:type="dxa"/>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3911" w:type="dxa"/>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设备名称（标的名称）</w:t>
            </w:r>
          </w:p>
        </w:tc>
        <w:tc>
          <w:tcPr>
            <w:tcW w:w="568" w:type="dxa"/>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578" w:type="dxa"/>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1348" w:type="dxa"/>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单价最高限价(万元)</w:t>
            </w:r>
          </w:p>
        </w:tc>
        <w:tc>
          <w:tcPr>
            <w:tcW w:w="1322" w:type="dxa"/>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总价最高限价(万元)</w:t>
            </w:r>
          </w:p>
        </w:tc>
        <w:tc>
          <w:tcPr>
            <w:tcW w:w="887" w:type="dxa"/>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lang w:eastAsia="zh-CN"/>
              </w:rPr>
              <w:t>备注</w:t>
            </w:r>
          </w:p>
        </w:tc>
        <w:tc>
          <w:tcPr>
            <w:tcW w:w="774" w:type="dxa"/>
            <w:noWrap/>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6" w:type="dxa"/>
            <w:vMerge w:val="restar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第一包</w:t>
            </w:r>
          </w:p>
        </w:tc>
        <w:tc>
          <w:tcPr>
            <w:tcW w:w="579" w:type="dxa"/>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3911" w:type="dxa"/>
            <w:noWrap/>
            <w:vAlign w:val="center"/>
          </w:tcPr>
          <w:p>
            <w:pPr>
              <w:jc w:val="left"/>
              <w:rPr>
                <w:rFonts w:ascii="宋体" w:hAnsi="宋体" w:cs="宋体"/>
                <w:color w:val="auto"/>
                <w:szCs w:val="21"/>
                <w:highlight w:val="none"/>
              </w:rPr>
            </w:pPr>
            <w:r>
              <w:rPr>
                <w:rFonts w:hint="eastAsia" w:ascii="宋体" w:hAnsi="宋体" w:cs="宋体"/>
                <w:color w:val="auto"/>
                <w:szCs w:val="21"/>
                <w:highlight w:val="none"/>
              </w:rPr>
              <w:t>麻醉工作台（核心产品）</w:t>
            </w:r>
          </w:p>
        </w:tc>
        <w:tc>
          <w:tcPr>
            <w:tcW w:w="568" w:type="dxa"/>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台</w:t>
            </w:r>
          </w:p>
        </w:tc>
        <w:tc>
          <w:tcPr>
            <w:tcW w:w="578" w:type="dxa"/>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348" w:type="dxa"/>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lang w:bidi="ar"/>
              </w:rPr>
              <w:t>15</w:t>
            </w:r>
          </w:p>
        </w:tc>
        <w:tc>
          <w:tcPr>
            <w:tcW w:w="1322" w:type="dxa"/>
            <w:vMerge w:val="restart"/>
            <w:noWrap/>
            <w:vAlign w:val="center"/>
          </w:tcPr>
          <w:p>
            <w:pPr>
              <w:widowControl/>
              <w:jc w:val="center"/>
              <w:rPr>
                <w:rFonts w:ascii="宋体" w:hAnsi="宋体" w:cs="宋体"/>
                <w:color w:val="auto"/>
                <w:kern w:val="0"/>
                <w:szCs w:val="21"/>
                <w:highlight w:val="none"/>
              </w:rPr>
            </w:pPr>
            <w:r>
              <w:rPr>
                <w:rFonts w:hint="eastAsia" w:ascii="宋体" w:hAnsi="宋体" w:cs="宋体"/>
                <w:color w:val="auto"/>
                <w:szCs w:val="21"/>
                <w:highlight w:val="none"/>
              </w:rPr>
              <w:t>66.794</w:t>
            </w:r>
          </w:p>
        </w:tc>
        <w:tc>
          <w:tcPr>
            <w:tcW w:w="887" w:type="dxa"/>
            <w:vMerge w:val="restart"/>
            <w:noWrap/>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w:t>
            </w:r>
          </w:p>
        </w:tc>
        <w:tc>
          <w:tcPr>
            <w:tcW w:w="774" w:type="dxa"/>
            <w:vMerge w:val="restart"/>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6" w:type="dxa"/>
            <w:vMerge w:val="continue"/>
            <w:vAlign w:val="center"/>
          </w:tcPr>
          <w:p>
            <w:pPr>
              <w:jc w:val="center"/>
              <w:rPr>
                <w:rFonts w:ascii="宋体" w:hAnsi="宋体" w:cs="宋体"/>
                <w:color w:val="auto"/>
                <w:szCs w:val="21"/>
                <w:highlight w:val="none"/>
              </w:rPr>
            </w:pPr>
          </w:p>
        </w:tc>
        <w:tc>
          <w:tcPr>
            <w:tcW w:w="579" w:type="dxa"/>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3911" w:type="dxa"/>
            <w:noWrap/>
            <w:vAlign w:val="center"/>
          </w:tcPr>
          <w:p>
            <w:pPr>
              <w:jc w:val="left"/>
              <w:rPr>
                <w:rFonts w:ascii="宋体" w:hAnsi="宋体" w:cs="宋体"/>
                <w:color w:val="auto"/>
                <w:szCs w:val="21"/>
                <w:highlight w:val="none"/>
              </w:rPr>
            </w:pPr>
            <w:r>
              <w:rPr>
                <w:rFonts w:hint="eastAsia" w:ascii="宋体" w:hAnsi="宋体" w:cs="宋体"/>
                <w:color w:val="auto"/>
                <w:szCs w:val="21"/>
                <w:highlight w:val="none"/>
              </w:rPr>
              <w:t>辐射台</w:t>
            </w:r>
          </w:p>
        </w:tc>
        <w:tc>
          <w:tcPr>
            <w:tcW w:w="568" w:type="dxa"/>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台</w:t>
            </w:r>
          </w:p>
        </w:tc>
        <w:tc>
          <w:tcPr>
            <w:tcW w:w="578" w:type="dxa"/>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6</w:t>
            </w:r>
          </w:p>
        </w:tc>
        <w:tc>
          <w:tcPr>
            <w:tcW w:w="1348" w:type="dxa"/>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1322" w:type="dxa"/>
            <w:vMerge w:val="continue"/>
            <w:noWrap/>
            <w:vAlign w:val="center"/>
          </w:tcPr>
          <w:p>
            <w:pPr>
              <w:widowControl/>
              <w:jc w:val="center"/>
              <w:textAlignment w:val="center"/>
              <w:rPr>
                <w:rFonts w:ascii="宋体" w:hAnsi="宋体" w:cs="宋体"/>
                <w:color w:val="auto"/>
                <w:szCs w:val="21"/>
                <w:highlight w:val="none"/>
              </w:rPr>
            </w:pPr>
          </w:p>
        </w:tc>
        <w:tc>
          <w:tcPr>
            <w:tcW w:w="887" w:type="dxa"/>
            <w:vMerge w:val="continue"/>
            <w:noWrap/>
            <w:vAlign w:val="center"/>
          </w:tcPr>
          <w:p>
            <w:pPr>
              <w:widowControl/>
              <w:jc w:val="center"/>
              <w:textAlignment w:val="center"/>
              <w:rPr>
                <w:rFonts w:ascii="宋体" w:hAnsi="宋体" w:cs="宋体"/>
                <w:color w:val="auto"/>
                <w:szCs w:val="21"/>
                <w:highlight w:val="none"/>
              </w:rPr>
            </w:pPr>
          </w:p>
        </w:tc>
        <w:tc>
          <w:tcPr>
            <w:tcW w:w="774" w:type="dxa"/>
            <w:vMerge w:val="continue"/>
            <w:noWrap/>
            <w:vAlign w:val="center"/>
          </w:tcPr>
          <w:p>
            <w:pPr>
              <w:widowControl/>
              <w:jc w:val="center"/>
              <w:textAlignment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06" w:type="dxa"/>
            <w:vMerge w:val="continue"/>
            <w:vAlign w:val="center"/>
          </w:tcPr>
          <w:p>
            <w:pPr>
              <w:jc w:val="center"/>
              <w:rPr>
                <w:rFonts w:ascii="宋体" w:hAnsi="宋体" w:cs="宋体"/>
                <w:color w:val="auto"/>
                <w:szCs w:val="21"/>
                <w:highlight w:val="none"/>
              </w:rPr>
            </w:pPr>
          </w:p>
        </w:tc>
        <w:tc>
          <w:tcPr>
            <w:tcW w:w="579" w:type="dxa"/>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3911" w:type="dxa"/>
            <w:noWrap/>
            <w:vAlign w:val="center"/>
          </w:tcPr>
          <w:p>
            <w:pPr>
              <w:jc w:val="left"/>
              <w:rPr>
                <w:rFonts w:ascii="宋体" w:hAnsi="宋体" w:cs="宋体"/>
                <w:color w:val="auto"/>
                <w:szCs w:val="21"/>
                <w:highlight w:val="none"/>
              </w:rPr>
            </w:pPr>
            <w:r>
              <w:rPr>
                <w:rFonts w:hint="eastAsia" w:ascii="宋体" w:hAnsi="宋体" w:cs="宋体"/>
                <w:color w:val="auto"/>
                <w:szCs w:val="21"/>
                <w:highlight w:val="none"/>
              </w:rPr>
              <w:t>电子婴儿秤</w:t>
            </w:r>
          </w:p>
        </w:tc>
        <w:tc>
          <w:tcPr>
            <w:tcW w:w="568" w:type="dxa"/>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台</w:t>
            </w:r>
          </w:p>
        </w:tc>
        <w:tc>
          <w:tcPr>
            <w:tcW w:w="578" w:type="dxa"/>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12</w:t>
            </w:r>
          </w:p>
        </w:tc>
        <w:tc>
          <w:tcPr>
            <w:tcW w:w="1348" w:type="dxa"/>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0.082</w:t>
            </w:r>
          </w:p>
        </w:tc>
        <w:tc>
          <w:tcPr>
            <w:tcW w:w="1322" w:type="dxa"/>
            <w:vMerge w:val="continue"/>
            <w:noWrap/>
            <w:vAlign w:val="center"/>
          </w:tcPr>
          <w:p>
            <w:pPr>
              <w:widowControl/>
              <w:jc w:val="center"/>
              <w:textAlignment w:val="center"/>
              <w:rPr>
                <w:rFonts w:ascii="宋体" w:hAnsi="宋体" w:cs="宋体"/>
                <w:color w:val="auto"/>
                <w:szCs w:val="21"/>
                <w:highlight w:val="none"/>
              </w:rPr>
            </w:pPr>
          </w:p>
        </w:tc>
        <w:tc>
          <w:tcPr>
            <w:tcW w:w="887" w:type="dxa"/>
            <w:vMerge w:val="continue"/>
            <w:noWrap/>
            <w:vAlign w:val="center"/>
          </w:tcPr>
          <w:p>
            <w:pPr>
              <w:widowControl/>
              <w:jc w:val="center"/>
              <w:textAlignment w:val="center"/>
              <w:rPr>
                <w:rFonts w:ascii="宋体" w:hAnsi="宋体" w:cs="宋体"/>
                <w:color w:val="auto"/>
                <w:szCs w:val="21"/>
                <w:highlight w:val="none"/>
              </w:rPr>
            </w:pPr>
          </w:p>
        </w:tc>
        <w:tc>
          <w:tcPr>
            <w:tcW w:w="774" w:type="dxa"/>
            <w:vMerge w:val="continue"/>
            <w:noWrap/>
            <w:vAlign w:val="center"/>
          </w:tcPr>
          <w:p>
            <w:pPr>
              <w:widowControl/>
              <w:jc w:val="center"/>
              <w:textAlignment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06" w:type="dxa"/>
            <w:vMerge w:val="continue"/>
            <w:vAlign w:val="center"/>
          </w:tcPr>
          <w:p>
            <w:pPr>
              <w:jc w:val="center"/>
              <w:rPr>
                <w:rFonts w:ascii="宋体" w:hAnsi="宋体" w:cs="宋体"/>
                <w:color w:val="auto"/>
                <w:szCs w:val="21"/>
                <w:highlight w:val="none"/>
              </w:rPr>
            </w:pPr>
          </w:p>
        </w:tc>
        <w:tc>
          <w:tcPr>
            <w:tcW w:w="579" w:type="dxa"/>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3911" w:type="dxa"/>
            <w:noWrap/>
            <w:vAlign w:val="center"/>
          </w:tcPr>
          <w:p>
            <w:pPr>
              <w:jc w:val="left"/>
              <w:rPr>
                <w:rFonts w:ascii="宋体" w:hAnsi="宋体" w:cs="宋体"/>
                <w:color w:val="auto"/>
                <w:szCs w:val="21"/>
                <w:highlight w:val="none"/>
              </w:rPr>
            </w:pPr>
            <w:r>
              <w:rPr>
                <w:rFonts w:hint="eastAsia" w:ascii="宋体" w:hAnsi="宋体" w:cs="宋体"/>
                <w:color w:val="auto"/>
                <w:szCs w:val="21"/>
                <w:highlight w:val="none"/>
              </w:rPr>
              <w:t>新生儿蓝光治疗灯</w:t>
            </w:r>
          </w:p>
        </w:tc>
        <w:tc>
          <w:tcPr>
            <w:tcW w:w="568" w:type="dxa"/>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台</w:t>
            </w:r>
          </w:p>
        </w:tc>
        <w:tc>
          <w:tcPr>
            <w:tcW w:w="578" w:type="dxa"/>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1348" w:type="dxa"/>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1322" w:type="dxa"/>
            <w:vMerge w:val="continue"/>
            <w:noWrap/>
            <w:vAlign w:val="center"/>
          </w:tcPr>
          <w:p>
            <w:pPr>
              <w:widowControl/>
              <w:jc w:val="center"/>
              <w:textAlignment w:val="center"/>
              <w:rPr>
                <w:rFonts w:ascii="宋体" w:hAnsi="宋体" w:cs="宋体"/>
                <w:color w:val="auto"/>
                <w:szCs w:val="21"/>
                <w:highlight w:val="none"/>
              </w:rPr>
            </w:pPr>
          </w:p>
        </w:tc>
        <w:tc>
          <w:tcPr>
            <w:tcW w:w="887" w:type="dxa"/>
            <w:vMerge w:val="continue"/>
            <w:noWrap/>
            <w:vAlign w:val="center"/>
          </w:tcPr>
          <w:p>
            <w:pPr>
              <w:widowControl/>
              <w:jc w:val="center"/>
              <w:textAlignment w:val="center"/>
              <w:rPr>
                <w:rFonts w:ascii="宋体" w:hAnsi="宋体" w:cs="宋体"/>
                <w:color w:val="auto"/>
                <w:szCs w:val="21"/>
                <w:highlight w:val="none"/>
              </w:rPr>
            </w:pPr>
          </w:p>
        </w:tc>
        <w:tc>
          <w:tcPr>
            <w:tcW w:w="774" w:type="dxa"/>
            <w:vMerge w:val="continue"/>
            <w:noWrap/>
            <w:vAlign w:val="center"/>
          </w:tcPr>
          <w:p>
            <w:pPr>
              <w:widowControl/>
              <w:jc w:val="center"/>
              <w:textAlignment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06" w:type="dxa"/>
            <w:vMerge w:val="continue"/>
            <w:vAlign w:val="center"/>
          </w:tcPr>
          <w:p>
            <w:pPr>
              <w:jc w:val="center"/>
              <w:rPr>
                <w:rFonts w:ascii="宋体" w:hAnsi="宋体" w:cs="宋体"/>
                <w:color w:val="auto"/>
                <w:szCs w:val="21"/>
                <w:highlight w:val="none"/>
              </w:rPr>
            </w:pPr>
          </w:p>
        </w:tc>
        <w:tc>
          <w:tcPr>
            <w:tcW w:w="579" w:type="dxa"/>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3911" w:type="dxa"/>
            <w:noWrap/>
            <w:vAlign w:val="center"/>
          </w:tcPr>
          <w:p>
            <w:pPr>
              <w:jc w:val="left"/>
              <w:rPr>
                <w:rFonts w:ascii="宋体" w:hAnsi="宋体" w:cs="宋体"/>
                <w:color w:val="auto"/>
                <w:szCs w:val="21"/>
                <w:highlight w:val="none"/>
              </w:rPr>
            </w:pPr>
            <w:r>
              <w:rPr>
                <w:rFonts w:hint="eastAsia" w:ascii="宋体" w:hAnsi="宋体" w:cs="宋体"/>
                <w:color w:val="auto"/>
                <w:szCs w:val="21"/>
                <w:highlight w:val="none"/>
              </w:rPr>
              <w:t>血氧饱和度检测仪</w:t>
            </w:r>
          </w:p>
        </w:tc>
        <w:tc>
          <w:tcPr>
            <w:tcW w:w="568" w:type="dxa"/>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台</w:t>
            </w:r>
          </w:p>
        </w:tc>
        <w:tc>
          <w:tcPr>
            <w:tcW w:w="578" w:type="dxa"/>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11</w:t>
            </w:r>
          </w:p>
        </w:tc>
        <w:tc>
          <w:tcPr>
            <w:tcW w:w="1348" w:type="dxa"/>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0.35</w:t>
            </w:r>
          </w:p>
        </w:tc>
        <w:tc>
          <w:tcPr>
            <w:tcW w:w="1322" w:type="dxa"/>
            <w:vMerge w:val="continue"/>
            <w:noWrap/>
            <w:vAlign w:val="center"/>
          </w:tcPr>
          <w:p>
            <w:pPr>
              <w:widowControl/>
              <w:jc w:val="center"/>
              <w:textAlignment w:val="center"/>
              <w:rPr>
                <w:rFonts w:ascii="宋体" w:hAnsi="宋体" w:cs="宋体"/>
                <w:color w:val="auto"/>
                <w:szCs w:val="21"/>
                <w:highlight w:val="none"/>
              </w:rPr>
            </w:pPr>
          </w:p>
        </w:tc>
        <w:tc>
          <w:tcPr>
            <w:tcW w:w="887" w:type="dxa"/>
            <w:vMerge w:val="continue"/>
            <w:noWrap/>
            <w:vAlign w:val="center"/>
          </w:tcPr>
          <w:p>
            <w:pPr>
              <w:widowControl/>
              <w:jc w:val="center"/>
              <w:textAlignment w:val="center"/>
              <w:rPr>
                <w:rFonts w:ascii="宋体" w:hAnsi="宋体" w:cs="宋体"/>
                <w:color w:val="auto"/>
                <w:szCs w:val="21"/>
                <w:highlight w:val="none"/>
              </w:rPr>
            </w:pPr>
          </w:p>
        </w:tc>
        <w:tc>
          <w:tcPr>
            <w:tcW w:w="774" w:type="dxa"/>
            <w:vMerge w:val="continue"/>
            <w:noWrap/>
            <w:vAlign w:val="center"/>
          </w:tcPr>
          <w:p>
            <w:pPr>
              <w:widowControl/>
              <w:jc w:val="center"/>
              <w:textAlignment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06" w:type="dxa"/>
            <w:vMerge w:val="continue"/>
            <w:vAlign w:val="center"/>
          </w:tcPr>
          <w:p>
            <w:pPr>
              <w:jc w:val="center"/>
              <w:rPr>
                <w:rFonts w:ascii="宋体" w:hAnsi="宋体" w:cs="宋体"/>
                <w:color w:val="auto"/>
                <w:szCs w:val="21"/>
                <w:highlight w:val="none"/>
              </w:rPr>
            </w:pPr>
          </w:p>
        </w:tc>
        <w:tc>
          <w:tcPr>
            <w:tcW w:w="579" w:type="dxa"/>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6</w:t>
            </w:r>
          </w:p>
        </w:tc>
        <w:tc>
          <w:tcPr>
            <w:tcW w:w="3911" w:type="dxa"/>
            <w:noWrap/>
            <w:vAlign w:val="center"/>
          </w:tcPr>
          <w:p>
            <w:pPr>
              <w:jc w:val="left"/>
              <w:rPr>
                <w:rFonts w:ascii="宋体" w:hAnsi="宋体" w:cs="宋体"/>
                <w:color w:val="auto"/>
                <w:szCs w:val="21"/>
                <w:highlight w:val="none"/>
              </w:rPr>
            </w:pPr>
            <w:r>
              <w:rPr>
                <w:rFonts w:hint="eastAsia" w:ascii="宋体" w:hAnsi="宋体" w:cs="宋体"/>
                <w:color w:val="auto"/>
                <w:szCs w:val="21"/>
                <w:highlight w:val="none"/>
              </w:rPr>
              <w:t>经皮黄疸仪</w:t>
            </w:r>
          </w:p>
        </w:tc>
        <w:tc>
          <w:tcPr>
            <w:tcW w:w="568" w:type="dxa"/>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台</w:t>
            </w:r>
          </w:p>
        </w:tc>
        <w:tc>
          <w:tcPr>
            <w:tcW w:w="578" w:type="dxa"/>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1348" w:type="dxa"/>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2.64</w:t>
            </w:r>
          </w:p>
        </w:tc>
        <w:tc>
          <w:tcPr>
            <w:tcW w:w="1322" w:type="dxa"/>
            <w:vMerge w:val="continue"/>
            <w:noWrap/>
            <w:vAlign w:val="center"/>
          </w:tcPr>
          <w:p>
            <w:pPr>
              <w:widowControl/>
              <w:jc w:val="center"/>
              <w:textAlignment w:val="center"/>
              <w:rPr>
                <w:rFonts w:ascii="宋体" w:hAnsi="宋体" w:cs="宋体"/>
                <w:color w:val="auto"/>
                <w:szCs w:val="21"/>
                <w:highlight w:val="none"/>
              </w:rPr>
            </w:pPr>
          </w:p>
        </w:tc>
        <w:tc>
          <w:tcPr>
            <w:tcW w:w="887" w:type="dxa"/>
            <w:vMerge w:val="continue"/>
            <w:noWrap/>
            <w:vAlign w:val="center"/>
          </w:tcPr>
          <w:p>
            <w:pPr>
              <w:widowControl/>
              <w:jc w:val="center"/>
              <w:textAlignment w:val="center"/>
              <w:rPr>
                <w:rFonts w:ascii="宋体" w:hAnsi="宋体" w:cs="宋体"/>
                <w:color w:val="auto"/>
                <w:szCs w:val="21"/>
                <w:highlight w:val="none"/>
              </w:rPr>
            </w:pPr>
          </w:p>
        </w:tc>
        <w:tc>
          <w:tcPr>
            <w:tcW w:w="774" w:type="dxa"/>
            <w:vMerge w:val="continue"/>
            <w:noWrap/>
            <w:vAlign w:val="center"/>
          </w:tcPr>
          <w:p>
            <w:pPr>
              <w:widowControl/>
              <w:jc w:val="center"/>
              <w:textAlignment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06" w:type="dxa"/>
            <w:vMerge w:val="continue"/>
            <w:vAlign w:val="center"/>
          </w:tcPr>
          <w:p>
            <w:pPr>
              <w:jc w:val="center"/>
              <w:rPr>
                <w:rFonts w:ascii="宋体" w:hAnsi="宋体" w:cs="宋体"/>
                <w:color w:val="auto"/>
                <w:szCs w:val="21"/>
                <w:highlight w:val="none"/>
              </w:rPr>
            </w:pPr>
          </w:p>
        </w:tc>
        <w:tc>
          <w:tcPr>
            <w:tcW w:w="579" w:type="dxa"/>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7</w:t>
            </w:r>
          </w:p>
        </w:tc>
        <w:tc>
          <w:tcPr>
            <w:tcW w:w="3911" w:type="dxa"/>
            <w:noWrap/>
            <w:vAlign w:val="center"/>
          </w:tcPr>
          <w:p>
            <w:pPr>
              <w:jc w:val="left"/>
              <w:rPr>
                <w:rFonts w:ascii="宋体" w:hAnsi="宋体" w:cs="宋体"/>
                <w:color w:val="auto"/>
                <w:szCs w:val="21"/>
                <w:highlight w:val="none"/>
              </w:rPr>
            </w:pPr>
            <w:r>
              <w:rPr>
                <w:rFonts w:hint="eastAsia" w:ascii="宋体" w:hAnsi="宋体" w:cs="宋体"/>
                <w:color w:val="auto"/>
                <w:szCs w:val="21"/>
                <w:highlight w:val="none"/>
              </w:rPr>
              <w:t>多系统治疗仪（产后康复治疗仪）</w:t>
            </w:r>
          </w:p>
        </w:tc>
        <w:tc>
          <w:tcPr>
            <w:tcW w:w="568" w:type="dxa"/>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台</w:t>
            </w:r>
          </w:p>
        </w:tc>
        <w:tc>
          <w:tcPr>
            <w:tcW w:w="578" w:type="dxa"/>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1348" w:type="dxa"/>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6.2</w:t>
            </w:r>
          </w:p>
        </w:tc>
        <w:tc>
          <w:tcPr>
            <w:tcW w:w="1322" w:type="dxa"/>
            <w:vMerge w:val="continue"/>
            <w:noWrap/>
            <w:vAlign w:val="center"/>
          </w:tcPr>
          <w:p>
            <w:pPr>
              <w:widowControl/>
              <w:jc w:val="center"/>
              <w:textAlignment w:val="center"/>
              <w:rPr>
                <w:rFonts w:ascii="宋体" w:hAnsi="宋体" w:cs="宋体"/>
                <w:color w:val="auto"/>
                <w:szCs w:val="21"/>
                <w:highlight w:val="none"/>
              </w:rPr>
            </w:pPr>
          </w:p>
        </w:tc>
        <w:tc>
          <w:tcPr>
            <w:tcW w:w="887" w:type="dxa"/>
            <w:vMerge w:val="continue"/>
            <w:noWrap/>
            <w:vAlign w:val="center"/>
          </w:tcPr>
          <w:p>
            <w:pPr>
              <w:widowControl/>
              <w:jc w:val="center"/>
              <w:textAlignment w:val="center"/>
              <w:rPr>
                <w:rFonts w:ascii="宋体" w:hAnsi="宋体" w:cs="宋体"/>
                <w:color w:val="auto"/>
                <w:szCs w:val="21"/>
                <w:highlight w:val="none"/>
              </w:rPr>
            </w:pPr>
          </w:p>
        </w:tc>
        <w:tc>
          <w:tcPr>
            <w:tcW w:w="774" w:type="dxa"/>
            <w:vMerge w:val="continue"/>
            <w:noWrap/>
            <w:vAlign w:val="center"/>
          </w:tcPr>
          <w:p>
            <w:pPr>
              <w:widowControl/>
              <w:jc w:val="center"/>
              <w:textAlignment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06" w:type="dxa"/>
            <w:vMerge w:val="restar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第二包</w:t>
            </w:r>
          </w:p>
        </w:tc>
        <w:tc>
          <w:tcPr>
            <w:tcW w:w="579" w:type="dxa"/>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911" w:type="dxa"/>
            <w:noWrap/>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便携式吸痰器</w:t>
            </w:r>
          </w:p>
        </w:tc>
        <w:tc>
          <w:tcPr>
            <w:tcW w:w="568" w:type="dxa"/>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78" w:type="dxa"/>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1348" w:type="dxa"/>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0.092</w:t>
            </w:r>
          </w:p>
        </w:tc>
        <w:tc>
          <w:tcPr>
            <w:tcW w:w="1322" w:type="dxa"/>
            <w:vMerge w:val="restart"/>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59.374</w:t>
            </w:r>
          </w:p>
        </w:tc>
        <w:tc>
          <w:tcPr>
            <w:tcW w:w="887" w:type="dxa"/>
            <w:vMerge w:val="restart"/>
            <w:noWrap/>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w:t>
            </w:r>
          </w:p>
        </w:tc>
        <w:tc>
          <w:tcPr>
            <w:tcW w:w="774" w:type="dxa"/>
            <w:vMerge w:val="continue"/>
            <w:noWrap/>
            <w:vAlign w:val="center"/>
          </w:tcPr>
          <w:p>
            <w:pPr>
              <w:widowControl/>
              <w:jc w:val="center"/>
              <w:rPr>
                <w:rFonts w:hint="eastAsia" w:ascii="宋体" w:hAnsi="宋体" w:eastAsia="宋体" w:cs="宋体"/>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06" w:type="dxa"/>
            <w:vMerge w:val="continue"/>
            <w:vAlign w:val="center"/>
          </w:tcPr>
          <w:p>
            <w:pPr>
              <w:jc w:val="center"/>
              <w:rPr>
                <w:rFonts w:ascii="宋体" w:hAnsi="宋体" w:cs="宋体"/>
                <w:color w:val="auto"/>
                <w:szCs w:val="21"/>
                <w:highlight w:val="none"/>
              </w:rPr>
            </w:pPr>
          </w:p>
        </w:tc>
        <w:tc>
          <w:tcPr>
            <w:tcW w:w="579" w:type="dxa"/>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3911" w:type="dxa"/>
            <w:noWrap/>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电动吸引器</w:t>
            </w:r>
          </w:p>
        </w:tc>
        <w:tc>
          <w:tcPr>
            <w:tcW w:w="568" w:type="dxa"/>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578" w:type="dxa"/>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348" w:type="dxa"/>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0.3</w:t>
            </w:r>
          </w:p>
        </w:tc>
        <w:tc>
          <w:tcPr>
            <w:tcW w:w="1322" w:type="dxa"/>
            <w:vMerge w:val="continue"/>
            <w:noWrap/>
            <w:vAlign w:val="center"/>
          </w:tcPr>
          <w:p>
            <w:pPr>
              <w:widowControl/>
              <w:jc w:val="center"/>
              <w:rPr>
                <w:rFonts w:ascii="宋体" w:hAnsi="宋体" w:cs="宋体"/>
                <w:color w:val="auto"/>
                <w:kern w:val="0"/>
                <w:szCs w:val="21"/>
                <w:highlight w:val="none"/>
              </w:rPr>
            </w:pPr>
          </w:p>
        </w:tc>
        <w:tc>
          <w:tcPr>
            <w:tcW w:w="887" w:type="dxa"/>
            <w:vMerge w:val="continue"/>
            <w:noWrap/>
            <w:vAlign w:val="center"/>
          </w:tcPr>
          <w:p>
            <w:pPr>
              <w:widowControl/>
              <w:jc w:val="center"/>
              <w:rPr>
                <w:rFonts w:ascii="宋体" w:hAnsi="宋体" w:cs="宋体"/>
                <w:color w:val="auto"/>
                <w:kern w:val="0"/>
                <w:szCs w:val="21"/>
                <w:highlight w:val="none"/>
              </w:rPr>
            </w:pPr>
          </w:p>
        </w:tc>
        <w:tc>
          <w:tcPr>
            <w:tcW w:w="774" w:type="dxa"/>
            <w:vMerge w:val="continue"/>
            <w:noWrap/>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06" w:type="dxa"/>
            <w:vMerge w:val="continue"/>
            <w:vAlign w:val="center"/>
          </w:tcPr>
          <w:p>
            <w:pPr>
              <w:jc w:val="center"/>
              <w:rPr>
                <w:rFonts w:ascii="宋体" w:hAnsi="宋体" w:cs="宋体"/>
                <w:color w:val="auto"/>
                <w:szCs w:val="21"/>
                <w:highlight w:val="none"/>
              </w:rPr>
            </w:pPr>
          </w:p>
        </w:tc>
        <w:tc>
          <w:tcPr>
            <w:tcW w:w="579" w:type="dxa"/>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3911" w:type="dxa"/>
            <w:noWrap/>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麻醉咽喉镜1</w:t>
            </w:r>
          </w:p>
        </w:tc>
        <w:tc>
          <w:tcPr>
            <w:tcW w:w="568" w:type="dxa"/>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578" w:type="dxa"/>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1348" w:type="dxa"/>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1.22</w:t>
            </w:r>
          </w:p>
        </w:tc>
        <w:tc>
          <w:tcPr>
            <w:tcW w:w="1322" w:type="dxa"/>
            <w:vMerge w:val="continue"/>
            <w:noWrap/>
            <w:vAlign w:val="center"/>
          </w:tcPr>
          <w:p>
            <w:pPr>
              <w:widowControl/>
              <w:jc w:val="center"/>
              <w:rPr>
                <w:rFonts w:ascii="宋体" w:hAnsi="宋体" w:cs="宋体"/>
                <w:color w:val="auto"/>
                <w:kern w:val="0"/>
                <w:szCs w:val="21"/>
                <w:highlight w:val="none"/>
              </w:rPr>
            </w:pPr>
          </w:p>
        </w:tc>
        <w:tc>
          <w:tcPr>
            <w:tcW w:w="887" w:type="dxa"/>
            <w:vMerge w:val="continue"/>
            <w:noWrap/>
            <w:vAlign w:val="center"/>
          </w:tcPr>
          <w:p>
            <w:pPr>
              <w:widowControl/>
              <w:jc w:val="center"/>
              <w:rPr>
                <w:rFonts w:ascii="宋体" w:hAnsi="宋体" w:cs="宋体"/>
                <w:color w:val="auto"/>
                <w:kern w:val="0"/>
                <w:szCs w:val="21"/>
                <w:highlight w:val="none"/>
              </w:rPr>
            </w:pPr>
          </w:p>
        </w:tc>
        <w:tc>
          <w:tcPr>
            <w:tcW w:w="774" w:type="dxa"/>
            <w:vMerge w:val="continue"/>
            <w:noWrap/>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06" w:type="dxa"/>
            <w:vMerge w:val="continue"/>
            <w:vAlign w:val="center"/>
          </w:tcPr>
          <w:p>
            <w:pPr>
              <w:jc w:val="center"/>
              <w:rPr>
                <w:rFonts w:ascii="宋体" w:hAnsi="宋体" w:cs="宋体"/>
                <w:color w:val="auto"/>
                <w:szCs w:val="21"/>
                <w:highlight w:val="none"/>
              </w:rPr>
            </w:pPr>
          </w:p>
        </w:tc>
        <w:tc>
          <w:tcPr>
            <w:tcW w:w="579" w:type="dxa"/>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3911" w:type="dxa"/>
            <w:noWrap/>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喉镜柄</w:t>
            </w:r>
          </w:p>
        </w:tc>
        <w:tc>
          <w:tcPr>
            <w:tcW w:w="568" w:type="dxa"/>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578" w:type="dxa"/>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1348" w:type="dxa"/>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0.12</w:t>
            </w:r>
          </w:p>
        </w:tc>
        <w:tc>
          <w:tcPr>
            <w:tcW w:w="1322" w:type="dxa"/>
            <w:vMerge w:val="continue"/>
            <w:noWrap/>
            <w:vAlign w:val="center"/>
          </w:tcPr>
          <w:p>
            <w:pPr>
              <w:widowControl/>
              <w:jc w:val="center"/>
              <w:rPr>
                <w:rFonts w:ascii="宋体" w:hAnsi="宋体" w:cs="宋体"/>
                <w:color w:val="auto"/>
                <w:kern w:val="0"/>
                <w:szCs w:val="21"/>
                <w:highlight w:val="none"/>
              </w:rPr>
            </w:pPr>
          </w:p>
        </w:tc>
        <w:tc>
          <w:tcPr>
            <w:tcW w:w="887" w:type="dxa"/>
            <w:vMerge w:val="continue"/>
            <w:noWrap/>
            <w:vAlign w:val="center"/>
          </w:tcPr>
          <w:p>
            <w:pPr>
              <w:widowControl/>
              <w:jc w:val="center"/>
              <w:rPr>
                <w:rFonts w:ascii="宋体" w:hAnsi="宋体" w:cs="宋体"/>
                <w:color w:val="auto"/>
                <w:kern w:val="0"/>
                <w:szCs w:val="21"/>
                <w:highlight w:val="none"/>
              </w:rPr>
            </w:pPr>
          </w:p>
        </w:tc>
        <w:tc>
          <w:tcPr>
            <w:tcW w:w="774" w:type="dxa"/>
            <w:vMerge w:val="continue"/>
            <w:noWrap/>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06" w:type="dxa"/>
            <w:vMerge w:val="continue"/>
            <w:vAlign w:val="center"/>
          </w:tcPr>
          <w:p>
            <w:pPr>
              <w:jc w:val="center"/>
              <w:rPr>
                <w:rFonts w:ascii="宋体" w:hAnsi="宋体" w:cs="宋体"/>
                <w:color w:val="auto"/>
                <w:szCs w:val="21"/>
                <w:highlight w:val="none"/>
              </w:rPr>
            </w:pPr>
          </w:p>
        </w:tc>
        <w:tc>
          <w:tcPr>
            <w:tcW w:w="579" w:type="dxa"/>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3911" w:type="dxa"/>
            <w:noWrap/>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喉镜舌片1</w:t>
            </w:r>
          </w:p>
        </w:tc>
        <w:tc>
          <w:tcPr>
            <w:tcW w:w="568" w:type="dxa"/>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78" w:type="dxa"/>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1348" w:type="dxa"/>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0.1</w:t>
            </w:r>
          </w:p>
        </w:tc>
        <w:tc>
          <w:tcPr>
            <w:tcW w:w="1322" w:type="dxa"/>
            <w:vMerge w:val="continue"/>
            <w:noWrap/>
            <w:vAlign w:val="center"/>
          </w:tcPr>
          <w:p>
            <w:pPr>
              <w:widowControl/>
              <w:jc w:val="center"/>
              <w:rPr>
                <w:rFonts w:ascii="宋体" w:hAnsi="宋体" w:cs="宋体"/>
                <w:color w:val="auto"/>
                <w:kern w:val="0"/>
                <w:szCs w:val="21"/>
                <w:highlight w:val="none"/>
              </w:rPr>
            </w:pPr>
          </w:p>
        </w:tc>
        <w:tc>
          <w:tcPr>
            <w:tcW w:w="887" w:type="dxa"/>
            <w:vMerge w:val="continue"/>
            <w:noWrap/>
            <w:vAlign w:val="center"/>
          </w:tcPr>
          <w:p>
            <w:pPr>
              <w:widowControl/>
              <w:jc w:val="center"/>
              <w:rPr>
                <w:rFonts w:ascii="宋体" w:hAnsi="宋体" w:cs="宋体"/>
                <w:color w:val="auto"/>
                <w:kern w:val="0"/>
                <w:szCs w:val="21"/>
                <w:highlight w:val="none"/>
              </w:rPr>
            </w:pPr>
          </w:p>
        </w:tc>
        <w:tc>
          <w:tcPr>
            <w:tcW w:w="774" w:type="dxa"/>
            <w:vMerge w:val="continue"/>
            <w:noWrap/>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06" w:type="dxa"/>
            <w:vMerge w:val="continue"/>
            <w:vAlign w:val="center"/>
          </w:tcPr>
          <w:p>
            <w:pPr>
              <w:jc w:val="center"/>
              <w:rPr>
                <w:rFonts w:ascii="宋体" w:hAnsi="宋体" w:cs="宋体"/>
                <w:color w:val="auto"/>
                <w:szCs w:val="21"/>
                <w:highlight w:val="none"/>
              </w:rPr>
            </w:pPr>
          </w:p>
        </w:tc>
        <w:tc>
          <w:tcPr>
            <w:tcW w:w="579" w:type="dxa"/>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3911" w:type="dxa"/>
            <w:noWrap/>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喉镜舌片2</w:t>
            </w:r>
          </w:p>
        </w:tc>
        <w:tc>
          <w:tcPr>
            <w:tcW w:w="568" w:type="dxa"/>
            <w:noWrap/>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578" w:type="dxa"/>
            <w:noWrap/>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1348" w:type="dxa"/>
            <w:noWrap/>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0.12</w:t>
            </w:r>
          </w:p>
        </w:tc>
        <w:tc>
          <w:tcPr>
            <w:tcW w:w="1322" w:type="dxa"/>
            <w:vMerge w:val="continue"/>
            <w:noWrap/>
          </w:tcPr>
          <w:p>
            <w:pPr>
              <w:widowControl/>
              <w:jc w:val="center"/>
              <w:rPr>
                <w:rFonts w:ascii="宋体" w:hAnsi="宋体" w:cs="宋体"/>
                <w:color w:val="auto"/>
                <w:kern w:val="0"/>
                <w:szCs w:val="21"/>
                <w:highlight w:val="none"/>
              </w:rPr>
            </w:pPr>
          </w:p>
        </w:tc>
        <w:tc>
          <w:tcPr>
            <w:tcW w:w="887" w:type="dxa"/>
            <w:vMerge w:val="continue"/>
            <w:noWrap/>
          </w:tcPr>
          <w:p>
            <w:pPr>
              <w:widowControl/>
              <w:jc w:val="center"/>
              <w:rPr>
                <w:rFonts w:ascii="宋体" w:hAnsi="宋体" w:cs="宋体"/>
                <w:color w:val="auto"/>
                <w:kern w:val="0"/>
                <w:szCs w:val="21"/>
                <w:highlight w:val="none"/>
              </w:rPr>
            </w:pPr>
          </w:p>
        </w:tc>
        <w:tc>
          <w:tcPr>
            <w:tcW w:w="774" w:type="dxa"/>
            <w:vMerge w:val="continue"/>
            <w:noWrap/>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06" w:type="dxa"/>
            <w:vMerge w:val="continue"/>
            <w:vAlign w:val="center"/>
          </w:tcPr>
          <w:p>
            <w:pPr>
              <w:jc w:val="center"/>
              <w:rPr>
                <w:rFonts w:ascii="宋体" w:hAnsi="宋体" w:cs="宋体"/>
                <w:color w:val="auto"/>
                <w:szCs w:val="21"/>
                <w:highlight w:val="none"/>
              </w:rPr>
            </w:pPr>
          </w:p>
        </w:tc>
        <w:tc>
          <w:tcPr>
            <w:tcW w:w="579"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3911" w:type="dxa"/>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麻醉咽喉镜2</w:t>
            </w:r>
          </w:p>
        </w:tc>
        <w:tc>
          <w:tcPr>
            <w:tcW w:w="568"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578"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348"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0.8</w:t>
            </w:r>
          </w:p>
        </w:tc>
        <w:tc>
          <w:tcPr>
            <w:tcW w:w="1322" w:type="dxa"/>
            <w:vMerge w:val="continue"/>
            <w:vAlign w:val="center"/>
          </w:tcPr>
          <w:p>
            <w:pPr>
              <w:widowControl/>
              <w:jc w:val="center"/>
              <w:rPr>
                <w:rFonts w:ascii="宋体" w:hAnsi="宋体" w:cs="宋体"/>
                <w:color w:val="auto"/>
                <w:kern w:val="0"/>
                <w:szCs w:val="21"/>
                <w:highlight w:val="none"/>
              </w:rPr>
            </w:pPr>
          </w:p>
        </w:tc>
        <w:tc>
          <w:tcPr>
            <w:tcW w:w="887" w:type="dxa"/>
            <w:vMerge w:val="continue"/>
            <w:vAlign w:val="center"/>
          </w:tcPr>
          <w:p>
            <w:pPr>
              <w:widowControl/>
              <w:jc w:val="center"/>
              <w:rPr>
                <w:rFonts w:ascii="宋体" w:hAnsi="宋体" w:cs="宋体"/>
                <w:color w:val="auto"/>
                <w:kern w:val="0"/>
                <w:szCs w:val="21"/>
                <w:highlight w:val="none"/>
              </w:rPr>
            </w:pPr>
          </w:p>
        </w:tc>
        <w:tc>
          <w:tcPr>
            <w:tcW w:w="774" w:type="dxa"/>
            <w:vMerge w:val="continue"/>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06" w:type="dxa"/>
            <w:vMerge w:val="continue"/>
            <w:vAlign w:val="center"/>
          </w:tcPr>
          <w:p>
            <w:pPr>
              <w:jc w:val="center"/>
              <w:rPr>
                <w:rFonts w:ascii="宋体" w:hAnsi="宋体" w:cs="宋体"/>
                <w:color w:val="auto"/>
                <w:szCs w:val="21"/>
                <w:highlight w:val="none"/>
              </w:rPr>
            </w:pPr>
          </w:p>
        </w:tc>
        <w:tc>
          <w:tcPr>
            <w:tcW w:w="579"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3911" w:type="dxa"/>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呼吸复苏（器）囊</w:t>
            </w:r>
          </w:p>
        </w:tc>
        <w:tc>
          <w:tcPr>
            <w:tcW w:w="568"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578"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348"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0.1</w:t>
            </w:r>
          </w:p>
        </w:tc>
        <w:tc>
          <w:tcPr>
            <w:tcW w:w="1322" w:type="dxa"/>
            <w:vMerge w:val="continue"/>
            <w:vAlign w:val="center"/>
          </w:tcPr>
          <w:p>
            <w:pPr>
              <w:widowControl/>
              <w:jc w:val="center"/>
              <w:rPr>
                <w:rFonts w:ascii="宋体" w:hAnsi="宋体" w:cs="宋体"/>
                <w:color w:val="auto"/>
                <w:kern w:val="0"/>
                <w:szCs w:val="21"/>
                <w:highlight w:val="none"/>
              </w:rPr>
            </w:pPr>
          </w:p>
        </w:tc>
        <w:tc>
          <w:tcPr>
            <w:tcW w:w="887" w:type="dxa"/>
            <w:vMerge w:val="continue"/>
            <w:vAlign w:val="center"/>
          </w:tcPr>
          <w:p>
            <w:pPr>
              <w:widowControl/>
              <w:jc w:val="center"/>
              <w:rPr>
                <w:rFonts w:ascii="宋体" w:hAnsi="宋体" w:cs="宋体"/>
                <w:color w:val="auto"/>
                <w:kern w:val="0"/>
                <w:szCs w:val="21"/>
                <w:highlight w:val="none"/>
              </w:rPr>
            </w:pPr>
          </w:p>
        </w:tc>
        <w:tc>
          <w:tcPr>
            <w:tcW w:w="774" w:type="dxa"/>
            <w:vMerge w:val="continue"/>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06" w:type="dxa"/>
            <w:vMerge w:val="continue"/>
            <w:vAlign w:val="center"/>
          </w:tcPr>
          <w:p>
            <w:pPr>
              <w:jc w:val="center"/>
              <w:rPr>
                <w:rFonts w:ascii="宋体" w:hAnsi="宋体" w:cs="宋体"/>
                <w:color w:val="auto"/>
                <w:szCs w:val="21"/>
                <w:highlight w:val="none"/>
              </w:rPr>
            </w:pPr>
          </w:p>
        </w:tc>
        <w:tc>
          <w:tcPr>
            <w:tcW w:w="579"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3911" w:type="dxa"/>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视频气管插管镜（核心产品）</w:t>
            </w:r>
          </w:p>
        </w:tc>
        <w:tc>
          <w:tcPr>
            <w:tcW w:w="568"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78"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348"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1322" w:type="dxa"/>
            <w:vMerge w:val="continue"/>
            <w:vAlign w:val="center"/>
          </w:tcPr>
          <w:p>
            <w:pPr>
              <w:widowControl/>
              <w:jc w:val="center"/>
              <w:rPr>
                <w:rFonts w:ascii="宋体" w:hAnsi="宋体" w:cs="宋体"/>
                <w:color w:val="auto"/>
                <w:kern w:val="0"/>
                <w:szCs w:val="21"/>
                <w:highlight w:val="none"/>
              </w:rPr>
            </w:pPr>
          </w:p>
        </w:tc>
        <w:tc>
          <w:tcPr>
            <w:tcW w:w="887" w:type="dxa"/>
            <w:vMerge w:val="continue"/>
            <w:vAlign w:val="center"/>
          </w:tcPr>
          <w:p>
            <w:pPr>
              <w:widowControl/>
              <w:jc w:val="center"/>
              <w:rPr>
                <w:rFonts w:ascii="宋体" w:hAnsi="宋体" w:cs="宋体"/>
                <w:color w:val="auto"/>
                <w:kern w:val="0"/>
                <w:szCs w:val="21"/>
                <w:highlight w:val="none"/>
              </w:rPr>
            </w:pPr>
          </w:p>
        </w:tc>
        <w:tc>
          <w:tcPr>
            <w:tcW w:w="774" w:type="dxa"/>
            <w:vMerge w:val="continue"/>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06" w:type="dxa"/>
            <w:vMerge w:val="continue"/>
            <w:vAlign w:val="center"/>
          </w:tcPr>
          <w:p>
            <w:pPr>
              <w:jc w:val="center"/>
              <w:rPr>
                <w:rFonts w:ascii="宋体" w:hAnsi="宋体" w:cs="宋体"/>
                <w:color w:val="auto"/>
                <w:szCs w:val="21"/>
                <w:highlight w:val="none"/>
              </w:rPr>
            </w:pPr>
          </w:p>
        </w:tc>
        <w:tc>
          <w:tcPr>
            <w:tcW w:w="579"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3911" w:type="dxa"/>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氧气袋</w:t>
            </w:r>
          </w:p>
        </w:tc>
        <w:tc>
          <w:tcPr>
            <w:tcW w:w="568"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578"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348"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0.05</w:t>
            </w:r>
          </w:p>
        </w:tc>
        <w:tc>
          <w:tcPr>
            <w:tcW w:w="1322" w:type="dxa"/>
            <w:vMerge w:val="continue"/>
            <w:vAlign w:val="center"/>
          </w:tcPr>
          <w:p>
            <w:pPr>
              <w:widowControl/>
              <w:jc w:val="center"/>
              <w:rPr>
                <w:rFonts w:ascii="宋体" w:hAnsi="宋体" w:cs="宋体"/>
                <w:color w:val="auto"/>
                <w:kern w:val="0"/>
                <w:szCs w:val="21"/>
                <w:highlight w:val="none"/>
              </w:rPr>
            </w:pPr>
          </w:p>
        </w:tc>
        <w:tc>
          <w:tcPr>
            <w:tcW w:w="887" w:type="dxa"/>
            <w:vMerge w:val="continue"/>
            <w:vAlign w:val="center"/>
          </w:tcPr>
          <w:p>
            <w:pPr>
              <w:widowControl/>
              <w:jc w:val="center"/>
              <w:rPr>
                <w:rFonts w:ascii="宋体" w:hAnsi="宋体" w:cs="宋体"/>
                <w:color w:val="auto"/>
                <w:kern w:val="0"/>
                <w:szCs w:val="21"/>
                <w:highlight w:val="none"/>
              </w:rPr>
            </w:pPr>
          </w:p>
        </w:tc>
        <w:tc>
          <w:tcPr>
            <w:tcW w:w="774" w:type="dxa"/>
            <w:vMerge w:val="continue"/>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06" w:type="dxa"/>
            <w:vMerge w:val="continue"/>
            <w:vAlign w:val="center"/>
          </w:tcPr>
          <w:p>
            <w:pPr>
              <w:jc w:val="center"/>
              <w:rPr>
                <w:rFonts w:ascii="宋体" w:hAnsi="宋体" w:cs="宋体"/>
                <w:color w:val="auto"/>
                <w:szCs w:val="21"/>
                <w:highlight w:val="none"/>
              </w:rPr>
            </w:pPr>
          </w:p>
        </w:tc>
        <w:tc>
          <w:tcPr>
            <w:tcW w:w="579"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3911" w:type="dxa"/>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医用氧气瓶</w:t>
            </w:r>
          </w:p>
        </w:tc>
        <w:tc>
          <w:tcPr>
            <w:tcW w:w="568"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578"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1348"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0.316</w:t>
            </w:r>
          </w:p>
        </w:tc>
        <w:tc>
          <w:tcPr>
            <w:tcW w:w="1322" w:type="dxa"/>
            <w:vMerge w:val="continue"/>
            <w:vAlign w:val="center"/>
          </w:tcPr>
          <w:p>
            <w:pPr>
              <w:widowControl/>
              <w:jc w:val="center"/>
              <w:rPr>
                <w:rFonts w:ascii="宋体" w:hAnsi="宋体" w:cs="宋体"/>
                <w:color w:val="auto"/>
                <w:kern w:val="0"/>
                <w:szCs w:val="21"/>
                <w:highlight w:val="none"/>
              </w:rPr>
            </w:pPr>
          </w:p>
        </w:tc>
        <w:tc>
          <w:tcPr>
            <w:tcW w:w="887" w:type="dxa"/>
            <w:vMerge w:val="continue"/>
            <w:vAlign w:val="center"/>
          </w:tcPr>
          <w:p>
            <w:pPr>
              <w:widowControl/>
              <w:jc w:val="center"/>
              <w:rPr>
                <w:rFonts w:ascii="宋体" w:hAnsi="宋体" w:cs="宋体"/>
                <w:color w:val="auto"/>
                <w:kern w:val="0"/>
                <w:szCs w:val="21"/>
                <w:highlight w:val="none"/>
              </w:rPr>
            </w:pPr>
          </w:p>
        </w:tc>
        <w:tc>
          <w:tcPr>
            <w:tcW w:w="774" w:type="dxa"/>
            <w:vMerge w:val="continue"/>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06" w:type="dxa"/>
            <w:vMerge w:val="continue"/>
            <w:vAlign w:val="center"/>
          </w:tcPr>
          <w:p>
            <w:pPr>
              <w:jc w:val="center"/>
              <w:rPr>
                <w:rFonts w:ascii="宋体" w:hAnsi="宋体" w:cs="宋体"/>
                <w:color w:val="auto"/>
                <w:szCs w:val="21"/>
                <w:highlight w:val="none"/>
              </w:rPr>
            </w:pPr>
          </w:p>
        </w:tc>
        <w:tc>
          <w:tcPr>
            <w:tcW w:w="579"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3911" w:type="dxa"/>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数字式多道心电图机</w:t>
            </w:r>
          </w:p>
        </w:tc>
        <w:tc>
          <w:tcPr>
            <w:tcW w:w="568"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78"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348"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5.9</w:t>
            </w:r>
          </w:p>
        </w:tc>
        <w:tc>
          <w:tcPr>
            <w:tcW w:w="1322" w:type="dxa"/>
            <w:vMerge w:val="continue"/>
            <w:vAlign w:val="center"/>
          </w:tcPr>
          <w:p>
            <w:pPr>
              <w:widowControl/>
              <w:jc w:val="center"/>
              <w:rPr>
                <w:rFonts w:ascii="宋体" w:hAnsi="宋体" w:cs="宋体"/>
                <w:color w:val="auto"/>
                <w:kern w:val="0"/>
                <w:szCs w:val="21"/>
                <w:highlight w:val="none"/>
              </w:rPr>
            </w:pPr>
          </w:p>
        </w:tc>
        <w:tc>
          <w:tcPr>
            <w:tcW w:w="887" w:type="dxa"/>
            <w:vMerge w:val="continue"/>
            <w:vAlign w:val="center"/>
          </w:tcPr>
          <w:p>
            <w:pPr>
              <w:widowControl/>
              <w:jc w:val="center"/>
              <w:rPr>
                <w:rFonts w:ascii="宋体" w:hAnsi="宋体" w:cs="宋体"/>
                <w:color w:val="auto"/>
                <w:kern w:val="0"/>
                <w:szCs w:val="21"/>
                <w:highlight w:val="none"/>
              </w:rPr>
            </w:pPr>
          </w:p>
        </w:tc>
        <w:tc>
          <w:tcPr>
            <w:tcW w:w="774" w:type="dxa"/>
            <w:vMerge w:val="continue"/>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06" w:type="dxa"/>
            <w:vMerge w:val="continue"/>
            <w:vAlign w:val="center"/>
          </w:tcPr>
          <w:p>
            <w:pPr>
              <w:jc w:val="center"/>
              <w:rPr>
                <w:rFonts w:ascii="宋体" w:hAnsi="宋体" w:cs="宋体"/>
                <w:color w:val="auto"/>
                <w:szCs w:val="21"/>
                <w:highlight w:val="none"/>
              </w:rPr>
            </w:pPr>
          </w:p>
        </w:tc>
        <w:tc>
          <w:tcPr>
            <w:tcW w:w="579"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3911" w:type="dxa"/>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动态血压记录仪</w:t>
            </w:r>
          </w:p>
        </w:tc>
        <w:tc>
          <w:tcPr>
            <w:tcW w:w="568"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78"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1348"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1.9</w:t>
            </w:r>
          </w:p>
        </w:tc>
        <w:tc>
          <w:tcPr>
            <w:tcW w:w="1322" w:type="dxa"/>
            <w:vMerge w:val="continue"/>
            <w:vAlign w:val="center"/>
          </w:tcPr>
          <w:p>
            <w:pPr>
              <w:widowControl/>
              <w:jc w:val="center"/>
              <w:rPr>
                <w:rFonts w:ascii="宋体" w:hAnsi="宋体" w:cs="宋体"/>
                <w:color w:val="auto"/>
                <w:kern w:val="0"/>
                <w:szCs w:val="21"/>
                <w:highlight w:val="none"/>
              </w:rPr>
            </w:pPr>
          </w:p>
        </w:tc>
        <w:tc>
          <w:tcPr>
            <w:tcW w:w="887" w:type="dxa"/>
            <w:vMerge w:val="continue"/>
            <w:vAlign w:val="center"/>
          </w:tcPr>
          <w:p>
            <w:pPr>
              <w:widowControl/>
              <w:jc w:val="center"/>
              <w:rPr>
                <w:rFonts w:ascii="宋体" w:hAnsi="宋体" w:cs="宋体"/>
                <w:color w:val="auto"/>
                <w:kern w:val="0"/>
                <w:szCs w:val="21"/>
                <w:highlight w:val="none"/>
              </w:rPr>
            </w:pPr>
          </w:p>
        </w:tc>
        <w:tc>
          <w:tcPr>
            <w:tcW w:w="774" w:type="dxa"/>
            <w:vMerge w:val="continue"/>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06" w:type="dxa"/>
            <w:vMerge w:val="continue"/>
            <w:vAlign w:val="center"/>
          </w:tcPr>
          <w:p>
            <w:pPr>
              <w:jc w:val="center"/>
              <w:rPr>
                <w:rFonts w:ascii="宋体" w:hAnsi="宋体" w:cs="宋体"/>
                <w:color w:val="auto"/>
                <w:szCs w:val="21"/>
                <w:highlight w:val="none"/>
              </w:rPr>
            </w:pPr>
          </w:p>
        </w:tc>
        <w:tc>
          <w:tcPr>
            <w:tcW w:w="579"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3911" w:type="dxa"/>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电子血压计1</w:t>
            </w:r>
          </w:p>
        </w:tc>
        <w:tc>
          <w:tcPr>
            <w:tcW w:w="568"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578" w:type="dxa"/>
            <w:vAlign w:val="bottom"/>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348"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0.04</w:t>
            </w:r>
          </w:p>
        </w:tc>
        <w:tc>
          <w:tcPr>
            <w:tcW w:w="1322" w:type="dxa"/>
            <w:vMerge w:val="continue"/>
            <w:vAlign w:val="center"/>
          </w:tcPr>
          <w:p>
            <w:pPr>
              <w:widowControl/>
              <w:jc w:val="center"/>
              <w:rPr>
                <w:rFonts w:ascii="宋体" w:hAnsi="宋体" w:cs="宋体"/>
                <w:color w:val="auto"/>
                <w:kern w:val="0"/>
                <w:szCs w:val="21"/>
                <w:highlight w:val="none"/>
              </w:rPr>
            </w:pPr>
          </w:p>
        </w:tc>
        <w:tc>
          <w:tcPr>
            <w:tcW w:w="887" w:type="dxa"/>
            <w:vMerge w:val="continue"/>
            <w:vAlign w:val="center"/>
          </w:tcPr>
          <w:p>
            <w:pPr>
              <w:widowControl/>
              <w:jc w:val="center"/>
              <w:rPr>
                <w:rFonts w:ascii="宋体" w:hAnsi="宋体" w:cs="宋体"/>
                <w:color w:val="auto"/>
                <w:kern w:val="0"/>
                <w:szCs w:val="21"/>
                <w:highlight w:val="none"/>
              </w:rPr>
            </w:pPr>
          </w:p>
        </w:tc>
        <w:tc>
          <w:tcPr>
            <w:tcW w:w="774" w:type="dxa"/>
            <w:vMerge w:val="continue"/>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06" w:type="dxa"/>
            <w:vMerge w:val="continue"/>
            <w:vAlign w:val="center"/>
          </w:tcPr>
          <w:p>
            <w:pPr>
              <w:jc w:val="center"/>
              <w:rPr>
                <w:rFonts w:ascii="宋体" w:hAnsi="宋体" w:cs="宋体"/>
                <w:color w:val="auto"/>
                <w:szCs w:val="21"/>
                <w:highlight w:val="none"/>
              </w:rPr>
            </w:pPr>
          </w:p>
        </w:tc>
        <w:tc>
          <w:tcPr>
            <w:tcW w:w="579"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3911" w:type="dxa"/>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电子血压计2</w:t>
            </w:r>
          </w:p>
        </w:tc>
        <w:tc>
          <w:tcPr>
            <w:tcW w:w="568"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578"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1348"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0.042</w:t>
            </w:r>
          </w:p>
        </w:tc>
        <w:tc>
          <w:tcPr>
            <w:tcW w:w="1322" w:type="dxa"/>
            <w:vMerge w:val="continue"/>
            <w:vAlign w:val="center"/>
          </w:tcPr>
          <w:p>
            <w:pPr>
              <w:widowControl/>
              <w:jc w:val="center"/>
              <w:rPr>
                <w:rFonts w:ascii="宋体" w:hAnsi="宋体" w:cs="宋体"/>
                <w:color w:val="auto"/>
                <w:kern w:val="0"/>
                <w:szCs w:val="21"/>
                <w:highlight w:val="none"/>
              </w:rPr>
            </w:pPr>
          </w:p>
        </w:tc>
        <w:tc>
          <w:tcPr>
            <w:tcW w:w="887" w:type="dxa"/>
            <w:vMerge w:val="continue"/>
            <w:vAlign w:val="center"/>
          </w:tcPr>
          <w:p>
            <w:pPr>
              <w:widowControl/>
              <w:jc w:val="center"/>
              <w:rPr>
                <w:rFonts w:ascii="宋体" w:hAnsi="宋体" w:cs="宋体"/>
                <w:color w:val="auto"/>
                <w:kern w:val="0"/>
                <w:szCs w:val="21"/>
                <w:highlight w:val="none"/>
              </w:rPr>
            </w:pPr>
          </w:p>
        </w:tc>
        <w:tc>
          <w:tcPr>
            <w:tcW w:w="774" w:type="dxa"/>
            <w:vMerge w:val="continue"/>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06" w:type="dxa"/>
            <w:vMerge w:val="continue"/>
            <w:vAlign w:val="center"/>
          </w:tcPr>
          <w:p>
            <w:pPr>
              <w:jc w:val="center"/>
              <w:rPr>
                <w:rFonts w:ascii="宋体" w:hAnsi="宋体" w:cs="宋体"/>
                <w:color w:val="auto"/>
                <w:szCs w:val="21"/>
                <w:highlight w:val="none"/>
              </w:rPr>
            </w:pPr>
          </w:p>
        </w:tc>
        <w:tc>
          <w:tcPr>
            <w:tcW w:w="579"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3911" w:type="dxa"/>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急救箱</w:t>
            </w:r>
          </w:p>
        </w:tc>
        <w:tc>
          <w:tcPr>
            <w:tcW w:w="568"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578"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348"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0.2</w:t>
            </w:r>
          </w:p>
        </w:tc>
        <w:tc>
          <w:tcPr>
            <w:tcW w:w="1322" w:type="dxa"/>
            <w:vMerge w:val="continue"/>
            <w:vAlign w:val="center"/>
          </w:tcPr>
          <w:p>
            <w:pPr>
              <w:widowControl/>
              <w:jc w:val="center"/>
              <w:rPr>
                <w:rFonts w:ascii="宋体" w:hAnsi="宋体" w:cs="宋体"/>
                <w:color w:val="auto"/>
                <w:kern w:val="0"/>
                <w:szCs w:val="21"/>
                <w:highlight w:val="none"/>
              </w:rPr>
            </w:pPr>
          </w:p>
        </w:tc>
        <w:tc>
          <w:tcPr>
            <w:tcW w:w="887" w:type="dxa"/>
            <w:vMerge w:val="continue"/>
            <w:vAlign w:val="center"/>
          </w:tcPr>
          <w:p>
            <w:pPr>
              <w:widowControl/>
              <w:jc w:val="center"/>
              <w:rPr>
                <w:rFonts w:ascii="宋体" w:hAnsi="宋体" w:cs="宋体"/>
                <w:color w:val="auto"/>
                <w:kern w:val="0"/>
                <w:szCs w:val="21"/>
                <w:highlight w:val="none"/>
              </w:rPr>
            </w:pPr>
          </w:p>
        </w:tc>
        <w:tc>
          <w:tcPr>
            <w:tcW w:w="774" w:type="dxa"/>
            <w:vMerge w:val="continue"/>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06" w:type="dxa"/>
            <w:vMerge w:val="continue"/>
            <w:vAlign w:val="center"/>
          </w:tcPr>
          <w:p>
            <w:pPr>
              <w:jc w:val="center"/>
              <w:rPr>
                <w:rFonts w:ascii="宋体" w:hAnsi="宋体" w:cs="宋体"/>
                <w:color w:val="auto"/>
                <w:szCs w:val="21"/>
                <w:highlight w:val="none"/>
              </w:rPr>
            </w:pPr>
          </w:p>
        </w:tc>
        <w:tc>
          <w:tcPr>
            <w:tcW w:w="579"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3911" w:type="dxa"/>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急救包</w:t>
            </w:r>
          </w:p>
        </w:tc>
        <w:tc>
          <w:tcPr>
            <w:tcW w:w="568"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578"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348"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0.2</w:t>
            </w:r>
          </w:p>
        </w:tc>
        <w:tc>
          <w:tcPr>
            <w:tcW w:w="1322" w:type="dxa"/>
            <w:vMerge w:val="continue"/>
            <w:vAlign w:val="center"/>
          </w:tcPr>
          <w:p>
            <w:pPr>
              <w:widowControl/>
              <w:jc w:val="center"/>
              <w:rPr>
                <w:rFonts w:ascii="宋体" w:hAnsi="宋体" w:cs="宋体"/>
                <w:color w:val="auto"/>
                <w:kern w:val="0"/>
                <w:szCs w:val="21"/>
                <w:highlight w:val="none"/>
              </w:rPr>
            </w:pPr>
          </w:p>
        </w:tc>
        <w:tc>
          <w:tcPr>
            <w:tcW w:w="887" w:type="dxa"/>
            <w:vMerge w:val="continue"/>
            <w:vAlign w:val="center"/>
          </w:tcPr>
          <w:p>
            <w:pPr>
              <w:widowControl/>
              <w:jc w:val="center"/>
              <w:rPr>
                <w:rFonts w:ascii="宋体" w:hAnsi="宋体" w:cs="宋体"/>
                <w:color w:val="auto"/>
                <w:kern w:val="0"/>
                <w:szCs w:val="21"/>
                <w:highlight w:val="none"/>
              </w:rPr>
            </w:pPr>
          </w:p>
        </w:tc>
        <w:tc>
          <w:tcPr>
            <w:tcW w:w="774" w:type="dxa"/>
            <w:vMerge w:val="continue"/>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06" w:type="dxa"/>
            <w:vMerge w:val="continue"/>
            <w:vAlign w:val="center"/>
          </w:tcPr>
          <w:p>
            <w:pPr>
              <w:jc w:val="center"/>
              <w:rPr>
                <w:rFonts w:ascii="宋体" w:hAnsi="宋体" w:cs="宋体"/>
                <w:color w:val="auto"/>
                <w:szCs w:val="21"/>
                <w:highlight w:val="none"/>
              </w:rPr>
            </w:pPr>
          </w:p>
        </w:tc>
        <w:tc>
          <w:tcPr>
            <w:tcW w:w="579"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18</w:t>
            </w:r>
          </w:p>
        </w:tc>
        <w:tc>
          <w:tcPr>
            <w:tcW w:w="3911" w:type="dxa"/>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电动洗胃机</w:t>
            </w:r>
          </w:p>
        </w:tc>
        <w:tc>
          <w:tcPr>
            <w:tcW w:w="568"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78"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348"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322" w:type="dxa"/>
            <w:vMerge w:val="continue"/>
            <w:vAlign w:val="center"/>
          </w:tcPr>
          <w:p>
            <w:pPr>
              <w:widowControl/>
              <w:jc w:val="center"/>
              <w:rPr>
                <w:rFonts w:ascii="宋体" w:hAnsi="宋体" w:cs="宋体"/>
                <w:color w:val="auto"/>
                <w:kern w:val="0"/>
                <w:szCs w:val="21"/>
                <w:highlight w:val="none"/>
              </w:rPr>
            </w:pPr>
          </w:p>
        </w:tc>
        <w:tc>
          <w:tcPr>
            <w:tcW w:w="887" w:type="dxa"/>
            <w:vMerge w:val="continue"/>
            <w:vAlign w:val="center"/>
          </w:tcPr>
          <w:p>
            <w:pPr>
              <w:widowControl/>
              <w:jc w:val="center"/>
              <w:rPr>
                <w:rFonts w:ascii="宋体" w:hAnsi="宋体" w:cs="宋体"/>
                <w:color w:val="auto"/>
                <w:kern w:val="0"/>
                <w:szCs w:val="21"/>
                <w:highlight w:val="none"/>
              </w:rPr>
            </w:pPr>
          </w:p>
        </w:tc>
        <w:tc>
          <w:tcPr>
            <w:tcW w:w="774" w:type="dxa"/>
            <w:vMerge w:val="continue"/>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06" w:type="dxa"/>
            <w:vMerge w:val="continue"/>
            <w:vAlign w:val="center"/>
          </w:tcPr>
          <w:p>
            <w:pPr>
              <w:jc w:val="center"/>
              <w:rPr>
                <w:rFonts w:ascii="宋体" w:hAnsi="宋体" w:cs="宋体"/>
                <w:color w:val="auto"/>
                <w:szCs w:val="21"/>
                <w:highlight w:val="none"/>
              </w:rPr>
            </w:pPr>
          </w:p>
        </w:tc>
        <w:tc>
          <w:tcPr>
            <w:tcW w:w="579"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19</w:t>
            </w:r>
          </w:p>
        </w:tc>
        <w:tc>
          <w:tcPr>
            <w:tcW w:w="3911"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简易呼吸器</w:t>
            </w:r>
          </w:p>
        </w:tc>
        <w:tc>
          <w:tcPr>
            <w:tcW w:w="568"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578"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348"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0.1</w:t>
            </w:r>
          </w:p>
        </w:tc>
        <w:tc>
          <w:tcPr>
            <w:tcW w:w="1322" w:type="dxa"/>
            <w:vMerge w:val="continue"/>
            <w:vAlign w:val="center"/>
          </w:tcPr>
          <w:p>
            <w:pPr>
              <w:widowControl/>
              <w:jc w:val="center"/>
              <w:rPr>
                <w:rFonts w:ascii="宋体" w:hAnsi="宋体" w:cs="宋体"/>
                <w:color w:val="auto"/>
                <w:kern w:val="0"/>
                <w:szCs w:val="21"/>
                <w:highlight w:val="none"/>
              </w:rPr>
            </w:pPr>
          </w:p>
        </w:tc>
        <w:tc>
          <w:tcPr>
            <w:tcW w:w="887" w:type="dxa"/>
            <w:vMerge w:val="continue"/>
            <w:vAlign w:val="center"/>
          </w:tcPr>
          <w:p>
            <w:pPr>
              <w:widowControl/>
              <w:jc w:val="center"/>
              <w:rPr>
                <w:rFonts w:ascii="宋体" w:hAnsi="宋体" w:cs="宋体"/>
                <w:color w:val="auto"/>
                <w:kern w:val="0"/>
                <w:szCs w:val="21"/>
                <w:highlight w:val="none"/>
              </w:rPr>
            </w:pPr>
          </w:p>
        </w:tc>
        <w:tc>
          <w:tcPr>
            <w:tcW w:w="774" w:type="dxa"/>
            <w:vMerge w:val="continue"/>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06" w:type="dxa"/>
            <w:vMerge w:val="restar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第三包</w:t>
            </w:r>
          </w:p>
        </w:tc>
        <w:tc>
          <w:tcPr>
            <w:tcW w:w="579"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911" w:type="dxa"/>
            <w:vAlign w:val="center"/>
          </w:tcPr>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核酸扩增仪</w:t>
            </w:r>
          </w:p>
        </w:tc>
        <w:tc>
          <w:tcPr>
            <w:tcW w:w="568" w:type="dxa"/>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台</w:t>
            </w:r>
          </w:p>
        </w:tc>
        <w:tc>
          <w:tcPr>
            <w:tcW w:w="578" w:type="dxa"/>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1348"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1322" w:type="dxa"/>
            <w:vMerge w:val="restart"/>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55</w:t>
            </w:r>
          </w:p>
        </w:tc>
        <w:tc>
          <w:tcPr>
            <w:tcW w:w="887" w:type="dxa"/>
            <w:vMerge w:val="restart"/>
            <w:vAlign w:val="center"/>
          </w:tcPr>
          <w:p>
            <w:pPr>
              <w:widowControl/>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w:t>
            </w:r>
          </w:p>
        </w:tc>
        <w:tc>
          <w:tcPr>
            <w:tcW w:w="774" w:type="dxa"/>
            <w:vMerge w:val="continue"/>
            <w:vAlign w:val="center"/>
          </w:tcPr>
          <w:p>
            <w:pPr>
              <w:widowControl/>
              <w:jc w:val="center"/>
              <w:textAlignment w:val="center"/>
              <w:rPr>
                <w:rFonts w:hint="eastAsia" w:ascii="宋体" w:hAnsi="宋体" w:eastAsia="宋体" w:cs="宋体"/>
                <w:color w:val="auto"/>
                <w:kern w:val="0"/>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06" w:type="dxa"/>
            <w:vMerge w:val="continue"/>
            <w:vAlign w:val="center"/>
          </w:tcPr>
          <w:p>
            <w:pPr>
              <w:jc w:val="center"/>
              <w:rPr>
                <w:rFonts w:ascii="宋体" w:hAnsi="宋体" w:cs="宋体"/>
                <w:color w:val="auto"/>
                <w:szCs w:val="21"/>
                <w:highlight w:val="none"/>
              </w:rPr>
            </w:pPr>
          </w:p>
        </w:tc>
        <w:tc>
          <w:tcPr>
            <w:tcW w:w="579"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3911" w:type="dxa"/>
            <w:vAlign w:val="center"/>
          </w:tcPr>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医用核酸分子快速杂交仪（核心产品）</w:t>
            </w:r>
          </w:p>
        </w:tc>
        <w:tc>
          <w:tcPr>
            <w:tcW w:w="568" w:type="dxa"/>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台</w:t>
            </w:r>
          </w:p>
        </w:tc>
        <w:tc>
          <w:tcPr>
            <w:tcW w:w="578" w:type="dxa"/>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1348"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1322" w:type="dxa"/>
            <w:vMerge w:val="continue"/>
            <w:vAlign w:val="center"/>
          </w:tcPr>
          <w:p>
            <w:pPr>
              <w:widowControl/>
              <w:jc w:val="center"/>
              <w:textAlignment w:val="center"/>
              <w:rPr>
                <w:rFonts w:ascii="宋体" w:hAnsi="宋体" w:cs="宋体"/>
                <w:color w:val="auto"/>
                <w:kern w:val="0"/>
                <w:szCs w:val="21"/>
                <w:highlight w:val="none"/>
                <w:lang w:bidi="ar"/>
              </w:rPr>
            </w:pPr>
          </w:p>
        </w:tc>
        <w:tc>
          <w:tcPr>
            <w:tcW w:w="887" w:type="dxa"/>
            <w:vMerge w:val="continue"/>
            <w:vAlign w:val="center"/>
          </w:tcPr>
          <w:p>
            <w:pPr>
              <w:widowControl/>
              <w:jc w:val="center"/>
              <w:textAlignment w:val="center"/>
              <w:rPr>
                <w:rFonts w:ascii="宋体" w:hAnsi="宋体" w:cs="宋体"/>
                <w:color w:val="auto"/>
                <w:kern w:val="0"/>
                <w:szCs w:val="21"/>
                <w:highlight w:val="none"/>
                <w:lang w:bidi="ar"/>
              </w:rPr>
            </w:pPr>
          </w:p>
        </w:tc>
        <w:tc>
          <w:tcPr>
            <w:tcW w:w="774" w:type="dxa"/>
            <w:vMerge w:val="continue"/>
            <w:vAlign w:val="center"/>
          </w:tcPr>
          <w:p>
            <w:pPr>
              <w:widowControl/>
              <w:jc w:val="center"/>
              <w:textAlignment w:val="center"/>
              <w:rPr>
                <w:rFonts w:ascii="宋体" w:hAnsi="宋体" w:cs="宋体"/>
                <w:color w:val="auto"/>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06" w:type="dxa"/>
            <w:vMerge w:val="continue"/>
            <w:vAlign w:val="center"/>
          </w:tcPr>
          <w:p>
            <w:pPr>
              <w:jc w:val="center"/>
              <w:rPr>
                <w:rFonts w:ascii="宋体" w:hAnsi="宋体" w:cs="宋体"/>
                <w:color w:val="auto"/>
                <w:szCs w:val="21"/>
                <w:highlight w:val="none"/>
              </w:rPr>
            </w:pPr>
          </w:p>
        </w:tc>
        <w:tc>
          <w:tcPr>
            <w:tcW w:w="579"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3911" w:type="dxa"/>
            <w:vAlign w:val="center"/>
          </w:tcPr>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手持式血气分析仪</w:t>
            </w:r>
          </w:p>
        </w:tc>
        <w:tc>
          <w:tcPr>
            <w:tcW w:w="568" w:type="dxa"/>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台</w:t>
            </w:r>
          </w:p>
        </w:tc>
        <w:tc>
          <w:tcPr>
            <w:tcW w:w="578" w:type="dxa"/>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c>
          <w:tcPr>
            <w:tcW w:w="1348"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1322" w:type="dxa"/>
            <w:vMerge w:val="continue"/>
            <w:vAlign w:val="center"/>
          </w:tcPr>
          <w:p>
            <w:pPr>
              <w:widowControl/>
              <w:jc w:val="center"/>
              <w:textAlignment w:val="center"/>
              <w:rPr>
                <w:rFonts w:ascii="宋体" w:hAnsi="宋体" w:cs="宋体"/>
                <w:color w:val="auto"/>
                <w:kern w:val="0"/>
                <w:szCs w:val="21"/>
                <w:highlight w:val="none"/>
                <w:lang w:bidi="ar"/>
              </w:rPr>
            </w:pPr>
          </w:p>
        </w:tc>
        <w:tc>
          <w:tcPr>
            <w:tcW w:w="887" w:type="dxa"/>
            <w:vMerge w:val="continue"/>
            <w:vAlign w:val="center"/>
          </w:tcPr>
          <w:p>
            <w:pPr>
              <w:widowControl/>
              <w:jc w:val="center"/>
              <w:textAlignment w:val="center"/>
              <w:rPr>
                <w:rFonts w:ascii="宋体" w:hAnsi="宋体" w:cs="宋体"/>
                <w:color w:val="auto"/>
                <w:kern w:val="0"/>
                <w:szCs w:val="21"/>
                <w:highlight w:val="none"/>
                <w:lang w:bidi="ar"/>
              </w:rPr>
            </w:pPr>
          </w:p>
        </w:tc>
        <w:tc>
          <w:tcPr>
            <w:tcW w:w="774" w:type="dxa"/>
            <w:vMerge w:val="continue"/>
            <w:vAlign w:val="center"/>
          </w:tcPr>
          <w:p>
            <w:pPr>
              <w:widowControl/>
              <w:jc w:val="center"/>
              <w:textAlignment w:val="center"/>
              <w:rPr>
                <w:rFonts w:ascii="宋体" w:hAnsi="宋体" w:cs="宋体"/>
                <w:color w:val="auto"/>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06"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第四包</w:t>
            </w:r>
          </w:p>
        </w:tc>
        <w:tc>
          <w:tcPr>
            <w:tcW w:w="579"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911" w:type="dxa"/>
          </w:tcPr>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便携式彩色多普勒超声诊断系统</w:t>
            </w:r>
          </w:p>
        </w:tc>
        <w:tc>
          <w:tcPr>
            <w:tcW w:w="568" w:type="dxa"/>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台</w:t>
            </w:r>
          </w:p>
        </w:tc>
        <w:tc>
          <w:tcPr>
            <w:tcW w:w="578" w:type="dxa"/>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1348"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49.5</w:t>
            </w:r>
          </w:p>
        </w:tc>
        <w:tc>
          <w:tcPr>
            <w:tcW w:w="1322" w:type="dxa"/>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49.5</w:t>
            </w:r>
          </w:p>
        </w:tc>
        <w:tc>
          <w:tcPr>
            <w:tcW w:w="887" w:type="dxa"/>
            <w:vAlign w:val="center"/>
          </w:tcPr>
          <w:p>
            <w:pPr>
              <w:widowControl/>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w:t>
            </w:r>
          </w:p>
        </w:tc>
        <w:tc>
          <w:tcPr>
            <w:tcW w:w="774" w:type="dxa"/>
            <w:vMerge w:val="continue"/>
            <w:vAlign w:val="center"/>
          </w:tcPr>
          <w:p>
            <w:pPr>
              <w:widowControl/>
              <w:jc w:val="center"/>
              <w:textAlignment w:val="center"/>
              <w:rPr>
                <w:rFonts w:hint="eastAsia" w:ascii="宋体" w:hAnsi="宋体" w:eastAsia="宋体" w:cs="宋体"/>
                <w:color w:val="auto"/>
                <w:kern w:val="0"/>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06"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第五包</w:t>
            </w:r>
          </w:p>
        </w:tc>
        <w:tc>
          <w:tcPr>
            <w:tcW w:w="579"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911" w:type="dxa"/>
          </w:tcPr>
          <w:p>
            <w:pPr>
              <w:spacing w:line="460" w:lineRule="exact"/>
              <w:rPr>
                <w:rFonts w:ascii="宋体" w:hAnsi="宋体" w:cs="宋体"/>
                <w:color w:val="auto"/>
                <w:kern w:val="0"/>
                <w:szCs w:val="21"/>
                <w:highlight w:val="none"/>
              </w:rPr>
            </w:pPr>
            <w:r>
              <w:rPr>
                <w:rFonts w:hint="eastAsia" w:ascii="宋体" w:hAnsi="宋体" w:cs="宋体"/>
                <w:color w:val="auto"/>
                <w:kern w:val="0"/>
                <w:szCs w:val="21"/>
                <w:highlight w:val="none"/>
                <w:lang w:bidi="ar"/>
              </w:rPr>
              <w:t>Q开关Nd:YAG激光治疗机</w:t>
            </w:r>
          </w:p>
        </w:tc>
        <w:tc>
          <w:tcPr>
            <w:tcW w:w="568"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78"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348"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79.3</w:t>
            </w:r>
          </w:p>
        </w:tc>
        <w:tc>
          <w:tcPr>
            <w:tcW w:w="1322"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79.3</w:t>
            </w:r>
          </w:p>
        </w:tc>
        <w:tc>
          <w:tcPr>
            <w:tcW w:w="887" w:type="dxa"/>
            <w:vMerge w:val="restart"/>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w:t>
            </w:r>
          </w:p>
        </w:tc>
        <w:tc>
          <w:tcPr>
            <w:tcW w:w="774" w:type="dxa"/>
            <w:vMerge w:val="continue"/>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06" w:type="dxa"/>
            <w:vMerge w:val="restar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第六包</w:t>
            </w:r>
          </w:p>
        </w:tc>
        <w:tc>
          <w:tcPr>
            <w:tcW w:w="579"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911"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标本柜-1</w:t>
            </w:r>
          </w:p>
        </w:tc>
        <w:tc>
          <w:tcPr>
            <w:tcW w:w="568"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578"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w:t>
            </w:r>
          </w:p>
        </w:tc>
        <w:tc>
          <w:tcPr>
            <w:tcW w:w="1348"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0.36</w:t>
            </w:r>
          </w:p>
        </w:tc>
        <w:tc>
          <w:tcPr>
            <w:tcW w:w="1322" w:type="dxa"/>
            <w:vMerge w:val="restart"/>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21.8</w:t>
            </w:r>
          </w:p>
        </w:tc>
        <w:tc>
          <w:tcPr>
            <w:tcW w:w="887" w:type="dxa"/>
            <w:vMerge w:val="continue"/>
            <w:vAlign w:val="center"/>
          </w:tcPr>
          <w:p>
            <w:pPr>
              <w:widowControl/>
              <w:jc w:val="center"/>
              <w:textAlignment w:val="center"/>
              <w:rPr>
                <w:rFonts w:ascii="宋体" w:hAnsi="宋体" w:cs="宋体"/>
                <w:color w:val="auto"/>
                <w:szCs w:val="21"/>
                <w:highlight w:val="none"/>
              </w:rPr>
            </w:pPr>
          </w:p>
        </w:tc>
        <w:tc>
          <w:tcPr>
            <w:tcW w:w="774" w:type="dxa"/>
            <w:vMerge w:val="continue"/>
            <w:vAlign w:val="center"/>
          </w:tcPr>
          <w:p>
            <w:pPr>
              <w:widowControl/>
              <w:jc w:val="center"/>
              <w:textAlignment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06" w:type="dxa"/>
            <w:vMerge w:val="continue"/>
            <w:vAlign w:val="center"/>
          </w:tcPr>
          <w:p>
            <w:pPr>
              <w:jc w:val="center"/>
              <w:rPr>
                <w:rFonts w:ascii="宋体" w:hAnsi="宋体" w:cs="宋体"/>
                <w:color w:val="auto"/>
                <w:szCs w:val="21"/>
                <w:highlight w:val="none"/>
              </w:rPr>
            </w:pPr>
          </w:p>
        </w:tc>
        <w:tc>
          <w:tcPr>
            <w:tcW w:w="579"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3911"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标本柜（带冷藏）-2</w:t>
            </w:r>
          </w:p>
        </w:tc>
        <w:tc>
          <w:tcPr>
            <w:tcW w:w="568"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578"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1348"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1322" w:type="dxa"/>
            <w:vMerge w:val="continue"/>
            <w:vAlign w:val="center"/>
          </w:tcPr>
          <w:p>
            <w:pPr>
              <w:widowControl/>
              <w:jc w:val="center"/>
              <w:textAlignment w:val="center"/>
              <w:rPr>
                <w:rFonts w:ascii="宋体" w:hAnsi="宋体" w:cs="宋体"/>
                <w:color w:val="auto"/>
                <w:szCs w:val="21"/>
                <w:highlight w:val="none"/>
              </w:rPr>
            </w:pPr>
          </w:p>
        </w:tc>
        <w:tc>
          <w:tcPr>
            <w:tcW w:w="887" w:type="dxa"/>
            <w:vMerge w:val="continue"/>
            <w:vAlign w:val="center"/>
          </w:tcPr>
          <w:p>
            <w:pPr>
              <w:widowControl/>
              <w:jc w:val="center"/>
              <w:textAlignment w:val="center"/>
              <w:rPr>
                <w:rFonts w:ascii="宋体" w:hAnsi="宋体" w:cs="宋体"/>
                <w:color w:val="auto"/>
                <w:szCs w:val="21"/>
                <w:highlight w:val="none"/>
              </w:rPr>
            </w:pPr>
          </w:p>
        </w:tc>
        <w:tc>
          <w:tcPr>
            <w:tcW w:w="774" w:type="dxa"/>
            <w:vMerge w:val="continue"/>
            <w:vAlign w:val="center"/>
          </w:tcPr>
          <w:p>
            <w:pPr>
              <w:widowControl/>
              <w:jc w:val="center"/>
              <w:textAlignment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06" w:type="dxa"/>
            <w:vMerge w:val="continue"/>
            <w:vAlign w:val="center"/>
          </w:tcPr>
          <w:p>
            <w:pPr>
              <w:jc w:val="center"/>
              <w:rPr>
                <w:rFonts w:ascii="宋体" w:hAnsi="宋体" w:cs="宋体"/>
                <w:color w:val="auto"/>
                <w:szCs w:val="21"/>
                <w:highlight w:val="none"/>
              </w:rPr>
            </w:pPr>
          </w:p>
        </w:tc>
        <w:tc>
          <w:tcPr>
            <w:tcW w:w="579"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3911"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蜡块柜</w:t>
            </w:r>
          </w:p>
        </w:tc>
        <w:tc>
          <w:tcPr>
            <w:tcW w:w="568"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578"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1348"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0.15</w:t>
            </w:r>
          </w:p>
        </w:tc>
        <w:tc>
          <w:tcPr>
            <w:tcW w:w="1322" w:type="dxa"/>
            <w:vMerge w:val="continue"/>
            <w:vAlign w:val="center"/>
          </w:tcPr>
          <w:p>
            <w:pPr>
              <w:widowControl/>
              <w:jc w:val="center"/>
              <w:textAlignment w:val="center"/>
              <w:rPr>
                <w:rFonts w:ascii="宋体" w:hAnsi="宋体" w:cs="宋体"/>
                <w:color w:val="auto"/>
                <w:szCs w:val="21"/>
                <w:highlight w:val="none"/>
              </w:rPr>
            </w:pPr>
          </w:p>
        </w:tc>
        <w:tc>
          <w:tcPr>
            <w:tcW w:w="887" w:type="dxa"/>
            <w:vMerge w:val="continue"/>
            <w:vAlign w:val="center"/>
          </w:tcPr>
          <w:p>
            <w:pPr>
              <w:widowControl/>
              <w:jc w:val="center"/>
              <w:textAlignment w:val="center"/>
              <w:rPr>
                <w:rFonts w:ascii="宋体" w:hAnsi="宋体" w:cs="宋体"/>
                <w:color w:val="auto"/>
                <w:szCs w:val="21"/>
                <w:highlight w:val="none"/>
              </w:rPr>
            </w:pPr>
          </w:p>
        </w:tc>
        <w:tc>
          <w:tcPr>
            <w:tcW w:w="774" w:type="dxa"/>
            <w:vMerge w:val="continue"/>
            <w:vAlign w:val="center"/>
          </w:tcPr>
          <w:p>
            <w:pPr>
              <w:widowControl/>
              <w:jc w:val="center"/>
              <w:textAlignment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06" w:type="dxa"/>
            <w:vMerge w:val="continue"/>
            <w:vAlign w:val="center"/>
          </w:tcPr>
          <w:p>
            <w:pPr>
              <w:jc w:val="center"/>
              <w:rPr>
                <w:rFonts w:ascii="宋体" w:hAnsi="宋体" w:cs="宋体"/>
                <w:color w:val="auto"/>
                <w:szCs w:val="21"/>
                <w:highlight w:val="none"/>
              </w:rPr>
            </w:pPr>
          </w:p>
        </w:tc>
        <w:tc>
          <w:tcPr>
            <w:tcW w:w="579"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3911"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玻片柜</w:t>
            </w:r>
          </w:p>
        </w:tc>
        <w:tc>
          <w:tcPr>
            <w:tcW w:w="568"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578"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1348"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0.15</w:t>
            </w:r>
          </w:p>
        </w:tc>
        <w:tc>
          <w:tcPr>
            <w:tcW w:w="1322" w:type="dxa"/>
            <w:vMerge w:val="continue"/>
            <w:vAlign w:val="center"/>
          </w:tcPr>
          <w:p>
            <w:pPr>
              <w:widowControl/>
              <w:jc w:val="center"/>
              <w:textAlignment w:val="center"/>
              <w:rPr>
                <w:rFonts w:ascii="宋体" w:hAnsi="宋体" w:cs="宋体"/>
                <w:color w:val="auto"/>
                <w:szCs w:val="21"/>
                <w:highlight w:val="none"/>
              </w:rPr>
            </w:pPr>
          </w:p>
        </w:tc>
        <w:tc>
          <w:tcPr>
            <w:tcW w:w="887" w:type="dxa"/>
            <w:vMerge w:val="continue"/>
            <w:vAlign w:val="center"/>
          </w:tcPr>
          <w:p>
            <w:pPr>
              <w:widowControl/>
              <w:jc w:val="center"/>
              <w:textAlignment w:val="center"/>
              <w:rPr>
                <w:rFonts w:ascii="宋体" w:hAnsi="宋体" w:cs="宋体"/>
                <w:color w:val="auto"/>
                <w:szCs w:val="21"/>
                <w:highlight w:val="none"/>
              </w:rPr>
            </w:pPr>
          </w:p>
        </w:tc>
        <w:tc>
          <w:tcPr>
            <w:tcW w:w="774" w:type="dxa"/>
            <w:vMerge w:val="continue"/>
            <w:vAlign w:val="center"/>
          </w:tcPr>
          <w:p>
            <w:pPr>
              <w:widowControl/>
              <w:jc w:val="center"/>
              <w:textAlignment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06" w:type="dxa"/>
            <w:vMerge w:val="continue"/>
            <w:vAlign w:val="center"/>
          </w:tcPr>
          <w:p>
            <w:pPr>
              <w:jc w:val="center"/>
              <w:rPr>
                <w:rFonts w:ascii="宋体" w:hAnsi="宋体" w:cs="宋体"/>
                <w:color w:val="auto"/>
                <w:szCs w:val="21"/>
                <w:highlight w:val="none"/>
              </w:rPr>
            </w:pPr>
          </w:p>
        </w:tc>
        <w:tc>
          <w:tcPr>
            <w:tcW w:w="579" w:type="dxa"/>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3911" w:type="dxa"/>
            <w:vAlign w:val="center"/>
          </w:tcPr>
          <w:p>
            <w:pPr>
              <w:rPr>
                <w:rFonts w:ascii="宋体" w:hAnsi="宋体" w:cs="宋体"/>
                <w:color w:val="auto"/>
                <w:szCs w:val="21"/>
                <w:highlight w:val="none"/>
              </w:rPr>
            </w:pPr>
            <w:r>
              <w:rPr>
                <w:rFonts w:hint="eastAsia" w:ascii="宋体" w:hAnsi="宋体" w:cs="宋体"/>
                <w:color w:val="auto"/>
                <w:kern w:val="0"/>
                <w:szCs w:val="21"/>
                <w:highlight w:val="none"/>
                <w:lang w:bidi="ar"/>
              </w:rPr>
              <w:t>取材台（全不锈钢智能净化取材工作站）（核心产品）</w:t>
            </w:r>
          </w:p>
        </w:tc>
        <w:tc>
          <w:tcPr>
            <w:tcW w:w="568"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578"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348"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w:t>
            </w:r>
          </w:p>
        </w:tc>
        <w:tc>
          <w:tcPr>
            <w:tcW w:w="1322" w:type="dxa"/>
            <w:vMerge w:val="continue"/>
            <w:vAlign w:val="center"/>
          </w:tcPr>
          <w:p>
            <w:pPr>
              <w:widowControl/>
              <w:jc w:val="center"/>
              <w:textAlignment w:val="center"/>
              <w:rPr>
                <w:rFonts w:ascii="宋体" w:hAnsi="宋体" w:cs="宋体"/>
                <w:color w:val="auto"/>
                <w:szCs w:val="21"/>
                <w:highlight w:val="none"/>
              </w:rPr>
            </w:pPr>
          </w:p>
        </w:tc>
        <w:tc>
          <w:tcPr>
            <w:tcW w:w="887" w:type="dxa"/>
            <w:vMerge w:val="continue"/>
            <w:vAlign w:val="center"/>
          </w:tcPr>
          <w:p>
            <w:pPr>
              <w:widowControl/>
              <w:jc w:val="center"/>
              <w:textAlignment w:val="center"/>
              <w:rPr>
                <w:rFonts w:ascii="宋体" w:hAnsi="宋体" w:cs="宋体"/>
                <w:color w:val="auto"/>
                <w:szCs w:val="21"/>
                <w:highlight w:val="none"/>
              </w:rPr>
            </w:pPr>
          </w:p>
        </w:tc>
        <w:tc>
          <w:tcPr>
            <w:tcW w:w="774" w:type="dxa"/>
            <w:vMerge w:val="continue"/>
            <w:vAlign w:val="center"/>
          </w:tcPr>
          <w:p>
            <w:pPr>
              <w:widowControl/>
              <w:jc w:val="center"/>
              <w:textAlignment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06"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第七包</w:t>
            </w:r>
          </w:p>
        </w:tc>
        <w:tc>
          <w:tcPr>
            <w:tcW w:w="579"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911" w:type="dxa"/>
            <w:vAlign w:val="center"/>
          </w:tcPr>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麻醉机</w:t>
            </w:r>
          </w:p>
        </w:tc>
        <w:tc>
          <w:tcPr>
            <w:tcW w:w="568"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78" w:type="dxa"/>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c>
          <w:tcPr>
            <w:tcW w:w="1348"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45</w:t>
            </w:r>
          </w:p>
        </w:tc>
        <w:tc>
          <w:tcPr>
            <w:tcW w:w="1322"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90</w:t>
            </w:r>
          </w:p>
        </w:tc>
        <w:tc>
          <w:tcPr>
            <w:tcW w:w="887" w:type="dxa"/>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允许采购进口产品</w:t>
            </w:r>
          </w:p>
        </w:tc>
        <w:tc>
          <w:tcPr>
            <w:tcW w:w="774" w:type="dxa"/>
            <w:vMerge w:val="continue"/>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06" w:type="dxa"/>
            <w:vMerge w:val="restar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第八包</w:t>
            </w:r>
          </w:p>
        </w:tc>
        <w:tc>
          <w:tcPr>
            <w:tcW w:w="579"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911" w:type="dxa"/>
            <w:vAlign w:val="center"/>
          </w:tcPr>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呼吸机-1 （核心产品）</w:t>
            </w:r>
          </w:p>
        </w:tc>
        <w:tc>
          <w:tcPr>
            <w:tcW w:w="568"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78" w:type="dxa"/>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1348"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55</w:t>
            </w:r>
          </w:p>
        </w:tc>
        <w:tc>
          <w:tcPr>
            <w:tcW w:w="1322" w:type="dxa"/>
            <w:vMerge w:val="restart"/>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90</w:t>
            </w:r>
          </w:p>
        </w:tc>
        <w:tc>
          <w:tcPr>
            <w:tcW w:w="887" w:type="dxa"/>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允许采购进口产品</w:t>
            </w:r>
          </w:p>
        </w:tc>
        <w:tc>
          <w:tcPr>
            <w:tcW w:w="774" w:type="dxa"/>
            <w:vMerge w:val="continue"/>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06" w:type="dxa"/>
            <w:vMerge w:val="continue"/>
            <w:vAlign w:val="center"/>
          </w:tcPr>
          <w:p>
            <w:pPr>
              <w:jc w:val="center"/>
              <w:rPr>
                <w:rFonts w:ascii="宋体" w:hAnsi="宋体" w:cs="宋体"/>
                <w:color w:val="auto"/>
                <w:szCs w:val="21"/>
                <w:highlight w:val="none"/>
              </w:rPr>
            </w:pPr>
          </w:p>
        </w:tc>
        <w:tc>
          <w:tcPr>
            <w:tcW w:w="579" w:type="dxa"/>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3911" w:type="dxa"/>
            <w:vAlign w:val="center"/>
          </w:tcPr>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呼吸机-2</w:t>
            </w:r>
          </w:p>
        </w:tc>
        <w:tc>
          <w:tcPr>
            <w:tcW w:w="568" w:type="dxa"/>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78" w:type="dxa"/>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1348" w:type="dxa"/>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35</w:t>
            </w:r>
          </w:p>
        </w:tc>
        <w:tc>
          <w:tcPr>
            <w:tcW w:w="1322" w:type="dxa"/>
            <w:vMerge w:val="continue"/>
          </w:tcPr>
          <w:p>
            <w:pPr>
              <w:widowControl/>
              <w:jc w:val="center"/>
              <w:rPr>
                <w:rFonts w:ascii="宋体" w:hAnsi="宋体" w:cs="宋体"/>
                <w:color w:val="auto"/>
                <w:kern w:val="0"/>
                <w:szCs w:val="21"/>
                <w:highlight w:val="none"/>
              </w:rPr>
            </w:pPr>
          </w:p>
        </w:tc>
        <w:tc>
          <w:tcPr>
            <w:tcW w:w="887" w:type="dxa"/>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w:t>
            </w:r>
          </w:p>
        </w:tc>
        <w:tc>
          <w:tcPr>
            <w:tcW w:w="774" w:type="dxa"/>
            <w:vMerge w:val="continue"/>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06"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第九包</w:t>
            </w:r>
          </w:p>
        </w:tc>
        <w:tc>
          <w:tcPr>
            <w:tcW w:w="579" w:type="dxa"/>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911" w:type="dxa"/>
            <w:vAlign w:val="center"/>
          </w:tcPr>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呼吸机</w:t>
            </w:r>
          </w:p>
        </w:tc>
        <w:tc>
          <w:tcPr>
            <w:tcW w:w="568" w:type="dxa"/>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78" w:type="dxa"/>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1348" w:type="dxa"/>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1322"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887" w:type="dxa"/>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w:t>
            </w:r>
          </w:p>
        </w:tc>
        <w:tc>
          <w:tcPr>
            <w:tcW w:w="774" w:type="dxa"/>
            <w:vMerge w:val="continue"/>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06" w:type="dxa"/>
            <w:vMerge w:val="restar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第十包</w:t>
            </w:r>
          </w:p>
        </w:tc>
        <w:tc>
          <w:tcPr>
            <w:tcW w:w="579" w:type="dxa"/>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911"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空气波压力治疗仪-1</w:t>
            </w:r>
          </w:p>
        </w:tc>
        <w:tc>
          <w:tcPr>
            <w:tcW w:w="568" w:type="dxa"/>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78"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1348"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1.95</w:t>
            </w:r>
          </w:p>
        </w:tc>
        <w:tc>
          <w:tcPr>
            <w:tcW w:w="1322" w:type="dxa"/>
            <w:vMerge w:val="restart"/>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46.39</w:t>
            </w:r>
          </w:p>
        </w:tc>
        <w:tc>
          <w:tcPr>
            <w:tcW w:w="887" w:type="dxa"/>
            <w:vMerge w:val="restart"/>
            <w:vAlign w:val="center"/>
          </w:tcPr>
          <w:p>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p>
        </w:tc>
        <w:tc>
          <w:tcPr>
            <w:tcW w:w="774" w:type="dxa"/>
            <w:vMerge w:val="continue"/>
            <w:vAlign w:val="center"/>
          </w:tcPr>
          <w:p>
            <w:pPr>
              <w:widowControl/>
              <w:jc w:val="center"/>
              <w:textAlignment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06" w:type="dxa"/>
            <w:vMerge w:val="continue"/>
            <w:vAlign w:val="center"/>
          </w:tcPr>
          <w:p>
            <w:pPr>
              <w:jc w:val="center"/>
              <w:rPr>
                <w:rFonts w:ascii="宋体" w:hAnsi="宋体" w:cs="宋体"/>
                <w:color w:val="auto"/>
                <w:szCs w:val="21"/>
                <w:highlight w:val="none"/>
              </w:rPr>
            </w:pPr>
          </w:p>
        </w:tc>
        <w:tc>
          <w:tcPr>
            <w:tcW w:w="579" w:type="dxa"/>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3911"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空气波压力治疗仪-2</w:t>
            </w:r>
          </w:p>
        </w:tc>
        <w:tc>
          <w:tcPr>
            <w:tcW w:w="568" w:type="dxa"/>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78"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348"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2.95</w:t>
            </w:r>
          </w:p>
        </w:tc>
        <w:tc>
          <w:tcPr>
            <w:tcW w:w="1322" w:type="dxa"/>
            <w:vMerge w:val="continue"/>
            <w:vAlign w:val="center"/>
          </w:tcPr>
          <w:p>
            <w:pPr>
              <w:widowControl/>
              <w:jc w:val="center"/>
              <w:rPr>
                <w:rFonts w:ascii="宋体" w:hAnsi="宋体" w:cs="宋体"/>
                <w:color w:val="auto"/>
                <w:kern w:val="0"/>
                <w:szCs w:val="21"/>
                <w:highlight w:val="none"/>
              </w:rPr>
            </w:pPr>
          </w:p>
        </w:tc>
        <w:tc>
          <w:tcPr>
            <w:tcW w:w="887" w:type="dxa"/>
            <w:vMerge w:val="continue"/>
            <w:vAlign w:val="center"/>
          </w:tcPr>
          <w:p>
            <w:pPr>
              <w:widowControl/>
              <w:jc w:val="center"/>
              <w:textAlignment w:val="center"/>
              <w:rPr>
                <w:rFonts w:ascii="宋体" w:hAnsi="宋体" w:cs="宋体"/>
                <w:color w:val="auto"/>
                <w:szCs w:val="21"/>
                <w:highlight w:val="none"/>
              </w:rPr>
            </w:pPr>
          </w:p>
        </w:tc>
        <w:tc>
          <w:tcPr>
            <w:tcW w:w="774" w:type="dxa"/>
            <w:vMerge w:val="continue"/>
            <w:vAlign w:val="center"/>
          </w:tcPr>
          <w:p>
            <w:pPr>
              <w:widowControl/>
              <w:jc w:val="center"/>
              <w:textAlignment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06" w:type="dxa"/>
            <w:vMerge w:val="continue"/>
            <w:vAlign w:val="center"/>
          </w:tcPr>
          <w:p>
            <w:pPr>
              <w:jc w:val="center"/>
              <w:rPr>
                <w:rFonts w:ascii="宋体" w:hAnsi="宋体" w:cs="宋体"/>
                <w:color w:val="auto"/>
                <w:szCs w:val="21"/>
                <w:highlight w:val="none"/>
              </w:rPr>
            </w:pPr>
          </w:p>
        </w:tc>
        <w:tc>
          <w:tcPr>
            <w:tcW w:w="579" w:type="dxa"/>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3911"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空氧混合仪</w:t>
            </w:r>
          </w:p>
        </w:tc>
        <w:tc>
          <w:tcPr>
            <w:tcW w:w="568" w:type="dxa"/>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78" w:type="dxa"/>
            <w:vAlign w:val="bottom"/>
          </w:tcPr>
          <w:p>
            <w:pPr>
              <w:widowControl/>
              <w:jc w:val="center"/>
              <w:textAlignment w:val="bottom"/>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348"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2.95</w:t>
            </w:r>
          </w:p>
        </w:tc>
        <w:tc>
          <w:tcPr>
            <w:tcW w:w="1322" w:type="dxa"/>
            <w:vMerge w:val="continue"/>
            <w:vAlign w:val="center"/>
          </w:tcPr>
          <w:p>
            <w:pPr>
              <w:widowControl/>
              <w:jc w:val="center"/>
              <w:rPr>
                <w:rFonts w:ascii="宋体" w:hAnsi="宋体" w:cs="宋体"/>
                <w:color w:val="auto"/>
                <w:kern w:val="0"/>
                <w:szCs w:val="21"/>
                <w:highlight w:val="none"/>
              </w:rPr>
            </w:pPr>
          </w:p>
        </w:tc>
        <w:tc>
          <w:tcPr>
            <w:tcW w:w="887" w:type="dxa"/>
            <w:vMerge w:val="continue"/>
            <w:vAlign w:val="center"/>
          </w:tcPr>
          <w:p>
            <w:pPr>
              <w:widowControl/>
              <w:jc w:val="center"/>
              <w:textAlignment w:val="center"/>
              <w:rPr>
                <w:rFonts w:ascii="宋体" w:hAnsi="宋体" w:cs="宋体"/>
                <w:color w:val="auto"/>
                <w:szCs w:val="21"/>
                <w:highlight w:val="none"/>
              </w:rPr>
            </w:pPr>
          </w:p>
        </w:tc>
        <w:tc>
          <w:tcPr>
            <w:tcW w:w="774" w:type="dxa"/>
            <w:vMerge w:val="continue"/>
            <w:vAlign w:val="center"/>
          </w:tcPr>
          <w:p>
            <w:pPr>
              <w:widowControl/>
              <w:jc w:val="center"/>
              <w:textAlignment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06" w:type="dxa"/>
            <w:vMerge w:val="continue"/>
            <w:vAlign w:val="center"/>
          </w:tcPr>
          <w:p>
            <w:pPr>
              <w:jc w:val="center"/>
              <w:rPr>
                <w:rFonts w:ascii="宋体" w:hAnsi="宋体" w:cs="宋体"/>
                <w:color w:val="auto"/>
                <w:szCs w:val="21"/>
                <w:highlight w:val="none"/>
              </w:rPr>
            </w:pPr>
          </w:p>
        </w:tc>
        <w:tc>
          <w:tcPr>
            <w:tcW w:w="579" w:type="dxa"/>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3911"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体外振动排痰机-1</w:t>
            </w:r>
          </w:p>
        </w:tc>
        <w:tc>
          <w:tcPr>
            <w:tcW w:w="568" w:type="dxa"/>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78"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348"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2.48</w:t>
            </w:r>
          </w:p>
        </w:tc>
        <w:tc>
          <w:tcPr>
            <w:tcW w:w="1322" w:type="dxa"/>
            <w:vMerge w:val="continue"/>
            <w:vAlign w:val="center"/>
          </w:tcPr>
          <w:p>
            <w:pPr>
              <w:widowControl/>
              <w:jc w:val="center"/>
              <w:rPr>
                <w:rFonts w:ascii="宋体" w:hAnsi="宋体" w:cs="宋体"/>
                <w:color w:val="auto"/>
                <w:kern w:val="0"/>
                <w:szCs w:val="21"/>
                <w:highlight w:val="none"/>
              </w:rPr>
            </w:pPr>
          </w:p>
        </w:tc>
        <w:tc>
          <w:tcPr>
            <w:tcW w:w="887" w:type="dxa"/>
            <w:vMerge w:val="continue"/>
            <w:vAlign w:val="center"/>
          </w:tcPr>
          <w:p>
            <w:pPr>
              <w:widowControl/>
              <w:jc w:val="center"/>
              <w:textAlignment w:val="center"/>
              <w:rPr>
                <w:rFonts w:ascii="宋体" w:hAnsi="宋体" w:cs="宋体"/>
                <w:color w:val="auto"/>
                <w:szCs w:val="21"/>
                <w:highlight w:val="none"/>
              </w:rPr>
            </w:pPr>
          </w:p>
        </w:tc>
        <w:tc>
          <w:tcPr>
            <w:tcW w:w="774" w:type="dxa"/>
            <w:vMerge w:val="continue"/>
            <w:vAlign w:val="center"/>
          </w:tcPr>
          <w:p>
            <w:pPr>
              <w:widowControl/>
              <w:jc w:val="center"/>
              <w:textAlignment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06" w:type="dxa"/>
            <w:vMerge w:val="continue"/>
            <w:vAlign w:val="center"/>
          </w:tcPr>
          <w:p>
            <w:pPr>
              <w:jc w:val="center"/>
              <w:rPr>
                <w:rFonts w:ascii="宋体" w:hAnsi="宋体" w:cs="宋体"/>
                <w:color w:val="auto"/>
                <w:szCs w:val="21"/>
                <w:highlight w:val="none"/>
              </w:rPr>
            </w:pPr>
          </w:p>
        </w:tc>
        <w:tc>
          <w:tcPr>
            <w:tcW w:w="579" w:type="dxa"/>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3911"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体外振动排痰机-2</w:t>
            </w:r>
          </w:p>
        </w:tc>
        <w:tc>
          <w:tcPr>
            <w:tcW w:w="568" w:type="dxa"/>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78"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1348"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2.48</w:t>
            </w:r>
          </w:p>
        </w:tc>
        <w:tc>
          <w:tcPr>
            <w:tcW w:w="1322" w:type="dxa"/>
            <w:vMerge w:val="continue"/>
            <w:vAlign w:val="center"/>
          </w:tcPr>
          <w:p>
            <w:pPr>
              <w:widowControl/>
              <w:jc w:val="center"/>
              <w:rPr>
                <w:rFonts w:ascii="宋体" w:hAnsi="宋体" w:cs="宋体"/>
                <w:color w:val="auto"/>
                <w:kern w:val="0"/>
                <w:szCs w:val="21"/>
                <w:highlight w:val="none"/>
              </w:rPr>
            </w:pPr>
          </w:p>
        </w:tc>
        <w:tc>
          <w:tcPr>
            <w:tcW w:w="887" w:type="dxa"/>
            <w:vMerge w:val="continue"/>
            <w:vAlign w:val="center"/>
          </w:tcPr>
          <w:p>
            <w:pPr>
              <w:widowControl/>
              <w:jc w:val="center"/>
              <w:textAlignment w:val="center"/>
              <w:rPr>
                <w:rFonts w:ascii="宋体" w:hAnsi="宋体" w:cs="宋体"/>
                <w:color w:val="auto"/>
                <w:szCs w:val="21"/>
                <w:highlight w:val="none"/>
              </w:rPr>
            </w:pPr>
          </w:p>
        </w:tc>
        <w:tc>
          <w:tcPr>
            <w:tcW w:w="774" w:type="dxa"/>
            <w:vMerge w:val="continue"/>
            <w:vAlign w:val="center"/>
          </w:tcPr>
          <w:p>
            <w:pPr>
              <w:widowControl/>
              <w:jc w:val="center"/>
              <w:textAlignment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6" w:type="dxa"/>
            <w:vMerge w:val="continue"/>
            <w:vAlign w:val="center"/>
          </w:tcPr>
          <w:p>
            <w:pPr>
              <w:jc w:val="center"/>
              <w:rPr>
                <w:rFonts w:ascii="宋体" w:hAnsi="宋体" w:cs="宋体"/>
                <w:color w:val="auto"/>
                <w:szCs w:val="21"/>
                <w:highlight w:val="none"/>
              </w:rPr>
            </w:pPr>
          </w:p>
        </w:tc>
        <w:tc>
          <w:tcPr>
            <w:tcW w:w="579" w:type="dxa"/>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3911" w:type="dxa"/>
            <w:vAlign w:val="center"/>
          </w:tcPr>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震动排痰背心</w:t>
            </w:r>
          </w:p>
        </w:tc>
        <w:tc>
          <w:tcPr>
            <w:tcW w:w="568" w:type="dxa"/>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78" w:type="dxa"/>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1348"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4.37</w:t>
            </w:r>
          </w:p>
        </w:tc>
        <w:tc>
          <w:tcPr>
            <w:tcW w:w="1322" w:type="dxa"/>
            <w:vMerge w:val="continue"/>
            <w:vAlign w:val="center"/>
          </w:tcPr>
          <w:p>
            <w:pPr>
              <w:widowControl/>
              <w:jc w:val="center"/>
              <w:rPr>
                <w:rFonts w:ascii="宋体" w:hAnsi="宋体" w:cs="宋体"/>
                <w:color w:val="auto"/>
                <w:kern w:val="0"/>
                <w:szCs w:val="21"/>
                <w:highlight w:val="none"/>
              </w:rPr>
            </w:pPr>
          </w:p>
        </w:tc>
        <w:tc>
          <w:tcPr>
            <w:tcW w:w="887" w:type="dxa"/>
            <w:vMerge w:val="continue"/>
            <w:vAlign w:val="center"/>
          </w:tcPr>
          <w:p>
            <w:pPr>
              <w:widowControl/>
              <w:jc w:val="center"/>
              <w:textAlignment w:val="center"/>
              <w:rPr>
                <w:rFonts w:ascii="宋体" w:hAnsi="宋体" w:cs="宋体"/>
                <w:color w:val="auto"/>
                <w:szCs w:val="21"/>
                <w:highlight w:val="none"/>
              </w:rPr>
            </w:pPr>
          </w:p>
        </w:tc>
        <w:tc>
          <w:tcPr>
            <w:tcW w:w="774" w:type="dxa"/>
            <w:vMerge w:val="continue"/>
            <w:vAlign w:val="center"/>
          </w:tcPr>
          <w:p>
            <w:pPr>
              <w:widowControl/>
              <w:jc w:val="center"/>
              <w:textAlignment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06" w:type="dxa"/>
            <w:vMerge w:val="continue"/>
            <w:vAlign w:val="center"/>
          </w:tcPr>
          <w:p>
            <w:pPr>
              <w:jc w:val="center"/>
              <w:rPr>
                <w:rFonts w:ascii="宋体" w:hAnsi="宋体" w:cs="宋体"/>
                <w:color w:val="auto"/>
                <w:szCs w:val="21"/>
                <w:highlight w:val="none"/>
              </w:rPr>
            </w:pPr>
          </w:p>
        </w:tc>
        <w:tc>
          <w:tcPr>
            <w:tcW w:w="579" w:type="dxa"/>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3911"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电子阴道镜</w:t>
            </w:r>
          </w:p>
        </w:tc>
        <w:tc>
          <w:tcPr>
            <w:tcW w:w="568" w:type="dxa"/>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78" w:type="dxa"/>
            <w:vAlign w:val="bottom"/>
          </w:tcPr>
          <w:p>
            <w:pPr>
              <w:widowControl/>
              <w:jc w:val="center"/>
              <w:textAlignment w:val="bottom"/>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348"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11.98</w:t>
            </w:r>
          </w:p>
        </w:tc>
        <w:tc>
          <w:tcPr>
            <w:tcW w:w="1322" w:type="dxa"/>
            <w:vMerge w:val="continue"/>
            <w:vAlign w:val="center"/>
          </w:tcPr>
          <w:p>
            <w:pPr>
              <w:widowControl/>
              <w:jc w:val="center"/>
              <w:rPr>
                <w:rFonts w:ascii="宋体" w:hAnsi="宋体" w:cs="宋体"/>
                <w:color w:val="auto"/>
                <w:kern w:val="0"/>
                <w:szCs w:val="21"/>
                <w:highlight w:val="none"/>
              </w:rPr>
            </w:pPr>
          </w:p>
        </w:tc>
        <w:tc>
          <w:tcPr>
            <w:tcW w:w="887" w:type="dxa"/>
            <w:vMerge w:val="continue"/>
            <w:vAlign w:val="center"/>
          </w:tcPr>
          <w:p>
            <w:pPr>
              <w:widowControl/>
              <w:jc w:val="center"/>
              <w:textAlignment w:val="center"/>
              <w:rPr>
                <w:rFonts w:ascii="宋体" w:hAnsi="宋体" w:cs="宋体"/>
                <w:color w:val="auto"/>
                <w:szCs w:val="21"/>
                <w:highlight w:val="none"/>
              </w:rPr>
            </w:pPr>
          </w:p>
        </w:tc>
        <w:tc>
          <w:tcPr>
            <w:tcW w:w="774" w:type="dxa"/>
            <w:vMerge w:val="continue"/>
            <w:vAlign w:val="center"/>
          </w:tcPr>
          <w:p>
            <w:pPr>
              <w:widowControl/>
              <w:jc w:val="center"/>
              <w:textAlignment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06" w:type="dxa"/>
            <w:vMerge w:val="continue"/>
            <w:vAlign w:val="center"/>
          </w:tcPr>
          <w:p>
            <w:pPr>
              <w:jc w:val="center"/>
              <w:rPr>
                <w:rFonts w:ascii="宋体" w:hAnsi="宋体" w:cs="宋体"/>
                <w:color w:val="auto"/>
                <w:szCs w:val="21"/>
                <w:highlight w:val="none"/>
              </w:rPr>
            </w:pPr>
          </w:p>
        </w:tc>
        <w:tc>
          <w:tcPr>
            <w:tcW w:w="579" w:type="dxa"/>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3911"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利普刀（高频电刀） （核心产品）</w:t>
            </w:r>
          </w:p>
        </w:tc>
        <w:tc>
          <w:tcPr>
            <w:tcW w:w="568" w:type="dxa"/>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78" w:type="dxa"/>
            <w:vAlign w:val="bottom"/>
          </w:tcPr>
          <w:p>
            <w:pPr>
              <w:widowControl/>
              <w:jc w:val="center"/>
              <w:textAlignment w:val="bottom"/>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348"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12.8</w:t>
            </w:r>
          </w:p>
        </w:tc>
        <w:tc>
          <w:tcPr>
            <w:tcW w:w="1322" w:type="dxa"/>
            <w:vMerge w:val="continue"/>
            <w:vAlign w:val="center"/>
          </w:tcPr>
          <w:p>
            <w:pPr>
              <w:widowControl/>
              <w:jc w:val="center"/>
              <w:rPr>
                <w:rFonts w:ascii="宋体" w:hAnsi="宋体" w:cs="宋体"/>
                <w:color w:val="auto"/>
                <w:kern w:val="0"/>
                <w:szCs w:val="21"/>
                <w:highlight w:val="none"/>
              </w:rPr>
            </w:pPr>
          </w:p>
        </w:tc>
        <w:tc>
          <w:tcPr>
            <w:tcW w:w="887" w:type="dxa"/>
            <w:vMerge w:val="continue"/>
            <w:vAlign w:val="center"/>
          </w:tcPr>
          <w:p>
            <w:pPr>
              <w:widowControl/>
              <w:jc w:val="center"/>
              <w:textAlignment w:val="center"/>
              <w:rPr>
                <w:rFonts w:ascii="宋体" w:hAnsi="宋体" w:cs="宋体"/>
                <w:color w:val="auto"/>
                <w:szCs w:val="21"/>
                <w:highlight w:val="none"/>
              </w:rPr>
            </w:pPr>
          </w:p>
        </w:tc>
        <w:tc>
          <w:tcPr>
            <w:tcW w:w="774" w:type="dxa"/>
            <w:vMerge w:val="continue"/>
            <w:vAlign w:val="center"/>
          </w:tcPr>
          <w:p>
            <w:pPr>
              <w:widowControl/>
              <w:jc w:val="center"/>
              <w:textAlignment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06" w:type="dxa"/>
            <w:vMerge w:val="restar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第十一包</w:t>
            </w:r>
          </w:p>
        </w:tc>
        <w:tc>
          <w:tcPr>
            <w:tcW w:w="579" w:type="dxa"/>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911"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盆底筛查仪（盆底功能检查仪）</w:t>
            </w:r>
          </w:p>
        </w:tc>
        <w:tc>
          <w:tcPr>
            <w:tcW w:w="568" w:type="dxa"/>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78" w:type="dxa"/>
            <w:vAlign w:val="bottom"/>
          </w:tcPr>
          <w:p>
            <w:pPr>
              <w:widowControl/>
              <w:jc w:val="center"/>
              <w:textAlignment w:val="bottom"/>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1348"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26</w:t>
            </w:r>
          </w:p>
        </w:tc>
        <w:tc>
          <w:tcPr>
            <w:tcW w:w="1322" w:type="dxa"/>
            <w:vMerge w:val="restart"/>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57</w:t>
            </w:r>
          </w:p>
        </w:tc>
        <w:tc>
          <w:tcPr>
            <w:tcW w:w="887" w:type="dxa"/>
            <w:vMerge w:val="restart"/>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w:t>
            </w:r>
          </w:p>
        </w:tc>
        <w:tc>
          <w:tcPr>
            <w:tcW w:w="774" w:type="dxa"/>
            <w:vMerge w:val="continue"/>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06" w:type="dxa"/>
            <w:vMerge w:val="continue"/>
          </w:tcPr>
          <w:p>
            <w:pPr>
              <w:jc w:val="center"/>
              <w:rPr>
                <w:rFonts w:ascii="宋体" w:hAnsi="宋体" w:cs="宋体"/>
                <w:color w:val="auto"/>
                <w:szCs w:val="21"/>
                <w:highlight w:val="none"/>
              </w:rPr>
            </w:pPr>
          </w:p>
        </w:tc>
        <w:tc>
          <w:tcPr>
            <w:tcW w:w="579" w:type="dxa"/>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3911"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盆底治疗仪（盆底功能治疗仪）（核心产品）</w:t>
            </w:r>
          </w:p>
        </w:tc>
        <w:tc>
          <w:tcPr>
            <w:tcW w:w="568" w:type="dxa"/>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78" w:type="dxa"/>
            <w:vAlign w:val="bottom"/>
          </w:tcPr>
          <w:p>
            <w:pPr>
              <w:widowControl/>
              <w:jc w:val="center"/>
              <w:textAlignment w:val="bottom"/>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1348"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31</w:t>
            </w:r>
          </w:p>
        </w:tc>
        <w:tc>
          <w:tcPr>
            <w:tcW w:w="1322" w:type="dxa"/>
            <w:vMerge w:val="continue"/>
            <w:vAlign w:val="center"/>
          </w:tcPr>
          <w:p>
            <w:pPr>
              <w:widowControl/>
              <w:jc w:val="center"/>
              <w:rPr>
                <w:rFonts w:ascii="宋体" w:hAnsi="宋体" w:cs="宋体"/>
                <w:color w:val="auto"/>
                <w:kern w:val="0"/>
                <w:szCs w:val="21"/>
                <w:highlight w:val="none"/>
              </w:rPr>
            </w:pPr>
          </w:p>
        </w:tc>
        <w:tc>
          <w:tcPr>
            <w:tcW w:w="887" w:type="dxa"/>
            <w:vMerge w:val="continue"/>
            <w:vAlign w:val="center"/>
          </w:tcPr>
          <w:p>
            <w:pPr>
              <w:widowControl/>
              <w:jc w:val="center"/>
              <w:rPr>
                <w:rFonts w:ascii="宋体" w:hAnsi="宋体" w:cs="宋体"/>
                <w:color w:val="auto"/>
                <w:kern w:val="0"/>
                <w:szCs w:val="21"/>
                <w:highlight w:val="none"/>
              </w:rPr>
            </w:pPr>
          </w:p>
        </w:tc>
        <w:tc>
          <w:tcPr>
            <w:tcW w:w="774" w:type="dxa"/>
            <w:vMerge w:val="continue"/>
            <w:vAlign w:val="center"/>
          </w:tcPr>
          <w:p>
            <w:pPr>
              <w:widowControl/>
              <w:jc w:val="center"/>
              <w:rPr>
                <w:rFonts w:ascii="宋体" w:hAnsi="宋体" w:cs="宋体"/>
                <w:color w:val="auto"/>
                <w:kern w:val="0"/>
                <w:szCs w:val="21"/>
                <w:highlight w:val="none"/>
              </w:rPr>
            </w:pPr>
          </w:p>
        </w:tc>
      </w:tr>
    </w:tbl>
    <w:p>
      <w:pPr>
        <w:pStyle w:val="2"/>
        <w:spacing w:before="312" w:beforeLines="100" w:after="0" w:line="360" w:lineRule="auto"/>
        <w:rPr>
          <w:rFonts w:ascii="宋体" w:hAnsi="宋体" w:cs="宋体"/>
          <w:b/>
          <w:bCs/>
          <w:color w:val="auto"/>
          <w:sz w:val="24"/>
          <w:highlight w:val="none"/>
        </w:rPr>
      </w:pPr>
      <w:r>
        <w:rPr>
          <w:rFonts w:hint="eastAsia" w:ascii="宋体" w:hAnsi="宋体" w:cs="宋体"/>
          <w:b/>
          <w:bCs/>
          <w:color w:val="auto"/>
          <w:sz w:val="24"/>
          <w:highlight w:val="none"/>
        </w:rPr>
        <w:t>二、技术参数及配置要求：</w:t>
      </w:r>
    </w:p>
    <w:p>
      <w:pPr>
        <w:spacing w:after="120"/>
        <w:ind w:firstLine="812" w:firstLineChars="337"/>
        <w:jc w:val="center"/>
        <w:outlineLvl w:val="1"/>
        <w:rPr>
          <w:b/>
          <w:bCs/>
          <w:color w:val="auto"/>
          <w:sz w:val="24"/>
          <w:highlight w:val="none"/>
        </w:rPr>
      </w:pPr>
      <w:r>
        <w:rPr>
          <w:rFonts w:hint="eastAsia"/>
          <w:b/>
          <w:bCs/>
          <w:color w:val="auto"/>
          <w:sz w:val="24"/>
          <w:highlight w:val="none"/>
        </w:rPr>
        <w:t>第一包</w:t>
      </w:r>
    </w:p>
    <w:p>
      <w:pPr>
        <w:spacing w:after="120"/>
        <w:ind w:firstLine="812" w:firstLineChars="337"/>
        <w:jc w:val="center"/>
        <w:rPr>
          <w:b/>
          <w:bCs/>
          <w:color w:val="auto"/>
          <w:sz w:val="24"/>
          <w:highlight w:val="none"/>
        </w:rPr>
      </w:pPr>
      <w:r>
        <w:rPr>
          <w:rFonts w:hint="eastAsia"/>
          <w:b/>
          <w:bCs/>
          <w:color w:val="auto"/>
          <w:sz w:val="24"/>
          <w:highlight w:val="none"/>
        </w:rPr>
        <w:t>1-1麻醉工作台</w:t>
      </w:r>
    </w:p>
    <w:tbl>
      <w:tblPr>
        <w:tblStyle w:val="3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063"/>
        <w:gridCol w:w="6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rPr>
                <w:rFonts w:ascii="宋体" w:hAnsi="宋体" w:cs="宋体"/>
                <w:b/>
                <w:color w:val="auto"/>
                <w:szCs w:val="21"/>
                <w:highlight w:val="none"/>
              </w:rPr>
            </w:pPr>
            <w:r>
              <w:rPr>
                <w:rFonts w:hint="eastAsia" w:ascii="宋体" w:hAnsi="宋体" w:cs="宋体"/>
                <w:b/>
                <w:color w:val="auto"/>
                <w:szCs w:val="21"/>
                <w:highlight w:val="none"/>
              </w:rPr>
              <w:t>序号</w:t>
            </w:r>
          </w:p>
        </w:tc>
        <w:tc>
          <w:tcPr>
            <w:tcW w:w="1063" w:type="dxa"/>
            <w:vAlign w:val="center"/>
          </w:tcPr>
          <w:p>
            <w:pPr>
              <w:rPr>
                <w:rFonts w:ascii="宋体" w:hAnsi="宋体" w:cs="宋体"/>
                <w:b/>
                <w:color w:val="auto"/>
                <w:szCs w:val="21"/>
                <w:highlight w:val="none"/>
              </w:rPr>
            </w:pPr>
            <w:r>
              <w:rPr>
                <w:rFonts w:hint="eastAsia" w:ascii="宋体" w:hAnsi="宋体" w:cs="宋体"/>
                <w:b/>
                <w:color w:val="auto"/>
                <w:szCs w:val="21"/>
                <w:highlight w:val="none"/>
              </w:rPr>
              <w:t>技术名称</w:t>
            </w:r>
          </w:p>
        </w:tc>
        <w:tc>
          <w:tcPr>
            <w:tcW w:w="6811" w:type="dxa"/>
            <w:vAlign w:val="center"/>
          </w:tcPr>
          <w:p>
            <w:pPr>
              <w:rPr>
                <w:rFonts w:ascii="宋体" w:hAnsi="宋体" w:cs="宋体"/>
                <w:b/>
                <w:color w:val="auto"/>
                <w:szCs w:val="21"/>
                <w:highlight w:val="none"/>
              </w:rPr>
            </w:pPr>
            <w:r>
              <w:rPr>
                <w:rFonts w:hint="eastAsia" w:ascii="宋体" w:hAnsi="宋体" w:cs="宋体"/>
                <w:b/>
                <w:color w:val="auto"/>
                <w:szCs w:val="21"/>
                <w:highlight w:val="none"/>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Merge w:val="restart"/>
            <w:vAlign w:val="center"/>
          </w:tcPr>
          <w:p>
            <w:pPr>
              <w:spacing w:line="460" w:lineRule="exact"/>
              <w:rPr>
                <w:rFonts w:ascii="宋体" w:hAnsi="宋体" w:cs="宋体"/>
                <w:color w:val="auto"/>
                <w:szCs w:val="21"/>
                <w:highlight w:val="none"/>
              </w:rPr>
            </w:pPr>
            <w:r>
              <w:rPr>
                <w:rFonts w:hint="eastAsia" w:ascii="宋体" w:hAnsi="宋体" w:cs="宋体"/>
                <w:color w:val="auto"/>
                <w:szCs w:val="21"/>
                <w:highlight w:val="none"/>
              </w:rPr>
              <w:t>1</w:t>
            </w:r>
          </w:p>
        </w:tc>
        <w:tc>
          <w:tcPr>
            <w:tcW w:w="1063" w:type="dxa"/>
            <w:vMerge w:val="restart"/>
            <w:vAlign w:val="center"/>
          </w:tcPr>
          <w:p>
            <w:pPr>
              <w:spacing w:line="460" w:lineRule="exact"/>
              <w:rPr>
                <w:rFonts w:ascii="宋体" w:hAnsi="宋体" w:cs="宋体"/>
                <w:color w:val="auto"/>
                <w:szCs w:val="21"/>
                <w:highlight w:val="none"/>
              </w:rPr>
            </w:pPr>
            <w:r>
              <w:rPr>
                <w:rFonts w:hint="eastAsia" w:ascii="宋体" w:hAnsi="宋体" w:cs="宋体"/>
                <w:color w:val="auto"/>
                <w:szCs w:val="21"/>
                <w:highlight w:val="none"/>
              </w:rPr>
              <w:t>主 机</w:t>
            </w:r>
          </w:p>
        </w:tc>
        <w:tc>
          <w:tcPr>
            <w:tcW w:w="6811" w:type="dxa"/>
            <w:vAlign w:val="center"/>
          </w:tcPr>
          <w:p>
            <w:pPr>
              <w:spacing w:line="460" w:lineRule="exact"/>
              <w:rPr>
                <w:rFonts w:ascii="宋体" w:hAnsi="宋体" w:cs="宋体"/>
                <w:color w:val="auto"/>
                <w:szCs w:val="21"/>
                <w:highlight w:val="none"/>
              </w:rPr>
            </w:pPr>
            <w:r>
              <w:rPr>
                <w:rFonts w:hint="eastAsia" w:ascii="宋体" w:hAnsi="宋体" w:cs="宋体"/>
                <w:color w:val="auto"/>
                <w:kern w:val="0"/>
                <w:szCs w:val="21"/>
                <w:highlight w:val="none"/>
              </w:rPr>
              <w:t>1.1 整机：中央站一套、工作站一套、查看站一套（</w:t>
            </w:r>
            <w:r>
              <w:rPr>
                <w:rFonts w:hint="eastAsia" w:ascii="宋体" w:hAnsi="宋体" w:cs="宋体"/>
                <w:color w:val="auto"/>
                <w:szCs w:val="21"/>
                <w:highlight w:val="none"/>
              </w:rPr>
              <w:t>≥</w:t>
            </w:r>
            <w:r>
              <w:rPr>
                <w:rFonts w:hint="eastAsia" w:ascii="宋体" w:hAnsi="宋体" w:cs="宋体"/>
                <w:color w:val="auto"/>
                <w:kern w:val="0"/>
                <w:szCs w:val="21"/>
                <w:highlight w:val="none"/>
              </w:rPr>
              <w:t>55英寸显示屏）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Merge w:val="continue"/>
            <w:vAlign w:val="center"/>
          </w:tcPr>
          <w:p>
            <w:pPr>
              <w:spacing w:line="460" w:lineRule="exact"/>
              <w:ind w:firstLine="420" w:firstLineChars="200"/>
              <w:rPr>
                <w:rFonts w:ascii="宋体" w:hAnsi="宋体" w:cs="宋体"/>
                <w:color w:val="auto"/>
                <w:szCs w:val="21"/>
                <w:highlight w:val="none"/>
              </w:rPr>
            </w:pPr>
          </w:p>
        </w:tc>
        <w:tc>
          <w:tcPr>
            <w:tcW w:w="1063" w:type="dxa"/>
            <w:vMerge w:val="continue"/>
            <w:vAlign w:val="center"/>
          </w:tcPr>
          <w:p>
            <w:pPr>
              <w:spacing w:line="460" w:lineRule="exact"/>
              <w:ind w:firstLine="420" w:firstLineChars="200"/>
              <w:rPr>
                <w:rFonts w:ascii="宋体" w:hAnsi="宋体" w:cs="宋体"/>
                <w:color w:val="auto"/>
                <w:szCs w:val="21"/>
                <w:highlight w:val="none"/>
              </w:rPr>
            </w:pPr>
          </w:p>
        </w:tc>
        <w:tc>
          <w:tcPr>
            <w:tcW w:w="6811" w:type="dxa"/>
            <w:vAlign w:val="center"/>
          </w:tcPr>
          <w:p>
            <w:pPr>
              <w:spacing w:line="460" w:lineRule="exact"/>
              <w:rPr>
                <w:rFonts w:ascii="宋体" w:hAnsi="宋体" w:cs="宋体"/>
                <w:color w:val="auto"/>
                <w:szCs w:val="21"/>
                <w:highlight w:val="none"/>
              </w:rPr>
            </w:pPr>
            <w:r>
              <w:rPr>
                <w:rFonts w:hint="eastAsia" w:ascii="宋体" w:hAnsi="宋体" w:cs="宋体"/>
                <w:color w:val="auto"/>
                <w:kern w:val="0"/>
                <w:szCs w:val="21"/>
                <w:highlight w:val="none"/>
              </w:rPr>
              <w:t>1.2 硬盘</w:t>
            </w:r>
            <w:r>
              <w:rPr>
                <w:rFonts w:hint="eastAsia" w:ascii="宋体" w:hAnsi="宋体" w:cs="宋体"/>
                <w:color w:val="auto"/>
                <w:szCs w:val="21"/>
                <w:highlight w:val="none"/>
              </w:rPr>
              <w:t>≥</w:t>
            </w:r>
            <w:r>
              <w:rPr>
                <w:rFonts w:hint="eastAsia" w:ascii="宋体" w:hAnsi="宋体" w:cs="宋体"/>
                <w:color w:val="auto"/>
                <w:kern w:val="0"/>
                <w:szCs w:val="21"/>
                <w:highlight w:val="none"/>
              </w:rPr>
              <w:t>320G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Merge w:val="continue"/>
            <w:vAlign w:val="center"/>
          </w:tcPr>
          <w:p>
            <w:pPr>
              <w:spacing w:line="460" w:lineRule="exact"/>
              <w:ind w:firstLine="420" w:firstLineChars="200"/>
              <w:rPr>
                <w:rFonts w:ascii="宋体" w:hAnsi="宋体" w:cs="宋体"/>
                <w:color w:val="auto"/>
                <w:szCs w:val="21"/>
                <w:highlight w:val="none"/>
              </w:rPr>
            </w:pPr>
          </w:p>
        </w:tc>
        <w:tc>
          <w:tcPr>
            <w:tcW w:w="1063" w:type="dxa"/>
            <w:vMerge w:val="continue"/>
            <w:vAlign w:val="center"/>
          </w:tcPr>
          <w:p>
            <w:pPr>
              <w:spacing w:line="460" w:lineRule="exact"/>
              <w:ind w:firstLine="420" w:firstLineChars="200"/>
              <w:rPr>
                <w:rFonts w:ascii="宋体" w:hAnsi="宋体" w:cs="宋体"/>
                <w:color w:val="auto"/>
                <w:szCs w:val="21"/>
                <w:highlight w:val="none"/>
              </w:rPr>
            </w:pPr>
          </w:p>
        </w:tc>
        <w:tc>
          <w:tcPr>
            <w:tcW w:w="6811" w:type="dxa"/>
            <w:vAlign w:val="center"/>
          </w:tcPr>
          <w:p>
            <w:pPr>
              <w:spacing w:line="460" w:lineRule="exact"/>
              <w:rPr>
                <w:rFonts w:ascii="宋体" w:hAnsi="宋体" w:cs="宋体"/>
                <w:color w:val="auto"/>
                <w:szCs w:val="21"/>
                <w:highlight w:val="none"/>
              </w:rPr>
            </w:pPr>
            <w:r>
              <w:rPr>
                <w:rFonts w:hint="eastAsia" w:ascii="宋体" w:hAnsi="宋体" w:cs="宋体"/>
                <w:color w:val="auto"/>
                <w:kern w:val="0"/>
                <w:szCs w:val="21"/>
                <w:highlight w:val="none"/>
              </w:rPr>
              <w:t>1.3 内存</w:t>
            </w:r>
            <w:r>
              <w:rPr>
                <w:rFonts w:hint="eastAsia" w:ascii="宋体" w:hAnsi="宋体" w:cs="宋体"/>
                <w:color w:val="auto"/>
                <w:szCs w:val="21"/>
                <w:highlight w:val="none"/>
              </w:rPr>
              <w:t>≥</w:t>
            </w:r>
            <w:r>
              <w:rPr>
                <w:rFonts w:hint="eastAsia" w:ascii="宋体" w:hAnsi="宋体" w:cs="宋体"/>
                <w:color w:val="auto"/>
                <w:kern w:val="0"/>
                <w:szCs w:val="21"/>
                <w:highlight w:val="none"/>
              </w:rPr>
              <w:t>2G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Merge w:val="continue"/>
            <w:vAlign w:val="center"/>
          </w:tcPr>
          <w:p>
            <w:pPr>
              <w:spacing w:line="460" w:lineRule="exact"/>
              <w:ind w:firstLine="420" w:firstLineChars="200"/>
              <w:rPr>
                <w:rFonts w:ascii="宋体" w:hAnsi="宋体" w:cs="宋体"/>
                <w:color w:val="auto"/>
                <w:szCs w:val="21"/>
                <w:highlight w:val="none"/>
              </w:rPr>
            </w:pPr>
          </w:p>
        </w:tc>
        <w:tc>
          <w:tcPr>
            <w:tcW w:w="1063" w:type="dxa"/>
            <w:vMerge w:val="continue"/>
            <w:vAlign w:val="center"/>
          </w:tcPr>
          <w:p>
            <w:pPr>
              <w:spacing w:line="460" w:lineRule="exact"/>
              <w:ind w:firstLine="420" w:firstLineChars="200"/>
              <w:rPr>
                <w:rFonts w:ascii="宋体" w:hAnsi="宋体" w:cs="宋体"/>
                <w:color w:val="auto"/>
                <w:szCs w:val="21"/>
                <w:highlight w:val="none"/>
              </w:rPr>
            </w:pPr>
          </w:p>
        </w:tc>
        <w:tc>
          <w:tcPr>
            <w:tcW w:w="6811" w:type="dxa"/>
            <w:vAlign w:val="center"/>
          </w:tcPr>
          <w:p>
            <w:pPr>
              <w:spacing w:line="460" w:lineRule="exact"/>
              <w:rPr>
                <w:rFonts w:ascii="宋体" w:hAnsi="宋体" w:cs="宋体"/>
                <w:color w:val="auto"/>
                <w:szCs w:val="21"/>
                <w:highlight w:val="none"/>
              </w:rPr>
            </w:pPr>
            <w:r>
              <w:rPr>
                <w:rFonts w:hint="eastAsia" w:ascii="宋体" w:hAnsi="宋体" w:cs="宋体"/>
                <w:color w:val="auto"/>
                <w:kern w:val="0"/>
                <w:szCs w:val="21"/>
                <w:highlight w:val="none"/>
              </w:rPr>
              <w:t>1.4 CPU：</w:t>
            </w:r>
            <w:r>
              <w:rPr>
                <w:rFonts w:hint="eastAsia" w:ascii="宋体" w:hAnsi="宋体" w:cs="宋体"/>
                <w:color w:val="auto"/>
                <w:kern w:val="0"/>
                <w:sz w:val="24"/>
                <w:highlight w:val="none"/>
                <w:lang w:bidi="ar"/>
              </w:rPr>
              <w:t>主频≥</w:t>
            </w:r>
            <w:r>
              <w:rPr>
                <w:rFonts w:hint="eastAsia" w:ascii="宋体" w:hAnsi="宋体" w:cs="宋体"/>
                <w:color w:val="auto"/>
                <w:kern w:val="0"/>
                <w:szCs w:val="21"/>
                <w:highlight w:val="none"/>
              </w:rPr>
              <w:t>3G 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Merge w:val="continue"/>
            <w:vAlign w:val="center"/>
          </w:tcPr>
          <w:p>
            <w:pPr>
              <w:spacing w:line="460" w:lineRule="exact"/>
              <w:ind w:firstLine="420" w:firstLineChars="200"/>
              <w:rPr>
                <w:rFonts w:ascii="宋体" w:hAnsi="宋体" w:cs="宋体"/>
                <w:color w:val="auto"/>
                <w:szCs w:val="21"/>
                <w:highlight w:val="none"/>
              </w:rPr>
            </w:pPr>
          </w:p>
        </w:tc>
        <w:tc>
          <w:tcPr>
            <w:tcW w:w="1063" w:type="dxa"/>
            <w:vMerge w:val="continue"/>
            <w:vAlign w:val="center"/>
          </w:tcPr>
          <w:p>
            <w:pPr>
              <w:spacing w:line="460" w:lineRule="exact"/>
              <w:ind w:firstLine="420" w:firstLineChars="200"/>
              <w:rPr>
                <w:rFonts w:ascii="宋体" w:hAnsi="宋体" w:cs="宋体"/>
                <w:color w:val="auto"/>
                <w:szCs w:val="21"/>
                <w:highlight w:val="none"/>
              </w:rPr>
            </w:pPr>
          </w:p>
        </w:tc>
        <w:tc>
          <w:tcPr>
            <w:tcW w:w="6811" w:type="dxa"/>
            <w:vAlign w:val="center"/>
          </w:tcPr>
          <w:p>
            <w:pPr>
              <w:spacing w:line="460" w:lineRule="exact"/>
              <w:rPr>
                <w:rFonts w:ascii="宋体" w:hAnsi="宋体" w:cs="宋体"/>
                <w:color w:val="auto"/>
                <w:szCs w:val="21"/>
                <w:highlight w:val="none"/>
              </w:rPr>
            </w:pPr>
            <w:r>
              <w:rPr>
                <w:rFonts w:hint="eastAsia" w:ascii="宋体" w:hAnsi="宋体" w:cs="宋体"/>
                <w:color w:val="auto"/>
                <w:szCs w:val="21"/>
                <w:highlight w:val="none"/>
              </w:rPr>
              <w:t>1.5 USB接口≥3个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Merge w:val="restart"/>
            <w:vAlign w:val="center"/>
          </w:tcPr>
          <w:p>
            <w:pPr>
              <w:spacing w:line="460" w:lineRule="exact"/>
              <w:rPr>
                <w:rFonts w:ascii="宋体" w:hAnsi="宋体" w:cs="宋体"/>
                <w:color w:val="auto"/>
                <w:szCs w:val="21"/>
                <w:highlight w:val="none"/>
              </w:rPr>
            </w:pPr>
            <w:r>
              <w:rPr>
                <w:rFonts w:hint="eastAsia" w:ascii="宋体" w:hAnsi="宋体" w:cs="宋体"/>
                <w:color w:val="auto"/>
                <w:szCs w:val="21"/>
                <w:highlight w:val="none"/>
              </w:rPr>
              <w:t>2</w:t>
            </w:r>
          </w:p>
        </w:tc>
        <w:tc>
          <w:tcPr>
            <w:tcW w:w="1063" w:type="dxa"/>
            <w:vMerge w:val="restart"/>
            <w:vAlign w:val="center"/>
          </w:tcPr>
          <w:p>
            <w:pPr>
              <w:spacing w:line="460" w:lineRule="exact"/>
              <w:rPr>
                <w:rFonts w:ascii="宋体" w:hAnsi="宋体" w:cs="宋体"/>
                <w:color w:val="auto"/>
                <w:szCs w:val="21"/>
                <w:highlight w:val="none"/>
              </w:rPr>
            </w:pPr>
            <w:r>
              <w:rPr>
                <w:rFonts w:hint="eastAsia" w:ascii="宋体" w:hAnsi="宋体" w:cs="宋体"/>
                <w:color w:val="auto"/>
                <w:szCs w:val="21"/>
                <w:highlight w:val="none"/>
              </w:rPr>
              <w:t>显 示</w:t>
            </w:r>
          </w:p>
        </w:tc>
        <w:tc>
          <w:tcPr>
            <w:tcW w:w="6811" w:type="dxa"/>
            <w:vAlign w:val="center"/>
          </w:tcPr>
          <w:p>
            <w:pPr>
              <w:spacing w:line="460" w:lineRule="exact"/>
              <w:rPr>
                <w:rFonts w:ascii="宋体" w:hAnsi="宋体" w:cs="宋体"/>
                <w:color w:val="auto"/>
                <w:szCs w:val="21"/>
                <w:highlight w:val="none"/>
              </w:rPr>
            </w:pPr>
            <w:r>
              <w:rPr>
                <w:rFonts w:hint="eastAsia" w:ascii="宋体" w:hAnsi="宋体" w:cs="宋体"/>
                <w:color w:val="auto"/>
                <w:kern w:val="0"/>
                <w:szCs w:val="21"/>
                <w:highlight w:val="none"/>
              </w:rPr>
              <w:t>2.1 单屏显示，显示器</w:t>
            </w:r>
            <w:r>
              <w:rPr>
                <w:rFonts w:hint="eastAsia" w:ascii="宋体" w:hAnsi="宋体" w:cs="宋体"/>
                <w:color w:val="auto"/>
                <w:szCs w:val="21"/>
                <w:highlight w:val="none"/>
              </w:rPr>
              <w:t>≥24</w:t>
            </w:r>
            <w:r>
              <w:rPr>
                <w:rFonts w:hint="eastAsia" w:ascii="宋体" w:hAnsi="宋体" w:cs="宋体"/>
                <w:color w:val="auto"/>
                <w:kern w:val="0"/>
                <w:szCs w:val="21"/>
                <w:highlight w:val="none"/>
              </w:rPr>
              <w:t>英寸彩色液晶显示器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8" w:type="dxa"/>
            <w:vMerge w:val="continue"/>
            <w:vAlign w:val="center"/>
          </w:tcPr>
          <w:p>
            <w:pPr>
              <w:rPr>
                <w:rFonts w:ascii="宋体" w:hAnsi="宋体" w:cs="宋体"/>
                <w:b/>
                <w:color w:val="auto"/>
                <w:szCs w:val="21"/>
                <w:highlight w:val="none"/>
              </w:rPr>
            </w:pPr>
          </w:p>
        </w:tc>
        <w:tc>
          <w:tcPr>
            <w:tcW w:w="1063" w:type="dxa"/>
            <w:vMerge w:val="continue"/>
            <w:vAlign w:val="center"/>
          </w:tcPr>
          <w:p>
            <w:pPr>
              <w:rPr>
                <w:rFonts w:ascii="宋体" w:hAnsi="宋体" w:cs="宋体"/>
                <w:b/>
                <w:color w:val="auto"/>
                <w:szCs w:val="21"/>
                <w:highlight w:val="none"/>
              </w:rPr>
            </w:pPr>
          </w:p>
        </w:tc>
        <w:tc>
          <w:tcPr>
            <w:tcW w:w="6811" w:type="dxa"/>
            <w:vAlign w:val="center"/>
          </w:tcPr>
          <w:p>
            <w:pPr>
              <w:spacing w:line="460" w:lineRule="exact"/>
              <w:rPr>
                <w:rFonts w:ascii="宋体" w:hAnsi="宋体" w:cs="宋体"/>
                <w:color w:val="auto"/>
                <w:szCs w:val="21"/>
                <w:highlight w:val="none"/>
              </w:rPr>
            </w:pPr>
            <w:r>
              <w:rPr>
                <w:rFonts w:hint="eastAsia" w:ascii="宋体" w:hAnsi="宋体" w:cs="宋体"/>
                <w:color w:val="auto"/>
                <w:szCs w:val="21"/>
                <w:highlight w:val="none"/>
              </w:rPr>
              <w:t>2.2 分辨率≥1280×1024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Merge w:val="continue"/>
            <w:vAlign w:val="center"/>
          </w:tcPr>
          <w:p>
            <w:pPr>
              <w:rPr>
                <w:rFonts w:ascii="宋体" w:hAnsi="宋体" w:cs="宋体"/>
                <w:b/>
                <w:color w:val="auto"/>
                <w:szCs w:val="21"/>
                <w:highlight w:val="none"/>
              </w:rPr>
            </w:pPr>
          </w:p>
        </w:tc>
        <w:tc>
          <w:tcPr>
            <w:tcW w:w="1063" w:type="dxa"/>
            <w:vMerge w:val="continue"/>
            <w:vAlign w:val="center"/>
          </w:tcPr>
          <w:p>
            <w:pPr>
              <w:rPr>
                <w:rFonts w:ascii="宋体" w:hAnsi="宋体" w:cs="宋体"/>
                <w:b/>
                <w:color w:val="auto"/>
                <w:szCs w:val="21"/>
                <w:highlight w:val="none"/>
              </w:rPr>
            </w:pPr>
          </w:p>
        </w:tc>
        <w:tc>
          <w:tcPr>
            <w:tcW w:w="6811" w:type="dxa"/>
            <w:vAlign w:val="center"/>
          </w:tcPr>
          <w:p>
            <w:pPr>
              <w:spacing w:line="460" w:lineRule="exact"/>
              <w:rPr>
                <w:rFonts w:ascii="宋体" w:hAnsi="宋体" w:cs="宋体"/>
                <w:color w:val="auto"/>
                <w:szCs w:val="21"/>
                <w:highlight w:val="none"/>
              </w:rPr>
            </w:pPr>
            <w:r>
              <w:rPr>
                <w:rFonts w:hint="eastAsia" w:ascii="宋体" w:hAnsi="宋体" w:cs="宋体"/>
                <w:color w:val="auto"/>
                <w:szCs w:val="21"/>
                <w:highlight w:val="none"/>
              </w:rPr>
              <w:t>2.3 具有标准显示和大字体显示两种功能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Merge w:val="continue"/>
            <w:vAlign w:val="center"/>
          </w:tcPr>
          <w:p>
            <w:pPr>
              <w:rPr>
                <w:rFonts w:ascii="宋体" w:hAnsi="宋体" w:cs="宋体"/>
                <w:b/>
                <w:color w:val="auto"/>
                <w:szCs w:val="21"/>
                <w:highlight w:val="none"/>
              </w:rPr>
            </w:pPr>
          </w:p>
        </w:tc>
        <w:tc>
          <w:tcPr>
            <w:tcW w:w="1063" w:type="dxa"/>
            <w:vMerge w:val="continue"/>
            <w:vAlign w:val="center"/>
          </w:tcPr>
          <w:p>
            <w:pPr>
              <w:rPr>
                <w:rFonts w:ascii="宋体" w:hAnsi="宋体" w:cs="宋体"/>
                <w:b/>
                <w:color w:val="auto"/>
                <w:szCs w:val="21"/>
                <w:highlight w:val="none"/>
              </w:rPr>
            </w:pPr>
          </w:p>
        </w:tc>
        <w:tc>
          <w:tcPr>
            <w:tcW w:w="6811" w:type="dxa"/>
            <w:vAlign w:val="center"/>
          </w:tcPr>
          <w:p>
            <w:pPr>
              <w:spacing w:line="460" w:lineRule="exact"/>
              <w:rPr>
                <w:rFonts w:ascii="宋体" w:hAnsi="宋体" w:cs="宋体"/>
                <w:color w:val="auto"/>
                <w:szCs w:val="21"/>
                <w:highlight w:val="none"/>
              </w:rPr>
            </w:pPr>
            <w:r>
              <w:rPr>
                <w:rFonts w:hint="eastAsia" w:ascii="宋体" w:hAnsi="宋体" w:cs="宋体"/>
                <w:color w:val="auto"/>
                <w:highlight w:val="none"/>
              </w:rPr>
              <w:t>★</w:t>
            </w:r>
            <w:r>
              <w:rPr>
                <w:rFonts w:hint="eastAsia" w:ascii="宋体" w:hAnsi="宋体" w:cs="宋体"/>
                <w:color w:val="auto"/>
                <w:szCs w:val="21"/>
                <w:highlight w:val="none"/>
              </w:rPr>
              <w:t>2.4 可单屏同时显示</w:t>
            </w:r>
            <w:r>
              <w:rPr>
                <w:rFonts w:hint="eastAsia" w:ascii="宋体" w:hAnsi="宋体" w:cs="宋体"/>
                <w:color w:val="auto"/>
                <w:highlight w:val="none"/>
              </w:rPr>
              <w:t>≥</w:t>
            </w:r>
            <w:r>
              <w:rPr>
                <w:rFonts w:hint="eastAsia" w:ascii="宋体" w:hAnsi="宋体" w:cs="宋体"/>
                <w:color w:val="auto"/>
                <w:szCs w:val="21"/>
                <w:highlight w:val="none"/>
              </w:rPr>
              <w:t>16张床位信息（最多可同时双屏显示32张床位信息），同时要求每床位信息显示</w:t>
            </w:r>
            <w:r>
              <w:rPr>
                <w:rFonts w:hint="eastAsia" w:ascii="宋体" w:hAnsi="宋体" w:cs="宋体"/>
                <w:color w:val="auto"/>
                <w:highlight w:val="none"/>
              </w:rPr>
              <w:t>包含1</w:t>
            </w:r>
            <w:r>
              <w:rPr>
                <w:rFonts w:hint="eastAsia" w:ascii="宋体" w:hAnsi="宋体" w:cs="宋体"/>
                <w:color w:val="auto"/>
                <w:szCs w:val="21"/>
                <w:highlight w:val="none"/>
              </w:rPr>
              <w:t>道波形及3个参数信息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Merge w:val="continue"/>
            <w:vAlign w:val="center"/>
          </w:tcPr>
          <w:p>
            <w:pPr>
              <w:rPr>
                <w:rFonts w:ascii="宋体" w:hAnsi="宋体" w:cs="宋体"/>
                <w:b/>
                <w:color w:val="auto"/>
                <w:szCs w:val="21"/>
                <w:highlight w:val="none"/>
              </w:rPr>
            </w:pPr>
          </w:p>
        </w:tc>
        <w:tc>
          <w:tcPr>
            <w:tcW w:w="1063" w:type="dxa"/>
            <w:vMerge w:val="continue"/>
            <w:vAlign w:val="center"/>
          </w:tcPr>
          <w:p>
            <w:pPr>
              <w:rPr>
                <w:rFonts w:ascii="宋体" w:hAnsi="宋体" w:cs="宋体"/>
                <w:b/>
                <w:color w:val="auto"/>
                <w:szCs w:val="21"/>
                <w:highlight w:val="none"/>
              </w:rPr>
            </w:pPr>
          </w:p>
        </w:tc>
        <w:tc>
          <w:tcPr>
            <w:tcW w:w="6811" w:type="dxa"/>
            <w:vAlign w:val="center"/>
          </w:tcPr>
          <w:p>
            <w:pPr>
              <w:spacing w:line="460" w:lineRule="exact"/>
              <w:rPr>
                <w:rFonts w:ascii="宋体" w:hAnsi="宋体" w:cs="宋体"/>
                <w:color w:val="auto"/>
                <w:szCs w:val="21"/>
                <w:highlight w:val="none"/>
              </w:rPr>
            </w:pPr>
            <w:r>
              <w:rPr>
                <w:rFonts w:hint="eastAsia" w:ascii="宋体" w:hAnsi="宋体" w:cs="宋体"/>
                <w:color w:val="auto"/>
                <w:szCs w:val="21"/>
                <w:highlight w:val="none"/>
              </w:rPr>
              <w:t>2.5 重点观察中可同屏显示</w:t>
            </w:r>
            <w:r>
              <w:rPr>
                <w:rFonts w:hint="eastAsia" w:ascii="宋体" w:hAnsi="宋体" w:cs="宋体"/>
                <w:color w:val="auto"/>
                <w:highlight w:val="none"/>
              </w:rPr>
              <w:t>≥</w:t>
            </w:r>
            <w:r>
              <w:rPr>
                <w:rFonts w:hint="eastAsia" w:ascii="宋体" w:hAnsi="宋体" w:cs="宋体"/>
                <w:color w:val="auto"/>
                <w:szCs w:val="21"/>
                <w:highlight w:val="none"/>
              </w:rPr>
              <w:t>4h全部参数趋势数据，双屏时可显示</w:t>
            </w:r>
            <w:r>
              <w:rPr>
                <w:rFonts w:hint="eastAsia" w:ascii="宋体" w:hAnsi="宋体" w:cs="宋体"/>
                <w:color w:val="auto"/>
                <w:highlight w:val="none"/>
              </w:rPr>
              <w:t>≥</w:t>
            </w:r>
            <w:r>
              <w:rPr>
                <w:rFonts w:hint="eastAsia" w:ascii="宋体" w:hAnsi="宋体" w:cs="宋体"/>
                <w:color w:val="auto"/>
                <w:szCs w:val="21"/>
                <w:highlight w:val="none"/>
              </w:rPr>
              <w:t>8道波形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Merge w:val="continue"/>
            <w:vAlign w:val="center"/>
          </w:tcPr>
          <w:p>
            <w:pPr>
              <w:rPr>
                <w:rFonts w:ascii="宋体" w:hAnsi="宋体" w:cs="宋体"/>
                <w:b/>
                <w:color w:val="auto"/>
                <w:szCs w:val="21"/>
                <w:highlight w:val="none"/>
              </w:rPr>
            </w:pPr>
          </w:p>
        </w:tc>
        <w:tc>
          <w:tcPr>
            <w:tcW w:w="1063" w:type="dxa"/>
            <w:vMerge w:val="continue"/>
            <w:vAlign w:val="center"/>
          </w:tcPr>
          <w:p>
            <w:pPr>
              <w:rPr>
                <w:rFonts w:ascii="宋体" w:hAnsi="宋体" w:cs="宋体"/>
                <w:b/>
                <w:color w:val="auto"/>
                <w:szCs w:val="21"/>
                <w:highlight w:val="none"/>
              </w:rPr>
            </w:pPr>
          </w:p>
        </w:tc>
        <w:tc>
          <w:tcPr>
            <w:tcW w:w="6811" w:type="dxa"/>
            <w:vAlign w:val="center"/>
          </w:tcPr>
          <w:p>
            <w:pPr>
              <w:spacing w:line="460" w:lineRule="exact"/>
              <w:rPr>
                <w:rFonts w:ascii="宋体" w:hAnsi="宋体" w:cs="宋体"/>
                <w:color w:val="auto"/>
                <w:szCs w:val="21"/>
                <w:highlight w:val="none"/>
              </w:rPr>
            </w:pPr>
            <w:r>
              <w:rPr>
                <w:rFonts w:hint="eastAsia" w:ascii="宋体" w:hAnsi="宋体" w:cs="宋体"/>
                <w:color w:val="auto"/>
                <w:szCs w:val="21"/>
                <w:highlight w:val="none"/>
              </w:rPr>
              <w:t>2.6 双屏显示时，可以一屏显示基本床位信息，另一屏显示重点监护床位所有参数信息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Merge w:val="restart"/>
            <w:vAlign w:val="center"/>
          </w:tcPr>
          <w:p>
            <w:pPr>
              <w:spacing w:line="460" w:lineRule="exact"/>
              <w:rPr>
                <w:rFonts w:ascii="宋体" w:hAnsi="宋体" w:cs="宋体"/>
                <w:color w:val="auto"/>
                <w:szCs w:val="21"/>
                <w:highlight w:val="none"/>
              </w:rPr>
            </w:pPr>
            <w:r>
              <w:rPr>
                <w:rFonts w:hint="eastAsia" w:ascii="宋体" w:hAnsi="宋体" w:cs="宋体"/>
                <w:color w:val="auto"/>
                <w:szCs w:val="21"/>
                <w:highlight w:val="none"/>
              </w:rPr>
              <w:t>3</w:t>
            </w:r>
          </w:p>
        </w:tc>
        <w:tc>
          <w:tcPr>
            <w:tcW w:w="1063" w:type="dxa"/>
            <w:vMerge w:val="restart"/>
            <w:vAlign w:val="center"/>
          </w:tcPr>
          <w:p>
            <w:pPr>
              <w:spacing w:line="460" w:lineRule="exact"/>
              <w:rPr>
                <w:rFonts w:ascii="宋体" w:hAnsi="宋体" w:cs="宋体"/>
                <w:color w:val="auto"/>
                <w:szCs w:val="21"/>
                <w:highlight w:val="none"/>
              </w:rPr>
            </w:pPr>
            <w:r>
              <w:rPr>
                <w:rFonts w:hint="eastAsia" w:ascii="宋体" w:hAnsi="宋体" w:cs="宋体"/>
                <w:color w:val="auto"/>
                <w:szCs w:val="21"/>
                <w:highlight w:val="none"/>
              </w:rPr>
              <w:t>网络性能</w:t>
            </w:r>
          </w:p>
        </w:tc>
        <w:tc>
          <w:tcPr>
            <w:tcW w:w="6811" w:type="dxa"/>
            <w:vAlign w:val="center"/>
          </w:tcPr>
          <w:p>
            <w:pPr>
              <w:spacing w:line="460" w:lineRule="exact"/>
              <w:rPr>
                <w:rFonts w:ascii="宋体" w:hAnsi="宋体" w:cs="宋体"/>
                <w:color w:val="auto"/>
                <w:szCs w:val="21"/>
                <w:highlight w:val="none"/>
              </w:rPr>
            </w:pPr>
            <w:r>
              <w:rPr>
                <w:rFonts w:hint="eastAsia" w:ascii="宋体" w:hAnsi="宋体" w:cs="宋体"/>
                <w:color w:val="auto"/>
                <w:szCs w:val="21"/>
                <w:highlight w:val="none"/>
              </w:rPr>
              <w:t>3.1 传输速度</w:t>
            </w:r>
            <w:r>
              <w:rPr>
                <w:rFonts w:hint="eastAsia" w:ascii="宋体" w:hAnsi="宋体" w:cs="宋体"/>
                <w:color w:val="auto"/>
                <w:highlight w:val="none"/>
              </w:rPr>
              <w:t>≥</w:t>
            </w:r>
            <w:r>
              <w:rPr>
                <w:rFonts w:hint="eastAsia" w:ascii="宋体" w:hAnsi="宋体" w:cs="宋体"/>
                <w:color w:val="auto"/>
                <w:szCs w:val="21"/>
                <w:highlight w:val="none"/>
              </w:rPr>
              <w:t>100M/S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Merge w:val="continue"/>
            <w:vAlign w:val="center"/>
          </w:tcPr>
          <w:p>
            <w:pPr>
              <w:spacing w:line="460" w:lineRule="exact"/>
              <w:ind w:firstLine="420" w:firstLineChars="200"/>
              <w:rPr>
                <w:rFonts w:ascii="宋体" w:hAnsi="宋体" w:cs="宋体"/>
                <w:color w:val="auto"/>
                <w:szCs w:val="21"/>
                <w:highlight w:val="none"/>
              </w:rPr>
            </w:pPr>
          </w:p>
        </w:tc>
        <w:tc>
          <w:tcPr>
            <w:tcW w:w="1063" w:type="dxa"/>
            <w:vMerge w:val="continue"/>
            <w:vAlign w:val="center"/>
          </w:tcPr>
          <w:p>
            <w:pPr>
              <w:spacing w:line="460" w:lineRule="exact"/>
              <w:ind w:firstLine="420" w:firstLineChars="200"/>
              <w:rPr>
                <w:rFonts w:ascii="宋体" w:hAnsi="宋体" w:cs="宋体"/>
                <w:color w:val="auto"/>
                <w:szCs w:val="21"/>
                <w:highlight w:val="none"/>
              </w:rPr>
            </w:pPr>
          </w:p>
        </w:tc>
        <w:tc>
          <w:tcPr>
            <w:tcW w:w="6811" w:type="dxa"/>
            <w:vAlign w:val="center"/>
          </w:tcPr>
          <w:p>
            <w:pPr>
              <w:spacing w:line="460" w:lineRule="exact"/>
              <w:rPr>
                <w:rFonts w:ascii="宋体" w:hAnsi="宋体" w:cs="宋体"/>
                <w:color w:val="auto"/>
                <w:szCs w:val="21"/>
                <w:highlight w:val="none"/>
              </w:rPr>
            </w:pPr>
            <w:r>
              <w:rPr>
                <w:rFonts w:hint="eastAsia" w:ascii="宋体" w:hAnsi="宋体" w:cs="宋体"/>
                <w:color w:val="auto"/>
                <w:szCs w:val="21"/>
                <w:highlight w:val="none"/>
              </w:rPr>
              <w:t>3.2 传输距离</w:t>
            </w:r>
            <w:r>
              <w:rPr>
                <w:rFonts w:hint="eastAsia" w:ascii="宋体" w:hAnsi="宋体" w:cs="宋体"/>
                <w:color w:val="auto"/>
                <w:highlight w:val="none"/>
              </w:rPr>
              <w:t>≥</w:t>
            </w:r>
            <w:r>
              <w:rPr>
                <w:rFonts w:hint="eastAsia" w:ascii="宋体" w:hAnsi="宋体" w:cs="宋体"/>
                <w:color w:val="auto"/>
                <w:szCs w:val="21"/>
                <w:highlight w:val="none"/>
              </w:rPr>
              <w:t>100M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Merge w:val="continue"/>
            <w:vAlign w:val="center"/>
          </w:tcPr>
          <w:p>
            <w:pPr>
              <w:spacing w:line="460" w:lineRule="exact"/>
              <w:ind w:firstLine="420" w:firstLineChars="200"/>
              <w:rPr>
                <w:rFonts w:ascii="宋体" w:hAnsi="宋体" w:cs="宋体"/>
                <w:color w:val="auto"/>
                <w:szCs w:val="21"/>
                <w:highlight w:val="none"/>
              </w:rPr>
            </w:pPr>
          </w:p>
        </w:tc>
        <w:tc>
          <w:tcPr>
            <w:tcW w:w="1063" w:type="dxa"/>
            <w:vMerge w:val="continue"/>
            <w:vAlign w:val="center"/>
          </w:tcPr>
          <w:p>
            <w:pPr>
              <w:spacing w:line="460" w:lineRule="exact"/>
              <w:ind w:firstLine="420" w:firstLineChars="200"/>
              <w:rPr>
                <w:rFonts w:ascii="宋体" w:hAnsi="宋体" w:cs="宋体"/>
                <w:color w:val="auto"/>
                <w:szCs w:val="21"/>
                <w:highlight w:val="none"/>
              </w:rPr>
            </w:pPr>
          </w:p>
        </w:tc>
        <w:tc>
          <w:tcPr>
            <w:tcW w:w="6811" w:type="dxa"/>
            <w:vAlign w:val="center"/>
          </w:tcPr>
          <w:p>
            <w:pPr>
              <w:spacing w:line="460" w:lineRule="exact"/>
              <w:rPr>
                <w:rFonts w:ascii="宋体" w:hAnsi="宋体" w:cs="宋体"/>
                <w:color w:val="auto"/>
                <w:szCs w:val="21"/>
                <w:highlight w:val="none"/>
              </w:rPr>
            </w:pPr>
            <w:r>
              <w:rPr>
                <w:rFonts w:hint="eastAsia" w:ascii="宋体" w:hAnsi="宋体" w:cs="宋体"/>
                <w:color w:val="auto"/>
                <w:szCs w:val="21"/>
                <w:highlight w:val="none"/>
              </w:rPr>
              <w:t>3.3 可联网床位数</w:t>
            </w:r>
            <w:r>
              <w:rPr>
                <w:rFonts w:hint="eastAsia" w:ascii="宋体" w:hAnsi="宋体" w:cs="宋体"/>
                <w:color w:val="auto"/>
                <w:highlight w:val="none"/>
              </w:rPr>
              <w:t>≥</w:t>
            </w:r>
            <w:r>
              <w:rPr>
                <w:rFonts w:hint="eastAsia" w:ascii="宋体" w:hAnsi="宋体" w:cs="宋体"/>
                <w:color w:val="auto"/>
                <w:szCs w:val="21"/>
                <w:highlight w:val="none"/>
              </w:rPr>
              <w:t>64张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Merge w:val="continue"/>
            <w:vAlign w:val="center"/>
          </w:tcPr>
          <w:p>
            <w:pPr>
              <w:spacing w:line="460" w:lineRule="exact"/>
              <w:ind w:firstLine="420" w:firstLineChars="200"/>
              <w:rPr>
                <w:rFonts w:ascii="宋体" w:hAnsi="宋体" w:cs="宋体"/>
                <w:color w:val="auto"/>
                <w:szCs w:val="21"/>
                <w:highlight w:val="none"/>
              </w:rPr>
            </w:pPr>
          </w:p>
        </w:tc>
        <w:tc>
          <w:tcPr>
            <w:tcW w:w="1063" w:type="dxa"/>
            <w:vMerge w:val="continue"/>
            <w:vAlign w:val="center"/>
          </w:tcPr>
          <w:p>
            <w:pPr>
              <w:spacing w:line="460" w:lineRule="exact"/>
              <w:ind w:firstLine="420" w:firstLineChars="200"/>
              <w:rPr>
                <w:rFonts w:ascii="宋体" w:hAnsi="宋体" w:cs="宋体"/>
                <w:color w:val="auto"/>
                <w:szCs w:val="21"/>
                <w:highlight w:val="none"/>
              </w:rPr>
            </w:pPr>
          </w:p>
        </w:tc>
        <w:tc>
          <w:tcPr>
            <w:tcW w:w="6811" w:type="dxa"/>
            <w:vAlign w:val="center"/>
          </w:tcPr>
          <w:p>
            <w:pPr>
              <w:spacing w:line="460" w:lineRule="exact"/>
              <w:rPr>
                <w:rFonts w:ascii="宋体" w:hAnsi="宋体" w:cs="宋体"/>
                <w:color w:val="auto"/>
                <w:szCs w:val="21"/>
                <w:highlight w:val="none"/>
              </w:rPr>
            </w:pPr>
            <w:r>
              <w:rPr>
                <w:rFonts w:hint="eastAsia" w:ascii="宋体" w:hAnsi="宋体" w:cs="宋体"/>
                <w:color w:val="auto"/>
                <w:highlight w:val="none"/>
              </w:rPr>
              <w:t>★</w:t>
            </w:r>
            <w:r>
              <w:rPr>
                <w:rFonts w:hint="eastAsia" w:ascii="宋体" w:hAnsi="宋体" w:cs="宋体"/>
                <w:color w:val="auto"/>
                <w:szCs w:val="21"/>
                <w:highlight w:val="none"/>
              </w:rPr>
              <w:t>3.4 网络连接方式：要求同时接入有线、无线两种组网方式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Merge w:val="continue"/>
            <w:vAlign w:val="center"/>
          </w:tcPr>
          <w:p>
            <w:pPr>
              <w:spacing w:line="460" w:lineRule="exact"/>
              <w:ind w:firstLine="420" w:firstLineChars="200"/>
              <w:rPr>
                <w:rFonts w:ascii="宋体" w:hAnsi="宋体" w:cs="宋体"/>
                <w:color w:val="auto"/>
                <w:szCs w:val="21"/>
                <w:highlight w:val="none"/>
              </w:rPr>
            </w:pPr>
          </w:p>
        </w:tc>
        <w:tc>
          <w:tcPr>
            <w:tcW w:w="1063" w:type="dxa"/>
            <w:vMerge w:val="continue"/>
            <w:vAlign w:val="center"/>
          </w:tcPr>
          <w:p>
            <w:pPr>
              <w:spacing w:line="460" w:lineRule="exact"/>
              <w:ind w:firstLine="420" w:firstLineChars="200"/>
              <w:rPr>
                <w:rFonts w:ascii="宋体" w:hAnsi="宋体" w:cs="宋体"/>
                <w:color w:val="auto"/>
                <w:szCs w:val="21"/>
                <w:highlight w:val="none"/>
              </w:rPr>
            </w:pPr>
          </w:p>
        </w:tc>
        <w:tc>
          <w:tcPr>
            <w:tcW w:w="6811" w:type="dxa"/>
            <w:vAlign w:val="center"/>
          </w:tcPr>
          <w:p>
            <w:pPr>
              <w:spacing w:line="460" w:lineRule="exact"/>
              <w:rPr>
                <w:rFonts w:ascii="宋体" w:hAnsi="宋体" w:cs="宋体"/>
                <w:color w:val="auto"/>
                <w:szCs w:val="21"/>
                <w:highlight w:val="none"/>
              </w:rPr>
            </w:pPr>
            <w:r>
              <w:rPr>
                <w:rFonts w:hint="eastAsia" w:ascii="宋体" w:hAnsi="宋体" w:cs="宋体"/>
                <w:color w:val="auto"/>
                <w:szCs w:val="21"/>
                <w:highlight w:val="none"/>
              </w:rPr>
              <w:t>3.5 网络控制：有双向通讯功能，在中央工作站可直接设置床边机信息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Merge w:val="continue"/>
            <w:vAlign w:val="center"/>
          </w:tcPr>
          <w:p>
            <w:pPr>
              <w:spacing w:line="460" w:lineRule="exact"/>
              <w:ind w:firstLine="420" w:firstLineChars="200"/>
              <w:rPr>
                <w:rFonts w:ascii="宋体" w:hAnsi="宋体" w:cs="宋体"/>
                <w:color w:val="auto"/>
                <w:szCs w:val="21"/>
                <w:highlight w:val="none"/>
              </w:rPr>
            </w:pPr>
          </w:p>
        </w:tc>
        <w:tc>
          <w:tcPr>
            <w:tcW w:w="1063" w:type="dxa"/>
            <w:vMerge w:val="continue"/>
            <w:vAlign w:val="center"/>
          </w:tcPr>
          <w:p>
            <w:pPr>
              <w:spacing w:line="460" w:lineRule="exact"/>
              <w:ind w:firstLine="420" w:firstLineChars="200"/>
              <w:rPr>
                <w:rFonts w:ascii="宋体" w:hAnsi="宋体" w:cs="宋体"/>
                <w:color w:val="auto"/>
                <w:szCs w:val="21"/>
                <w:highlight w:val="none"/>
              </w:rPr>
            </w:pPr>
          </w:p>
        </w:tc>
        <w:tc>
          <w:tcPr>
            <w:tcW w:w="6811" w:type="dxa"/>
            <w:vAlign w:val="center"/>
          </w:tcPr>
          <w:p>
            <w:pPr>
              <w:spacing w:line="460" w:lineRule="exact"/>
              <w:rPr>
                <w:rFonts w:ascii="宋体" w:hAnsi="宋体" w:cs="宋体"/>
                <w:color w:val="auto"/>
                <w:szCs w:val="21"/>
                <w:highlight w:val="none"/>
              </w:rPr>
            </w:pPr>
            <w:r>
              <w:rPr>
                <w:rFonts w:hint="eastAsia" w:ascii="宋体" w:hAnsi="宋体" w:cs="宋体"/>
                <w:color w:val="auto"/>
                <w:highlight w:val="none"/>
              </w:rPr>
              <w:t>★</w:t>
            </w:r>
            <w:r>
              <w:rPr>
                <w:rFonts w:hint="eastAsia" w:ascii="宋体" w:hAnsi="宋体" w:cs="宋体"/>
                <w:color w:val="auto"/>
                <w:szCs w:val="21"/>
                <w:highlight w:val="none"/>
              </w:rPr>
              <w:t>3.6 有打印机接口，打印内容包括：病人信息、药物计算结果、血液动力学计算结果、趋势图或趋势表、波形回顾、报警回顾、心排量回顾、NIBP回顾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Merge w:val="restart"/>
            <w:vAlign w:val="center"/>
          </w:tcPr>
          <w:p>
            <w:pPr>
              <w:spacing w:line="460" w:lineRule="exact"/>
              <w:rPr>
                <w:rFonts w:ascii="宋体" w:hAnsi="宋体" w:cs="宋体"/>
                <w:color w:val="auto"/>
                <w:szCs w:val="21"/>
                <w:highlight w:val="none"/>
              </w:rPr>
            </w:pPr>
            <w:r>
              <w:rPr>
                <w:rFonts w:hint="eastAsia" w:ascii="宋体" w:hAnsi="宋体" w:cs="宋体"/>
                <w:color w:val="auto"/>
                <w:szCs w:val="21"/>
                <w:highlight w:val="none"/>
              </w:rPr>
              <w:t>4</w:t>
            </w:r>
          </w:p>
        </w:tc>
        <w:tc>
          <w:tcPr>
            <w:tcW w:w="1063" w:type="dxa"/>
            <w:vMerge w:val="restart"/>
            <w:vAlign w:val="center"/>
          </w:tcPr>
          <w:p>
            <w:pPr>
              <w:spacing w:line="460" w:lineRule="exact"/>
              <w:rPr>
                <w:rFonts w:ascii="宋体" w:hAnsi="宋体" w:cs="宋体"/>
                <w:color w:val="auto"/>
                <w:szCs w:val="21"/>
                <w:highlight w:val="none"/>
              </w:rPr>
            </w:pPr>
            <w:r>
              <w:rPr>
                <w:rFonts w:hint="eastAsia" w:ascii="宋体" w:hAnsi="宋体" w:cs="宋体"/>
                <w:color w:val="auto"/>
                <w:szCs w:val="21"/>
                <w:highlight w:val="none"/>
              </w:rPr>
              <w:t>软件功能</w:t>
            </w:r>
          </w:p>
        </w:tc>
        <w:tc>
          <w:tcPr>
            <w:tcW w:w="6811" w:type="dxa"/>
            <w:vAlign w:val="center"/>
          </w:tcPr>
          <w:p>
            <w:pPr>
              <w:spacing w:line="460" w:lineRule="exact"/>
              <w:rPr>
                <w:rFonts w:ascii="宋体" w:hAnsi="宋体" w:cs="宋体"/>
                <w:color w:val="auto"/>
                <w:szCs w:val="21"/>
                <w:highlight w:val="none"/>
              </w:rPr>
            </w:pPr>
            <w:r>
              <w:rPr>
                <w:rFonts w:hint="eastAsia" w:ascii="宋体" w:hAnsi="宋体" w:cs="宋体"/>
                <w:color w:val="auto"/>
                <w:szCs w:val="21"/>
                <w:highlight w:val="none"/>
              </w:rPr>
              <w:t>4.1 全息波形回顾：具有</w:t>
            </w:r>
            <w:r>
              <w:rPr>
                <w:rFonts w:hint="eastAsia" w:ascii="宋体" w:hAnsi="宋体" w:cs="宋体"/>
                <w:color w:val="auto"/>
                <w:highlight w:val="none"/>
              </w:rPr>
              <w:t>≥</w:t>
            </w:r>
            <w:r>
              <w:rPr>
                <w:rFonts w:hint="eastAsia" w:ascii="宋体" w:hAnsi="宋体" w:cs="宋体"/>
                <w:color w:val="auto"/>
                <w:szCs w:val="21"/>
                <w:highlight w:val="none"/>
              </w:rPr>
              <w:t>72h的全息波形回顾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Merge w:val="continue"/>
            <w:vAlign w:val="center"/>
          </w:tcPr>
          <w:p>
            <w:pPr>
              <w:rPr>
                <w:rFonts w:ascii="宋体" w:hAnsi="宋体" w:cs="宋体"/>
                <w:color w:val="auto"/>
                <w:szCs w:val="21"/>
                <w:highlight w:val="none"/>
              </w:rPr>
            </w:pPr>
          </w:p>
        </w:tc>
        <w:tc>
          <w:tcPr>
            <w:tcW w:w="1063" w:type="dxa"/>
            <w:vMerge w:val="continue"/>
            <w:vAlign w:val="center"/>
          </w:tcPr>
          <w:p>
            <w:pPr>
              <w:rPr>
                <w:rFonts w:ascii="宋体" w:hAnsi="宋体" w:cs="宋体"/>
                <w:color w:val="auto"/>
                <w:szCs w:val="21"/>
                <w:highlight w:val="none"/>
              </w:rPr>
            </w:pPr>
          </w:p>
        </w:tc>
        <w:tc>
          <w:tcPr>
            <w:tcW w:w="6811" w:type="dxa"/>
            <w:vAlign w:val="center"/>
          </w:tcPr>
          <w:p>
            <w:pPr>
              <w:spacing w:line="460" w:lineRule="exact"/>
              <w:rPr>
                <w:rFonts w:ascii="宋体" w:hAnsi="宋体" w:cs="宋体"/>
                <w:color w:val="auto"/>
                <w:szCs w:val="21"/>
                <w:highlight w:val="none"/>
              </w:rPr>
            </w:pPr>
            <w:r>
              <w:rPr>
                <w:rFonts w:hint="eastAsia" w:ascii="宋体" w:hAnsi="宋体" w:cs="宋体"/>
                <w:color w:val="auto"/>
                <w:szCs w:val="21"/>
                <w:highlight w:val="none"/>
              </w:rPr>
              <w:t>4.2 趋势图表回顾，历史病人数据存储，报警事件存储：</w:t>
            </w:r>
            <w:r>
              <w:rPr>
                <w:rFonts w:hint="eastAsia" w:ascii="宋体" w:hAnsi="宋体" w:cs="宋体"/>
                <w:color w:val="auto"/>
                <w:highlight w:val="none"/>
              </w:rPr>
              <w:t>≥</w:t>
            </w:r>
            <w:r>
              <w:rPr>
                <w:rFonts w:hint="eastAsia" w:ascii="宋体" w:hAnsi="宋体" w:cs="宋体"/>
                <w:color w:val="auto"/>
                <w:szCs w:val="21"/>
                <w:highlight w:val="none"/>
              </w:rPr>
              <w:t>240h趋势图表回顾，</w:t>
            </w:r>
            <w:r>
              <w:rPr>
                <w:rFonts w:hint="eastAsia" w:ascii="宋体" w:hAnsi="宋体" w:cs="宋体"/>
                <w:color w:val="auto"/>
                <w:highlight w:val="none"/>
              </w:rPr>
              <w:t>≥</w:t>
            </w:r>
            <w:r>
              <w:rPr>
                <w:rFonts w:hint="eastAsia" w:ascii="宋体" w:hAnsi="宋体" w:cs="宋体"/>
                <w:color w:val="auto"/>
                <w:szCs w:val="21"/>
                <w:highlight w:val="none"/>
              </w:rPr>
              <w:t>20000个历史病人数据存储，</w:t>
            </w:r>
            <w:r>
              <w:rPr>
                <w:rFonts w:hint="eastAsia" w:ascii="宋体" w:hAnsi="宋体" w:cs="宋体"/>
                <w:color w:val="auto"/>
                <w:highlight w:val="none"/>
              </w:rPr>
              <w:t>≥</w:t>
            </w:r>
            <w:r>
              <w:rPr>
                <w:rFonts w:hint="eastAsia" w:ascii="宋体" w:hAnsi="宋体" w:cs="宋体"/>
                <w:color w:val="auto"/>
                <w:szCs w:val="21"/>
                <w:highlight w:val="none"/>
              </w:rPr>
              <w:t>720条报警事件存储，</w:t>
            </w:r>
            <w:r>
              <w:rPr>
                <w:rFonts w:hint="eastAsia" w:ascii="宋体" w:hAnsi="宋体" w:cs="宋体"/>
                <w:color w:val="auto"/>
                <w:highlight w:val="none"/>
              </w:rPr>
              <w:t>≥</w:t>
            </w:r>
            <w:r>
              <w:rPr>
                <w:rFonts w:hint="eastAsia" w:ascii="宋体" w:hAnsi="宋体" w:cs="宋体"/>
                <w:iCs/>
                <w:color w:val="auto"/>
                <w:highlight w:val="none"/>
              </w:rPr>
              <w:t>720条无创血压测量回顾、</w:t>
            </w:r>
            <w:r>
              <w:rPr>
                <w:rFonts w:hint="eastAsia" w:ascii="宋体" w:hAnsi="宋体" w:cs="宋体"/>
                <w:color w:val="auto"/>
                <w:highlight w:val="none"/>
              </w:rPr>
              <w:t>≥720条CO测量结果回顾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Merge w:val="continue"/>
            <w:vAlign w:val="center"/>
          </w:tcPr>
          <w:p>
            <w:pPr>
              <w:rPr>
                <w:rFonts w:ascii="宋体" w:hAnsi="宋体" w:cs="宋体"/>
                <w:color w:val="auto"/>
                <w:szCs w:val="21"/>
                <w:highlight w:val="none"/>
              </w:rPr>
            </w:pPr>
          </w:p>
        </w:tc>
        <w:tc>
          <w:tcPr>
            <w:tcW w:w="1063" w:type="dxa"/>
            <w:vMerge w:val="continue"/>
            <w:vAlign w:val="center"/>
          </w:tcPr>
          <w:p>
            <w:pPr>
              <w:rPr>
                <w:rFonts w:ascii="宋体" w:hAnsi="宋体" w:cs="宋体"/>
                <w:color w:val="auto"/>
                <w:szCs w:val="21"/>
                <w:highlight w:val="none"/>
              </w:rPr>
            </w:pPr>
          </w:p>
        </w:tc>
        <w:tc>
          <w:tcPr>
            <w:tcW w:w="6811" w:type="dxa"/>
            <w:vAlign w:val="center"/>
          </w:tcPr>
          <w:p>
            <w:pPr>
              <w:spacing w:line="460" w:lineRule="exact"/>
              <w:rPr>
                <w:rFonts w:ascii="宋体" w:hAnsi="宋体" w:cs="宋体"/>
                <w:color w:val="auto"/>
                <w:szCs w:val="21"/>
                <w:highlight w:val="none"/>
              </w:rPr>
            </w:pPr>
            <w:r>
              <w:rPr>
                <w:rFonts w:hint="eastAsia" w:ascii="宋体" w:hAnsi="宋体" w:cs="宋体"/>
                <w:color w:val="auto"/>
                <w:szCs w:val="21"/>
                <w:highlight w:val="none"/>
              </w:rPr>
              <w:t>4.3 报警信息：具有全病理参数报警功能设置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Merge w:val="continue"/>
            <w:vAlign w:val="center"/>
          </w:tcPr>
          <w:p>
            <w:pPr>
              <w:rPr>
                <w:rFonts w:ascii="宋体" w:hAnsi="宋体" w:cs="宋体"/>
                <w:color w:val="auto"/>
                <w:szCs w:val="21"/>
                <w:highlight w:val="none"/>
              </w:rPr>
            </w:pPr>
          </w:p>
        </w:tc>
        <w:tc>
          <w:tcPr>
            <w:tcW w:w="1063" w:type="dxa"/>
            <w:vMerge w:val="continue"/>
            <w:vAlign w:val="center"/>
          </w:tcPr>
          <w:p>
            <w:pPr>
              <w:rPr>
                <w:rFonts w:ascii="宋体" w:hAnsi="宋体" w:cs="宋体"/>
                <w:color w:val="auto"/>
                <w:szCs w:val="21"/>
                <w:highlight w:val="none"/>
              </w:rPr>
            </w:pPr>
          </w:p>
        </w:tc>
        <w:tc>
          <w:tcPr>
            <w:tcW w:w="6811" w:type="dxa"/>
            <w:vAlign w:val="center"/>
          </w:tcPr>
          <w:p>
            <w:pPr>
              <w:spacing w:line="460" w:lineRule="exact"/>
              <w:rPr>
                <w:rFonts w:ascii="宋体" w:hAnsi="宋体" w:cs="宋体"/>
                <w:color w:val="auto"/>
                <w:szCs w:val="21"/>
                <w:highlight w:val="none"/>
              </w:rPr>
            </w:pPr>
            <w:r>
              <w:rPr>
                <w:rFonts w:hint="eastAsia" w:ascii="宋体" w:hAnsi="宋体" w:cs="宋体"/>
                <w:color w:val="auto"/>
                <w:szCs w:val="21"/>
                <w:highlight w:val="none"/>
              </w:rPr>
              <w:t>4.4 报警参数：具有心电、血压、血氧、心率、呼吸、体温、呼吸末二氧化碳参数上、下限报警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Merge w:val="continue"/>
            <w:vAlign w:val="center"/>
          </w:tcPr>
          <w:p>
            <w:pPr>
              <w:rPr>
                <w:rFonts w:ascii="宋体" w:hAnsi="宋体" w:cs="宋体"/>
                <w:color w:val="auto"/>
                <w:szCs w:val="21"/>
                <w:highlight w:val="none"/>
              </w:rPr>
            </w:pPr>
          </w:p>
        </w:tc>
        <w:tc>
          <w:tcPr>
            <w:tcW w:w="1063" w:type="dxa"/>
            <w:vMerge w:val="continue"/>
            <w:vAlign w:val="center"/>
          </w:tcPr>
          <w:p>
            <w:pPr>
              <w:rPr>
                <w:rFonts w:ascii="宋体" w:hAnsi="宋体" w:cs="宋体"/>
                <w:color w:val="auto"/>
                <w:szCs w:val="21"/>
                <w:highlight w:val="none"/>
              </w:rPr>
            </w:pPr>
          </w:p>
        </w:tc>
        <w:tc>
          <w:tcPr>
            <w:tcW w:w="6811" w:type="dxa"/>
            <w:vAlign w:val="center"/>
          </w:tcPr>
          <w:p>
            <w:pPr>
              <w:spacing w:line="460" w:lineRule="exact"/>
              <w:rPr>
                <w:rFonts w:ascii="宋体" w:hAnsi="宋体" w:cs="宋体"/>
                <w:color w:val="auto"/>
                <w:szCs w:val="21"/>
                <w:highlight w:val="none"/>
              </w:rPr>
            </w:pPr>
            <w:r>
              <w:rPr>
                <w:rFonts w:hint="eastAsia" w:ascii="宋体" w:hAnsi="宋体" w:cs="宋体"/>
                <w:color w:val="auto"/>
                <w:szCs w:val="21"/>
                <w:highlight w:val="none"/>
              </w:rPr>
              <w:t>4.5 具有声、光双重三级报警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Merge w:val="continue"/>
            <w:vAlign w:val="center"/>
          </w:tcPr>
          <w:p>
            <w:pPr>
              <w:rPr>
                <w:rFonts w:ascii="宋体" w:hAnsi="宋体" w:cs="宋体"/>
                <w:color w:val="auto"/>
                <w:szCs w:val="21"/>
                <w:highlight w:val="none"/>
              </w:rPr>
            </w:pPr>
          </w:p>
        </w:tc>
        <w:tc>
          <w:tcPr>
            <w:tcW w:w="1063" w:type="dxa"/>
            <w:vMerge w:val="continue"/>
            <w:vAlign w:val="center"/>
          </w:tcPr>
          <w:p>
            <w:pPr>
              <w:rPr>
                <w:rFonts w:ascii="宋体" w:hAnsi="宋体" w:cs="宋体"/>
                <w:color w:val="auto"/>
                <w:szCs w:val="21"/>
                <w:highlight w:val="none"/>
              </w:rPr>
            </w:pPr>
          </w:p>
        </w:tc>
        <w:tc>
          <w:tcPr>
            <w:tcW w:w="6811" w:type="dxa"/>
            <w:vAlign w:val="center"/>
          </w:tcPr>
          <w:p>
            <w:pPr>
              <w:spacing w:line="460" w:lineRule="exact"/>
              <w:rPr>
                <w:rFonts w:ascii="宋体" w:hAnsi="宋体" w:cs="宋体"/>
                <w:color w:val="auto"/>
                <w:szCs w:val="21"/>
                <w:highlight w:val="none"/>
              </w:rPr>
            </w:pPr>
            <w:r>
              <w:rPr>
                <w:rFonts w:hint="eastAsia" w:ascii="宋体" w:hAnsi="宋体" w:cs="宋体"/>
                <w:color w:val="auto"/>
                <w:szCs w:val="21"/>
                <w:highlight w:val="none"/>
              </w:rPr>
              <w:t>4.6 主机工作系统：Windows XP操作系统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Merge w:val="continue"/>
            <w:vAlign w:val="center"/>
          </w:tcPr>
          <w:p>
            <w:pPr>
              <w:rPr>
                <w:rFonts w:ascii="宋体" w:hAnsi="宋体" w:cs="宋体"/>
                <w:color w:val="auto"/>
                <w:szCs w:val="21"/>
                <w:highlight w:val="none"/>
              </w:rPr>
            </w:pPr>
          </w:p>
        </w:tc>
        <w:tc>
          <w:tcPr>
            <w:tcW w:w="1063" w:type="dxa"/>
            <w:vMerge w:val="continue"/>
            <w:vAlign w:val="center"/>
          </w:tcPr>
          <w:p>
            <w:pPr>
              <w:rPr>
                <w:rFonts w:ascii="宋体" w:hAnsi="宋体" w:cs="宋体"/>
                <w:color w:val="auto"/>
                <w:szCs w:val="21"/>
                <w:highlight w:val="none"/>
              </w:rPr>
            </w:pPr>
          </w:p>
        </w:tc>
        <w:tc>
          <w:tcPr>
            <w:tcW w:w="6811" w:type="dxa"/>
            <w:vAlign w:val="center"/>
          </w:tcPr>
          <w:p>
            <w:pPr>
              <w:rPr>
                <w:rFonts w:ascii="宋体" w:hAnsi="宋体" w:cs="宋体"/>
                <w:color w:val="auto"/>
                <w:szCs w:val="21"/>
                <w:highlight w:val="none"/>
              </w:rPr>
            </w:pPr>
            <w:r>
              <w:rPr>
                <w:rFonts w:hint="eastAsia" w:ascii="宋体" w:hAnsi="宋体" w:cs="宋体"/>
                <w:color w:val="auto"/>
                <w:szCs w:val="21"/>
                <w:highlight w:val="none"/>
              </w:rPr>
              <w:t>4.7 计算功能：</w:t>
            </w:r>
            <w:r>
              <w:rPr>
                <w:rFonts w:hint="eastAsia" w:ascii="宋体" w:hAnsi="宋体" w:cs="宋体"/>
                <w:color w:val="auto"/>
                <w:highlight w:val="none"/>
              </w:rPr>
              <w:t>药物剂量计算、滴定表计算和血液动力学计算</w:t>
            </w:r>
          </w:p>
        </w:tc>
      </w:tr>
    </w:tbl>
    <w:p>
      <w:pPr>
        <w:spacing w:before="156" w:beforeLines="50" w:after="156" w:afterLines="50" w:line="400" w:lineRule="exact"/>
        <w:ind w:firstLine="674" w:firstLineChars="337"/>
        <w:rPr>
          <w:rFonts w:ascii="宋体" w:hAnsi="Courier New"/>
          <w:color w:val="auto"/>
          <w:kern w:val="0"/>
          <w:sz w:val="20"/>
          <w:szCs w:val="21"/>
          <w:highlight w:val="none"/>
        </w:rPr>
      </w:pPr>
    </w:p>
    <w:p>
      <w:pPr>
        <w:jc w:val="center"/>
        <w:rPr>
          <w:rFonts w:ascii="宋体" w:hAnsi="宋体" w:cs="宋体"/>
          <w:b/>
          <w:bCs/>
          <w:color w:val="auto"/>
          <w:sz w:val="24"/>
          <w:highlight w:val="none"/>
        </w:rPr>
      </w:pPr>
      <w:r>
        <w:rPr>
          <w:rFonts w:hint="eastAsia" w:ascii="宋体" w:hAnsi="宋体" w:cs="宋体"/>
          <w:b/>
          <w:bCs/>
          <w:color w:val="auto"/>
          <w:sz w:val="24"/>
          <w:highlight w:val="none"/>
        </w:rPr>
        <w:t>1-2  辐射台</w:t>
      </w:r>
    </w:p>
    <w:p>
      <w:pPr>
        <w:spacing w:line="460" w:lineRule="exact"/>
        <w:ind w:firstLine="420" w:firstLineChars="200"/>
        <w:rPr>
          <w:rFonts w:hAnsi="宋体"/>
          <w:color w:val="auto"/>
          <w:szCs w:val="21"/>
          <w:highlight w:val="none"/>
        </w:rPr>
      </w:pPr>
      <w:r>
        <w:rPr>
          <w:rFonts w:hint="eastAsia" w:hAnsi="宋体"/>
          <w:color w:val="auto"/>
          <w:szCs w:val="21"/>
          <w:highlight w:val="none"/>
        </w:rPr>
        <w:t>（一）产品功能：</w:t>
      </w:r>
    </w:p>
    <w:p>
      <w:pPr>
        <w:spacing w:line="460" w:lineRule="exact"/>
        <w:ind w:firstLine="420" w:firstLineChars="200"/>
        <w:rPr>
          <w:rFonts w:hAnsi="宋体"/>
          <w:color w:val="auto"/>
          <w:szCs w:val="21"/>
          <w:highlight w:val="none"/>
        </w:rPr>
      </w:pPr>
      <w:r>
        <w:rPr>
          <w:rFonts w:hint="eastAsia" w:hAnsi="宋体"/>
          <w:color w:val="auto"/>
          <w:szCs w:val="21"/>
          <w:highlight w:val="none"/>
        </w:rPr>
        <w:t>1、设置温度与皮肤温度分屏显示；独立的超温保护系统；</w:t>
      </w:r>
    </w:p>
    <w:p>
      <w:pPr>
        <w:spacing w:line="460" w:lineRule="exact"/>
        <w:ind w:firstLine="420" w:firstLineChars="200"/>
        <w:rPr>
          <w:rFonts w:hAnsi="宋体"/>
          <w:color w:val="auto"/>
          <w:szCs w:val="21"/>
          <w:highlight w:val="none"/>
        </w:rPr>
      </w:pPr>
      <w:r>
        <w:rPr>
          <w:rFonts w:hint="eastAsia" w:hAnsi="宋体"/>
          <w:color w:val="auto"/>
          <w:szCs w:val="21"/>
          <w:highlight w:val="none"/>
        </w:rPr>
        <w:t>2、辐射箱水平角度与婴儿床的倾斜角度可调；</w:t>
      </w:r>
    </w:p>
    <w:p>
      <w:pPr>
        <w:spacing w:line="460" w:lineRule="exact"/>
        <w:ind w:firstLine="420" w:firstLineChars="200"/>
        <w:rPr>
          <w:rFonts w:hAnsi="宋体"/>
          <w:color w:val="auto"/>
          <w:szCs w:val="21"/>
          <w:highlight w:val="none"/>
        </w:rPr>
      </w:pPr>
      <w:r>
        <w:rPr>
          <w:rFonts w:hint="eastAsia" w:hAnsi="宋体"/>
          <w:color w:val="auto"/>
          <w:szCs w:val="21"/>
          <w:highlight w:val="none"/>
        </w:rPr>
        <w:t>3、婴儿床四周的有机玻璃档板可向下翻转或拆卸；</w:t>
      </w:r>
    </w:p>
    <w:p>
      <w:pPr>
        <w:spacing w:line="460" w:lineRule="exact"/>
        <w:ind w:firstLine="420" w:firstLineChars="200"/>
        <w:rPr>
          <w:rFonts w:hAnsi="宋体"/>
          <w:color w:val="auto"/>
          <w:szCs w:val="21"/>
          <w:highlight w:val="none"/>
        </w:rPr>
      </w:pPr>
      <w:r>
        <w:rPr>
          <w:rFonts w:hint="eastAsia" w:hAnsi="宋体"/>
          <w:color w:val="auto"/>
          <w:szCs w:val="21"/>
          <w:highlight w:val="none"/>
        </w:rPr>
        <w:t>4、产品具有自检功能，多种故障报警提示；前面板具有温度校正功能；</w:t>
      </w:r>
    </w:p>
    <w:p>
      <w:pPr>
        <w:spacing w:line="460" w:lineRule="exact"/>
        <w:ind w:firstLine="420" w:firstLineChars="200"/>
        <w:rPr>
          <w:rFonts w:hAnsi="宋体"/>
          <w:color w:val="auto"/>
          <w:szCs w:val="21"/>
          <w:highlight w:val="none"/>
        </w:rPr>
      </w:pPr>
      <w:r>
        <w:rPr>
          <w:rFonts w:hint="eastAsia" w:hAnsi="宋体"/>
          <w:color w:val="auto"/>
          <w:szCs w:val="21"/>
          <w:highlight w:val="none"/>
        </w:rPr>
        <w:t>5、具有肤温传感器脱落报警提示功能；</w:t>
      </w:r>
    </w:p>
    <w:p>
      <w:pPr>
        <w:spacing w:line="460" w:lineRule="exact"/>
        <w:ind w:firstLine="420" w:firstLineChars="200"/>
        <w:rPr>
          <w:rFonts w:hAnsi="宋体"/>
          <w:color w:val="auto"/>
          <w:szCs w:val="21"/>
          <w:highlight w:val="none"/>
        </w:rPr>
      </w:pPr>
      <w:r>
        <w:rPr>
          <w:rFonts w:hint="eastAsia" w:hAnsi="宋体"/>
          <w:color w:val="auto"/>
          <w:szCs w:val="21"/>
          <w:highlight w:val="none"/>
        </w:rPr>
        <w:t>6、婴儿床下可放置X光射线拍片盒；</w:t>
      </w:r>
    </w:p>
    <w:p>
      <w:pPr>
        <w:spacing w:line="460" w:lineRule="exact"/>
        <w:ind w:firstLine="420" w:firstLineChars="200"/>
        <w:rPr>
          <w:rFonts w:hAnsi="宋体"/>
          <w:color w:val="auto"/>
          <w:szCs w:val="21"/>
          <w:highlight w:val="none"/>
        </w:rPr>
      </w:pPr>
      <w:r>
        <w:rPr>
          <w:rFonts w:hint="eastAsia" w:hAnsi="宋体"/>
          <w:color w:val="auto"/>
          <w:szCs w:val="21"/>
          <w:highlight w:val="none"/>
        </w:rPr>
        <w:t xml:space="preserve">★7、具有温度数据储存功能； </w:t>
      </w:r>
    </w:p>
    <w:p>
      <w:pPr>
        <w:spacing w:line="460" w:lineRule="exact"/>
        <w:ind w:firstLine="420" w:firstLineChars="200"/>
        <w:rPr>
          <w:rFonts w:hAnsi="宋体"/>
          <w:color w:val="auto"/>
          <w:szCs w:val="21"/>
          <w:highlight w:val="none"/>
        </w:rPr>
      </w:pPr>
      <w:r>
        <w:rPr>
          <w:rFonts w:hint="eastAsia" w:hAnsi="宋体"/>
          <w:color w:val="auto"/>
          <w:szCs w:val="21"/>
          <w:highlight w:val="none"/>
        </w:rPr>
        <w:t>8、具有APGAR评分计时功能；具有RS-232接口。</w:t>
      </w:r>
    </w:p>
    <w:p>
      <w:pPr>
        <w:spacing w:line="460" w:lineRule="exact"/>
        <w:ind w:firstLine="420" w:firstLineChars="200"/>
        <w:rPr>
          <w:rFonts w:hAnsi="宋体"/>
          <w:color w:val="auto"/>
          <w:szCs w:val="21"/>
          <w:highlight w:val="none"/>
        </w:rPr>
      </w:pPr>
      <w:r>
        <w:rPr>
          <w:rFonts w:hint="eastAsia" w:hAnsi="宋体"/>
          <w:color w:val="auto"/>
          <w:szCs w:val="21"/>
          <w:highlight w:val="none"/>
        </w:rPr>
        <w:t>9、产品使用期限：大于或等于八年。（需提供相关证明）</w:t>
      </w:r>
    </w:p>
    <w:p>
      <w:pPr>
        <w:spacing w:line="460" w:lineRule="exact"/>
        <w:ind w:firstLine="420" w:firstLineChars="200"/>
        <w:rPr>
          <w:rFonts w:hAnsi="宋体"/>
          <w:color w:val="auto"/>
          <w:szCs w:val="21"/>
          <w:highlight w:val="none"/>
        </w:rPr>
      </w:pPr>
      <w:r>
        <w:rPr>
          <w:rFonts w:hint="eastAsia" w:hAnsi="宋体"/>
          <w:color w:val="auto"/>
          <w:szCs w:val="21"/>
          <w:highlight w:val="none"/>
        </w:rPr>
        <w:t>★（二）基本配置：辐射箱，控制仪，皮肤温度传感器，婴儿床，托盘，输液架，机架，可选配置：升降式机架。</w:t>
      </w:r>
    </w:p>
    <w:p>
      <w:pPr>
        <w:spacing w:line="460" w:lineRule="exact"/>
        <w:ind w:firstLine="420" w:firstLineChars="200"/>
        <w:rPr>
          <w:rFonts w:hAnsi="宋体"/>
          <w:color w:val="auto"/>
          <w:szCs w:val="21"/>
          <w:highlight w:val="none"/>
        </w:rPr>
      </w:pPr>
      <w:r>
        <w:rPr>
          <w:rFonts w:hint="eastAsia" w:hAnsi="宋体"/>
          <w:color w:val="auto"/>
          <w:szCs w:val="21"/>
          <w:highlight w:val="none"/>
        </w:rPr>
        <w:t>（三）主要技术参数：</w:t>
      </w:r>
    </w:p>
    <w:p>
      <w:pPr>
        <w:spacing w:line="460" w:lineRule="exact"/>
        <w:ind w:firstLine="420" w:firstLineChars="200"/>
        <w:rPr>
          <w:rFonts w:hAnsi="宋体"/>
          <w:color w:val="auto"/>
          <w:szCs w:val="21"/>
          <w:highlight w:val="none"/>
        </w:rPr>
      </w:pPr>
      <w:r>
        <w:rPr>
          <w:rFonts w:hint="eastAsia" w:hAnsi="宋体"/>
          <w:color w:val="auto"/>
          <w:szCs w:val="21"/>
          <w:highlight w:val="none"/>
        </w:rPr>
        <w:t>1、工作电源：AC220V/ 50HZ，输入功率：≤700VA</w:t>
      </w:r>
    </w:p>
    <w:p>
      <w:pPr>
        <w:spacing w:line="460" w:lineRule="exact"/>
        <w:ind w:firstLine="420" w:firstLineChars="200"/>
        <w:rPr>
          <w:rFonts w:hAnsi="宋体"/>
          <w:color w:val="auto"/>
          <w:szCs w:val="21"/>
          <w:highlight w:val="none"/>
        </w:rPr>
      </w:pPr>
      <w:r>
        <w:rPr>
          <w:rFonts w:hint="eastAsia" w:hAnsi="宋体"/>
          <w:color w:val="auto"/>
          <w:szCs w:val="21"/>
          <w:highlight w:val="none"/>
        </w:rPr>
        <w:t xml:space="preserve">2、控温方式：预热、手控、肤温三种控制 </w:t>
      </w:r>
    </w:p>
    <w:p>
      <w:pPr>
        <w:spacing w:line="460" w:lineRule="exact"/>
        <w:ind w:firstLine="420" w:firstLineChars="200"/>
        <w:rPr>
          <w:rFonts w:hAnsi="宋体"/>
          <w:color w:val="auto"/>
          <w:szCs w:val="21"/>
          <w:highlight w:val="none"/>
        </w:rPr>
      </w:pPr>
      <w:r>
        <w:rPr>
          <w:rFonts w:hint="eastAsia" w:hAnsi="宋体"/>
          <w:color w:val="auto"/>
          <w:szCs w:val="21"/>
          <w:highlight w:val="none"/>
        </w:rPr>
        <w:t>3、肤温控温范围：32℃～37.5℃</w:t>
      </w:r>
    </w:p>
    <w:p>
      <w:pPr>
        <w:spacing w:line="460" w:lineRule="exact"/>
        <w:ind w:firstLine="420" w:firstLineChars="200"/>
        <w:rPr>
          <w:rFonts w:hAnsi="宋体"/>
          <w:color w:val="auto"/>
          <w:szCs w:val="21"/>
          <w:highlight w:val="none"/>
        </w:rPr>
      </w:pPr>
      <w:r>
        <w:rPr>
          <w:rFonts w:hint="eastAsia" w:hAnsi="宋体"/>
          <w:color w:val="auto"/>
          <w:szCs w:val="21"/>
          <w:highlight w:val="none"/>
        </w:rPr>
        <w:t>★4、肤温显示范围：5℃～65℃</w:t>
      </w:r>
    </w:p>
    <w:p>
      <w:pPr>
        <w:spacing w:line="460" w:lineRule="exact"/>
        <w:ind w:firstLine="420" w:firstLineChars="200"/>
        <w:rPr>
          <w:rFonts w:hAnsi="宋体"/>
          <w:color w:val="auto"/>
          <w:szCs w:val="21"/>
          <w:highlight w:val="none"/>
        </w:rPr>
      </w:pPr>
      <w:r>
        <w:rPr>
          <w:rFonts w:hint="eastAsia" w:hAnsi="宋体"/>
          <w:color w:val="auto"/>
          <w:szCs w:val="21"/>
          <w:highlight w:val="none"/>
        </w:rPr>
        <w:t>★5、控温精度：≤0.5℃，皮肤温度传感器精度：±0.2℃内</w:t>
      </w:r>
    </w:p>
    <w:p>
      <w:pPr>
        <w:spacing w:line="460" w:lineRule="exact"/>
        <w:ind w:firstLine="420" w:firstLineChars="200"/>
        <w:rPr>
          <w:rFonts w:hAnsi="宋体"/>
          <w:color w:val="auto"/>
          <w:szCs w:val="21"/>
          <w:highlight w:val="none"/>
        </w:rPr>
      </w:pPr>
      <w:r>
        <w:rPr>
          <w:rFonts w:hint="eastAsia" w:hAnsi="宋体"/>
          <w:color w:val="auto"/>
          <w:szCs w:val="21"/>
          <w:highlight w:val="none"/>
        </w:rPr>
        <w:t>6、床面温度均匀性：≤2℃</w:t>
      </w:r>
    </w:p>
    <w:p>
      <w:pPr>
        <w:spacing w:line="460" w:lineRule="exact"/>
        <w:ind w:firstLine="420" w:firstLineChars="200"/>
        <w:rPr>
          <w:rFonts w:hAnsi="宋体"/>
          <w:color w:val="auto"/>
          <w:szCs w:val="21"/>
          <w:highlight w:val="none"/>
        </w:rPr>
      </w:pPr>
      <w:r>
        <w:rPr>
          <w:rFonts w:hint="eastAsia" w:hAnsi="宋体"/>
          <w:color w:val="auto"/>
          <w:szCs w:val="21"/>
          <w:highlight w:val="none"/>
        </w:rPr>
        <w:t>7、辐射箱水平角度：0°、30°、60°、90°双向转动</w:t>
      </w:r>
    </w:p>
    <w:p>
      <w:pPr>
        <w:spacing w:line="460" w:lineRule="exact"/>
        <w:ind w:firstLine="420" w:firstLineChars="200"/>
        <w:rPr>
          <w:rFonts w:hAnsi="宋体"/>
          <w:color w:val="auto"/>
          <w:szCs w:val="21"/>
          <w:highlight w:val="none"/>
        </w:rPr>
      </w:pPr>
      <w:r>
        <w:rPr>
          <w:rFonts w:hint="eastAsia" w:hAnsi="宋体"/>
          <w:color w:val="auto"/>
          <w:szCs w:val="21"/>
          <w:highlight w:val="none"/>
        </w:rPr>
        <w:t>8、婴儿床倾斜角度：无级可调</w:t>
      </w:r>
    </w:p>
    <w:p>
      <w:pPr>
        <w:spacing w:line="460" w:lineRule="exact"/>
        <w:ind w:firstLine="420" w:firstLineChars="200"/>
        <w:rPr>
          <w:rFonts w:hAnsi="宋体"/>
          <w:color w:val="auto"/>
          <w:szCs w:val="21"/>
          <w:highlight w:val="none"/>
        </w:rPr>
      </w:pPr>
      <w:r>
        <w:rPr>
          <w:rFonts w:hint="eastAsia" w:hAnsi="宋体"/>
          <w:color w:val="auto"/>
          <w:szCs w:val="21"/>
          <w:highlight w:val="none"/>
        </w:rPr>
        <w:t>9、APGAR评分计时：运行至50s～1min、4min50s～5min、9min50s～10min时发出声光提示</w:t>
      </w:r>
    </w:p>
    <w:p>
      <w:pPr>
        <w:spacing w:line="460" w:lineRule="exact"/>
        <w:ind w:firstLine="420" w:firstLineChars="200"/>
        <w:rPr>
          <w:rFonts w:hAnsi="宋体"/>
          <w:color w:val="auto"/>
          <w:szCs w:val="21"/>
          <w:highlight w:val="none"/>
        </w:rPr>
      </w:pPr>
      <w:r>
        <w:rPr>
          <w:rFonts w:hint="eastAsia" w:hAnsi="宋体"/>
          <w:color w:val="auto"/>
          <w:szCs w:val="21"/>
          <w:highlight w:val="none"/>
        </w:rPr>
        <w:t>10、故障报警：断电、传感器、偏差、超温、设置、检查和系统等</w:t>
      </w:r>
    </w:p>
    <w:p>
      <w:pPr>
        <w:spacing w:line="460" w:lineRule="exact"/>
        <w:ind w:firstLine="420" w:firstLineChars="200"/>
        <w:rPr>
          <w:rFonts w:hAnsi="宋体"/>
          <w:color w:val="auto"/>
          <w:szCs w:val="21"/>
          <w:highlight w:val="none"/>
        </w:rPr>
      </w:pPr>
      <w:r>
        <w:rPr>
          <w:rFonts w:hint="eastAsia" w:hAnsi="宋体"/>
          <w:color w:val="auto"/>
          <w:szCs w:val="21"/>
          <w:highlight w:val="none"/>
        </w:rPr>
        <w:t>11、使用环境要求：环境温度：18℃~30℃环境风速：&lt; 0.3m/s</w:t>
      </w:r>
    </w:p>
    <w:p>
      <w:pPr>
        <w:jc w:val="center"/>
        <w:rPr>
          <w:rFonts w:ascii="宋体" w:hAnsi="宋体" w:cs="宋体"/>
          <w:b/>
          <w:bCs/>
          <w:color w:val="auto"/>
          <w:sz w:val="24"/>
          <w:highlight w:val="none"/>
        </w:rPr>
      </w:pPr>
    </w:p>
    <w:p>
      <w:pPr>
        <w:jc w:val="center"/>
        <w:rPr>
          <w:rFonts w:ascii="宋体" w:hAnsi="宋体" w:cs="宋体"/>
          <w:b/>
          <w:bCs/>
          <w:color w:val="auto"/>
          <w:sz w:val="24"/>
          <w:highlight w:val="none"/>
        </w:rPr>
      </w:pPr>
      <w:r>
        <w:rPr>
          <w:rFonts w:hint="eastAsia" w:ascii="宋体" w:hAnsi="宋体" w:cs="宋体"/>
          <w:b/>
          <w:bCs/>
          <w:color w:val="auto"/>
          <w:sz w:val="24"/>
          <w:highlight w:val="none"/>
        </w:rPr>
        <w:t>1-3 电子婴儿秤</w:t>
      </w:r>
    </w:p>
    <w:p>
      <w:pPr>
        <w:spacing w:line="460" w:lineRule="exact"/>
        <w:ind w:firstLine="420" w:firstLineChars="200"/>
        <w:rPr>
          <w:rFonts w:hAnsi="宋体"/>
          <w:color w:val="auto"/>
          <w:szCs w:val="21"/>
          <w:highlight w:val="none"/>
        </w:rPr>
      </w:pPr>
      <w:r>
        <w:rPr>
          <w:rFonts w:hint="eastAsia" w:hAnsi="宋体"/>
          <w:color w:val="auto"/>
          <w:szCs w:val="21"/>
          <w:highlight w:val="none"/>
        </w:rPr>
        <w:t>1、最大秤量：≥20kg</w:t>
      </w:r>
    </w:p>
    <w:p>
      <w:pPr>
        <w:spacing w:line="460" w:lineRule="exact"/>
        <w:ind w:firstLine="420" w:firstLineChars="200"/>
        <w:rPr>
          <w:rFonts w:hAnsi="宋体"/>
          <w:color w:val="auto"/>
          <w:szCs w:val="21"/>
          <w:highlight w:val="none"/>
        </w:rPr>
      </w:pPr>
      <w:r>
        <w:rPr>
          <w:rFonts w:hint="eastAsia" w:hAnsi="宋体"/>
          <w:color w:val="auto"/>
          <w:szCs w:val="21"/>
          <w:highlight w:val="none"/>
        </w:rPr>
        <w:t>2、最小秤量：≤0.2kg</w:t>
      </w:r>
    </w:p>
    <w:p>
      <w:pPr>
        <w:spacing w:line="460" w:lineRule="exact"/>
        <w:ind w:firstLine="420" w:firstLineChars="200"/>
        <w:rPr>
          <w:rFonts w:hAnsi="宋体"/>
          <w:color w:val="auto"/>
          <w:szCs w:val="21"/>
          <w:highlight w:val="none"/>
        </w:rPr>
      </w:pPr>
      <w:r>
        <w:rPr>
          <w:rFonts w:hint="eastAsia" w:hAnsi="宋体"/>
          <w:color w:val="auto"/>
          <w:szCs w:val="21"/>
          <w:highlight w:val="none"/>
        </w:rPr>
        <w:t xml:space="preserve">3、分度值：10g </w:t>
      </w:r>
    </w:p>
    <w:p>
      <w:pPr>
        <w:spacing w:line="460" w:lineRule="exact"/>
        <w:ind w:firstLine="420" w:firstLineChars="200"/>
        <w:rPr>
          <w:rFonts w:hAnsi="宋体"/>
          <w:color w:val="auto"/>
          <w:szCs w:val="21"/>
          <w:highlight w:val="none"/>
        </w:rPr>
      </w:pPr>
      <w:r>
        <w:rPr>
          <w:rFonts w:hint="eastAsia" w:hAnsi="宋体"/>
          <w:color w:val="auto"/>
          <w:szCs w:val="21"/>
          <w:highlight w:val="none"/>
        </w:rPr>
        <w:t>4、LCD显示</w:t>
      </w:r>
    </w:p>
    <w:p>
      <w:pPr>
        <w:spacing w:line="400" w:lineRule="exact"/>
        <w:ind w:firstLine="3070" w:firstLineChars="1274"/>
        <w:rPr>
          <w:rFonts w:ascii="宋体" w:hAnsi="宋体" w:cs="宋体"/>
          <w:b/>
          <w:color w:val="auto"/>
          <w:sz w:val="24"/>
          <w:highlight w:val="none"/>
        </w:rPr>
      </w:pPr>
      <w:r>
        <w:rPr>
          <w:rFonts w:hint="eastAsia" w:ascii="宋体" w:hAnsi="宋体" w:cs="宋体"/>
          <w:b/>
          <w:color w:val="auto"/>
          <w:sz w:val="24"/>
          <w:highlight w:val="none"/>
        </w:rPr>
        <w:t xml:space="preserve">1-4 新生儿蓝光治疗灯 </w:t>
      </w:r>
    </w:p>
    <w:p>
      <w:pPr>
        <w:spacing w:line="460" w:lineRule="exact"/>
        <w:ind w:firstLine="420" w:firstLineChars="200"/>
        <w:rPr>
          <w:rFonts w:hAnsi="宋体"/>
          <w:color w:val="auto"/>
          <w:szCs w:val="21"/>
          <w:highlight w:val="none"/>
        </w:rPr>
      </w:pPr>
      <w:r>
        <w:rPr>
          <w:rFonts w:hint="eastAsia" w:hAnsi="宋体"/>
          <w:color w:val="auto"/>
          <w:szCs w:val="21"/>
          <w:highlight w:val="none"/>
        </w:rPr>
        <w:t>1、工作电源：AC220V/ 50HZ</w:t>
      </w:r>
    </w:p>
    <w:p>
      <w:pPr>
        <w:spacing w:line="460" w:lineRule="exact"/>
        <w:ind w:firstLine="420" w:firstLineChars="200"/>
        <w:rPr>
          <w:rFonts w:hAnsi="宋体"/>
          <w:color w:val="auto"/>
          <w:szCs w:val="21"/>
          <w:highlight w:val="none"/>
        </w:rPr>
      </w:pPr>
      <w:r>
        <w:rPr>
          <w:rFonts w:hint="eastAsia" w:hAnsi="宋体"/>
          <w:color w:val="auto"/>
          <w:szCs w:val="21"/>
          <w:highlight w:val="none"/>
        </w:rPr>
        <w:t>2、输入功率：≤70VA</w:t>
      </w:r>
    </w:p>
    <w:p>
      <w:pPr>
        <w:spacing w:line="460" w:lineRule="exact"/>
        <w:ind w:firstLine="420" w:firstLineChars="200"/>
        <w:rPr>
          <w:rFonts w:hAnsi="宋体"/>
          <w:color w:val="auto"/>
          <w:szCs w:val="21"/>
          <w:highlight w:val="none"/>
        </w:rPr>
      </w:pPr>
      <w:r>
        <w:rPr>
          <w:rFonts w:hint="eastAsia" w:hAnsi="宋体"/>
          <w:color w:val="auto"/>
          <w:szCs w:val="21"/>
          <w:highlight w:val="none"/>
        </w:rPr>
        <w:t>3、辐照治疗距离：≥40cm</w:t>
      </w:r>
    </w:p>
    <w:p>
      <w:pPr>
        <w:spacing w:line="460" w:lineRule="exact"/>
        <w:ind w:firstLine="420" w:firstLineChars="200"/>
        <w:rPr>
          <w:rFonts w:hAnsi="宋体"/>
          <w:color w:val="auto"/>
          <w:szCs w:val="21"/>
          <w:highlight w:val="none"/>
        </w:rPr>
      </w:pPr>
      <w:r>
        <w:rPr>
          <w:rFonts w:hint="eastAsia" w:hAnsi="宋体"/>
          <w:color w:val="auto"/>
          <w:szCs w:val="21"/>
          <w:highlight w:val="none"/>
        </w:rPr>
        <w:t xml:space="preserve">4、有效表面：≥400mm×200mm </w:t>
      </w:r>
    </w:p>
    <w:p>
      <w:pPr>
        <w:spacing w:line="460" w:lineRule="exact"/>
        <w:ind w:firstLine="420" w:firstLineChars="200"/>
        <w:rPr>
          <w:rFonts w:hAnsi="宋体"/>
          <w:color w:val="auto"/>
          <w:szCs w:val="21"/>
          <w:highlight w:val="none"/>
        </w:rPr>
      </w:pPr>
      <w:r>
        <w:rPr>
          <w:rFonts w:hint="eastAsia" w:hAnsi="宋体"/>
          <w:color w:val="auto"/>
          <w:szCs w:val="21"/>
          <w:highlight w:val="none"/>
        </w:rPr>
        <w:t>★5、有效表面上的总辐照度：≥2.8mW/cm2</w:t>
      </w:r>
    </w:p>
    <w:p>
      <w:pPr>
        <w:spacing w:line="460" w:lineRule="exact"/>
        <w:ind w:firstLine="420" w:firstLineChars="200"/>
        <w:rPr>
          <w:rFonts w:hAnsi="宋体"/>
          <w:color w:val="auto"/>
          <w:szCs w:val="21"/>
          <w:highlight w:val="none"/>
        </w:rPr>
      </w:pPr>
      <w:r>
        <w:rPr>
          <w:rFonts w:hint="eastAsia" w:hAnsi="宋体"/>
          <w:color w:val="auto"/>
          <w:szCs w:val="21"/>
          <w:highlight w:val="none"/>
        </w:rPr>
        <w:t>★6、有效表面上的最高胆红素总辐照度：≥3.0mW/cm2</w:t>
      </w:r>
    </w:p>
    <w:p>
      <w:pPr>
        <w:spacing w:line="460" w:lineRule="exact"/>
        <w:ind w:firstLine="420" w:firstLineChars="200"/>
        <w:rPr>
          <w:rFonts w:hAnsi="宋体"/>
          <w:color w:val="auto"/>
          <w:szCs w:val="21"/>
          <w:highlight w:val="none"/>
        </w:rPr>
      </w:pPr>
      <w:r>
        <w:rPr>
          <w:rFonts w:hint="eastAsia" w:hAnsi="宋体"/>
          <w:color w:val="auto"/>
          <w:szCs w:val="21"/>
          <w:highlight w:val="none"/>
        </w:rPr>
        <w:t xml:space="preserve">★7、有效表面上的胆红素总辐照度平均：≥2.0mW/cm2 </w:t>
      </w:r>
    </w:p>
    <w:p>
      <w:pPr>
        <w:spacing w:line="460" w:lineRule="exact"/>
        <w:ind w:firstLine="420" w:firstLineChars="200"/>
        <w:rPr>
          <w:rFonts w:hAnsi="宋体"/>
          <w:color w:val="auto"/>
          <w:szCs w:val="21"/>
          <w:highlight w:val="none"/>
        </w:rPr>
      </w:pPr>
      <w:r>
        <w:rPr>
          <w:rFonts w:hint="eastAsia" w:hAnsi="宋体"/>
          <w:color w:val="auto"/>
          <w:szCs w:val="21"/>
          <w:highlight w:val="none"/>
        </w:rPr>
        <w:t>8、胆红素总辐照度均匀性：＞0.4</w:t>
      </w:r>
    </w:p>
    <w:p>
      <w:pPr>
        <w:spacing w:line="460" w:lineRule="exact"/>
        <w:ind w:firstLine="420" w:firstLineChars="200"/>
        <w:rPr>
          <w:rFonts w:hAnsi="宋体"/>
          <w:color w:val="auto"/>
          <w:szCs w:val="21"/>
          <w:highlight w:val="none"/>
        </w:rPr>
      </w:pPr>
      <w:r>
        <w:rPr>
          <w:rFonts w:hint="eastAsia" w:hAnsi="宋体"/>
          <w:color w:val="auto"/>
          <w:szCs w:val="21"/>
          <w:highlight w:val="none"/>
        </w:rPr>
        <w:t>9、工作噪声：≤45dB（A）[环境噪声在≤35dB(A)以下]</w:t>
      </w:r>
    </w:p>
    <w:p>
      <w:pPr>
        <w:spacing w:line="460" w:lineRule="exact"/>
        <w:ind w:firstLine="420" w:firstLineChars="200"/>
        <w:rPr>
          <w:rFonts w:hAnsi="宋体"/>
          <w:color w:val="auto"/>
          <w:szCs w:val="21"/>
          <w:highlight w:val="none"/>
        </w:rPr>
      </w:pPr>
      <w:r>
        <w:rPr>
          <w:rFonts w:hint="eastAsia" w:hAnsi="宋体"/>
          <w:color w:val="auto"/>
          <w:szCs w:val="21"/>
          <w:highlight w:val="none"/>
        </w:rPr>
        <w:t>10、蓝光波长：400nm～550nm</w:t>
      </w:r>
    </w:p>
    <w:p>
      <w:pPr>
        <w:spacing w:line="460" w:lineRule="exact"/>
        <w:ind w:firstLine="420" w:firstLineChars="200"/>
        <w:rPr>
          <w:rFonts w:hAnsi="宋体"/>
          <w:color w:val="auto"/>
          <w:szCs w:val="21"/>
          <w:highlight w:val="none"/>
        </w:rPr>
      </w:pPr>
      <w:r>
        <w:rPr>
          <w:rFonts w:hint="eastAsia" w:hAnsi="宋体"/>
          <w:color w:val="auto"/>
          <w:szCs w:val="21"/>
          <w:highlight w:val="none"/>
        </w:rPr>
        <w:t>11、光源使用期限：≥2万h</w:t>
      </w:r>
    </w:p>
    <w:p>
      <w:pPr>
        <w:jc w:val="center"/>
        <w:rPr>
          <w:rFonts w:ascii="宋体" w:hAnsi="宋体" w:cs="宋体"/>
          <w:b/>
          <w:bCs/>
          <w:color w:val="auto"/>
          <w:sz w:val="24"/>
          <w:highlight w:val="none"/>
        </w:rPr>
      </w:pPr>
    </w:p>
    <w:p>
      <w:pPr>
        <w:jc w:val="center"/>
        <w:rPr>
          <w:rFonts w:ascii="宋体" w:hAnsi="宋体" w:cs="宋体"/>
          <w:b/>
          <w:bCs/>
          <w:color w:val="auto"/>
          <w:sz w:val="24"/>
          <w:highlight w:val="none"/>
        </w:rPr>
      </w:pPr>
      <w:r>
        <w:rPr>
          <w:rFonts w:hint="eastAsia" w:ascii="宋体" w:hAnsi="宋体" w:cs="宋体"/>
          <w:b/>
          <w:bCs/>
          <w:color w:val="auto"/>
          <w:sz w:val="24"/>
          <w:highlight w:val="none"/>
        </w:rPr>
        <w:t>1-5血氧饱和度检测仪</w:t>
      </w:r>
    </w:p>
    <w:p>
      <w:pPr>
        <w:spacing w:line="460" w:lineRule="exact"/>
        <w:ind w:firstLine="420" w:firstLineChars="200"/>
        <w:rPr>
          <w:rFonts w:hAnsi="宋体"/>
          <w:color w:val="auto"/>
          <w:szCs w:val="21"/>
          <w:highlight w:val="none"/>
        </w:rPr>
      </w:pPr>
      <w:r>
        <w:rPr>
          <w:rFonts w:hint="eastAsia" w:hAnsi="宋体"/>
          <w:color w:val="auto"/>
          <w:szCs w:val="21"/>
          <w:highlight w:val="none"/>
        </w:rPr>
        <w:t>（一）监护参数</w:t>
      </w:r>
    </w:p>
    <w:p>
      <w:pPr>
        <w:spacing w:line="460" w:lineRule="exact"/>
        <w:ind w:firstLine="420" w:firstLineChars="200"/>
        <w:rPr>
          <w:rFonts w:hAnsi="宋体"/>
          <w:color w:val="auto"/>
          <w:szCs w:val="21"/>
          <w:highlight w:val="none"/>
        </w:rPr>
      </w:pPr>
      <w:r>
        <w:rPr>
          <w:rFonts w:hint="eastAsia" w:hAnsi="宋体"/>
          <w:color w:val="auto"/>
          <w:szCs w:val="21"/>
          <w:highlight w:val="none"/>
        </w:rPr>
        <w:t>标准配置参数：血氧饱和度(SpO2)、脉搏(PR)</w:t>
      </w:r>
    </w:p>
    <w:p>
      <w:pPr>
        <w:spacing w:line="460" w:lineRule="exact"/>
        <w:ind w:firstLine="420" w:firstLineChars="200"/>
        <w:rPr>
          <w:rFonts w:hAnsi="宋体"/>
          <w:color w:val="auto"/>
          <w:szCs w:val="21"/>
          <w:highlight w:val="none"/>
        </w:rPr>
      </w:pPr>
      <w:r>
        <w:rPr>
          <w:rFonts w:hint="eastAsia" w:hAnsi="宋体"/>
          <w:color w:val="auto"/>
          <w:szCs w:val="21"/>
          <w:highlight w:val="none"/>
        </w:rPr>
        <w:t>（二）显示</w:t>
      </w:r>
    </w:p>
    <w:p>
      <w:pPr>
        <w:spacing w:line="460" w:lineRule="exact"/>
        <w:ind w:firstLine="420" w:firstLineChars="200"/>
        <w:rPr>
          <w:rFonts w:hAnsi="宋体"/>
          <w:color w:val="auto"/>
          <w:szCs w:val="21"/>
          <w:highlight w:val="none"/>
        </w:rPr>
      </w:pPr>
      <w:r>
        <w:rPr>
          <w:rFonts w:hint="eastAsia" w:hAnsi="宋体"/>
          <w:color w:val="auto"/>
          <w:szCs w:val="21"/>
          <w:highlight w:val="none"/>
        </w:rPr>
        <w:t>1、背光LCD屏幕，实时显示波形、数字</w:t>
      </w:r>
    </w:p>
    <w:p>
      <w:pPr>
        <w:spacing w:line="460" w:lineRule="exact"/>
        <w:ind w:firstLine="420" w:firstLineChars="200"/>
        <w:rPr>
          <w:rFonts w:hAnsi="宋体"/>
          <w:color w:val="auto"/>
          <w:szCs w:val="21"/>
          <w:highlight w:val="none"/>
        </w:rPr>
      </w:pPr>
      <w:r>
        <w:rPr>
          <w:rFonts w:hint="eastAsia" w:hAnsi="宋体"/>
          <w:color w:val="auto"/>
          <w:szCs w:val="21"/>
          <w:highlight w:val="none"/>
        </w:rPr>
        <w:t>2、大字体显示血氧饱和度（SpO2）和脉率（PR），并柱状显示脉搏强度</w:t>
      </w:r>
    </w:p>
    <w:p>
      <w:pPr>
        <w:spacing w:line="460" w:lineRule="exact"/>
        <w:ind w:firstLine="420" w:firstLineChars="200"/>
        <w:rPr>
          <w:rFonts w:hAnsi="宋体"/>
          <w:color w:val="auto"/>
          <w:szCs w:val="21"/>
          <w:highlight w:val="none"/>
        </w:rPr>
      </w:pPr>
      <w:r>
        <w:rPr>
          <w:rFonts w:hint="eastAsia" w:hAnsi="宋体"/>
          <w:color w:val="auto"/>
          <w:szCs w:val="21"/>
          <w:highlight w:val="none"/>
        </w:rPr>
        <w:t>（三）数据存储、回顾</w:t>
      </w:r>
    </w:p>
    <w:p>
      <w:pPr>
        <w:spacing w:line="460" w:lineRule="exact"/>
        <w:ind w:firstLine="420" w:firstLineChars="200"/>
        <w:rPr>
          <w:rFonts w:hAnsi="宋体"/>
          <w:color w:val="auto"/>
          <w:szCs w:val="21"/>
          <w:highlight w:val="none"/>
        </w:rPr>
      </w:pPr>
      <w:r>
        <w:rPr>
          <w:rFonts w:hint="eastAsia" w:hAnsi="宋体"/>
          <w:color w:val="auto"/>
          <w:szCs w:val="21"/>
          <w:highlight w:val="none"/>
        </w:rPr>
        <w:t>1、</w:t>
      </w:r>
      <w:r>
        <w:rPr>
          <w:rFonts w:hint="eastAsia"/>
          <w:color w:val="auto"/>
          <w:highlight w:val="none"/>
        </w:rPr>
        <w:t>≥</w:t>
      </w:r>
      <w:r>
        <w:rPr>
          <w:rFonts w:hint="eastAsia" w:hAnsi="宋体"/>
          <w:color w:val="auto"/>
          <w:szCs w:val="21"/>
          <w:highlight w:val="none"/>
        </w:rPr>
        <w:t>10min的SpO2和脉率趋势图回顾</w:t>
      </w:r>
    </w:p>
    <w:p>
      <w:pPr>
        <w:spacing w:line="460" w:lineRule="exact"/>
        <w:ind w:firstLine="420" w:firstLineChars="200"/>
        <w:rPr>
          <w:rFonts w:hAnsi="宋体"/>
          <w:color w:val="auto"/>
          <w:szCs w:val="21"/>
          <w:highlight w:val="none"/>
        </w:rPr>
      </w:pPr>
      <w:r>
        <w:rPr>
          <w:rFonts w:hint="eastAsia" w:hAnsi="宋体"/>
          <w:color w:val="auto"/>
          <w:szCs w:val="21"/>
          <w:highlight w:val="none"/>
        </w:rPr>
        <w:t>（四）性能特点</w:t>
      </w:r>
    </w:p>
    <w:p>
      <w:pPr>
        <w:spacing w:line="460" w:lineRule="exact"/>
        <w:ind w:firstLine="420" w:firstLineChars="200"/>
        <w:rPr>
          <w:rFonts w:hAnsi="宋体"/>
          <w:color w:val="auto"/>
          <w:szCs w:val="21"/>
          <w:highlight w:val="none"/>
        </w:rPr>
      </w:pPr>
      <w:r>
        <w:rPr>
          <w:rFonts w:hint="eastAsia" w:hAnsi="宋体"/>
          <w:color w:val="auto"/>
          <w:szCs w:val="21"/>
          <w:highlight w:val="none"/>
        </w:rPr>
        <w:t>1、至少具备4节AA普通电池可持续工作</w:t>
      </w:r>
      <w:r>
        <w:rPr>
          <w:rFonts w:hint="eastAsia" w:ascii="Calibri" w:hAnsi="Calibri"/>
          <w:color w:val="auto"/>
          <w:sz w:val="28"/>
          <w:szCs w:val="32"/>
          <w:highlight w:val="none"/>
        </w:rPr>
        <w:t>≥</w:t>
      </w:r>
      <w:r>
        <w:rPr>
          <w:rFonts w:hint="eastAsia" w:hAnsi="宋体"/>
          <w:color w:val="auto"/>
          <w:szCs w:val="21"/>
          <w:highlight w:val="none"/>
        </w:rPr>
        <w:t>50h，可兼容4节1.2vAA镍氢充电电池</w:t>
      </w:r>
    </w:p>
    <w:p>
      <w:pPr>
        <w:spacing w:line="460" w:lineRule="exact"/>
        <w:ind w:firstLine="420" w:firstLineChars="200"/>
        <w:rPr>
          <w:rFonts w:hAnsi="宋体"/>
          <w:color w:val="auto"/>
          <w:szCs w:val="21"/>
          <w:highlight w:val="none"/>
        </w:rPr>
      </w:pPr>
      <w:r>
        <w:rPr>
          <w:rFonts w:hint="eastAsia" w:hAnsi="宋体"/>
          <w:color w:val="auto"/>
          <w:szCs w:val="21"/>
          <w:highlight w:val="none"/>
        </w:rPr>
        <w:t>2、具有三级声光报警功能，报警上下限可调</w:t>
      </w:r>
    </w:p>
    <w:p>
      <w:pPr>
        <w:spacing w:line="460" w:lineRule="exact"/>
        <w:ind w:firstLine="420" w:firstLineChars="200"/>
        <w:rPr>
          <w:rFonts w:hAnsi="宋体"/>
          <w:color w:val="auto"/>
          <w:szCs w:val="21"/>
          <w:highlight w:val="none"/>
        </w:rPr>
      </w:pPr>
      <w:r>
        <w:rPr>
          <w:rFonts w:hint="eastAsia" w:hAnsi="宋体"/>
          <w:color w:val="auto"/>
          <w:szCs w:val="21"/>
          <w:highlight w:val="none"/>
        </w:rPr>
        <w:t>3、可实现</w:t>
      </w:r>
      <w:r>
        <w:rPr>
          <w:rFonts w:hint="eastAsia" w:ascii="Calibri" w:hAnsi="Calibri"/>
          <w:color w:val="auto"/>
          <w:szCs w:val="21"/>
          <w:highlight w:val="none"/>
        </w:rPr>
        <w:t>≥</w:t>
      </w:r>
      <w:r>
        <w:rPr>
          <w:rFonts w:hint="eastAsia" w:hAnsi="宋体"/>
          <w:color w:val="auto"/>
          <w:szCs w:val="21"/>
          <w:highlight w:val="none"/>
        </w:rPr>
        <w:t>300h数据存储功能, 完全满足睡眠监护的需要</w:t>
      </w:r>
    </w:p>
    <w:p>
      <w:pPr>
        <w:spacing w:line="460" w:lineRule="exact"/>
        <w:ind w:firstLine="420" w:firstLineChars="200"/>
        <w:rPr>
          <w:rFonts w:hAnsi="宋体"/>
          <w:color w:val="auto"/>
          <w:szCs w:val="21"/>
          <w:highlight w:val="none"/>
        </w:rPr>
      </w:pPr>
      <w:r>
        <w:rPr>
          <w:rFonts w:hint="eastAsia" w:hAnsi="宋体"/>
          <w:color w:val="auto"/>
          <w:szCs w:val="21"/>
          <w:highlight w:val="none"/>
        </w:rPr>
        <w:t>4、数据可以传输到PC机，并存储、回顾、打印结果</w:t>
      </w:r>
    </w:p>
    <w:p>
      <w:pPr>
        <w:spacing w:line="460" w:lineRule="exact"/>
        <w:ind w:firstLine="420" w:firstLineChars="200"/>
        <w:rPr>
          <w:rFonts w:hAnsi="宋体"/>
          <w:color w:val="auto"/>
          <w:szCs w:val="21"/>
          <w:highlight w:val="none"/>
        </w:rPr>
      </w:pPr>
      <w:r>
        <w:rPr>
          <w:rFonts w:hint="eastAsia" w:hAnsi="宋体"/>
          <w:color w:val="auto"/>
          <w:szCs w:val="21"/>
          <w:highlight w:val="none"/>
        </w:rPr>
        <w:t>5、抗运动干扰和弱灌注测量</w:t>
      </w:r>
    </w:p>
    <w:p>
      <w:pPr>
        <w:spacing w:line="460" w:lineRule="exact"/>
        <w:ind w:firstLine="420" w:firstLineChars="200"/>
        <w:rPr>
          <w:rFonts w:hAnsi="宋体"/>
          <w:color w:val="auto"/>
          <w:szCs w:val="21"/>
          <w:highlight w:val="none"/>
        </w:rPr>
      </w:pPr>
      <w:r>
        <w:rPr>
          <w:rFonts w:hint="eastAsia" w:hAnsi="宋体"/>
          <w:color w:val="auto"/>
          <w:szCs w:val="21"/>
          <w:highlight w:val="none"/>
        </w:rPr>
        <w:t>6、自动关机功能和实时时钟显示</w:t>
      </w:r>
    </w:p>
    <w:p>
      <w:pPr>
        <w:spacing w:line="460" w:lineRule="exact"/>
        <w:ind w:firstLine="420" w:firstLineChars="200"/>
        <w:rPr>
          <w:rFonts w:hAnsi="宋体"/>
          <w:color w:val="auto"/>
          <w:szCs w:val="21"/>
          <w:highlight w:val="none"/>
        </w:rPr>
      </w:pPr>
      <w:r>
        <w:rPr>
          <w:rFonts w:hint="eastAsia" w:hAnsi="宋体"/>
          <w:color w:val="auto"/>
          <w:szCs w:val="21"/>
          <w:highlight w:val="none"/>
        </w:rPr>
        <w:t>7、具有脉搏调制音，通过心跳声音的音调变化来判断血氧饱和度的高低变化，使医护人员从听觉中获取病人生命体征</w:t>
      </w:r>
    </w:p>
    <w:p>
      <w:pPr>
        <w:spacing w:line="460" w:lineRule="exact"/>
        <w:ind w:firstLine="420" w:firstLineChars="200"/>
        <w:rPr>
          <w:rFonts w:hAnsi="宋体"/>
          <w:color w:val="auto"/>
          <w:szCs w:val="21"/>
          <w:highlight w:val="none"/>
        </w:rPr>
      </w:pPr>
      <w:r>
        <w:rPr>
          <w:rFonts w:hint="eastAsia" w:hAnsi="宋体"/>
          <w:color w:val="auto"/>
          <w:szCs w:val="21"/>
          <w:highlight w:val="none"/>
        </w:rPr>
        <w:t>8、支持掉电数据存储功能</w:t>
      </w:r>
    </w:p>
    <w:p>
      <w:pPr>
        <w:spacing w:line="460" w:lineRule="exact"/>
        <w:ind w:firstLine="420" w:firstLineChars="200"/>
        <w:rPr>
          <w:rFonts w:hAnsi="宋体"/>
          <w:color w:val="auto"/>
          <w:szCs w:val="21"/>
          <w:highlight w:val="none"/>
        </w:rPr>
      </w:pPr>
      <w:r>
        <w:rPr>
          <w:rFonts w:hint="eastAsia" w:hAnsi="宋体"/>
          <w:color w:val="auto"/>
          <w:szCs w:val="21"/>
          <w:highlight w:val="none"/>
        </w:rPr>
        <w:t>9、全面适用于成人、小儿、新生儿</w:t>
      </w:r>
    </w:p>
    <w:p>
      <w:pPr>
        <w:spacing w:line="460" w:lineRule="exact"/>
        <w:ind w:firstLine="420" w:firstLineChars="200"/>
        <w:rPr>
          <w:rFonts w:hAnsi="宋体"/>
          <w:color w:val="auto"/>
          <w:szCs w:val="21"/>
          <w:highlight w:val="none"/>
        </w:rPr>
      </w:pPr>
      <w:r>
        <w:rPr>
          <w:rFonts w:hint="eastAsia" w:hAnsi="宋体"/>
          <w:color w:val="auto"/>
          <w:szCs w:val="21"/>
          <w:highlight w:val="none"/>
        </w:rPr>
        <w:t>（四）各参数性能指标</w:t>
      </w:r>
    </w:p>
    <w:p>
      <w:pPr>
        <w:spacing w:line="460" w:lineRule="exact"/>
        <w:ind w:firstLine="420" w:firstLineChars="200"/>
        <w:rPr>
          <w:rFonts w:hAnsi="宋体"/>
          <w:color w:val="auto"/>
          <w:szCs w:val="21"/>
          <w:highlight w:val="none"/>
        </w:rPr>
      </w:pPr>
      <w:r>
        <w:rPr>
          <w:rFonts w:hint="eastAsia" w:hAnsi="宋体"/>
          <w:color w:val="auto"/>
          <w:szCs w:val="21"/>
          <w:highlight w:val="none"/>
        </w:rPr>
        <w:t>1、血氧饱和度（SpO2）</w:t>
      </w:r>
    </w:p>
    <w:p>
      <w:pPr>
        <w:spacing w:line="460" w:lineRule="exact"/>
        <w:ind w:firstLine="420" w:firstLineChars="200"/>
        <w:rPr>
          <w:rFonts w:hAnsi="宋体"/>
          <w:color w:val="auto"/>
          <w:szCs w:val="21"/>
          <w:highlight w:val="none"/>
        </w:rPr>
      </w:pPr>
      <w:r>
        <w:rPr>
          <w:rFonts w:hint="eastAsia" w:hAnsi="宋体"/>
          <w:color w:val="auto"/>
          <w:szCs w:val="21"/>
          <w:highlight w:val="none"/>
        </w:rPr>
        <w:t>1.1测量范围：0-100%</w:t>
      </w:r>
    </w:p>
    <w:p>
      <w:pPr>
        <w:spacing w:line="460" w:lineRule="exact"/>
        <w:ind w:firstLine="420" w:firstLineChars="200"/>
        <w:rPr>
          <w:rFonts w:hAnsi="宋体"/>
          <w:color w:val="auto"/>
          <w:szCs w:val="21"/>
          <w:highlight w:val="none"/>
        </w:rPr>
      </w:pPr>
      <w:r>
        <w:rPr>
          <w:rFonts w:hint="eastAsia" w:hAnsi="宋体"/>
          <w:color w:val="auto"/>
          <w:szCs w:val="21"/>
          <w:highlight w:val="none"/>
        </w:rPr>
        <w:t xml:space="preserve">1.2分辨率：1%  </w:t>
      </w:r>
    </w:p>
    <w:p>
      <w:pPr>
        <w:spacing w:line="460" w:lineRule="exact"/>
        <w:ind w:firstLine="420" w:firstLineChars="200"/>
        <w:rPr>
          <w:rFonts w:hAnsi="宋体"/>
          <w:color w:val="auto"/>
          <w:szCs w:val="21"/>
          <w:highlight w:val="none"/>
        </w:rPr>
      </w:pPr>
      <w:r>
        <w:rPr>
          <w:rFonts w:hint="eastAsia" w:hAnsi="宋体"/>
          <w:color w:val="auto"/>
          <w:szCs w:val="21"/>
          <w:highlight w:val="none"/>
        </w:rPr>
        <w:t>1.3准确度：70-100%（±2%）</w:t>
      </w:r>
    </w:p>
    <w:p>
      <w:pPr>
        <w:spacing w:line="460" w:lineRule="exact"/>
        <w:ind w:firstLine="420" w:firstLineChars="200"/>
        <w:rPr>
          <w:rFonts w:hAnsi="宋体"/>
          <w:color w:val="auto"/>
          <w:szCs w:val="21"/>
          <w:highlight w:val="none"/>
        </w:rPr>
      </w:pPr>
      <w:r>
        <w:rPr>
          <w:rFonts w:hint="eastAsia" w:hAnsi="宋体"/>
          <w:color w:val="auto"/>
          <w:szCs w:val="21"/>
          <w:highlight w:val="none"/>
        </w:rPr>
        <w:t>2、脉搏（PR）</w:t>
      </w:r>
    </w:p>
    <w:p>
      <w:pPr>
        <w:spacing w:line="460" w:lineRule="exact"/>
        <w:ind w:firstLine="420" w:firstLineChars="200"/>
        <w:rPr>
          <w:rFonts w:hAnsi="宋体"/>
          <w:color w:val="auto"/>
          <w:szCs w:val="21"/>
          <w:highlight w:val="none"/>
        </w:rPr>
      </w:pPr>
      <w:r>
        <w:rPr>
          <w:rFonts w:hint="eastAsia" w:hAnsi="宋体"/>
          <w:color w:val="auto"/>
          <w:szCs w:val="21"/>
          <w:highlight w:val="none"/>
        </w:rPr>
        <w:t xml:space="preserve">2.1测量范围：30-254 bpm  </w:t>
      </w:r>
    </w:p>
    <w:p>
      <w:pPr>
        <w:spacing w:line="460" w:lineRule="exact"/>
        <w:ind w:firstLine="420" w:firstLineChars="200"/>
        <w:rPr>
          <w:rFonts w:hAnsi="宋体"/>
          <w:color w:val="auto"/>
          <w:szCs w:val="21"/>
          <w:highlight w:val="none"/>
        </w:rPr>
      </w:pPr>
      <w:r>
        <w:rPr>
          <w:rFonts w:hint="eastAsia" w:hAnsi="宋体"/>
          <w:color w:val="auto"/>
          <w:szCs w:val="21"/>
          <w:highlight w:val="none"/>
        </w:rPr>
        <w:t xml:space="preserve">2.2分辨率：1bpm </w:t>
      </w:r>
    </w:p>
    <w:p>
      <w:pPr>
        <w:spacing w:line="460" w:lineRule="exact"/>
        <w:ind w:firstLine="420" w:firstLineChars="200"/>
        <w:rPr>
          <w:rFonts w:hAnsi="宋体"/>
          <w:color w:val="auto"/>
          <w:szCs w:val="21"/>
          <w:highlight w:val="none"/>
        </w:rPr>
      </w:pPr>
      <w:r>
        <w:rPr>
          <w:rFonts w:hint="eastAsia" w:hAnsi="宋体"/>
          <w:color w:val="auto"/>
          <w:szCs w:val="21"/>
          <w:highlight w:val="none"/>
        </w:rPr>
        <w:t>2.3精度：±2bpm</w:t>
      </w:r>
    </w:p>
    <w:p>
      <w:pPr>
        <w:rPr>
          <w:color w:val="auto"/>
          <w:highlight w:val="none"/>
        </w:rPr>
      </w:pPr>
    </w:p>
    <w:p>
      <w:pPr>
        <w:ind w:firstLine="1687" w:firstLineChars="700"/>
        <w:jc w:val="center"/>
        <w:rPr>
          <w:rFonts w:ascii="宋体" w:hAnsi="宋体" w:cs="宋体"/>
          <w:b/>
          <w:bCs/>
          <w:color w:val="auto"/>
          <w:sz w:val="24"/>
          <w:highlight w:val="none"/>
        </w:rPr>
      </w:pPr>
    </w:p>
    <w:p>
      <w:pPr>
        <w:ind w:firstLine="3373" w:firstLineChars="1400"/>
        <w:rPr>
          <w:rFonts w:ascii="宋体" w:hAnsi="宋体" w:cs="宋体"/>
          <w:b/>
          <w:bCs/>
          <w:color w:val="auto"/>
          <w:sz w:val="24"/>
          <w:highlight w:val="none"/>
        </w:rPr>
      </w:pPr>
      <w:r>
        <w:rPr>
          <w:rFonts w:hint="eastAsia" w:ascii="宋体" w:hAnsi="宋体" w:cs="宋体"/>
          <w:b/>
          <w:bCs/>
          <w:color w:val="auto"/>
          <w:sz w:val="24"/>
          <w:highlight w:val="none"/>
        </w:rPr>
        <w:t>1-6 经皮黄疸仪</w:t>
      </w:r>
    </w:p>
    <w:p>
      <w:pPr>
        <w:spacing w:line="460" w:lineRule="exact"/>
        <w:ind w:firstLine="420" w:firstLineChars="200"/>
        <w:rPr>
          <w:rFonts w:hAnsi="宋体"/>
          <w:color w:val="auto"/>
          <w:szCs w:val="21"/>
          <w:highlight w:val="none"/>
        </w:rPr>
      </w:pPr>
      <w:r>
        <w:rPr>
          <w:rFonts w:hint="eastAsia" w:hAnsi="宋体"/>
          <w:color w:val="auto"/>
          <w:szCs w:val="21"/>
          <w:highlight w:val="none"/>
        </w:rPr>
        <w:t xml:space="preserve">1、内部电源类：B型  </w:t>
      </w:r>
    </w:p>
    <w:p>
      <w:pPr>
        <w:spacing w:line="460" w:lineRule="exact"/>
        <w:ind w:firstLine="420" w:firstLineChars="200"/>
        <w:rPr>
          <w:rFonts w:hAnsi="宋体"/>
          <w:color w:val="auto"/>
          <w:szCs w:val="21"/>
          <w:highlight w:val="none"/>
        </w:rPr>
      </w:pPr>
      <w:r>
        <w:rPr>
          <w:rFonts w:hint="eastAsia" w:hAnsi="宋体"/>
          <w:color w:val="auto"/>
          <w:szCs w:val="21"/>
          <w:highlight w:val="none"/>
        </w:rPr>
        <w:t>2、运行模式：间歇加载连续运行</w:t>
      </w:r>
    </w:p>
    <w:p>
      <w:pPr>
        <w:spacing w:line="460" w:lineRule="exact"/>
        <w:ind w:firstLine="420" w:firstLineChars="200"/>
        <w:rPr>
          <w:rFonts w:hAnsi="宋体"/>
          <w:color w:val="auto"/>
          <w:szCs w:val="21"/>
          <w:highlight w:val="none"/>
        </w:rPr>
      </w:pPr>
      <w:r>
        <w:rPr>
          <w:rFonts w:hint="eastAsia" w:hAnsi="宋体"/>
          <w:color w:val="auto"/>
          <w:szCs w:val="21"/>
          <w:highlight w:val="none"/>
        </w:rPr>
        <w:t>3、闪光灯输出：12W</w:t>
      </w:r>
    </w:p>
    <w:p>
      <w:pPr>
        <w:spacing w:line="460" w:lineRule="exact"/>
        <w:ind w:firstLine="420" w:firstLineChars="200"/>
        <w:rPr>
          <w:rFonts w:hAnsi="宋体"/>
          <w:color w:val="auto"/>
          <w:szCs w:val="21"/>
          <w:highlight w:val="none"/>
        </w:rPr>
      </w:pPr>
      <w:r>
        <w:rPr>
          <w:rFonts w:hint="eastAsia" w:hAnsi="宋体"/>
          <w:color w:val="auto"/>
          <w:szCs w:val="21"/>
          <w:highlight w:val="none"/>
        </w:rPr>
        <w:t>4、测量方式：光反射式，绿、蓝光比较检测方法。</w:t>
      </w:r>
    </w:p>
    <w:p>
      <w:pPr>
        <w:spacing w:line="460" w:lineRule="exact"/>
        <w:ind w:firstLine="420" w:firstLineChars="200"/>
        <w:rPr>
          <w:rFonts w:hAnsi="宋体"/>
          <w:color w:val="auto"/>
          <w:szCs w:val="21"/>
          <w:highlight w:val="none"/>
        </w:rPr>
      </w:pPr>
      <w:r>
        <w:rPr>
          <w:rFonts w:hint="eastAsia" w:hAnsi="宋体"/>
          <w:color w:val="auto"/>
          <w:szCs w:val="21"/>
          <w:highlight w:val="none"/>
        </w:rPr>
        <w:t>5、测量结果显示：三位数字液晶屏显示</w:t>
      </w:r>
    </w:p>
    <w:p>
      <w:pPr>
        <w:spacing w:line="460" w:lineRule="exact"/>
        <w:ind w:firstLine="420" w:firstLineChars="200"/>
        <w:rPr>
          <w:rFonts w:hAnsi="宋体"/>
          <w:color w:val="auto"/>
          <w:szCs w:val="21"/>
          <w:highlight w:val="none"/>
        </w:rPr>
      </w:pPr>
      <w:r>
        <w:rPr>
          <w:rFonts w:hint="eastAsia" w:hAnsi="宋体"/>
          <w:color w:val="auto"/>
          <w:szCs w:val="21"/>
          <w:highlight w:val="none"/>
        </w:rPr>
        <w:t>6、光源：氙光灯</w:t>
      </w:r>
    </w:p>
    <w:p>
      <w:pPr>
        <w:spacing w:line="460" w:lineRule="exact"/>
        <w:ind w:firstLine="420" w:firstLineChars="200"/>
        <w:rPr>
          <w:rFonts w:hAnsi="宋体"/>
          <w:color w:val="auto"/>
          <w:szCs w:val="21"/>
          <w:highlight w:val="none"/>
        </w:rPr>
      </w:pPr>
      <w:r>
        <w:rPr>
          <w:rFonts w:hint="eastAsia" w:hAnsi="宋体"/>
          <w:color w:val="auto"/>
          <w:szCs w:val="21"/>
          <w:highlight w:val="none"/>
        </w:rPr>
        <w:t>7、开启准备时间；</w:t>
      </w:r>
      <w:r>
        <w:rPr>
          <w:rFonts w:hint="eastAsia" w:ascii="Calibri" w:hAnsi="Calibri"/>
          <w:color w:val="auto"/>
          <w:sz w:val="28"/>
          <w:szCs w:val="32"/>
          <w:highlight w:val="none"/>
        </w:rPr>
        <w:t>＜</w:t>
      </w:r>
      <w:r>
        <w:rPr>
          <w:rFonts w:hint="eastAsia" w:hAnsi="宋体"/>
          <w:color w:val="auto"/>
          <w:szCs w:val="21"/>
          <w:highlight w:val="none"/>
        </w:rPr>
        <w:t>5s</w:t>
      </w:r>
    </w:p>
    <w:p>
      <w:pPr>
        <w:spacing w:line="460" w:lineRule="exact"/>
        <w:ind w:firstLine="420" w:firstLineChars="200"/>
        <w:rPr>
          <w:rFonts w:hAnsi="宋体"/>
          <w:color w:val="auto"/>
          <w:szCs w:val="21"/>
          <w:highlight w:val="none"/>
        </w:rPr>
      </w:pPr>
      <w:r>
        <w:rPr>
          <w:rFonts w:hint="eastAsia" w:hAnsi="宋体"/>
          <w:color w:val="auto"/>
          <w:szCs w:val="21"/>
          <w:highlight w:val="none"/>
        </w:rPr>
        <w:t>8、测量精度：00～15</w:t>
      </w:r>
      <w:r>
        <w:rPr>
          <w:rFonts w:ascii="Arial" w:hAnsi="Arial" w:cs="Arial"/>
          <w:color w:val="auto"/>
          <w:sz w:val="20"/>
          <w:szCs w:val="20"/>
          <w:highlight w:val="none"/>
          <w:shd w:val="clear" w:color="auto" w:fill="FFFFFF"/>
        </w:rPr>
        <w:t>μmol/L</w:t>
      </w:r>
      <w:r>
        <w:rPr>
          <w:rFonts w:hint="eastAsia" w:hAnsi="宋体"/>
          <w:color w:val="auto"/>
          <w:szCs w:val="21"/>
          <w:highlight w:val="none"/>
        </w:rPr>
        <w:t>±1</w:t>
      </w:r>
      <w:r>
        <w:rPr>
          <w:rFonts w:ascii="Arial" w:hAnsi="Arial" w:cs="Arial"/>
          <w:color w:val="auto"/>
          <w:sz w:val="20"/>
          <w:szCs w:val="20"/>
          <w:highlight w:val="none"/>
          <w:shd w:val="clear" w:color="auto" w:fill="FFFFFF"/>
        </w:rPr>
        <w:t>μmol/L</w:t>
      </w:r>
      <w:r>
        <w:rPr>
          <w:rFonts w:hint="eastAsia" w:hAnsi="宋体"/>
          <w:color w:val="auto"/>
          <w:szCs w:val="21"/>
          <w:highlight w:val="none"/>
        </w:rPr>
        <w:t>；16～25</w:t>
      </w:r>
      <w:r>
        <w:rPr>
          <w:rFonts w:ascii="Arial" w:hAnsi="Arial" w:cs="Arial"/>
          <w:color w:val="auto"/>
          <w:sz w:val="20"/>
          <w:szCs w:val="20"/>
          <w:highlight w:val="none"/>
          <w:shd w:val="clear" w:color="auto" w:fill="FFFFFF"/>
        </w:rPr>
        <w:t>μmol/L</w:t>
      </w:r>
      <w:r>
        <w:rPr>
          <w:rFonts w:hint="eastAsia" w:hAnsi="宋体"/>
          <w:color w:val="auto"/>
          <w:szCs w:val="21"/>
          <w:highlight w:val="none"/>
        </w:rPr>
        <w:t>±1.5</w:t>
      </w:r>
      <w:r>
        <w:rPr>
          <w:rFonts w:ascii="Arial" w:hAnsi="Arial" w:cs="Arial"/>
          <w:color w:val="auto"/>
          <w:sz w:val="20"/>
          <w:szCs w:val="20"/>
          <w:highlight w:val="none"/>
          <w:shd w:val="clear" w:color="auto" w:fill="FFFFFF"/>
        </w:rPr>
        <w:t>μmol/L</w:t>
      </w:r>
    </w:p>
    <w:p>
      <w:pPr>
        <w:spacing w:line="460" w:lineRule="exact"/>
        <w:ind w:firstLine="420" w:firstLineChars="200"/>
        <w:rPr>
          <w:rFonts w:hAnsi="宋体"/>
          <w:color w:val="auto"/>
          <w:szCs w:val="21"/>
          <w:highlight w:val="none"/>
        </w:rPr>
      </w:pPr>
      <w:r>
        <w:rPr>
          <w:rFonts w:hint="eastAsia" w:hAnsi="宋体"/>
          <w:color w:val="auto"/>
          <w:szCs w:val="21"/>
          <w:highlight w:val="none"/>
        </w:rPr>
        <w:t>9、显示单位设定为µmol/l仪器  0.00-342±17</w:t>
      </w:r>
    </w:p>
    <w:p>
      <w:pPr>
        <w:spacing w:line="460" w:lineRule="exact"/>
        <w:ind w:firstLine="420" w:firstLineChars="200"/>
        <w:rPr>
          <w:rFonts w:hAnsi="宋体"/>
          <w:color w:val="auto"/>
          <w:szCs w:val="21"/>
          <w:highlight w:val="none"/>
        </w:rPr>
      </w:pPr>
      <w:r>
        <w:rPr>
          <w:rFonts w:hint="eastAsia" w:hAnsi="宋体"/>
          <w:color w:val="auto"/>
          <w:szCs w:val="21"/>
          <w:highlight w:val="none"/>
        </w:rPr>
        <w:t>10、仪器重量：</w:t>
      </w:r>
      <w:r>
        <w:rPr>
          <w:rFonts w:hint="eastAsia" w:ascii="Calibri" w:hAnsi="Calibri"/>
          <w:color w:val="auto"/>
          <w:sz w:val="28"/>
          <w:szCs w:val="32"/>
          <w:highlight w:val="none"/>
        </w:rPr>
        <w:t>≤</w:t>
      </w:r>
      <w:r>
        <w:rPr>
          <w:rFonts w:hint="eastAsia" w:hAnsi="宋体"/>
          <w:color w:val="auto"/>
          <w:szCs w:val="21"/>
          <w:highlight w:val="none"/>
        </w:rPr>
        <w:t>190g(含电池组)</w:t>
      </w:r>
    </w:p>
    <w:p>
      <w:pPr>
        <w:spacing w:line="460" w:lineRule="exact"/>
        <w:ind w:firstLine="420" w:firstLineChars="200"/>
        <w:rPr>
          <w:rFonts w:hAnsi="宋体"/>
          <w:color w:val="auto"/>
          <w:szCs w:val="21"/>
          <w:highlight w:val="none"/>
        </w:rPr>
      </w:pPr>
      <w:r>
        <w:rPr>
          <w:rFonts w:hint="eastAsia" w:hAnsi="宋体"/>
          <w:color w:val="auto"/>
          <w:szCs w:val="21"/>
          <w:highlight w:val="none"/>
        </w:rPr>
        <w:t>11、电源：镍氢电池组，直流4.8V，每充足一次电可连续检测</w:t>
      </w:r>
      <w:r>
        <w:rPr>
          <w:rFonts w:hint="eastAsia" w:ascii="Calibri" w:hAnsi="Calibri"/>
          <w:color w:val="auto"/>
          <w:sz w:val="28"/>
          <w:szCs w:val="32"/>
          <w:highlight w:val="none"/>
        </w:rPr>
        <w:t>≥</w:t>
      </w:r>
      <w:r>
        <w:rPr>
          <w:rFonts w:hint="eastAsia" w:hAnsi="宋体"/>
          <w:color w:val="auto"/>
          <w:szCs w:val="21"/>
          <w:highlight w:val="none"/>
        </w:rPr>
        <w:t>500次</w:t>
      </w:r>
    </w:p>
    <w:p>
      <w:pPr>
        <w:spacing w:line="460" w:lineRule="exact"/>
        <w:ind w:firstLine="420" w:firstLineChars="200"/>
        <w:rPr>
          <w:rFonts w:hAnsi="宋体"/>
          <w:color w:val="auto"/>
          <w:szCs w:val="21"/>
          <w:highlight w:val="none"/>
        </w:rPr>
      </w:pPr>
      <w:r>
        <w:rPr>
          <w:rFonts w:hint="eastAsia" w:hAnsi="宋体"/>
          <w:color w:val="auto"/>
          <w:szCs w:val="21"/>
          <w:highlight w:val="none"/>
        </w:rPr>
        <w:t>12、充电器：输入220V 50Hz.3W ；输出6.0V 0.3ADC</w:t>
      </w:r>
    </w:p>
    <w:p>
      <w:pPr>
        <w:spacing w:line="460" w:lineRule="exact"/>
        <w:ind w:firstLine="420" w:firstLineChars="200"/>
        <w:rPr>
          <w:rFonts w:hAnsi="宋体"/>
          <w:color w:val="auto"/>
          <w:szCs w:val="21"/>
          <w:highlight w:val="none"/>
        </w:rPr>
      </w:pPr>
      <w:r>
        <w:rPr>
          <w:rFonts w:hint="eastAsia" w:hAnsi="宋体"/>
          <w:color w:val="auto"/>
          <w:szCs w:val="21"/>
          <w:highlight w:val="none"/>
        </w:rPr>
        <w:t>13、校验板：对白色屏（“00”）显示00.0或00.1 ；对黄色屏（“20”）显示20.0±1</w:t>
      </w:r>
    </w:p>
    <w:p>
      <w:pPr>
        <w:spacing w:line="460" w:lineRule="exact"/>
        <w:ind w:firstLine="420" w:firstLineChars="200"/>
        <w:rPr>
          <w:rFonts w:hAnsi="宋体"/>
          <w:color w:val="auto"/>
          <w:szCs w:val="21"/>
          <w:highlight w:val="none"/>
        </w:rPr>
      </w:pPr>
      <w:r>
        <w:rPr>
          <w:rFonts w:hint="eastAsia" w:hAnsi="宋体"/>
          <w:color w:val="auto"/>
          <w:szCs w:val="21"/>
          <w:highlight w:val="none"/>
        </w:rPr>
        <w:t>14、充电器熔断器：250V 1A</w:t>
      </w:r>
    </w:p>
    <w:p>
      <w:pPr>
        <w:spacing w:line="460" w:lineRule="exact"/>
        <w:ind w:firstLine="420" w:firstLineChars="200"/>
        <w:rPr>
          <w:rFonts w:hAnsi="宋体"/>
          <w:color w:val="auto"/>
          <w:szCs w:val="21"/>
          <w:highlight w:val="none"/>
        </w:rPr>
      </w:pPr>
      <w:r>
        <w:rPr>
          <w:rFonts w:hint="eastAsia" w:hAnsi="宋体"/>
          <w:color w:val="auto"/>
          <w:szCs w:val="21"/>
          <w:highlight w:val="none"/>
        </w:rPr>
        <w:t>15、充电插孔：只需将充电器输出插头插入此插孔，即可对仪器内的充电电池组充电</w:t>
      </w:r>
    </w:p>
    <w:p>
      <w:pPr>
        <w:spacing w:line="460" w:lineRule="exact"/>
        <w:ind w:firstLine="420" w:firstLineChars="200"/>
        <w:rPr>
          <w:rFonts w:hAnsi="宋体"/>
          <w:color w:val="auto"/>
          <w:szCs w:val="21"/>
          <w:highlight w:val="none"/>
        </w:rPr>
      </w:pPr>
      <w:r>
        <w:rPr>
          <w:rFonts w:hint="eastAsia" w:hAnsi="宋体"/>
          <w:color w:val="auto"/>
          <w:szCs w:val="21"/>
          <w:highlight w:val="none"/>
        </w:rPr>
        <w:t>16、电源开关：拨盘上面的“|”和“O”分别表示电源的开启和关闭</w:t>
      </w:r>
    </w:p>
    <w:p>
      <w:pPr>
        <w:spacing w:line="460" w:lineRule="exact"/>
        <w:ind w:firstLine="420" w:firstLineChars="200"/>
        <w:rPr>
          <w:rFonts w:hAnsi="宋体"/>
          <w:color w:val="auto"/>
          <w:szCs w:val="21"/>
          <w:highlight w:val="none"/>
        </w:rPr>
      </w:pPr>
      <w:r>
        <w:rPr>
          <w:rFonts w:hint="eastAsia" w:hAnsi="宋体"/>
          <w:color w:val="auto"/>
          <w:szCs w:val="21"/>
          <w:highlight w:val="none"/>
        </w:rPr>
        <w:t>17、复探头：氙闪光灯发出的白光射出和经皮肤散射光的接受都要经过探头，探头端面要直接与检测部位紧密接触</w:t>
      </w:r>
    </w:p>
    <w:p>
      <w:pPr>
        <w:spacing w:line="460" w:lineRule="exact"/>
        <w:ind w:firstLine="420" w:firstLineChars="200"/>
        <w:rPr>
          <w:rFonts w:hAnsi="宋体"/>
          <w:color w:val="auto"/>
          <w:szCs w:val="21"/>
          <w:highlight w:val="none"/>
        </w:rPr>
      </w:pPr>
      <w:r>
        <w:rPr>
          <w:rFonts w:hint="eastAsia" w:hAnsi="宋体"/>
          <w:color w:val="auto"/>
          <w:szCs w:val="21"/>
          <w:highlight w:val="none"/>
        </w:rPr>
        <w:t>18、位按钮（RESET钮）：电源开关开启即可进行检测。欲进行第二次或多次检测，只需每次检测完毕后按复位按钮。此按钮按下后，上次显示的数据随即消失，并准备下一次检测。</w:t>
      </w:r>
    </w:p>
    <w:p>
      <w:pPr>
        <w:spacing w:line="460" w:lineRule="exact"/>
        <w:ind w:firstLine="420" w:firstLineChars="200"/>
        <w:rPr>
          <w:rFonts w:hAnsi="宋体"/>
          <w:color w:val="auto"/>
          <w:szCs w:val="21"/>
          <w:highlight w:val="none"/>
        </w:rPr>
      </w:pPr>
    </w:p>
    <w:p>
      <w:pPr>
        <w:tabs>
          <w:tab w:val="left" w:pos="7285"/>
        </w:tabs>
        <w:spacing w:line="0" w:lineRule="atLeast"/>
        <w:jc w:val="center"/>
        <w:rPr>
          <w:rFonts w:ascii="宋体" w:hAnsi="宋体" w:cs="宋体"/>
          <w:b/>
          <w:bCs/>
          <w:color w:val="auto"/>
          <w:sz w:val="24"/>
          <w:highlight w:val="none"/>
        </w:rPr>
      </w:pPr>
      <w:r>
        <w:rPr>
          <w:rFonts w:hint="eastAsia" w:ascii="宋体" w:hAnsi="宋体" w:cs="宋体"/>
          <w:b/>
          <w:bCs/>
          <w:color w:val="auto"/>
          <w:sz w:val="24"/>
          <w:highlight w:val="none"/>
        </w:rPr>
        <w:t>1-7多系统治疗仪（产后康复治疗仪）</w:t>
      </w:r>
    </w:p>
    <w:p>
      <w:pPr>
        <w:spacing w:line="460" w:lineRule="exact"/>
        <w:ind w:firstLine="420" w:firstLineChars="200"/>
        <w:rPr>
          <w:rFonts w:hAnsi="宋体"/>
          <w:color w:val="auto"/>
          <w:szCs w:val="21"/>
          <w:highlight w:val="none"/>
        </w:rPr>
      </w:pPr>
      <w:r>
        <w:rPr>
          <w:rFonts w:hint="eastAsia"/>
          <w:color w:val="auto"/>
          <w:szCs w:val="21"/>
          <w:highlight w:val="none"/>
        </w:rPr>
        <w:t>1</w:t>
      </w:r>
      <w:r>
        <w:rPr>
          <w:rFonts w:hint="eastAsia" w:hAnsi="宋体"/>
          <w:color w:val="auto"/>
          <w:szCs w:val="21"/>
          <w:highlight w:val="none"/>
        </w:rPr>
        <w:t>、输入功率：≤50VA；</w:t>
      </w:r>
    </w:p>
    <w:p>
      <w:pPr>
        <w:spacing w:line="460" w:lineRule="exact"/>
        <w:ind w:firstLine="420" w:firstLineChars="200"/>
        <w:rPr>
          <w:rFonts w:hAnsi="宋体"/>
          <w:color w:val="auto"/>
          <w:szCs w:val="21"/>
          <w:highlight w:val="none"/>
        </w:rPr>
      </w:pPr>
      <w:r>
        <w:rPr>
          <w:rFonts w:hint="eastAsia"/>
          <w:color w:val="auto"/>
          <w:szCs w:val="21"/>
          <w:highlight w:val="none"/>
        </w:rPr>
        <w:t>2</w:t>
      </w:r>
      <w:r>
        <w:rPr>
          <w:rFonts w:hint="eastAsia" w:hAnsi="宋体"/>
          <w:color w:val="auto"/>
          <w:szCs w:val="21"/>
          <w:highlight w:val="none"/>
        </w:rPr>
        <w:t>、输出频率：800HZ；</w:t>
      </w:r>
    </w:p>
    <w:p>
      <w:pPr>
        <w:spacing w:line="460" w:lineRule="exact"/>
        <w:ind w:firstLine="420" w:firstLineChars="200"/>
        <w:rPr>
          <w:rFonts w:hAnsi="宋体"/>
          <w:color w:val="auto"/>
          <w:szCs w:val="21"/>
          <w:highlight w:val="none"/>
        </w:rPr>
      </w:pPr>
      <w:r>
        <w:rPr>
          <w:rFonts w:hint="eastAsia"/>
          <w:color w:val="auto"/>
          <w:szCs w:val="21"/>
          <w:highlight w:val="none"/>
        </w:rPr>
        <w:t>3</w:t>
      </w:r>
      <w:r>
        <w:rPr>
          <w:rFonts w:hint="eastAsia" w:hAnsi="宋体"/>
          <w:color w:val="auto"/>
          <w:szCs w:val="21"/>
          <w:highlight w:val="none"/>
        </w:rPr>
        <w:t>、输出有效值：0-15V；</w:t>
      </w:r>
    </w:p>
    <w:p>
      <w:pPr>
        <w:spacing w:line="460" w:lineRule="exact"/>
        <w:ind w:firstLine="420" w:firstLineChars="200"/>
        <w:rPr>
          <w:rFonts w:hAnsi="宋体"/>
          <w:color w:val="auto"/>
          <w:szCs w:val="21"/>
          <w:highlight w:val="none"/>
        </w:rPr>
      </w:pPr>
      <w:r>
        <w:rPr>
          <w:rFonts w:hint="eastAsia"/>
          <w:color w:val="auto"/>
          <w:szCs w:val="21"/>
          <w:highlight w:val="none"/>
        </w:rPr>
        <w:t>4</w:t>
      </w:r>
      <w:r>
        <w:rPr>
          <w:rFonts w:hint="eastAsia" w:hAnsi="宋体"/>
          <w:color w:val="auto"/>
          <w:szCs w:val="21"/>
          <w:highlight w:val="none"/>
        </w:rPr>
        <w:t>、单脉冲最大输出功率：≤280mJ；</w:t>
      </w:r>
    </w:p>
    <w:p>
      <w:pPr>
        <w:spacing w:line="460" w:lineRule="exact"/>
        <w:ind w:firstLine="420" w:firstLineChars="200"/>
        <w:rPr>
          <w:rFonts w:hAnsi="宋体"/>
          <w:color w:val="auto"/>
          <w:szCs w:val="21"/>
          <w:highlight w:val="none"/>
        </w:rPr>
      </w:pPr>
      <w:r>
        <w:rPr>
          <w:rFonts w:hint="eastAsia"/>
          <w:color w:val="auto"/>
          <w:szCs w:val="21"/>
          <w:highlight w:val="none"/>
        </w:rPr>
        <w:t>5</w:t>
      </w:r>
      <w:r>
        <w:rPr>
          <w:rFonts w:hint="eastAsia" w:hAnsi="宋体"/>
          <w:color w:val="auto"/>
          <w:szCs w:val="21"/>
          <w:highlight w:val="none"/>
        </w:rPr>
        <w:t>、治疗仪开路测量时，具有开路保护功能，输出的电压峰值不大于480V</w:t>
      </w:r>
    </w:p>
    <w:p>
      <w:pPr>
        <w:spacing w:line="460" w:lineRule="exact"/>
        <w:ind w:firstLine="420" w:firstLineChars="200"/>
        <w:rPr>
          <w:rFonts w:hAnsi="宋体"/>
          <w:color w:val="auto"/>
          <w:szCs w:val="21"/>
          <w:highlight w:val="none"/>
        </w:rPr>
      </w:pPr>
      <w:r>
        <w:rPr>
          <w:rFonts w:hint="eastAsia" w:hAnsi="宋体"/>
          <w:color w:val="auto"/>
          <w:szCs w:val="21"/>
          <w:highlight w:val="none"/>
        </w:rPr>
        <w:t>6、专用治疗罩的电阻不大于400Ω；</w:t>
      </w:r>
    </w:p>
    <w:p>
      <w:pPr>
        <w:spacing w:line="460" w:lineRule="exact"/>
        <w:ind w:firstLine="420" w:firstLineChars="200"/>
        <w:rPr>
          <w:rFonts w:hAnsi="宋体"/>
          <w:color w:val="auto"/>
          <w:szCs w:val="21"/>
          <w:highlight w:val="none"/>
        </w:rPr>
      </w:pPr>
      <w:r>
        <w:rPr>
          <w:rFonts w:hint="eastAsia" w:hAnsi="宋体"/>
          <w:color w:val="auto"/>
          <w:szCs w:val="21"/>
          <w:highlight w:val="none"/>
        </w:rPr>
        <w:t>7、治疗输出≥3通道，各个通道分别设置，相互独立不受干扰；</w:t>
      </w:r>
    </w:p>
    <w:p>
      <w:pPr>
        <w:spacing w:line="460" w:lineRule="exact"/>
        <w:ind w:firstLine="420" w:firstLineChars="200"/>
        <w:rPr>
          <w:rFonts w:hAnsi="宋体"/>
          <w:color w:val="auto"/>
          <w:szCs w:val="21"/>
          <w:highlight w:val="none"/>
        </w:rPr>
      </w:pPr>
      <w:r>
        <w:rPr>
          <w:rFonts w:hint="eastAsia" w:hAnsi="宋体"/>
          <w:color w:val="auto"/>
          <w:szCs w:val="21"/>
          <w:highlight w:val="none"/>
        </w:rPr>
        <w:t>8、治疗时间：治疗时间至少为定时20min、30min，可调节，治疗后可倒数计数时，彩色屏分别显示治疗时间倒数，定时误差</w:t>
      </w:r>
      <w:r>
        <w:rPr>
          <w:rFonts w:hint="eastAsia" w:ascii="Calibri" w:hAnsi="Calibri"/>
          <w:color w:val="auto"/>
          <w:sz w:val="28"/>
          <w:szCs w:val="32"/>
          <w:highlight w:val="none"/>
        </w:rPr>
        <w:t>≤</w:t>
      </w:r>
      <w:r>
        <w:rPr>
          <w:rFonts w:hint="eastAsia" w:hAnsi="宋体"/>
          <w:color w:val="auto"/>
          <w:szCs w:val="21"/>
          <w:highlight w:val="none"/>
        </w:rPr>
        <w:t>0.25s；</w:t>
      </w:r>
    </w:p>
    <w:p>
      <w:pPr>
        <w:spacing w:line="460" w:lineRule="exact"/>
        <w:ind w:firstLine="420" w:firstLineChars="200"/>
        <w:rPr>
          <w:rFonts w:hAnsi="宋体"/>
          <w:color w:val="auto"/>
          <w:szCs w:val="21"/>
          <w:highlight w:val="none"/>
        </w:rPr>
      </w:pPr>
      <w:r>
        <w:rPr>
          <w:rFonts w:hint="eastAsia" w:hAnsi="宋体"/>
          <w:color w:val="auto"/>
          <w:szCs w:val="21"/>
          <w:highlight w:val="none"/>
        </w:rPr>
        <w:t>★</w:t>
      </w:r>
      <w:r>
        <w:rPr>
          <w:rFonts w:hint="eastAsia"/>
          <w:color w:val="auto"/>
          <w:szCs w:val="21"/>
          <w:highlight w:val="none"/>
        </w:rPr>
        <w:t>9</w:t>
      </w:r>
      <w:r>
        <w:rPr>
          <w:rFonts w:hint="eastAsia" w:hAnsi="宋体"/>
          <w:color w:val="auto"/>
          <w:szCs w:val="21"/>
          <w:highlight w:val="none"/>
        </w:rPr>
        <w:t>、显示：治疗项目和时间为彩色触摸屏显示，治疗项目显示实时化，触摸</w:t>
      </w:r>
      <w:r>
        <w:rPr>
          <w:rFonts w:hint="eastAsia" w:ascii="Calibri" w:hAnsi="Calibri"/>
          <w:color w:val="auto"/>
          <w:sz w:val="28"/>
          <w:szCs w:val="32"/>
          <w:highlight w:val="none"/>
        </w:rPr>
        <w:t>≥</w:t>
      </w:r>
      <w:r>
        <w:rPr>
          <w:rFonts w:hint="eastAsia" w:hAnsi="宋体"/>
          <w:color w:val="auto"/>
          <w:szCs w:val="21"/>
          <w:highlight w:val="none"/>
        </w:rPr>
        <w:t>10万次正常使用；</w:t>
      </w:r>
    </w:p>
    <w:p>
      <w:pPr>
        <w:spacing w:line="460" w:lineRule="exact"/>
        <w:ind w:firstLine="420" w:firstLineChars="200"/>
        <w:rPr>
          <w:rFonts w:hAnsi="宋体"/>
          <w:color w:val="auto"/>
          <w:szCs w:val="21"/>
          <w:highlight w:val="none"/>
        </w:rPr>
      </w:pPr>
      <w:r>
        <w:rPr>
          <w:rFonts w:hint="eastAsia" w:hAnsi="宋体"/>
          <w:color w:val="auto"/>
          <w:szCs w:val="21"/>
          <w:highlight w:val="none"/>
        </w:rPr>
        <w:t>1</w:t>
      </w:r>
      <w:r>
        <w:rPr>
          <w:rFonts w:hint="eastAsia"/>
          <w:color w:val="auto"/>
          <w:szCs w:val="21"/>
          <w:highlight w:val="none"/>
        </w:rPr>
        <w:t>0</w:t>
      </w:r>
      <w:r>
        <w:rPr>
          <w:rFonts w:hint="eastAsia" w:hAnsi="宋体"/>
          <w:color w:val="auto"/>
          <w:szCs w:val="21"/>
          <w:highlight w:val="none"/>
        </w:rPr>
        <w:t>、管理：可记数，显示屏开机显示；</w:t>
      </w:r>
    </w:p>
    <w:p>
      <w:pPr>
        <w:spacing w:line="460" w:lineRule="exact"/>
        <w:ind w:firstLine="420" w:firstLineChars="200"/>
        <w:rPr>
          <w:rFonts w:hAnsi="宋体"/>
          <w:color w:val="auto"/>
          <w:szCs w:val="21"/>
          <w:highlight w:val="none"/>
        </w:rPr>
      </w:pPr>
      <w:r>
        <w:rPr>
          <w:rFonts w:hint="eastAsia" w:hAnsi="宋体"/>
          <w:color w:val="auto"/>
          <w:szCs w:val="21"/>
          <w:highlight w:val="none"/>
        </w:rPr>
        <w:t>★1</w:t>
      </w:r>
      <w:r>
        <w:rPr>
          <w:rFonts w:hint="eastAsia"/>
          <w:color w:val="auto"/>
          <w:szCs w:val="21"/>
          <w:highlight w:val="none"/>
        </w:rPr>
        <w:t>1</w:t>
      </w:r>
      <w:r>
        <w:rPr>
          <w:rFonts w:hint="eastAsia" w:hAnsi="宋体"/>
          <w:color w:val="auto"/>
          <w:szCs w:val="21"/>
          <w:highlight w:val="none"/>
        </w:rPr>
        <w:t>、须上翻盖屏保外型，可以清晰屏显，防止刮花；</w:t>
      </w:r>
    </w:p>
    <w:p>
      <w:pPr>
        <w:spacing w:line="460" w:lineRule="exact"/>
        <w:ind w:firstLine="420" w:firstLineChars="200"/>
        <w:rPr>
          <w:rFonts w:hAnsi="宋体"/>
          <w:color w:val="auto"/>
          <w:szCs w:val="21"/>
          <w:highlight w:val="none"/>
        </w:rPr>
      </w:pPr>
      <w:r>
        <w:rPr>
          <w:rFonts w:hint="eastAsia"/>
          <w:color w:val="auto"/>
          <w:szCs w:val="21"/>
          <w:highlight w:val="none"/>
        </w:rPr>
        <w:t>12</w:t>
      </w:r>
      <w:r>
        <w:rPr>
          <w:rFonts w:hint="eastAsia" w:hAnsi="宋体"/>
          <w:color w:val="auto"/>
          <w:szCs w:val="21"/>
          <w:highlight w:val="none"/>
        </w:rPr>
        <w:t>、配置：</w:t>
      </w:r>
    </w:p>
    <w:p>
      <w:pPr>
        <w:spacing w:line="460" w:lineRule="exact"/>
        <w:ind w:firstLine="420" w:firstLineChars="200"/>
        <w:rPr>
          <w:rFonts w:hAnsi="宋体"/>
          <w:color w:val="auto"/>
          <w:szCs w:val="21"/>
          <w:highlight w:val="none"/>
        </w:rPr>
      </w:pPr>
      <w:r>
        <w:rPr>
          <w:rFonts w:hint="eastAsia" w:hAnsi="宋体"/>
          <w:color w:val="auto"/>
          <w:szCs w:val="21"/>
          <w:highlight w:val="none"/>
        </w:rPr>
        <w:t>12.1产后康复治疗仪主机 1台</w:t>
      </w:r>
    </w:p>
    <w:p>
      <w:pPr>
        <w:spacing w:line="460" w:lineRule="exact"/>
        <w:ind w:firstLine="420" w:firstLineChars="200"/>
        <w:rPr>
          <w:rFonts w:hAnsi="宋体"/>
          <w:color w:val="auto"/>
          <w:szCs w:val="21"/>
          <w:highlight w:val="none"/>
        </w:rPr>
      </w:pPr>
      <w:r>
        <w:rPr>
          <w:rFonts w:hint="eastAsia" w:hAnsi="宋体"/>
          <w:color w:val="auto"/>
          <w:szCs w:val="21"/>
          <w:highlight w:val="none"/>
        </w:rPr>
        <w:t>12.2乳腺治疗罩2套</w:t>
      </w:r>
    </w:p>
    <w:p>
      <w:pPr>
        <w:spacing w:line="460" w:lineRule="exact"/>
        <w:ind w:firstLine="420" w:firstLineChars="200"/>
        <w:rPr>
          <w:rFonts w:hAnsi="宋体"/>
          <w:color w:val="auto"/>
          <w:szCs w:val="21"/>
          <w:highlight w:val="none"/>
        </w:rPr>
      </w:pPr>
      <w:r>
        <w:rPr>
          <w:rFonts w:hint="eastAsia" w:hAnsi="宋体"/>
          <w:color w:val="auto"/>
          <w:szCs w:val="21"/>
          <w:highlight w:val="none"/>
        </w:rPr>
        <w:t>12.3圆形治疗片3副</w:t>
      </w:r>
    </w:p>
    <w:p>
      <w:pPr>
        <w:spacing w:line="460" w:lineRule="exact"/>
        <w:ind w:firstLine="420" w:firstLineChars="200"/>
        <w:rPr>
          <w:rFonts w:hAnsi="宋体"/>
          <w:color w:val="auto"/>
          <w:szCs w:val="21"/>
          <w:highlight w:val="none"/>
        </w:rPr>
      </w:pPr>
      <w:r>
        <w:rPr>
          <w:rFonts w:hint="eastAsia" w:hAnsi="宋体"/>
          <w:color w:val="auto"/>
          <w:szCs w:val="21"/>
          <w:highlight w:val="none"/>
        </w:rPr>
        <w:t>12.4腹带3条</w:t>
      </w:r>
    </w:p>
    <w:p>
      <w:pPr>
        <w:spacing w:line="460" w:lineRule="exact"/>
        <w:ind w:left="420" w:leftChars="200"/>
        <w:jc w:val="center"/>
        <w:rPr>
          <w:b/>
          <w:bCs/>
          <w:color w:val="auto"/>
          <w:sz w:val="24"/>
          <w:highlight w:val="none"/>
        </w:rPr>
      </w:pPr>
    </w:p>
    <w:p>
      <w:pPr>
        <w:spacing w:line="460" w:lineRule="exact"/>
        <w:ind w:left="420" w:leftChars="200"/>
        <w:jc w:val="center"/>
        <w:outlineLvl w:val="1"/>
        <w:rPr>
          <w:rFonts w:hAnsi="宋体"/>
          <w:b/>
          <w:bCs/>
          <w:color w:val="auto"/>
          <w:sz w:val="24"/>
          <w:highlight w:val="none"/>
        </w:rPr>
      </w:pPr>
      <w:r>
        <w:rPr>
          <w:rFonts w:hint="eastAsia"/>
          <w:b/>
          <w:bCs/>
          <w:color w:val="auto"/>
          <w:sz w:val="24"/>
          <w:highlight w:val="none"/>
        </w:rPr>
        <w:t>第二包</w:t>
      </w:r>
    </w:p>
    <w:p>
      <w:pPr>
        <w:spacing w:line="460" w:lineRule="exact"/>
        <w:jc w:val="center"/>
        <w:rPr>
          <w:rFonts w:hAnsi="宋体"/>
          <w:b/>
          <w:bCs/>
          <w:color w:val="auto"/>
          <w:sz w:val="24"/>
          <w:highlight w:val="none"/>
        </w:rPr>
      </w:pPr>
      <w:r>
        <w:rPr>
          <w:rFonts w:hint="eastAsia" w:hAnsi="宋体"/>
          <w:b/>
          <w:bCs/>
          <w:color w:val="auto"/>
          <w:sz w:val="24"/>
          <w:highlight w:val="none"/>
        </w:rPr>
        <w:t>2-1 便携式吸痰器</w:t>
      </w:r>
    </w:p>
    <w:p>
      <w:pPr>
        <w:spacing w:line="460" w:lineRule="exact"/>
        <w:ind w:firstLine="420" w:firstLineChars="200"/>
        <w:rPr>
          <w:rFonts w:hAnsi="宋体"/>
          <w:color w:val="auto"/>
          <w:szCs w:val="21"/>
          <w:highlight w:val="none"/>
        </w:rPr>
      </w:pPr>
      <w:r>
        <w:rPr>
          <w:rFonts w:hint="eastAsia" w:hAnsi="宋体"/>
          <w:color w:val="auto"/>
          <w:szCs w:val="21"/>
          <w:highlight w:val="none"/>
        </w:rPr>
        <w:t>1、由活塞泵、外壳、贮液瓶、真空表、空气过滤器、吸引管道等组成。</w:t>
      </w:r>
    </w:p>
    <w:p>
      <w:pPr>
        <w:spacing w:line="460" w:lineRule="exact"/>
        <w:ind w:firstLine="420" w:firstLineChars="200"/>
        <w:rPr>
          <w:rFonts w:hAnsi="宋体"/>
          <w:color w:val="auto"/>
          <w:szCs w:val="21"/>
          <w:highlight w:val="none"/>
        </w:rPr>
      </w:pPr>
      <w:r>
        <w:rPr>
          <w:rFonts w:hint="eastAsia" w:hAnsi="宋体"/>
          <w:color w:val="auto"/>
          <w:szCs w:val="21"/>
          <w:highlight w:val="none"/>
        </w:rPr>
        <w:t>2、性能指标：</w:t>
      </w:r>
    </w:p>
    <w:p>
      <w:pPr>
        <w:spacing w:line="460" w:lineRule="exact"/>
        <w:ind w:firstLine="420" w:firstLineChars="200"/>
        <w:rPr>
          <w:rFonts w:hAnsi="宋体"/>
          <w:color w:val="auto"/>
          <w:szCs w:val="21"/>
          <w:highlight w:val="none"/>
        </w:rPr>
      </w:pPr>
      <w:r>
        <w:rPr>
          <w:rFonts w:hint="eastAsia" w:hAnsi="宋体"/>
          <w:color w:val="auto"/>
          <w:szCs w:val="21"/>
          <w:highlight w:val="none"/>
        </w:rPr>
        <w:t>2.1环境温度： 5℃～35℃；</w:t>
      </w:r>
    </w:p>
    <w:p>
      <w:pPr>
        <w:spacing w:line="460" w:lineRule="exact"/>
        <w:ind w:firstLine="420" w:firstLineChars="200"/>
        <w:rPr>
          <w:rFonts w:hAnsi="宋体"/>
          <w:color w:val="auto"/>
          <w:szCs w:val="21"/>
          <w:highlight w:val="none"/>
        </w:rPr>
      </w:pPr>
      <w:r>
        <w:rPr>
          <w:rFonts w:hint="eastAsia" w:hAnsi="宋体"/>
          <w:color w:val="auto"/>
          <w:szCs w:val="21"/>
          <w:highlight w:val="none"/>
        </w:rPr>
        <w:t>2.2相对湿度：30%～80%；</w:t>
      </w:r>
    </w:p>
    <w:p>
      <w:pPr>
        <w:spacing w:line="460" w:lineRule="exact"/>
        <w:ind w:firstLine="420" w:firstLineChars="200"/>
        <w:rPr>
          <w:rFonts w:hAnsi="宋体"/>
          <w:color w:val="auto"/>
          <w:szCs w:val="21"/>
          <w:highlight w:val="none"/>
        </w:rPr>
      </w:pPr>
      <w:r>
        <w:rPr>
          <w:rFonts w:hint="eastAsia" w:hAnsi="宋体"/>
          <w:color w:val="auto"/>
          <w:szCs w:val="21"/>
          <w:highlight w:val="none"/>
        </w:rPr>
        <w:t>2.3大气压力：860hPa～1060hPa；</w:t>
      </w:r>
    </w:p>
    <w:p>
      <w:pPr>
        <w:spacing w:line="460" w:lineRule="exact"/>
        <w:ind w:firstLine="420" w:firstLineChars="200"/>
        <w:rPr>
          <w:rFonts w:hAnsi="宋体"/>
          <w:color w:val="auto"/>
          <w:szCs w:val="21"/>
          <w:highlight w:val="none"/>
        </w:rPr>
      </w:pPr>
      <w:r>
        <w:rPr>
          <w:rFonts w:hint="eastAsia" w:hAnsi="宋体"/>
          <w:color w:val="auto"/>
          <w:szCs w:val="21"/>
          <w:highlight w:val="none"/>
        </w:rPr>
        <w:t>2.4电源电压：220V士 10%；</w:t>
      </w:r>
    </w:p>
    <w:p>
      <w:pPr>
        <w:spacing w:line="460" w:lineRule="exact"/>
        <w:ind w:firstLine="420" w:firstLineChars="200"/>
        <w:rPr>
          <w:rFonts w:hAnsi="宋体"/>
          <w:color w:val="auto"/>
          <w:szCs w:val="21"/>
          <w:highlight w:val="none"/>
        </w:rPr>
      </w:pPr>
      <w:r>
        <w:rPr>
          <w:rFonts w:hint="eastAsia" w:hAnsi="宋体"/>
          <w:color w:val="auto"/>
          <w:szCs w:val="21"/>
          <w:highlight w:val="none"/>
        </w:rPr>
        <w:t>2.5频率：50HZ+2%；</w:t>
      </w:r>
    </w:p>
    <w:p>
      <w:pPr>
        <w:spacing w:line="460" w:lineRule="exact"/>
        <w:ind w:firstLine="420" w:firstLineChars="200"/>
        <w:rPr>
          <w:rFonts w:hAnsi="宋体"/>
          <w:color w:val="auto"/>
          <w:szCs w:val="21"/>
          <w:highlight w:val="none"/>
        </w:rPr>
      </w:pPr>
      <w:r>
        <w:rPr>
          <w:rFonts w:hint="eastAsia" w:hAnsi="宋体"/>
          <w:color w:val="auto"/>
          <w:szCs w:val="21"/>
          <w:highlight w:val="none"/>
        </w:rPr>
        <w:t>2.6噪声≤65dB。</w:t>
      </w:r>
    </w:p>
    <w:p>
      <w:pPr>
        <w:spacing w:line="460" w:lineRule="exact"/>
        <w:ind w:firstLine="420" w:firstLineChars="200"/>
        <w:rPr>
          <w:rFonts w:hAnsi="宋体"/>
          <w:color w:val="auto"/>
          <w:szCs w:val="21"/>
          <w:highlight w:val="none"/>
        </w:rPr>
      </w:pPr>
      <w:r>
        <w:rPr>
          <w:rFonts w:hint="eastAsia" w:hAnsi="宋体"/>
          <w:color w:val="auto"/>
          <w:szCs w:val="21"/>
          <w:highlight w:val="none"/>
        </w:rPr>
        <w:t>3、供吸脓血、痰粘稠液体用</w:t>
      </w:r>
    </w:p>
    <w:p>
      <w:pPr>
        <w:spacing w:line="460" w:lineRule="exact"/>
        <w:jc w:val="center"/>
        <w:rPr>
          <w:rFonts w:hAnsi="宋体"/>
          <w:b/>
          <w:bCs/>
          <w:color w:val="auto"/>
          <w:sz w:val="24"/>
          <w:highlight w:val="none"/>
        </w:rPr>
      </w:pPr>
    </w:p>
    <w:p>
      <w:pPr>
        <w:spacing w:line="460" w:lineRule="exact"/>
        <w:jc w:val="center"/>
        <w:rPr>
          <w:rFonts w:hAnsi="宋体"/>
          <w:b/>
          <w:bCs/>
          <w:color w:val="auto"/>
          <w:sz w:val="24"/>
          <w:highlight w:val="none"/>
        </w:rPr>
      </w:pPr>
      <w:r>
        <w:rPr>
          <w:rFonts w:hint="eastAsia" w:hAnsi="宋体"/>
          <w:b/>
          <w:bCs/>
          <w:color w:val="auto"/>
          <w:sz w:val="24"/>
          <w:highlight w:val="none"/>
        </w:rPr>
        <w:t>2-2 电动吸引器</w:t>
      </w:r>
    </w:p>
    <w:p>
      <w:pPr>
        <w:spacing w:line="460" w:lineRule="exact"/>
        <w:ind w:firstLine="420" w:firstLineChars="200"/>
        <w:rPr>
          <w:rFonts w:hAnsi="宋体"/>
          <w:color w:val="auto"/>
          <w:szCs w:val="21"/>
          <w:highlight w:val="none"/>
        </w:rPr>
      </w:pPr>
      <w:r>
        <w:rPr>
          <w:rFonts w:hint="eastAsia" w:hAnsi="宋体"/>
          <w:color w:val="auto"/>
          <w:szCs w:val="21"/>
          <w:highlight w:val="none"/>
        </w:rPr>
        <w:t>1、电动吸引器由活塞泵、真空表、负压调节阀、空气过滤器、贮液瓶、吸引管道、脚踏开关组成。</w:t>
      </w:r>
    </w:p>
    <w:p>
      <w:pPr>
        <w:spacing w:line="460" w:lineRule="exact"/>
        <w:ind w:firstLine="420" w:firstLineChars="200"/>
        <w:rPr>
          <w:rFonts w:hAnsi="宋体"/>
          <w:color w:val="auto"/>
          <w:szCs w:val="21"/>
          <w:highlight w:val="none"/>
        </w:rPr>
      </w:pPr>
      <w:r>
        <w:rPr>
          <w:rFonts w:hint="eastAsia" w:hAnsi="宋体"/>
          <w:color w:val="auto"/>
          <w:szCs w:val="21"/>
          <w:highlight w:val="none"/>
        </w:rPr>
        <w:t>2、性能指标：</w:t>
      </w:r>
    </w:p>
    <w:p>
      <w:pPr>
        <w:spacing w:line="460" w:lineRule="exact"/>
        <w:ind w:firstLine="420" w:firstLineChars="200"/>
        <w:rPr>
          <w:rFonts w:hAnsi="宋体"/>
          <w:color w:val="auto"/>
          <w:szCs w:val="21"/>
          <w:highlight w:val="none"/>
        </w:rPr>
      </w:pPr>
      <w:r>
        <w:rPr>
          <w:rFonts w:hint="eastAsia" w:hAnsi="宋体"/>
          <w:color w:val="auto"/>
          <w:szCs w:val="21"/>
          <w:highlight w:val="none"/>
        </w:rPr>
        <w:t>2.1抽气速率：≥20L/min</w:t>
      </w:r>
    </w:p>
    <w:p>
      <w:pPr>
        <w:spacing w:line="460" w:lineRule="exact"/>
        <w:ind w:firstLine="420" w:firstLineChars="200"/>
        <w:rPr>
          <w:rFonts w:hAnsi="宋体"/>
          <w:color w:val="auto"/>
          <w:szCs w:val="21"/>
          <w:highlight w:val="none"/>
        </w:rPr>
      </w:pPr>
      <w:r>
        <w:rPr>
          <w:rFonts w:hint="eastAsia" w:hAnsi="宋体"/>
          <w:color w:val="auto"/>
          <w:szCs w:val="21"/>
          <w:highlight w:val="none"/>
        </w:rPr>
        <w:t>2.2贮液瓶：2500ml/只，2只</w:t>
      </w:r>
    </w:p>
    <w:p>
      <w:pPr>
        <w:spacing w:line="460" w:lineRule="exact"/>
        <w:ind w:firstLine="420" w:firstLineChars="200"/>
        <w:rPr>
          <w:rFonts w:hAnsi="宋体"/>
          <w:color w:val="auto"/>
          <w:szCs w:val="21"/>
          <w:highlight w:val="none"/>
        </w:rPr>
      </w:pPr>
      <w:r>
        <w:rPr>
          <w:rFonts w:hint="eastAsia" w:hAnsi="宋体"/>
          <w:color w:val="auto"/>
          <w:szCs w:val="21"/>
          <w:highlight w:val="none"/>
        </w:rPr>
        <w:t>2.3吸引泵：活塞泵；</w:t>
      </w:r>
    </w:p>
    <w:p>
      <w:pPr>
        <w:spacing w:line="460" w:lineRule="exact"/>
        <w:ind w:firstLine="420" w:firstLineChars="200"/>
        <w:rPr>
          <w:rFonts w:hAnsi="宋体"/>
          <w:color w:val="auto"/>
          <w:szCs w:val="21"/>
          <w:highlight w:val="none"/>
        </w:rPr>
      </w:pPr>
      <w:r>
        <w:rPr>
          <w:rFonts w:hint="eastAsia" w:hAnsi="宋体"/>
          <w:color w:val="auto"/>
          <w:szCs w:val="21"/>
          <w:highlight w:val="none"/>
        </w:rPr>
        <w:t>2.4电源电压：220V士 22V；50Hz士1Hz</w:t>
      </w:r>
    </w:p>
    <w:p>
      <w:pPr>
        <w:spacing w:line="460" w:lineRule="exact"/>
        <w:ind w:firstLine="420" w:firstLineChars="200"/>
        <w:rPr>
          <w:rFonts w:hAnsi="宋体"/>
          <w:color w:val="auto"/>
          <w:szCs w:val="21"/>
          <w:highlight w:val="none"/>
        </w:rPr>
      </w:pPr>
      <w:r>
        <w:rPr>
          <w:rFonts w:hint="eastAsia" w:hAnsi="宋体"/>
          <w:color w:val="auto"/>
          <w:szCs w:val="21"/>
          <w:highlight w:val="none"/>
        </w:rPr>
        <w:t>2.5电机功率：120VA</w:t>
      </w:r>
    </w:p>
    <w:p>
      <w:pPr>
        <w:spacing w:line="460" w:lineRule="exact"/>
        <w:ind w:firstLine="420" w:firstLineChars="200"/>
        <w:rPr>
          <w:rFonts w:hAnsi="宋体"/>
          <w:color w:val="auto"/>
          <w:szCs w:val="21"/>
          <w:highlight w:val="none"/>
        </w:rPr>
      </w:pPr>
      <w:r>
        <w:rPr>
          <w:rFonts w:hint="eastAsia" w:hAnsi="宋体"/>
          <w:color w:val="auto"/>
          <w:szCs w:val="21"/>
          <w:highlight w:val="none"/>
        </w:rPr>
        <w:t>2.6噪音≤60dB（A）</w:t>
      </w:r>
    </w:p>
    <w:p>
      <w:pPr>
        <w:spacing w:line="460" w:lineRule="exact"/>
        <w:ind w:firstLine="420" w:firstLineChars="200"/>
        <w:rPr>
          <w:rFonts w:hAnsi="宋体"/>
          <w:color w:val="auto"/>
          <w:szCs w:val="21"/>
          <w:highlight w:val="none"/>
        </w:rPr>
      </w:pPr>
      <w:r>
        <w:rPr>
          <w:rFonts w:hint="eastAsia" w:hAnsi="宋体"/>
          <w:color w:val="auto"/>
          <w:szCs w:val="21"/>
          <w:highlight w:val="none"/>
        </w:rPr>
        <w:t>3、产品特点：</w:t>
      </w:r>
    </w:p>
    <w:p>
      <w:pPr>
        <w:spacing w:line="460" w:lineRule="exact"/>
        <w:ind w:firstLine="420" w:firstLineChars="200"/>
        <w:rPr>
          <w:rFonts w:hAnsi="宋体"/>
          <w:color w:val="auto"/>
          <w:szCs w:val="21"/>
          <w:highlight w:val="none"/>
        </w:rPr>
      </w:pPr>
      <w:r>
        <w:rPr>
          <w:rFonts w:hint="eastAsia" w:hAnsi="宋体"/>
          <w:color w:val="auto"/>
          <w:szCs w:val="21"/>
          <w:highlight w:val="none"/>
        </w:rPr>
        <w:t>3.1采用无油润滑活塞泵，无油污污染</w:t>
      </w:r>
    </w:p>
    <w:p>
      <w:pPr>
        <w:spacing w:line="460" w:lineRule="exact"/>
        <w:ind w:firstLine="420" w:firstLineChars="200"/>
        <w:rPr>
          <w:rFonts w:hAnsi="宋体"/>
          <w:color w:val="auto"/>
          <w:szCs w:val="21"/>
          <w:highlight w:val="none"/>
        </w:rPr>
      </w:pPr>
      <w:r>
        <w:rPr>
          <w:rFonts w:hint="eastAsia" w:hAnsi="宋体"/>
          <w:color w:val="auto"/>
          <w:szCs w:val="21"/>
          <w:highlight w:val="none"/>
        </w:rPr>
        <w:t>3.2全塑面板，防水蚀性好</w:t>
      </w:r>
    </w:p>
    <w:p>
      <w:pPr>
        <w:spacing w:line="460" w:lineRule="exact"/>
        <w:ind w:firstLine="420" w:firstLineChars="200"/>
        <w:rPr>
          <w:rFonts w:hAnsi="宋体"/>
          <w:color w:val="auto"/>
          <w:szCs w:val="21"/>
          <w:highlight w:val="none"/>
        </w:rPr>
      </w:pPr>
      <w:r>
        <w:rPr>
          <w:rFonts w:hint="eastAsia" w:hAnsi="宋体"/>
          <w:color w:val="auto"/>
          <w:szCs w:val="21"/>
          <w:highlight w:val="none"/>
        </w:rPr>
        <w:t>3.3低噪声、大流量，手动、脚踏开关任意选用，操作方便</w:t>
      </w:r>
    </w:p>
    <w:p>
      <w:pPr>
        <w:spacing w:line="460" w:lineRule="exact"/>
        <w:ind w:firstLine="420" w:firstLineChars="200"/>
        <w:rPr>
          <w:rFonts w:hAnsi="宋体"/>
          <w:color w:val="auto"/>
          <w:szCs w:val="21"/>
          <w:highlight w:val="none"/>
        </w:rPr>
      </w:pPr>
      <w:r>
        <w:rPr>
          <w:rFonts w:hint="eastAsia" w:hAnsi="宋体"/>
          <w:color w:val="auto"/>
          <w:szCs w:val="21"/>
          <w:highlight w:val="none"/>
        </w:rPr>
        <w:t>3.4设有溢流装置，防止液体流入泵内，有效控制泵的锈蚀</w:t>
      </w:r>
    </w:p>
    <w:p>
      <w:pPr>
        <w:spacing w:line="460" w:lineRule="exact"/>
        <w:ind w:firstLine="420" w:firstLineChars="200"/>
        <w:rPr>
          <w:rFonts w:hAnsi="宋体"/>
          <w:color w:val="auto"/>
          <w:szCs w:val="21"/>
          <w:highlight w:val="none"/>
        </w:rPr>
      </w:pPr>
      <w:r>
        <w:rPr>
          <w:rFonts w:hint="eastAsia" w:hAnsi="宋体"/>
          <w:color w:val="auto"/>
          <w:szCs w:val="21"/>
          <w:highlight w:val="none"/>
        </w:rPr>
        <w:t>3.5负压调节系统可根据需要作无级调压</w:t>
      </w:r>
    </w:p>
    <w:p>
      <w:pPr>
        <w:spacing w:line="460" w:lineRule="exact"/>
        <w:jc w:val="center"/>
        <w:rPr>
          <w:rFonts w:hAnsi="宋体"/>
          <w:b/>
          <w:bCs/>
          <w:color w:val="auto"/>
          <w:sz w:val="24"/>
          <w:highlight w:val="none"/>
        </w:rPr>
      </w:pPr>
    </w:p>
    <w:p>
      <w:pPr>
        <w:spacing w:line="460" w:lineRule="exact"/>
        <w:jc w:val="center"/>
        <w:rPr>
          <w:rFonts w:hAnsi="宋体"/>
          <w:b/>
          <w:bCs/>
          <w:color w:val="auto"/>
          <w:sz w:val="24"/>
          <w:highlight w:val="none"/>
        </w:rPr>
      </w:pPr>
      <w:r>
        <w:rPr>
          <w:rFonts w:hint="eastAsia" w:hAnsi="宋体"/>
          <w:b/>
          <w:bCs/>
          <w:color w:val="auto"/>
          <w:sz w:val="24"/>
          <w:highlight w:val="none"/>
        </w:rPr>
        <w:t>2-3 麻醉咽喉镜1</w:t>
      </w:r>
    </w:p>
    <w:p>
      <w:pPr>
        <w:spacing w:line="460" w:lineRule="exact"/>
        <w:ind w:firstLine="420" w:firstLineChars="200"/>
        <w:rPr>
          <w:rFonts w:hAnsi="宋体"/>
          <w:color w:val="auto"/>
          <w:szCs w:val="21"/>
          <w:highlight w:val="none"/>
        </w:rPr>
      </w:pPr>
      <w:r>
        <w:rPr>
          <w:rFonts w:hint="eastAsia" w:hAnsi="宋体"/>
          <w:color w:val="auto"/>
          <w:szCs w:val="21"/>
          <w:highlight w:val="none"/>
        </w:rPr>
        <w:t>1、采用可拆卸光纤管设计。</w:t>
      </w:r>
    </w:p>
    <w:p>
      <w:pPr>
        <w:spacing w:line="460" w:lineRule="exact"/>
        <w:ind w:firstLine="420" w:firstLineChars="200"/>
        <w:rPr>
          <w:rFonts w:hAnsi="宋体"/>
          <w:color w:val="auto"/>
          <w:szCs w:val="21"/>
          <w:highlight w:val="none"/>
        </w:rPr>
      </w:pPr>
      <w:r>
        <w:rPr>
          <w:rFonts w:hint="eastAsia" w:hAnsi="宋体"/>
          <w:color w:val="auto"/>
          <w:szCs w:val="21"/>
          <w:highlight w:val="none"/>
        </w:rPr>
        <w:t>2、手柄采用网纹设计。</w:t>
      </w:r>
    </w:p>
    <w:p>
      <w:pPr>
        <w:spacing w:line="460" w:lineRule="exact"/>
        <w:ind w:firstLine="420" w:firstLineChars="200"/>
        <w:rPr>
          <w:rFonts w:hAnsi="宋体"/>
          <w:color w:val="auto"/>
          <w:szCs w:val="21"/>
          <w:highlight w:val="none"/>
        </w:rPr>
      </w:pPr>
      <w:r>
        <w:rPr>
          <w:rFonts w:hint="eastAsia" w:hAnsi="宋体"/>
          <w:color w:val="auto"/>
          <w:szCs w:val="21"/>
          <w:highlight w:val="none"/>
        </w:rPr>
        <w:t>3、光纤照明采用高亮度LED灯泡，灯泡在手柄上（患者无危险）。</w:t>
      </w:r>
    </w:p>
    <w:p>
      <w:pPr>
        <w:spacing w:line="460" w:lineRule="exact"/>
        <w:ind w:firstLine="420" w:firstLineChars="200"/>
        <w:rPr>
          <w:rFonts w:hAnsi="宋体"/>
          <w:color w:val="auto"/>
          <w:szCs w:val="21"/>
          <w:highlight w:val="none"/>
        </w:rPr>
      </w:pPr>
      <w:r>
        <w:rPr>
          <w:rFonts w:hint="eastAsia" w:hAnsi="宋体"/>
          <w:color w:val="auto"/>
          <w:szCs w:val="21"/>
          <w:highlight w:val="none"/>
        </w:rPr>
        <w:t>4、内嵌式光纤喉镜片：喉镜片表面亚光处理，采用304系列医用不锈钢制造。</w:t>
      </w:r>
    </w:p>
    <w:p>
      <w:pPr>
        <w:spacing w:line="460" w:lineRule="exact"/>
        <w:ind w:firstLine="420" w:firstLineChars="200"/>
        <w:rPr>
          <w:rFonts w:hAnsi="宋体"/>
          <w:color w:val="auto"/>
          <w:szCs w:val="21"/>
          <w:highlight w:val="none"/>
        </w:rPr>
      </w:pPr>
      <w:r>
        <w:rPr>
          <w:rFonts w:hint="eastAsia" w:hAnsi="宋体"/>
          <w:color w:val="auto"/>
          <w:szCs w:val="21"/>
          <w:highlight w:val="none"/>
        </w:rPr>
        <w:t>5、光纤照明度：≥5000LUX。</w:t>
      </w:r>
    </w:p>
    <w:p>
      <w:pPr>
        <w:spacing w:line="460" w:lineRule="exact"/>
        <w:ind w:firstLine="420" w:firstLineChars="200"/>
        <w:rPr>
          <w:rFonts w:hAnsi="宋体"/>
          <w:color w:val="auto"/>
          <w:szCs w:val="21"/>
          <w:highlight w:val="none"/>
        </w:rPr>
      </w:pPr>
      <w:r>
        <w:rPr>
          <w:rFonts w:hint="eastAsia" w:hAnsi="宋体"/>
          <w:color w:val="auto"/>
          <w:szCs w:val="21"/>
          <w:highlight w:val="none"/>
        </w:rPr>
        <w:t>6、至少有六种叶片可供选择：</w:t>
      </w:r>
    </w:p>
    <w:p>
      <w:pPr>
        <w:spacing w:line="460" w:lineRule="exact"/>
        <w:ind w:firstLine="420" w:firstLineChars="200"/>
        <w:rPr>
          <w:rFonts w:hAnsi="宋体"/>
          <w:color w:val="auto"/>
          <w:szCs w:val="21"/>
          <w:highlight w:val="none"/>
        </w:rPr>
      </w:pPr>
      <w:r>
        <w:rPr>
          <w:rFonts w:hint="eastAsia" w:hAnsi="宋体"/>
          <w:color w:val="auto"/>
          <w:szCs w:val="21"/>
          <w:highlight w:val="none"/>
        </w:rPr>
        <w:t>00号-新生儿（41×10.5×11mm</w:t>
      </w:r>
      <w:r>
        <w:rPr>
          <w:rFonts w:hAnsi="宋体"/>
          <w:color w:val="auto"/>
          <w:szCs w:val="21"/>
          <w:highlight w:val="none"/>
          <w:vertAlign w:val="superscript"/>
        </w:rPr>
        <w:t>3</w:t>
      </w:r>
      <w:r>
        <w:rPr>
          <w:rFonts w:hint="eastAsia" w:hAnsi="宋体"/>
          <w:color w:val="auto"/>
          <w:szCs w:val="21"/>
          <w:highlight w:val="none"/>
        </w:rPr>
        <w:t>士0.5mm</w:t>
      </w:r>
      <w:r>
        <w:rPr>
          <w:rFonts w:hint="eastAsia" w:hAnsi="宋体"/>
          <w:color w:val="auto"/>
          <w:szCs w:val="21"/>
          <w:highlight w:val="none"/>
          <w:vertAlign w:val="superscript"/>
        </w:rPr>
        <w:t>3</w:t>
      </w:r>
      <w:r>
        <w:rPr>
          <w:rFonts w:hint="eastAsia" w:hAnsi="宋体"/>
          <w:color w:val="auto"/>
          <w:szCs w:val="21"/>
          <w:highlight w:val="none"/>
        </w:rPr>
        <w:t>）</w:t>
      </w:r>
    </w:p>
    <w:p>
      <w:pPr>
        <w:spacing w:line="460" w:lineRule="exact"/>
        <w:ind w:firstLine="420" w:firstLineChars="200"/>
        <w:rPr>
          <w:rFonts w:hAnsi="宋体"/>
          <w:color w:val="auto"/>
          <w:szCs w:val="21"/>
          <w:highlight w:val="none"/>
        </w:rPr>
      </w:pPr>
      <w:r>
        <w:rPr>
          <w:rFonts w:hint="eastAsia" w:hAnsi="宋体"/>
          <w:color w:val="auto"/>
          <w:szCs w:val="21"/>
          <w:highlight w:val="none"/>
        </w:rPr>
        <w:t>0号-幼儿（53×10.5×11mm</w:t>
      </w:r>
      <w:r>
        <w:rPr>
          <w:rFonts w:hint="eastAsia" w:hAnsi="宋体"/>
          <w:color w:val="auto"/>
          <w:szCs w:val="21"/>
          <w:highlight w:val="none"/>
          <w:vertAlign w:val="superscript"/>
        </w:rPr>
        <w:t>3</w:t>
      </w:r>
      <w:r>
        <w:rPr>
          <w:rFonts w:hint="eastAsia" w:hAnsi="宋体"/>
          <w:color w:val="auto"/>
          <w:szCs w:val="21"/>
          <w:highlight w:val="none"/>
        </w:rPr>
        <w:t>士0.5mm</w:t>
      </w:r>
      <w:r>
        <w:rPr>
          <w:rFonts w:hint="eastAsia" w:hAnsi="宋体"/>
          <w:color w:val="auto"/>
          <w:szCs w:val="21"/>
          <w:highlight w:val="none"/>
          <w:vertAlign w:val="superscript"/>
        </w:rPr>
        <w:t>3</w:t>
      </w:r>
      <w:r>
        <w:rPr>
          <w:rFonts w:hint="eastAsia" w:hAnsi="宋体"/>
          <w:color w:val="auto"/>
          <w:szCs w:val="21"/>
          <w:highlight w:val="none"/>
        </w:rPr>
        <w:t>）</w:t>
      </w:r>
    </w:p>
    <w:p>
      <w:pPr>
        <w:spacing w:line="460" w:lineRule="exact"/>
        <w:ind w:firstLine="420" w:firstLineChars="200"/>
        <w:rPr>
          <w:rFonts w:hAnsi="宋体"/>
          <w:color w:val="auto"/>
          <w:szCs w:val="21"/>
          <w:highlight w:val="none"/>
        </w:rPr>
      </w:pPr>
      <w:r>
        <w:rPr>
          <w:rFonts w:hint="eastAsia" w:hAnsi="宋体"/>
          <w:color w:val="auto"/>
          <w:szCs w:val="21"/>
          <w:highlight w:val="none"/>
        </w:rPr>
        <w:t>1号--儿童（67×33×9.5mm3士0.5mm3）</w:t>
      </w:r>
    </w:p>
    <w:p>
      <w:pPr>
        <w:spacing w:line="460" w:lineRule="exact"/>
        <w:ind w:firstLine="420" w:firstLineChars="200"/>
        <w:rPr>
          <w:rFonts w:hAnsi="宋体"/>
          <w:color w:val="auto"/>
          <w:szCs w:val="21"/>
          <w:highlight w:val="none"/>
        </w:rPr>
      </w:pPr>
      <w:r>
        <w:rPr>
          <w:rFonts w:hint="eastAsia" w:hAnsi="宋体"/>
          <w:color w:val="auto"/>
          <w:szCs w:val="21"/>
          <w:highlight w:val="none"/>
        </w:rPr>
        <w:t>1号-儿童+（77×10.5×11mm3士0.5mm3）</w:t>
      </w:r>
    </w:p>
    <w:p>
      <w:pPr>
        <w:spacing w:line="460" w:lineRule="exact"/>
        <w:ind w:firstLine="420" w:firstLineChars="200"/>
        <w:rPr>
          <w:rFonts w:hAnsi="宋体"/>
          <w:color w:val="auto"/>
          <w:szCs w:val="21"/>
          <w:highlight w:val="none"/>
        </w:rPr>
      </w:pPr>
      <w:r>
        <w:rPr>
          <w:rFonts w:hint="eastAsia" w:hAnsi="宋体"/>
          <w:color w:val="auto"/>
          <w:szCs w:val="21"/>
          <w:highlight w:val="none"/>
        </w:rPr>
        <w:t>2号--少年（87×35×11.5mm3士0.5mm3）</w:t>
      </w:r>
    </w:p>
    <w:p>
      <w:pPr>
        <w:spacing w:line="460" w:lineRule="exact"/>
        <w:ind w:firstLine="420" w:firstLineChars="200"/>
        <w:rPr>
          <w:rFonts w:hAnsi="宋体"/>
          <w:color w:val="auto"/>
          <w:szCs w:val="21"/>
          <w:highlight w:val="none"/>
        </w:rPr>
      </w:pPr>
      <w:r>
        <w:rPr>
          <w:rFonts w:hint="eastAsia" w:hAnsi="宋体"/>
          <w:color w:val="auto"/>
          <w:szCs w:val="21"/>
          <w:highlight w:val="none"/>
        </w:rPr>
        <w:t>3号--成人（105×40×13mm3士0.5mm3）</w:t>
      </w:r>
    </w:p>
    <w:p>
      <w:pPr>
        <w:spacing w:line="460" w:lineRule="exact"/>
        <w:ind w:firstLine="420" w:firstLineChars="200"/>
        <w:rPr>
          <w:rFonts w:hAnsi="宋体"/>
          <w:color w:val="auto"/>
          <w:szCs w:val="21"/>
          <w:highlight w:val="none"/>
        </w:rPr>
      </w:pPr>
      <w:r>
        <w:rPr>
          <w:rFonts w:hint="eastAsia" w:hAnsi="宋体"/>
          <w:color w:val="auto"/>
          <w:szCs w:val="21"/>
          <w:highlight w:val="none"/>
        </w:rPr>
        <w:t>4号--成人+（132×58×13.5mm3士0.5mm3）</w:t>
      </w:r>
    </w:p>
    <w:p>
      <w:pPr>
        <w:spacing w:line="460" w:lineRule="exact"/>
        <w:jc w:val="center"/>
        <w:rPr>
          <w:rFonts w:hAnsi="宋体"/>
          <w:b/>
          <w:bCs/>
          <w:color w:val="auto"/>
          <w:sz w:val="24"/>
          <w:highlight w:val="none"/>
        </w:rPr>
      </w:pPr>
      <w:r>
        <w:rPr>
          <w:rFonts w:hint="eastAsia" w:hAnsi="宋体"/>
          <w:b/>
          <w:bCs/>
          <w:color w:val="auto"/>
          <w:sz w:val="24"/>
          <w:highlight w:val="none"/>
        </w:rPr>
        <w:t>2-4 喉镜柄</w:t>
      </w:r>
    </w:p>
    <w:p>
      <w:pPr>
        <w:spacing w:line="460" w:lineRule="exact"/>
        <w:ind w:firstLine="420" w:firstLineChars="200"/>
        <w:rPr>
          <w:rFonts w:hAnsi="宋体"/>
          <w:color w:val="auto"/>
          <w:szCs w:val="21"/>
          <w:highlight w:val="none"/>
        </w:rPr>
      </w:pPr>
      <w:r>
        <w:rPr>
          <w:rFonts w:hint="eastAsia" w:hAnsi="宋体"/>
          <w:color w:val="auto"/>
          <w:szCs w:val="21"/>
          <w:highlight w:val="none"/>
        </w:rPr>
        <w:t>1、采用H62黄铜材质制造，并配有LED灯泡，消毒时方便快速拆卸。</w:t>
      </w:r>
    </w:p>
    <w:p>
      <w:pPr>
        <w:spacing w:line="460" w:lineRule="exact"/>
        <w:ind w:firstLine="420" w:firstLineChars="200"/>
        <w:rPr>
          <w:rFonts w:hAnsi="宋体"/>
          <w:color w:val="auto"/>
          <w:szCs w:val="21"/>
          <w:highlight w:val="none"/>
        </w:rPr>
      </w:pPr>
      <w:r>
        <w:rPr>
          <w:rFonts w:hint="eastAsia" w:hAnsi="宋体"/>
          <w:color w:val="auto"/>
          <w:szCs w:val="21"/>
          <w:highlight w:val="none"/>
        </w:rPr>
        <w:t>2、整合在手柄上的LED灯泡（LED灯泡照度</w:t>
      </w:r>
      <w:r>
        <w:rPr>
          <w:rFonts w:hint="eastAsia" w:ascii="Calibri" w:hAnsi="Calibri"/>
          <w:color w:val="auto"/>
          <w:sz w:val="28"/>
          <w:szCs w:val="32"/>
          <w:highlight w:val="none"/>
        </w:rPr>
        <w:t>≥</w:t>
      </w:r>
      <w:r>
        <w:rPr>
          <w:rFonts w:hint="eastAsia" w:hAnsi="宋体"/>
          <w:color w:val="auto"/>
          <w:szCs w:val="21"/>
          <w:highlight w:val="none"/>
        </w:rPr>
        <w:t>8000lx）。</w:t>
      </w:r>
    </w:p>
    <w:p>
      <w:pPr>
        <w:spacing w:line="460" w:lineRule="exact"/>
        <w:ind w:firstLine="420" w:firstLineChars="200"/>
        <w:rPr>
          <w:rFonts w:hAnsi="宋体"/>
          <w:color w:val="auto"/>
          <w:szCs w:val="21"/>
          <w:highlight w:val="none"/>
        </w:rPr>
      </w:pPr>
      <w:r>
        <w:rPr>
          <w:rFonts w:hint="eastAsia" w:hAnsi="宋体"/>
          <w:color w:val="auto"/>
          <w:szCs w:val="21"/>
          <w:highlight w:val="none"/>
        </w:rPr>
        <w:t>3、外观采用滚花网纹设计。</w:t>
      </w:r>
    </w:p>
    <w:p>
      <w:pPr>
        <w:spacing w:line="460" w:lineRule="exact"/>
        <w:ind w:firstLine="420" w:firstLineChars="200"/>
        <w:rPr>
          <w:rFonts w:hAnsi="宋体"/>
          <w:color w:val="auto"/>
          <w:szCs w:val="21"/>
          <w:highlight w:val="none"/>
        </w:rPr>
      </w:pPr>
      <w:r>
        <w:rPr>
          <w:rFonts w:hint="eastAsia" w:hAnsi="宋体"/>
          <w:color w:val="auto"/>
          <w:szCs w:val="21"/>
          <w:highlight w:val="none"/>
        </w:rPr>
        <w:t>4、手柄有中号和小号两个尺寸，配合干电池使用。</w:t>
      </w:r>
    </w:p>
    <w:p>
      <w:pPr>
        <w:spacing w:line="460" w:lineRule="exact"/>
        <w:jc w:val="center"/>
        <w:rPr>
          <w:rFonts w:hAnsi="宋体"/>
          <w:b/>
          <w:bCs/>
          <w:color w:val="auto"/>
          <w:sz w:val="24"/>
          <w:highlight w:val="none"/>
        </w:rPr>
      </w:pPr>
    </w:p>
    <w:p>
      <w:pPr>
        <w:spacing w:line="460" w:lineRule="exact"/>
        <w:jc w:val="center"/>
        <w:rPr>
          <w:rFonts w:hAnsi="宋体"/>
          <w:b/>
          <w:bCs/>
          <w:color w:val="auto"/>
          <w:sz w:val="24"/>
          <w:highlight w:val="none"/>
        </w:rPr>
      </w:pPr>
      <w:r>
        <w:rPr>
          <w:rFonts w:hint="eastAsia" w:hAnsi="宋体"/>
          <w:b/>
          <w:bCs/>
          <w:color w:val="auto"/>
          <w:sz w:val="24"/>
          <w:highlight w:val="none"/>
        </w:rPr>
        <w:t>2-5 喉镜舌片1</w:t>
      </w:r>
    </w:p>
    <w:p>
      <w:pPr>
        <w:spacing w:line="460" w:lineRule="exact"/>
        <w:ind w:firstLine="420" w:firstLineChars="200"/>
        <w:rPr>
          <w:rFonts w:hAnsi="宋体"/>
          <w:color w:val="auto"/>
          <w:szCs w:val="21"/>
          <w:highlight w:val="none"/>
        </w:rPr>
      </w:pPr>
      <w:r>
        <w:rPr>
          <w:rFonts w:hint="eastAsia" w:hAnsi="宋体"/>
          <w:color w:val="auto"/>
          <w:szCs w:val="21"/>
          <w:highlight w:val="none"/>
        </w:rPr>
        <w:t>1、喉镜片表面亚光处理，采用304系列医用不锈钢制造。</w:t>
      </w:r>
    </w:p>
    <w:p>
      <w:pPr>
        <w:spacing w:line="460" w:lineRule="exact"/>
        <w:ind w:firstLine="420" w:firstLineChars="200"/>
        <w:rPr>
          <w:rFonts w:hAnsi="宋体"/>
          <w:color w:val="auto"/>
          <w:szCs w:val="21"/>
          <w:highlight w:val="none"/>
        </w:rPr>
      </w:pPr>
      <w:r>
        <w:rPr>
          <w:rFonts w:hint="eastAsia" w:hAnsi="宋体"/>
          <w:color w:val="auto"/>
          <w:szCs w:val="21"/>
          <w:highlight w:val="none"/>
        </w:rPr>
        <w:t>2、喉镜片分为直片和弯片</w:t>
      </w:r>
    </w:p>
    <w:p>
      <w:pPr>
        <w:spacing w:line="460" w:lineRule="exact"/>
        <w:ind w:firstLine="420" w:firstLineChars="200"/>
        <w:rPr>
          <w:rFonts w:hAnsi="宋体"/>
          <w:color w:val="auto"/>
          <w:szCs w:val="21"/>
          <w:highlight w:val="none"/>
        </w:rPr>
      </w:pPr>
      <w:r>
        <w:rPr>
          <w:rFonts w:hint="eastAsia" w:hAnsi="宋体"/>
          <w:color w:val="auto"/>
          <w:szCs w:val="21"/>
          <w:highlight w:val="none"/>
        </w:rPr>
        <w:t>3、直片</w:t>
      </w:r>
    </w:p>
    <w:p>
      <w:pPr>
        <w:spacing w:line="460" w:lineRule="exact"/>
        <w:ind w:firstLine="420" w:firstLineChars="200"/>
        <w:rPr>
          <w:rFonts w:hAnsi="宋体"/>
          <w:color w:val="auto"/>
          <w:szCs w:val="21"/>
          <w:highlight w:val="none"/>
        </w:rPr>
      </w:pPr>
      <w:r>
        <w:rPr>
          <w:rFonts w:hint="eastAsia" w:hAnsi="宋体"/>
          <w:color w:val="auto"/>
          <w:szCs w:val="21"/>
          <w:highlight w:val="none"/>
        </w:rPr>
        <w:t>1号-幼儿（102×11.5mm</w:t>
      </w:r>
      <w:r>
        <w:rPr>
          <w:rFonts w:hint="eastAsia" w:hAnsi="宋体"/>
          <w:color w:val="auto"/>
          <w:szCs w:val="21"/>
          <w:highlight w:val="none"/>
          <w:vertAlign w:val="superscript"/>
        </w:rPr>
        <w:t>2</w:t>
      </w:r>
      <w:r>
        <w:rPr>
          <w:rFonts w:hint="eastAsia" w:hAnsi="宋体"/>
          <w:color w:val="auto"/>
          <w:szCs w:val="21"/>
          <w:highlight w:val="none"/>
        </w:rPr>
        <w:t>±1mm</w:t>
      </w:r>
      <w:r>
        <w:rPr>
          <w:rFonts w:hint="eastAsia" w:hAnsi="宋体"/>
          <w:color w:val="auto"/>
          <w:szCs w:val="21"/>
          <w:highlight w:val="none"/>
          <w:vertAlign w:val="superscript"/>
        </w:rPr>
        <w:t>2</w:t>
      </w:r>
      <w:r>
        <w:rPr>
          <w:rFonts w:hint="eastAsia" w:hAnsi="宋体"/>
          <w:color w:val="auto"/>
          <w:szCs w:val="21"/>
          <w:highlight w:val="none"/>
        </w:rPr>
        <w:t>）</w:t>
      </w:r>
    </w:p>
    <w:p>
      <w:pPr>
        <w:spacing w:line="460" w:lineRule="exact"/>
        <w:ind w:firstLine="420" w:firstLineChars="200"/>
        <w:rPr>
          <w:rFonts w:hAnsi="宋体"/>
          <w:color w:val="auto"/>
          <w:szCs w:val="21"/>
          <w:highlight w:val="none"/>
        </w:rPr>
      </w:pPr>
    </w:p>
    <w:p>
      <w:pPr>
        <w:spacing w:line="460" w:lineRule="exact"/>
        <w:jc w:val="center"/>
        <w:rPr>
          <w:rFonts w:hAnsi="宋体"/>
          <w:b/>
          <w:bCs/>
          <w:color w:val="auto"/>
          <w:sz w:val="24"/>
          <w:highlight w:val="none"/>
        </w:rPr>
      </w:pPr>
      <w:r>
        <w:rPr>
          <w:rFonts w:hint="eastAsia" w:hAnsi="宋体"/>
          <w:b/>
          <w:bCs/>
          <w:color w:val="auto"/>
          <w:sz w:val="24"/>
          <w:highlight w:val="none"/>
        </w:rPr>
        <w:t>2-6 喉镜舌片2</w:t>
      </w:r>
    </w:p>
    <w:p>
      <w:pPr>
        <w:spacing w:line="460" w:lineRule="exact"/>
        <w:ind w:firstLine="420" w:firstLineChars="200"/>
        <w:rPr>
          <w:rFonts w:hAnsi="宋体"/>
          <w:color w:val="auto"/>
          <w:szCs w:val="21"/>
          <w:highlight w:val="none"/>
        </w:rPr>
      </w:pPr>
      <w:r>
        <w:rPr>
          <w:rFonts w:hint="eastAsia" w:hAnsi="宋体"/>
          <w:color w:val="auto"/>
          <w:szCs w:val="21"/>
          <w:highlight w:val="none"/>
        </w:rPr>
        <w:t>1、喉镜片表面亚光处理，采用304系列医用不锈钢制造。</w:t>
      </w:r>
    </w:p>
    <w:p>
      <w:pPr>
        <w:spacing w:line="460" w:lineRule="exact"/>
        <w:ind w:firstLine="420" w:firstLineChars="200"/>
        <w:rPr>
          <w:rFonts w:hAnsi="宋体"/>
          <w:color w:val="auto"/>
          <w:szCs w:val="21"/>
          <w:highlight w:val="none"/>
        </w:rPr>
      </w:pPr>
      <w:r>
        <w:rPr>
          <w:rFonts w:hint="eastAsia" w:hAnsi="宋体"/>
          <w:color w:val="auto"/>
          <w:szCs w:val="21"/>
          <w:highlight w:val="none"/>
        </w:rPr>
        <w:t>2、喉镜片分为直片和弯片</w:t>
      </w:r>
    </w:p>
    <w:p>
      <w:pPr>
        <w:spacing w:line="460" w:lineRule="exact"/>
        <w:ind w:firstLine="420" w:firstLineChars="200"/>
        <w:rPr>
          <w:rFonts w:hAnsi="宋体"/>
          <w:color w:val="auto"/>
          <w:szCs w:val="21"/>
          <w:highlight w:val="none"/>
        </w:rPr>
      </w:pPr>
      <w:r>
        <w:rPr>
          <w:rFonts w:hint="eastAsia" w:hAnsi="宋体"/>
          <w:color w:val="auto"/>
          <w:szCs w:val="21"/>
          <w:highlight w:val="none"/>
        </w:rPr>
        <w:t>3、直片</w:t>
      </w:r>
    </w:p>
    <w:p>
      <w:pPr>
        <w:spacing w:line="460" w:lineRule="exact"/>
        <w:ind w:firstLine="420" w:firstLineChars="200"/>
        <w:rPr>
          <w:rFonts w:hAnsi="宋体"/>
          <w:color w:val="auto"/>
          <w:szCs w:val="21"/>
          <w:highlight w:val="none"/>
        </w:rPr>
      </w:pPr>
      <w:r>
        <w:rPr>
          <w:rFonts w:hint="eastAsia" w:hAnsi="宋体"/>
          <w:color w:val="auto"/>
          <w:szCs w:val="21"/>
          <w:highlight w:val="none"/>
        </w:rPr>
        <w:t>00号-早产儿（64×11.5mm</w:t>
      </w:r>
      <w:r>
        <w:rPr>
          <w:rFonts w:hint="eastAsia" w:hAnsi="宋体"/>
          <w:color w:val="auto"/>
          <w:szCs w:val="21"/>
          <w:highlight w:val="none"/>
          <w:vertAlign w:val="superscript"/>
        </w:rPr>
        <w:t>2</w:t>
      </w:r>
      <w:r>
        <w:rPr>
          <w:rFonts w:hint="eastAsia" w:hAnsi="宋体"/>
          <w:color w:val="auto"/>
          <w:szCs w:val="21"/>
          <w:highlight w:val="none"/>
        </w:rPr>
        <w:t>±1mm</w:t>
      </w:r>
      <w:r>
        <w:rPr>
          <w:rFonts w:hint="eastAsia" w:hAnsi="宋体"/>
          <w:color w:val="auto"/>
          <w:szCs w:val="21"/>
          <w:highlight w:val="none"/>
          <w:vertAlign w:val="superscript"/>
        </w:rPr>
        <w:t>2</w:t>
      </w:r>
      <w:r>
        <w:rPr>
          <w:rFonts w:hint="eastAsia" w:hAnsi="宋体"/>
          <w:color w:val="auto"/>
          <w:szCs w:val="21"/>
          <w:highlight w:val="none"/>
        </w:rPr>
        <w:t>）</w:t>
      </w:r>
    </w:p>
    <w:p>
      <w:pPr>
        <w:spacing w:line="460" w:lineRule="exact"/>
        <w:ind w:firstLine="420" w:firstLineChars="200"/>
        <w:rPr>
          <w:rFonts w:hAnsi="宋体"/>
          <w:color w:val="auto"/>
          <w:szCs w:val="21"/>
          <w:highlight w:val="none"/>
        </w:rPr>
      </w:pPr>
      <w:r>
        <w:rPr>
          <w:rFonts w:hint="eastAsia" w:hAnsi="宋体"/>
          <w:color w:val="auto"/>
          <w:szCs w:val="21"/>
          <w:highlight w:val="none"/>
        </w:rPr>
        <w:t>0号-新生儿（75×11.5mm</w:t>
      </w:r>
      <w:r>
        <w:rPr>
          <w:rFonts w:hint="eastAsia" w:hAnsi="宋体"/>
          <w:color w:val="auto"/>
          <w:szCs w:val="21"/>
          <w:highlight w:val="none"/>
          <w:vertAlign w:val="superscript"/>
        </w:rPr>
        <w:t>2</w:t>
      </w:r>
      <w:r>
        <w:rPr>
          <w:rFonts w:hint="eastAsia" w:hAnsi="宋体"/>
          <w:color w:val="auto"/>
          <w:szCs w:val="21"/>
          <w:highlight w:val="none"/>
        </w:rPr>
        <w:t>±1mm</w:t>
      </w:r>
      <w:r>
        <w:rPr>
          <w:rFonts w:hint="eastAsia" w:hAnsi="宋体"/>
          <w:color w:val="auto"/>
          <w:szCs w:val="21"/>
          <w:highlight w:val="none"/>
          <w:vertAlign w:val="superscript"/>
        </w:rPr>
        <w:t>2</w:t>
      </w:r>
      <w:r>
        <w:rPr>
          <w:rFonts w:hint="eastAsia" w:hAnsi="宋体"/>
          <w:color w:val="auto"/>
          <w:szCs w:val="21"/>
          <w:highlight w:val="none"/>
        </w:rPr>
        <w:t>）</w:t>
      </w:r>
    </w:p>
    <w:p>
      <w:pPr>
        <w:spacing w:line="460" w:lineRule="exact"/>
        <w:ind w:firstLine="420" w:firstLineChars="200"/>
        <w:rPr>
          <w:rFonts w:hAnsi="宋体"/>
          <w:color w:val="auto"/>
          <w:szCs w:val="21"/>
          <w:highlight w:val="none"/>
        </w:rPr>
      </w:pPr>
    </w:p>
    <w:p>
      <w:pPr>
        <w:spacing w:line="460" w:lineRule="exact"/>
        <w:jc w:val="center"/>
        <w:rPr>
          <w:rFonts w:hAnsi="宋体"/>
          <w:b/>
          <w:bCs/>
          <w:color w:val="auto"/>
          <w:sz w:val="24"/>
          <w:highlight w:val="none"/>
        </w:rPr>
      </w:pPr>
      <w:r>
        <w:rPr>
          <w:rFonts w:hint="eastAsia" w:hAnsi="宋体"/>
          <w:b/>
          <w:bCs/>
          <w:color w:val="auto"/>
          <w:sz w:val="24"/>
          <w:highlight w:val="none"/>
        </w:rPr>
        <w:t>2-7 麻醉咽喉镜2</w:t>
      </w:r>
    </w:p>
    <w:p>
      <w:pPr>
        <w:spacing w:line="460" w:lineRule="exact"/>
        <w:ind w:firstLine="420" w:firstLineChars="200"/>
        <w:rPr>
          <w:rFonts w:hAnsi="宋体"/>
          <w:color w:val="auto"/>
          <w:szCs w:val="21"/>
          <w:highlight w:val="none"/>
        </w:rPr>
      </w:pPr>
      <w:r>
        <w:rPr>
          <w:rFonts w:hint="eastAsia" w:hAnsi="宋体"/>
          <w:color w:val="auto"/>
          <w:szCs w:val="21"/>
          <w:highlight w:val="none"/>
        </w:rPr>
        <w:t>1、喉镜的手柄采用网纹设计；</w:t>
      </w:r>
    </w:p>
    <w:p>
      <w:pPr>
        <w:spacing w:line="460" w:lineRule="exact"/>
        <w:ind w:firstLine="420" w:firstLineChars="200"/>
        <w:rPr>
          <w:rFonts w:hAnsi="宋体"/>
          <w:color w:val="auto"/>
          <w:szCs w:val="21"/>
          <w:highlight w:val="none"/>
        </w:rPr>
      </w:pPr>
      <w:r>
        <w:rPr>
          <w:rFonts w:hint="eastAsia" w:hAnsi="宋体"/>
          <w:color w:val="auto"/>
          <w:szCs w:val="21"/>
          <w:highlight w:val="none"/>
        </w:rPr>
        <w:t>2、叶片设计提供直观的喉部视野，（专为儿科而设计）；</w:t>
      </w:r>
    </w:p>
    <w:p>
      <w:pPr>
        <w:spacing w:line="460" w:lineRule="exact"/>
        <w:ind w:firstLine="420" w:firstLineChars="200"/>
        <w:rPr>
          <w:rFonts w:hAnsi="宋体"/>
          <w:color w:val="auto"/>
          <w:szCs w:val="21"/>
          <w:highlight w:val="none"/>
        </w:rPr>
      </w:pPr>
      <w:r>
        <w:rPr>
          <w:rFonts w:hint="eastAsia" w:hAnsi="宋体"/>
          <w:color w:val="auto"/>
          <w:szCs w:val="21"/>
          <w:highlight w:val="none"/>
        </w:rPr>
        <w:t>3、可更换光纤导管设计，可拆卸，便于清洁，无残留；</w:t>
      </w:r>
    </w:p>
    <w:p>
      <w:pPr>
        <w:spacing w:line="460" w:lineRule="exact"/>
        <w:ind w:firstLine="420" w:firstLineChars="200"/>
        <w:rPr>
          <w:rFonts w:hAnsi="宋体"/>
          <w:color w:val="auto"/>
          <w:szCs w:val="21"/>
          <w:highlight w:val="none"/>
        </w:rPr>
      </w:pPr>
      <w:r>
        <w:rPr>
          <w:rFonts w:hint="eastAsia" w:hAnsi="宋体"/>
          <w:color w:val="auto"/>
          <w:szCs w:val="21"/>
          <w:highlight w:val="none"/>
        </w:rPr>
        <w:t>4、强大的光纤线束，前端的光照强度不小于700LX，使麻醉师和医生看的更清楚；</w:t>
      </w:r>
    </w:p>
    <w:p>
      <w:pPr>
        <w:spacing w:line="460" w:lineRule="exact"/>
        <w:ind w:firstLine="420" w:firstLineChars="200"/>
        <w:rPr>
          <w:rFonts w:hAnsi="宋体"/>
          <w:color w:val="auto"/>
          <w:szCs w:val="21"/>
          <w:highlight w:val="none"/>
        </w:rPr>
      </w:pPr>
      <w:r>
        <w:rPr>
          <w:rFonts w:hint="eastAsia" w:hAnsi="宋体"/>
          <w:color w:val="auto"/>
          <w:szCs w:val="21"/>
          <w:highlight w:val="none"/>
        </w:rPr>
        <w:t>5、可用132℃高温高压进行3000次以上消毒；</w:t>
      </w:r>
    </w:p>
    <w:p>
      <w:pPr>
        <w:spacing w:line="460" w:lineRule="exact"/>
        <w:ind w:firstLine="420" w:firstLineChars="200"/>
        <w:rPr>
          <w:rFonts w:hAnsi="宋体"/>
          <w:color w:val="auto"/>
          <w:szCs w:val="21"/>
          <w:highlight w:val="none"/>
        </w:rPr>
      </w:pPr>
      <w:r>
        <w:rPr>
          <w:rFonts w:hint="eastAsia" w:hAnsi="宋体"/>
          <w:color w:val="auto"/>
          <w:szCs w:val="21"/>
          <w:highlight w:val="none"/>
        </w:rPr>
        <w:t>6、至少有三种叶片可供选择：00#:41*10.5*11mm</w:t>
      </w:r>
      <w:r>
        <w:rPr>
          <w:rFonts w:hint="eastAsia" w:hAnsi="宋体"/>
          <w:color w:val="auto"/>
          <w:szCs w:val="21"/>
          <w:highlight w:val="none"/>
          <w:vertAlign w:val="superscript"/>
        </w:rPr>
        <w:t>3</w:t>
      </w:r>
      <w:r>
        <w:rPr>
          <w:rFonts w:hint="eastAsia" w:hAnsi="宋体"/>
          <w:color w:val="auto"/>
          <w:szCs w:val="21"/>
          <w:highlight w:val="none"/>
        </w:rPr>
        <w:t>；0#:53*10.5*11mm</w:t>
      </w:r>
      <w:r>
        <w:rPr>
          <w:rFonts w:hint="eastAsia" w:hAnsi="宋体"/>
          <w:color w:val="auto"/>
          <w:szCs w:val="21"/>
          <w:highlight w:val="none"/>
          <w:vertAlign w:val="superscript"/>
        </w:rPr>
        <w:t>3</w:t>
      </w:r>
      <w:r>
        <w:rPr>
          <w:rFonts w:hint="eastAsia" w:hAnsi="宋体"/>
          <w:color w:val="auto"/>
          <w:szCs w:val="21"/>
          <w:highlight w:val="none"/>
        </w:rPr>
        <w:t>；1#:77*10.5*11mm</w:t>
      </w:r>
      <w:r>
        <w:rPr>
          <w:rFonts w:hint="eastAsia" w:hAnsi="宋体"/>
          <w:color w:val="auto"/>
          <w:szCs w:val="21"/>
          <w:highlight w:val="none"/>
          <w:vertAlign w:val="superscript"/>
        </w:rPr>
        <w:t>3</w:t>
      </w:r>
      <w:r>
        <w:rPr>
          <w:rFonts w:hint="eastAsia" w:hAnsi="宋体"/>
          <w:color w:val="auto"/>
          <w:szCs w:val="21"/>
          <w:highlight w:val="none"/>
        </w:rPr>
        <w:t>。</w:t>
      </w:r>
    </w:p>
    <w:p>
      <w:pPr>
        <w:spacing w:line="460" w:lineRule="exact"/>
        <w:ind w:firstLine="420" w:firstLineChars="200"/>
        <w:rPr>
          <w:rFonts w:hAnsi="宋体"/>
          <w:color w:val="auto"/>
          <w:szCs w:val="21"/>
          <w:highlight w:val="none"/>
        </w:rPr>
      </w:pPr>
    </w:p>
    <w:p>
      <w:pPr>
        <w:spacing w:line="460" w:lineRule="exact"/>
        <w:jc w:val="center"/>
        <w:rPr>
          <w:rFonts w:hAnsi="宋体"/>
          <w:b/>
          <w:bCs/>
          <w:color w:val="auto"/>
          <w:sz w:val="24"/>
          <w:highlight w:val="none"/>
        </w:rPr>
      </w:pPr>
      <w:r>
        <w:rPr>
          <w:rFonts w:hint="eastAsia" w:hAnsi="宋体"/>
          <w:b/>
          <w:bCs/>
          <w:color w:val="auto"/>
          <w:sz w:val="24"/>
          <w:highlight w:val="none"/>
        </w:rPr>
        <w:t>2-8 呼吸复苏（器）囊</w:t>
      </w:r>
    </w:p>
    <w:p>
      <w:pPr>
        <w:spacing w:line="460" w:lineRule="exact"/>
        <w:ind w:firstLine="420" w:firstLineChars="200"/>
        <w:rPr>
          <w:rFonts w:hAnsi="宋体"/>
          <w:color w:val="auto"/>
          <w:szCs w:val="21"/>
          <w:highlight w:val="none"/>
        </w:rPr>
      </w:pPr>
      <w:r>
        <w:rPr>
          <w:rFonts w:hint="eastAsia"/>
          <w:color w:val="auto"/>
          <w:szCs w:val="21"/>
          <w:highlight w:val="none"/>
        </w:rPr>
        <w:t>1</w:t>
      </w:r>
      <w:r>
        <w:rPr>
          <w:rFonts w:hint="eastAsia" w:hAnsi="宋体"/>
          <w:color w:val="auto"/>
          <w:szCs w:val="21"/>
          <w:highlight w:val="none"/>
        </w:rPr>
        <w:t>、由面罩、鱼嘴阀片、送气阀（含限压阀）、气囊和集气袋（含空氧混合器）组成；</w:t>
      </w:r>
    </w:p>
    <w:p>
      <w:pPr>
        <w:spacing w:line="460" w:lineRule="exact"/>
        <w:ind w:firstLine="420" w:firstLineChars="200"/>
        <w:rPr>
          <w:rFonts w:hAnsi="宋体"/>
          <w:color w:val="auto"/>
          <w:szCs w:val="21"/>
          <w:highlight w:val="none"/>
        </w:rPr>
      </w:pPr>
      <w:r>
        <w:rPr>
          <w:rFonts w:hint="eastAsia" w:hAnsi="宋体"/>
          <w:color w:val="auto"/>
          <w:szCs w:val="21"/>
          <w:highlight w:val="none"/>
        </w:rPr>
        <w:t>2、主要部件采用硅橡胶材料制作而成；送气阀装有鱼嘴阀，呼气时自动关闭，不倒流；装有限压阀，防止过高压力输出；</w:t>
      </w:r>
    </w:p>
    <w:p>
      <w:pPr>
        <w:spacing w:line="460" w:lineRule="exact"/>
        <w:ind w:firstLine="420" w:firstLineChars="200"/>
        <w:rPr>
          <w:rFonts w:hAnsi="宋体"/>
          <w:color w:val="auto"/>
          <w:szCs w:val="21"/>
          <w:highlight w:val="none"/>
        </w:rPr>
      </w:pPr>
      <w:r>
        <w:rPr>
          <w:rFonts w:hint="eastAsia" w:hAnsi="宋体"/>
          <w:color w:val="auto"/>
          <w:szCs w:val="21"/>
          <w:highlight w:val="none"/>
        </w:rPr>
        <w:t>3、供婴儿(Ⅰ型、II型)窒息、呼吸障碍时进行呼吸复苏抢救之用。</w:t>
      </w:r>
    </w:p>
    <w:p>
      <w:pPr>
        <w:spacing w:line="460" w:lineRule="exact"/>
        <w:jc w:val="center"/>
        <w:rPr>
          <w:rFonts w:hAnsi="宋体"/>
          <w:b/>
          <w:bCs/>
          <w:color w:val="auto"/>
          <w:sz w:val="24"/>
          <w:highlight w:val="none"/>
        </w:rPr>
      </w:pPr>
    </w:p>
    <w:p>
      <w:pPr>
        <w:spacing w:line="460" w:lineRule="exact"/>
        <w:jc w:val="center"/>
        <w:rPr>
          <w:rFonts w:hAnsi="宋体"/>
          <w:b/>
          <w:bCs/>
          <w:color w:val="auto"/>
          <w:sz w:val="24"/>
          <w:highlight w:val="none"/>
        </w:rPr>
      </w:pPr>
      <w:r>
        <w:rPr>
          <w:rFonts w:hint="eastAsia" w:hAnsi="宋体"/>
          <w:b/>
          <w:bCs/>
          <w:color w:val="auto"/>
          <w:sz w:val="24"/>
          <w:highlight w:val="none"/>
        </w:rPr>
        <w:t>2-9 视频气管插管镜</w:t>
      </w:r>
    </w:p>
    <w:p>
      <w:pPr>
        <w:spacing w:line="460" w:lineRule="exact"/>
        <w:ind w:firstLine="420" w:firstLineChars="200"/>
        <w:rPr>
          <w:rFonts w:hAnsi="宋体"/>
          <w:color w:val="auto"/>
          <w:szCs w:val="21"/>
          <w:highlight w:val="none"/>
        </w:rPr>
      </w:pPr>
      <w:r>
        <w:rPr>
          <w:rFonts w:hint="eastAsia" w:hAnsi="宋体"/>
          <w:color w:val="auto"/>
          <w:szCs w:val="21"/>
          <w:highlight w:val="none"/>
        </w:rPr>
        <w:t>1、成像原理：电子摄像头成像技术，插入管不含成像、导光纤维；</w:t>
      </w:r>
    </w:p>
    <w:p>
      <w:pPr>
        <w:spacing w:line="460" w:lineRule="exact"/>
        <w:ind w:firstLine="420" w:firstLineChars="200"/>
        <w:rPr>
          <w:rFonts w:hAnsi="宋体"/>
          <w:color w:val="auto"/>
          <w:szCs w:val="21"/>
          <w:highlight w:val="none"/>
        </w:rPr>
      </w:pPr>
      <w:r>
        <w:rPr>
          <w:rFonts w:hint="eastAsia" w:hAnsi="宋体"/>
          <w:color w:val="auto"/>
          <w:szCs w:val="21"/>
          <w:highlight w:val="none"/>
        </w:rPr>
        <w:t xml:space="preserve">2、景深：3-50mm； </w:t>
      </w:r>
    </w:p>
    <w:p>
      <w:pPr>
        <w:spacing w:line="460" w:lineRule="exact"/>
        <w:ind w:firstLine="420" w:firstLineChars="200"/>
        <w:rPr>
          <w:rFonts w:hAnsi="宋体"/>
          <w:color w:val="auto"/>
          <w:szCs w:val="21"/>
          <w:highlight w:val="none"/>
        </w:rPr>
      </w:pPr>
      <w:r>
        <w:rPr>
          <w:rFonts w:hint="eastAsia" w:hAnsi="宋体"/>
          <w:color w:val="auto"/>
          <w:szCs w:val="21"/>
          <w:highlight w:val="none"/>
        </w:rPr>
        <w:t>3、视野角度：≥90°；</w:t>
      </w:r>
    </w:p>
    <w:p>
      <w:pPr>
        <w:spacing w:line="460" w:lineRule="exact"/>
        <w:ind w:firstLine="420" w:firstLineChars="200"/>
        <w:rPr>
          <w:rFonts w:hAnsi="宋体"/>
          <w:color w:val="auto"/>
          <w:szCs w:val="21"/>
          <w:highlight w:val="none"/>
        </w:rPr>
      </w:pPr>
      <w:r>
        <w:rPr>
          <w:rFonts w:hint="eastAsia" w:hAnsi="宋体"/>
          <w:color w:val="auto"/>
          <w:szCs w:val="21"/>
          <w:highlight w:val="none"/>
        </w:rPr>
        <w:t>4、插入管外径：≤5.2mm，工作通道：≥2.6mm</w:t>
      </w:r>
    </w:p>
    <w:p>
      <w:pPr>
        <w:spacing w:line="460" w:lineRule="exact"/>
        <w:ind w:firstLine="420" w:firstLineChars="200"/>
        <w:rPr>
          <w:rFonts w:hAnsi="宋体"/>
          <w:color w:val="auto"/>
          <w:szCs w:val="21"/>
          <w:highlight w:val="none"/>
        </w:rPr>
      </w:pPr>
      <w:r>
        <w:rPr>
          <w:rFonts w:hint="eastAsia" w:hAnsi="宋体"/>
          <w:color w:val="auto"/>
          <w:szCs w:val="21"/>
          <w:highlight w:val="none"/>
        </w:rPr>
        <w:t>5、插入管有效长度：≥610mm；</w:t>
      </w:r>
    </w:p>
    <w:p>
      <w:pPr>
        <w:spacing w:line="460" w:lineRule="exact"/>
        <w:ind w:firstLine="420" w:firstLineChars="200"/>
        <w:rPr>
          <w:rFonts w:hAnsi="宋体"/>
          <w:color w:val="auto"/>
          <w:szCs w:val="21"/>
          <w:highlight w:val="none"/>
        </w:rPr>
      </w:pPr>
      <w:r>
        <w:rPr>
          <w:rFonts w:hint="eastAsia" w:hAnsi="宋体"/>
          <w:color w:val="auto"/>
          <w:szCs w:val="21"/>
          <w:highlight w:val="none"/>
        </w:rPr>
        <w:t>★6、插入管先端部弯曲角度：向上弯曲≥180°，向下弯曲≥130°；</w:t>
      </w:r>
    </w:p>
    <w:p>
      <w:pPr>
        <w:spacing w:line="460" w:lineRule="exact"/>
        <w:ind w:firstLine="420" w:firstLineChars="200"/>
        <w:rPr>
          <w:rFonts w:hAnsi="宋体"/>
          <w:color w:val="auto"/>
          <w:szCs w:val="21"/>
          <w:highlight w:val="none"/>
        </w:rPr>
      </w:pPr>
      <w:r>
        <w:rPr>
          <w:rFonts w:hint="eastAsia" w:hAnsi="宋体"/>
          <w:color w:val="auto"/>
          <w:szCs w:val="21"/>
          <w:highlight w:val="none"/>
        </w:rPr>
        <w:t>7、插入管先端头外缘采用高分子绝缘材料包裹，边缘圆滑不锋利；</w:t>
      </w:r>
    </w:p>
    <w:p>
      <w:pPr>
        <w:spacing w:line="460" w:lineRule="exact"/>
        <w:ind w:firstLine="420" w:firstLineChars="200"/>
        <w:rPr>
          <w:rFonts w:hAnsi="宋体"/>
          <w:color w:val="auto"/>
          <w:szCs w:val="21"/>
          <w:highlight w:val="none"/>
        </w:rPr>
      </w:pPr>
      <w:r>
        <w:rPr>
          <w:rFonts w:hint="eastAsia" w:hAnsi="宋体"/>
          <w:color w:val="auto"/>
          <w:szCs w:val="21"/>
          <w:highlight w:val="none"/>
        </w:rPr>
        <w:t>★8、操作手柄具备功能按键≥3个，可实现拍照/录像、图像冻结、图像放大与缩小等功能；</w:t>
      </w:r>
    </w:p>
    <w:p>
      <w:pPr>
        <w:spacing w:line="460" w:lineRule="exact"/>
        <w:ind w:firstLine="420" w:firstLineChars="200"/>
        <w:rPr>
          <w:rFonts w:hAnsi="宋体"/>
          <w:color w:val="auto"/>
          <w:szCs w:val="21"/>
          <w:highlight w:val="none"/>
        </w:rPr>
      </w:pPr>
      <w:r>
        <w:rPr>
          <w:rFonts w:hint="eastAsia" w:hAnsi="宋体"/>
          <w:color w:val="auto"/>
          <w:szCs w:val="21"/>
          <w:highlight w:val="none"/>
        </w:rPr>
        <w:t>9、插入管表面刻度具有数字与图示标识；</w:t>
      </w:r>
    </w:p>
    <w:p>
      <w:pPr>
        <w:spacing w:line="460" w:lineRule="exact"/>
        <w:ind w:firstLine="420" w:firstLineChars="200"/>
        <w:rPr>
          <w:rFonts w:hAnsi="宋体"/>
          <w:color w:val="auto"/>
          <w:szCs w:val="21"/>
          <w:highlight w:val="none"/>
        </w:rPr>
      </w:pPr>
      <w:r>
        <w:rPr>
          <w:rFonts w:hint="eastAsia" w:hAnsi="宋体"/>
          <w:color w:val="auto"/>
          <w:szCs w:val="21"/>
          <w:highlight w:val="none"/>
        </w:rPr>
        <w:t>★10、固定操作手柄不动，通过调节左右旋转关节插入管可左右120°旋转；</w:t>
      </w:r>
    </w:p>
    <w:p>
      <w:pPr>
        <w:spacing w:line="460" w:lineRule="exact"/>
        <w:ind w:firstLine="420" w:firstLineChars="200"/>
        <w:rPr>
          <w:rFonts w:hAnsi="宋体"/>
          <w:color w:val="auto"/>
          <w:szCs w:val="21"/>
          <w:highlight w:val="none"/>
        </w:rPr>
      </w:pPr>
      <w:r>
        <w:rPr>
          <w:rFonts w:hint="eastAsia" w:hAnsi="宋体"/>
          <w:color w:val="auto"/>
          <w:szCs w:val="21"/>
          <w:highlight w:val="none"/>
        </w:rPr>
        <w:t>11、配备便携式图像处理器：≤3英寸显示屏；</w:t>
      </w:r>
    </w:p>
    <w:p>
      <w:pPr>
        <w:spacing w:line="460" w:lineRule="exact"/>
        <w:ind w:firstLine="420" w:firstLineChars="200"/>
        <w:rPr>
          <w:rFonts w:hAnsi="宋体"/>
          <w:color w:val="auto"/>
          <w:szCs w:val="21"/>
          <w:highlight w:val="none"/>
        </w:rPr>
      </w:pPr>
      <w:r>
        <w:rPr>
          <w:rFonts w:hint="eastAsia" w:hAnsi="宋体"/>
          <w:color w:val="auto"/>
          <w:szCs w:val="21"/>
          <w:highlight w:val="none"/>
        </w:rPr>
        <w:t>12、显示器采取非触屏式设计，防止产生误操作；</w:t>
      </w:r>
    </w:p>
    <w:p>
      <w:pPr>
        <w:spacing w:line="460" w:lineRule="exact"/>
        <w:ind w:firstLine="420" w:firstLineChars="200"/>
        <w:rPr>
          <w:rFonts w:hAnsi="宋体"/>
          <w:color w:val="auto"/>
          <w:szCs w:val="21"/>
          <w:highlight w:val="none"/>
        </w:rPr>
      </w:pPr>
      <w:r>
        <w:rPr>
          <w:rFonts w:hint="eastAsia" w:hAnsi="宋体"/>
          <w:color w:val="auto"/>
          <w:szCs w:val="21"/>
          <w:highlight w:val="none"/>
        </w:rPr>
        <w:t>13、图像显示器与操作手柄采用国际标准航空连接器，有效避免其他连接方式长时间使用后导致的通电不良；</w:t>
      </w:r>
    </w:p>
    <w:p>
      <w:pPr>
        <w:spacing w:line="460" w:lineRule="exact"/>
        <w:ind w:firstLine="420" w:firstLineChars="200"/>
        <w:rPr>
          <w:rFonts w:hAnsi="宋体"/>
          <w:color w:val="auto"/>
          <w:szCs w:val="21"/>
          <w:highlight w:val="none"/>
        </w:rPr>
      </w:pPr>
      <w:r>
        <w:rPr>
          <w:rFonts w:hint="eastAsia" w:hAnsi="宋体"/>
          <w:color w:val="auto"/>
          <w:szCs w:val="21"/>
          <w:highlight w:val="none"/>
        </w:rPr>
        <w:t>14、便携式图像处理器具备白平衡手动调节功能按键；</w:t>
      </w:r>
    </w:p>
    <w:p>
      <w:pPr>
        <w:spacing w:line="460" w:lineRule="exact"/>
        <w:ind w:firstLine="420" w:firstLineChars="200"/>
        <w:rPr>
          <w:rFonts w:hAnsi="宋体"/>
          <w:color w:val="auto"/>
          <w:szCs w:val="21"/>
          <w:highlight w:val="none"/>
        </w:rPr>
      </w:pPr>
      <w:r>
        <w:rPr>
          <w:rFonts w:hint="eastAsia" w:hAnsi="宋体"/>
          <w:color w:val="auto"/>
          <w:szCs w:val="21"/>
          <w:highlight w:val="none"/>
        </w:rPr>
        <w:t>15、</w:t>
      </w:r>
      <w:r>
        <w:rPr>
          <w:rFonts w:hint="eastAsia"/>
          <w:color w:val="auto"/>
          <w:szCs w:val="21"/>
          <w:highlight w:val="none"/>
        </w:rPr>
        <w:t>插座</w:t>
      </w:r>
      <w:r>
        <w:rPr>
          <w:rFonts w:hint="eastAsia" w:hAnsi="宋体"/>
          <w:color w:val="auto"/>
          <w:szCs w:val="21"/>
          <w:highlight w:val="none"/>
        </w:rPr>
        <w:t>部设计有独立电池座仓，无需借助工具即可方便快捷地更换锂电池；</w:t>
      </w:r>
    </w:p>
    <w:p>
      <w:pPr>
        <w:spacing w:line="460" w:lineRule="exact"/>
        <w:ind w:firstLine="420" w:firstLineChars="200"/>
        <w:rPr>
          <w:rFonts w:hAnsi="宋体"/>
          <w:color w:val="auto"/>
          <w:szCs w:val="21"/>
          <w:highlight w:val="none"/>
        </w:rPr>
      </w:pPr>
      <w:r>
        <w:rPr>
          <w:rFonts w:hint="eastAsia" w:hAnsi="宋体"/>
          <w:color w:val="auto"/>
          <w:szCs w:val="21"/>
          <w:highlight w:val="none"/>
        </w:rPr>
        <w:t>16、非专用锂电池，网上等公共渠道可采购，降低采购成本；</w:t>
      </w:r>
    </w:p>
    <w:p>
      <w:pPr>
        <w:spacing w:line="460" w:lineRule="exact"/>
        <w:ind w:firstLine="420" w:firstLineChars="200"/>
        <w:rPr>
          <w:rFonts w:hAnsi="宋体"/>
          <w:color w:val="auto"/>
          <w:szCs w:val="21"/>
          <w:highlight w:val="none"/>
        </w:rPr>
      </w:pPr>
      <w:r>
        <w:rPr>
          <w:rFonts w:hint="eastAsia" w:hAnsi="宋体"/>
          <w:color w:val="auto"/>
          <w:szCs w:val="21"/>
          <w:highlight w:val="none"/>
        </w:rPr>
        <w:t>17、图像处理器：</w:t>
      </w:r>
    </w:p>
    <w:p>
      <w:pPr>
        <w:spacing w:line="460" w:lineRule="exact"/>
        <w:ind w:firstLine="420" w:firstLineChars="200"/>
        <w:rPr>
          <w:rFonts w:hAnsi="宋体"/>
          <w:color w:val="auto"/>
          <w:szCs w:val="21"/>
          <w:highlight w:val="none"/>
        </w:rPr>
      </w:pPr>
      <w:r>
        <w:rPr>
          <w:rFonts w:hint="eastAsia" w:hAnsi="宋体"/>
          <w:color w:val="auto"/>
          <w:szCs w:val="21"/>
          <w:highlight w:val="none"/>
        </w:rPr>
        <w:t>17.1、配备＜10.5英寸液晶显示屏的一体化图象处理器，标配触摸屏；</w:t>
      </w:r>
    </w:p>
    <w:p>
      <w:pPr>
        <w:spacing w:line="460" w:lineRule="exact"/>
        <w:ind w:firstLine="420" w:firstLineChars="200"/>
        <w:rPr>
          <w:rFonts w:hAnsi="宋体"/>
          <w:color w:val="auto"/>
          <w:szCs w:val="21"/>
          <w:highlight w:val="none"/>
        </w:rPr>
      </w:pPr>
      <w:r>
        <w:rPr>
          <w:rFonts w:hint="eastAsia" w:hAnsi="宋体"/>
          <w:color w:val="auto"/>
          <w:szCs w:val="21"/>
          <w:highlight w:val="none"/>
        </w:rPr>
        <w:t>17.2、开机时间：≤5s即可显示图像；</w:t>
      </w:r>
    </w:p>
    <w:p>
      <w:pPr>
        <w:spacing w:line="460" w:lineRule="exact"/>
        <w:ind w:firstLine="420" w:firstLineChars="200"/>
        <w:rPr>
          <w:rFonts w:hAnsi="宋体"/>
          <w:color w:val="auto"/>
          <w:szCs w:val="21"/>
          <w:highlight w:val="none"/>
        </w:rPr>
      </w:pPr>
      <w:r>
        <w:rPr>
          <w:rFonts w:hint="eastAsia" w:hAnsi="宋体"/>
          <w:color w:val="auto"/>
          <w:szCs w:val="21"/>
          <w:highlight w:val="none"/>
        </w:rPr>
        <w:t>17.3、操作部连接方式：通过视频转接线与操作部显示器通电底座直接相连，无需转接；</w:t>
      </w:r>
    </w:p>
    <w:p>
      <w:pPr>
        <w:spacing w:line="460" w:lineRule="exact"/>
        <w:ind w:firstLine="420" w:firstLineChars="200"/>
        <w:rPr>
          <w:rFonts w:hAnsi="宋体"/>
          <w:color w:val="auto"/>
          <w:szCs w:val="21"/>
          <w:highlight w:val="none"/>
        </w:rPr>
      </w:pPr>
      <w:r>
        <w:rPr>
          <w:rFonts w:hint="eastAsia" w:hAnsi="宋体"/>
          <w:color w:val="auto"/>
          <w:szCs w:val="21"/>
          <w:highlight w:val="none"/>
        </w:rPr>
        <w:t>★17.4、具备录像，录音功能，可以实现录像的同时同步录音；</w:t>
      </w:r>
    </w:p>
    <w:p>
      <w:pPr>
        <w:spacing w:line="460" w:lineRule="exact"/>
        <w:ind w:firstLine="420" w:firstLineChars="200"/>
        <w:rPr>
          <w:rFonts w:hAnsi="宋体"/>
          <w:color w:val="auto"/>
          <w:szCs w:val="21"/>
          <w:highlight w:val="none"/>
        </w:rPr>
      </w:pPr>
      <w:r>
        <w:rPr>
          <w:rFonts w:hint="eastAsia" w:hAnsi="宋体"/>
          <w:color w:val="auto"/>
          <w:szCs w:val="21"/>
          <w:highlight w:val="none"/>
        </w:rPr>
        <w:t>17.5、具有视频同步输出功能：可外接显视器，自带CVBS输出接口和HDMI输出接口，可选择输出高清图像或标清图像；</w:t>
      </w:r>
    </w:p>
    <w:p>
      <w:pPr>
        <w:spacing w:line="460" w:lineRule="exact"/>
        <w:ind w:firstLine="420" w:firstLineChars="200"/>
        <w:rPr>
          <w:rFonts w:hAnsi="宋体"/>
          <w:color w:val="auto"/>
          <w:szCs w:val="21"/>
          <w:highlight w:val="none"/>
        </w:rPr>
      </w:pPr>
      <w:r>
        <w:rPr>
          <w:rFonts w:hint="eastAsia" w:hAnsi="宋体"/>
          <w:color w:val="auto"/>
          <w:szCs w:val="21"/>
          <w:highlight w:val="none"/>
        </w:rPr>
        <w:t>17.6、调节图像输出功能：外接显示器时，可向外接显示器输出16:9和4:3两种显示比例的图像；</w:t>
      </w:r>
    </w:p>
    <w:p>
      <w:pPr>
        <w:spacing w:line="460" w:lineRule="exact"/>
        <w:ind w:firstLine="420" w:firstLineChars="200"/>
        <w:rPr>
          <w:rFonts w:hAnsi="宋体"/>
          <w:color w:val="auto"/>
          <w:szCs w:val="21"/>
          <w:highlight w:val="none"/>
        </w:rPr>
      </w:pPr>
      <w:r>
        <w:rPr>
          <w:rFonts w:hint="eastAsia" w:hAnsi="宋体"/>
          <w:color w:val="auto"/>
          <w:szCs w:val="21"/>
          <w:highlight w:val="none"/>
        </w:rPr>
        <w:t>17.7、亮度调节功能：可调节操作部插入管先端部LED灯的亮度。</w:t>
      </w:r>
    </w:p>
    <w:p>
      <w:pPr>
        <w:spacing w:line="460" w:lineRule="exact"/>
        <w:ind w:firstLine="420" w:firstLineChars="200"/>
        <w:rPr>
          <w:rFonts w:hAnsi="宋体"/>
          <w:color w:val="auto"/>
          <w:szCs w:val="21"/>
          <w:highlight w:val="none"/>
        </w:rPr>
      </w:pPr>
    </w:p>
    <w:p>
      <w:pPr>
        <w:spacing w:line="460" w:lineRule="exact"/>
        <w:jc w:val="center"/>
        <w:rPr>
          <w:rFonts w:hAnsi="宋体"/>
          <w:b/>
          <w:bCs/>
          <w:color w:val="auto"/>
          <w:sz w:val="24"/>
          <w:highlight w:val="none"/>
        </w:rPr>
      </w:pPr>
      <w:r>
        <w:rPr>
          <w:rFonts w:hint="eastAsia" w:hAnsi="宋体"/>
          <w:b/>
          <w:bCs/>
          <w:color w:val="auto"/>
          <w:sz w:val="24"/>
          <w:highlight w:val="none"/>
        </w:rPr>
        <w:t>2-10 氧气袋</w:t>
      </w:r>
    </w:p>
    <w:p>
      <w:pPr>
        <w:spacing w:line="460" w:lineRule="exact"/>
        <w:ind w:firstLine="420" w:firstLineChars="200"/>
        <w:rPr>
          <w:rFonts w:hAnsi="宋体"/>
          <w:color w:val="auto"/>
          <w:szCs w:val="21"/>
          <w:highlight w:val="none"/>
        </w:rPr>
      </w:pPr>
      <w:r>
        <w:rPr>
          <w:rFonts w:hint="eastAsia" w:hAnsi="宋体"/>
          <w:color w:val="auto"/>
          <w:szCs w:val="21"/>
          <w:highlight w:val="none"/>
        </w:rPr>
        <w:t>1、采用复合面料或帆布制成；</w:t>
      </w:r>
    </w:p>
    <w:p>
      <w:pPr>
        <w:spacing w:line="460" w:lineRule="exact"/>
        <w:ind w:firstLine="420" w:firstLineChars="200"/>
        <w:rPr>
          <w:rFonts w:hAnsi="宋体"/>
          <w:color w:val="auto"/>
          <w:szCs w:val="21"/>
          <w:highlight w:val="none"/>
        </w:rPr>
      </w:pPr>
      <w:r>
        <w:rPr>
          <w:rFonts w:hint="eastAsia" w:hAnsi="宋体"/>
          <w:color w:val="auto"/>
          <w:szCs w:val="21"/>
          <w:highlight w:val="none"/>
        </w:rPr>
        <w:t>2、规格型号：特大号、大号、中号；</w:t>
      </w:r>
    </w:p>
    <w:p>
      <w:pPr>
        <w:spacing w:line="460" w:lineRule="exact"/>
        <w:ind w:firstLine="420" w:firstLineChars="200"/>
        <w:rPr>
          <w:rFonts w:hAnsi="宋体"/>
          <w:color w:val="auto"/>
          <w:szCs w:val="21"/>
          <w:highlight w:val="none"/>
        </w:rPr>
      </w:pPr>
      <w:r>
        <w:rPr>
          <w:rFonts w:hint="eastAsia" w:hAnsi="宋体"/>
          <w:color w:val="auto"/>
          <w:szCs w:val="21"/>
          <w:highlight w:val="none"/>
        </w:rPr>
        <w:t>3、氧气袋气密性：应密封良好、不泄露；</w:t>
      </w:r>
    </w:p>
    <w:p>
      <w:pPr>
        <w:spacing w:line="460" w:lineRule="exact"/>
        <w:ind w:firstLine="420" w:firstLineChars="200"/>
        <w:rPr>
          <w:rFonts w:hAnsi="宋体"/>
          <w:color w:val="auto"/>
          <w:szCs w:val="21"/>
          <w:highlight w:val="none"/>
        </w:rPr>
      </w:pPr>
      <w:r>
        <w:rPr>
          <w:rFonts w:hint="eastAsia" w:hAnsi="宋体"/>
          <w:color w:val="auto"/>
          <w:szCs w:val="21"/>
          <w:highlight w:val="none"/>
        </w:rPr>
        <w:t>4、最高使用压力：向袋内充入10KPa的压缩空气，袋体不应发生爆破；</w:t>
      </w:r>
    </w:p>
    <w:p>
      <w:pPr>
        <w:spacing w:line="460" w:lineRule="exact"/>
        <w:ind w:firstLine="420" w:firstLineChars="200"/>
        <w:rPr>
          <w:rFonts w:hAnsi="宋体"/>
          <w:color w:val="auto"/>
          <w:szCs w:val="21"/>
          <w:highlight w:val="none"/>
        </w:rPr>
      </w:pPr>
      <w:r>
        <w:rPr>
          <w:rFonts w:hint="eastAsia" w:hAnsi="宋体"/>
          <w:color w:val="auto"/>
          <w:szCs w:val="21"/>
          <w:highlight w:val="none"/>
        </w:rPr>
        <w:t>5、用于医用氧气的贮存并可供一般人群保健吸氧用。</w:t>
      </w:r>
    </w:p>
    <w:p>
      <w:pPr>
        <w:spacing w:line="460" w:lineRule="exact"/>
        <w:jc w:val="center"/>
        <w:rPr>
          <w:rFonts w:hAnsi="宋体"/>
          <w:b/>
          <w:bCs/>
          <w:color w:val="auto"/>
          <w:sz w:val="24"/>
          <w:highlight w:val="none"/>
        </w:rPr>
      </w:pPr>
    </w:p>
    <w:p>
      <w:pPr>
        <w:spacing w:line="460" w:lineRule="exact"/>
        <w:jc w:val="center"/>
        <w:rPr>
          <w:rFonts w:hAnsi="宋体"/>
          <w:b/>
          <w:bCs/>
          <w:color w:val="auto"/>
          <w:sz w:val="24"/>
          <w:highlight w:val="none"/>
        </w:rPr>
      </w:pPr>
      <w:r>
        <w:rPr>
          <w:rFonts w:hint="eastAsia" w:hAnsi="宋体"/>
          <w:b/>
          <w:bCs/>
          <w:color w:val="auto"/>
          <w:sz w:val="24"/>
          <w:highlight w:val="none"/>
        </w:rPr>
        <w:t>2-11医用氧气瓶</w:t>
      </w:r>
    </w:p>
    <w:p>
      <w:pPr>
        <w:spacing w:line="460" w:lineRule="exact"/>
        <w:ind w:firstLine="420" w:firstLineChars="200"/>
        <w:rPr>
          <w:rFonts w:hAnsi="宋体"/>
          <w:color w:val="auto"/>
          <w:szCs w:val="21"/>
          <w:highlight w:val="none"/>
        </w:rPr>
      </w:pPr>
      <w:r>
        <w:rPr>
          <w:rFonts w:hint="eastAsia" w:hAnsi="宋体"/>
          <w:color w:val="auto"/>
          <w:szCs w:val="21"/>
          <w:highlight w:val="none"/>
        </w:rPr>
        <w:t>1、规格型号：10L；</w:t>
      </w:r>
    </w:p>
    <w:p>
      <w:pPr>
        <w:spacing w:line="460" w:lineRule="exact"/>
        <w:ind w:firstLine="420" w:firstLineChars="200"/>
        <w:rPr>
          <w:rFonts w:hAnsi="宋体"/>
          <w:color w:val="auto"/>
          <w:szCs w:val="21"/>
          <w:highlight w:val="none"/>
        </w:rPr>
      </w:pPr>
      <w:r>
        <w:rPr>
          <w:rFonts w:hint="eastAsia" w:hAnsi="宋体"/>
          <w:color w:val="auto"/>
          <w:szCs w:val="21"/>
          <w:highlight w:val="none"/>
        </w:rPr>
        <w:t>2、高度：≤700mm；</w:t>
      </w:r>
    </w:p>
    <w:p>
      <w:pPr>
        <w:spacing w:line="460" w:lineRule="exact"/>
        <w:ind w:firstLine="420" w:firstLineChars="200"/>
        <w:rPr>
          <w:rFonts w:hAnsi="宋体"/>
          <w:color w:val="auto"/>
          <w:szCs w:val="21"/>
          <w:highlight w:val="none"/>
        </w:rPr>
      </w:pPr>
      <w:r>
        <w:rPr>
          <w:rFonts w:hint="eastAsia" w:hAnsi="宋体"/>
          <w:color w:val="auto"/>
          <w:szCs w:val="21"/>
          <w:highlight w:val="none"/>
        </w:rPr>
        <w:t>3、直径：≤152mm；</w:t>
      </w:r>
    </w:p>
    <w:p>
      <w:pPr>
        <w:spacing w:line="460" w:lineRule="exact"/>
        <w:ind w:firstLine="420" w:firstLineChars="200"/>
        <w:rPr>
          <w:rFonts w:hAnsi="宋体"/>
          <w:color w:val="auto"/>
          <w:szCs w:val="21"/>
          <w:highlight w:val="none"/>
        </w:rPr>
      </w:pPr>
      <w:r>
        <w:rPr>
          <w:rFonts w:hint="eastAsia" w:hAnsi="宋体"/>
          <w:color w:val="auto"/>
          <w:szCs w:val="21"/>
          <w:highlight w:val="none"/>
        </w:rPr>
        <w:t>4、壁厚：≤4.5mm；</w:t>
      </w:r>
    </w:p>
    <w:p>
      <w:pPr>
        <w:spacing w:line="460" w:lineRule="exact"/>
        <w:ind w:firstLine="420" w:firstLineChars="200"/>
        <w:rPr>
          <w:rFonts w:hAnsi="宋体"/>
          <w:color w:val="auto"/>
          <w:szCs w:val="21"/>
          <w:highlight w:val="none"/>
        </w:rPr>
      </w:pPr>
      <w:r>
        <w:rPr>
          <w:rFonts w:hint="eastAsia" w:hAnsi="宋体"/>
          <w:color w:val="auto"/>
          <w:szCs w:val="21"/>
          <w:highlight w:val="none"/>
        </w:rPr>
        <w:t>5、瓶重：≤12.6kg。</w:t>
      </w:r>
    </w:p>
    <w:p>
      <w:pPr>
        <w:spacing w:line="460" w:lineRule="exact"/>
        <w:ind w:firstLine="420" w:firstLineChars="200"/>
        <w:rPr>
          <w:rFonts w:hAnsi="宋体"/>
          <w:color w:val="auto"/>
          <w:szCs w:val="21"/>
          <w:highlight w:val="none"/>
        </w:rPr>
      </w:pPr>
    </w:p>
    <w:p>
      <w:pPr>
        <w:spacing w:line="460" w:lineRule="exact"/>
        <w:jc w:val="center"/>
        <w:rPr>
          <w:rFonts w:hAnsi="宋体"/>
          <w:b/>
          <w:bCs/>
          <w:color w:val="auto"/>
          <w:sz w:val="24"/>
          <w:highlight w:val="none"/>
        </w:rPr>
      </w:pPr>
      <w:r>
        <w:rPr>
          <w:rFonts w:hint="eastAsia" w:hAnsi="宋体"/>
          <w:b/>
          <w:bCs/>
          <w:color w:val="auto"/>
          <w:sz w:val="24"/>
          <w:highlight w:val="none"/>
        </w:rPr>
        <w:t>2-12 数字式多道心电图机</w:t>
      </w:r>
    </w:p>
    <w:p>
      <w:pPr>
        <w:spacing w:line="460" w:lineRule="exact"/>
        <w:ind w:firstLine="420" w:firstLineChars="200"/>
        <w:rPr>
          <w:rFonts w:hAnsi="宋体"/>
          <w:color w:val="auto"/>
          <w:szCs w:val="21"/>
          <w:highlight w:val="none"/>
        </w:rPr>
      </w:pPr>
      <w:r>
        <w:rPr>
          <w:rFonts w:hint="eastAsia" w:hAnsi="宋体"/>
          <w:color w:val="auto"/>
          <w:szCs w:val="21"/>
          <w:highlight w:val="none"/>
        </w:rPr>
        <w:t xml:space="preserve">1、工作条件： </w:t>
      </w:r>
    </w:p>
    <w:p>
      <w:pPr>
        <w:spacing w:line="460" w:lineRule="exact"/>
        <w:ind w:firstLine="420" w:firstLineChars="200"/>
        <w:rPr>
          <w:rFonts w:hAnsi="宋体"/>
          <w:color w:val="auto"/>
          <w:szCs w:val="21"/>
          <w:highlight w:val="none"/>
        </w:rPr>
      </w:pPr>
      <w:r>
        <w:rPr>
          <w:rFonts w:hint="eastAsia" w:hAnsi="宋体"/>
          <w:color w:val="auto"/>
          <w:szCs w:val="21"/>
          <w:highlight w:val="none"/>
        </w:rPr>
        <w:t>1.1  电源参数：交流220V，50/60Hz。</w:t>
      </w:r>
    </w:p>
    <w:p>
      <w:pPr>
        <w:spacing w:line="460" w:lineRule="exact"/>
        <w:ind w:firstLine="420" w:firstLineChars="200"/>
        <w:rPr>
          <w:rFonts w:hAnsi="宋体"/>
          <w:color w:val="auto"/>
          <w:szCs w:val="21"/>
          <w:highlight w:val="none"/>
        </w:rPr>
      </w:pPr>
      <w:r>
        <w:rPr>
          <w:rFonts w:hint="eastAsia" w:hAnsi="宋体"/>
          <w:color w:val="auto"/>
          <w:szCs w:val="21"/>
          <w:highlight w:val="none"/>
        </w:rPr>
        <w:t>2、 ECG输入</w:t>
      </w:r>
    </w:p>
    <w:p>
      <w:pPr>
        <w:spacing w:line="460" w:lineRule="exact"/>
        <w:ind w:firstLine="420" w:firstLineChars="200"/>
        <w:rPr>
          <w:rFonts w:hAnsi="宋体"/>
          <w:color w:val="auto"/>
          <w:szCs w:val="21"/>
          <w:highlight w:val="none"/>
        </w:rPr>
      </w:pPr>
      <w:r>
        <w:rPr>
          <w:rFonts w:hint="eastAsia" w:hAnsi="宋体"/>
          <w:color w:val="auto"/>
          <w:szCs w:val="21"/>
          <w:highlight w:val="none"/>
        </w:rPr>
        <w:t>2.1  ECG输入通道：标准12导联心电信息同步采集；</w:t>
      </w:r>
    </w:p>
    <w:p>
      <w:pPr>
        <w:spacing w:line="460" w:lineRule="exact"/>
        <w:ind w:firstLine="420" w:firstLineChars="200"/>
        <w:rPr>
          <w:rFonts w:hAnsi="宋体"/>
          <w:color w:val="auto"/>
          <w:szCs w:val="21"/>
          <w:highlight w:val="none"/>
        </w:rPr>
      </w:pPr>
      <w:r>
        <w:rPr>
          <w:rFonts w:hint="eastAsia" w:hAnsi="宋体"/>
          <w:color w:val="auto"/>
          <w:szCs w:val="21"/>
          <w:highlight w:val="none"/>
        </w:rPr>
        <w:t>2.2  导联线：三叉式导联线，有效减少导联缠绕（提供图片证明）。</w:t>
      </w:r>
    </w:p>
    <w:p>
      <w:pPr>
        <w:spacing w:line="460" w:lineRule="exact"/>
        <w:ind w:firstLine="420" w:firstLineChars="200"/>
        <w:rPr>
          <w:rFonts w:hAnsi="宋体"/>
          <w:color w:val="auto"/>
          <w:szCs w:val="21"/>
          <w:highlight w:val="none"/>
        </w:rPr>
      </w:pPr>
      <w:r>
        <w:rPr>
          <w:rFonts w:hint="eastAsia" w:hAnsi="宋体"/>
          <w:color w:val="auto"/>
          <w:szCs w:val="21"/>
          <w:highlight w:val="none"/>
        </w:rPr>
        <w:t>3、技术及性能：</w:t>
      </w:r>
    </w:p>
    <w:p>
      <w:pPr>
        <w:spacing w:line="460" w:lineRule="exact"/>
        <w:ind w:firstLine="420" w:firstLineChars="200"/>
        <w:rPr>
          <w:rFonts w:hAnsi="宋体"/>
          <w:color w:val="auto"/>
          <w:szCs w:val="21"/>
          <w:highlight w:val="none"/>
        </w:rPr>
      </w:pPr>
      <w:r>
        <w:rPr>
          <w:rFonts w:hint="eastAsia" w:hAnsi="宋体"/>
          <w:color w:val="auto"/>
          <w:szCs w:val="21"/>
          <w:highlight w:val="none"/>
        </w:rPr>
        <w:t>3.1  A/D转换：24bit；</w:t>
      </w:r>
    </w:p>
    <w:p>
      <w:pPr>
        <w:spacing w:line="460" w:lineRule="exact"/>
        <w:ind w:firstLine="420" w:firstLineChars="200"/>
        <w:rPr>
          <w:rFonts w:hAnsi="宋体"/>
          <w:color w:val="auto"/>
          <w:szCs w:val="21"/>
          <w:highlight w:val="none"/>
        </w:rPr>
      </w:pPr>
      <w:r>
        <w:rPr>
          <w:rFonts w:hint="eastAsia" w:hAnsi="宋体"/>
          <w:color w:val="auto"/>
          <w:szCs w:val="21"/>
          <w:highlight w:val="none"/>
        </w:rPr>
        <w:t>3.2  采样率：</w:t>
      </w:r>
      <w:r>
        <w:rPr>
          <w:rFonts w:hint="eastAsia" w:ascii="Calibri" w:hAnsi="Calibri"/>
          <w:color w:val="auto"/>
          <w:sz w:val="28"/>
          <w:szCs w:val="32"/>
          <w:highlight w:val="none"/>
        </w:rPr>
        <w:t>≥</w:t>
      </w:r>
      <w:r>
        <w:rPr>
          <w:rFonts w:hint="eastAsia" w:hAnsi="宋体"/>
          <w:color w:val="auto"/>
          <w:szCs w:val="21"/>
          <w:highlight w:val="none"/>
        </w:rPr>
        <w:t>31000Hz（提供证明）；</w:t>
      </w:r>
    </w:p>
    <w:p>
      <w:pPr>
        <w:spacing w:line="460" w:lineRule="exact"/>
        <w:ind w:firstLine="420" w:firstLineChars="200"/>
        <w:rPr>
          <w:rFonts w:hAnsi="宋体"/>
          <w:color w:val="auto"/>
          <w:szCs w:val="21"/>
          <w:highlight w:val="none"/>
        </w:rPr>
      </w:pPr>
      <w:r>
        <w:rPr>
          <w:rFonts w:hint="eastAsia" w:hAnsi="宋体"/>
          <w:color w:val="auto"/>
          <w:szCs w:val="21"/>
          <w:highlight w:val="none"/>
        </w:rPr>
        <w:t>3.3  频响范围0.01-330HZ（提供证明），增益设置：2.5、5、10、20mm/mV ；</w:t>
      </w:r>
    </w:p>
    <w:p>
      <w:pPr>
        <w:spacing w:line="460" w:lineRule="exact"/>
        <w:ind w:firstLine="420" w:firstLineChars="200"/>
        <w:rPr>
          <w:rFonts w:hAnsi="宋体"/>
          <w:color w:val="auto"/>
          <w:szCs w:val="21"/>
          <w:highlight w:val="none"/>
        </w:rPr>
      </w:pPr>
      <w:r>
        <w:rPr>
          <w:rFonts w:hint="eastAsia" w:hAnsi="宋体"/>
          <w:color w:val="auto"/>
          <w:szCs w:val="21"/>
          <w:highlight w:val="none"/>
        </w:rPr>
        <w:t>3.4 数据格式：ZQECG、PNG、PDF，设备内置存储器，支持外接U盘、SD卡扩展存储空间 、扫描枪、读卡器、鼠标、键盘、激光打印机等外置设备（提供证明）；</w:t>
      </w:r>
    </w:p>
    <w:p>
      <w:pPr>
        <w:spacing w:line="460" w:lineRule="exact"/>
        <w:ind w:firstLine="420" w:firstLineChars="200"/>
        <w:rPr>
          <w:rFonts w:hAnsi="宋体"/>
          <w:color w:val="auto"/>
          <w:szCs w:val="21"/>
          <w:highlight w:val="none"/>
        </w:rPr>
      </w:pPr>
      <w:r>
        <w:rPr>
          <w:rFonts w:hint="eastAsia" w:hAnsi="宋体"/>
          <w:color w:val="auto"/>
          <w:szCs w:val="21"/>
          <w:highlight w:val="none"/>
        </w:rPr>
        <w:t>3.5 支持有线/WiFi联网，不借助PC工作站可直接连接到HIS、EMR等医院信息系统；</w:t>
      </w:r>
    </w:p>
    <w:p>
      <w:pPr>
        <w:spacing w:line="460" w:lineRule="exact"/>
        <w:ind w:firstLine="420" w:firstLineChars="200"/>
        <w:rPr>
          <w:rFonts w:hAnsi="宋体"/>
          <w:color w:val="auto"/>
          <w:szCs w:val="21"/>
          <w:highlight w:val="none"/>
        </w:rPr>
      </w:pPr>
      <w:r>
        <w:rPr>
          <w:rFonts w:hint="eastAsia" w:hAnsi="宋体"/>
          <w:color w:val="auto"/>
          <w:szCs w:val="21"/>
          <w:highlight w:val="none"/>
        </w:rPr>
        <w:t>3.6  可精准还原人体微弱电信号、检测单腔起搏和双腔起搏（提供图片证明）；</w:t>
      </w:r>
    </w:p>
    <w:p>
      <w:pPr>
        <w:spacing w:line="460" w:lineRule="exact"/>
        <w:ind w:firstLine="420" w:firstLineChars="200"/>
        <w:rPr>
          <w:rFonts w:hAnsi="宋体"/>
          <w:color w:val="auto"/>
          <w:szCs w:val="21"/>
          <w:highlight w:val="none"/>
        </w:rPr>
      </w:pPr>
      <w:r>
        <w:rPr>
          <w:rFonts w:hint="eastAsia" w:hAnsi="宋体"/>
          <w:color w:val="auto"/>
          <w:szCs w:val="21"/>
          <w:highlight w:val="none"/>
        </w:rPr>
        <w:t>3.7 时间基准：5、6.25、12.5、25、50 mm/s ±3%；</w:t>
      </w:r>
    </w:p>
    <w:p>
      <w:pPr>
        <w:spacing w:line="460" w:lineRule="exact"/>
        <w:ind w:firstLine="420" w:firstLineChars="200"/>
        <w:rPr>
          <w:rFonts w:hAnsi="宋体"/>
          <w:color w:val="auto"/>
          <w:szCs w:val="21"/>
          <w:highlight w:val="none"/>
        </w:rPr>
      </w:pPr>
      <w:r>
        <w:rPr>
          <w:rFonts w:hint="eastAsia" w:hAnsi="宋体"/>
          <w:color w:val="auto"/>
          <w:szCs w:val="21"/>
          <w:highlight w:val="none"/>
        </w:rPr>
        <w:t>3.8可区分性别、年龄段、用药和种族进行自动分析（提供证明）；</w:t>
      </w:r>
    </w:p>
    <w:p>
      <w:pPr>
        <w:spacing w:line="460" w:lineRule="exact"/>
        <w:ind w:firstLine="420" w:firstLineChars="200"/>
        <w:rPr>
          <w:rFonts w:hAnsi="宋体"/>
          <w:color w:val="auto"/>
          <w:szCs w:val="21"/>
          <w:highlight w:val="none"/>
        </w:rPr>
      </w:pPr>
      <w:r>
        <w:rPr>
          <w:rFonts w:hint="eastAsia" w:hAnsi="宋体"/>
          <w:color w:val="auto"/>
          <w:szCs w:val="21"/>
          <w:highlight w:val="none"/>
        </w:rPr>
        <w:t>★3.9心肌梗死特异性分析：具备对ST段抬高型心肌梗死的特异性分析（提供证明）；</w:t>
      </w:r>
    </w:p>
    <w:p>
      <w:pPr>
        <w:spacing w:line="460" w:lineRule="exact"/>
        <w:ind w:firstLine="420" w:firstLineChars="200"/>
        <w:rPr>
          <w:rFonts w:hAnsi="宋体"/>
          <w:color w:val="auto"/>
          <w:szCs w:val="21"/>
          <w:highlight w:val="none"/>
        </w:rPr>
      </w:pPr>
      <w:r>
        <w:rPr>
          <w:rFonts w:hint="eastAsia" w:hAnsi="宋体"/>
          <w:color w:val="auto"/>
          <w:szCs w:val="21"/>
          <w:highlight w:val="none"/>
        </w:rPr>
        <w:t>3.10可本机直接发送Email(提供证明）；</w:t>
      </w:r>
    </w:p>
    <w:p>
      <w:pPr>
        <w:spacing w:line="460" w:lineRule="exact"/>
        <w:ind w:firstLine="420" w:firstLineChars="200"/>
        <w:rPr>
          <w:rFonts w:hAnsi="宋体"/>
          <w:color w:val="auto"/>
          <w:szCs w:val="21"/>
          <w:highlight w:val="none"/>
        </w:rPr>
      </w:pPr>
      <w:r>
        <w:rPr>
          <w:rFonts w:hAnsi="宋体"/>
          <w:color w:val="auto"/>
          <w:szCs w:val="21"/>
          <w:highlight w:val="none"/>
        </w:rPr>
        <w:t>4、外观：</w:t>
      </w:r>
    </w:p>
    <w:p>
      <w:pPr>
        <w:spacing w:line="460" w:lineRule="exact"/>
        <w:ind w:firstLine="420" w:firstLineChars="200"/>
        <w:rPr>
          <w:rFonts w:hAnsi="宋体"/>
          <w:color w:val="auto"/>
          <w:szCs w:val="21"/>
          <w:highlight w:val="none"/>
        </w:rPr>
      </w:pPr>
      <w:r>
        <w:rPr>
          <w:rFonts w:hint="eastAsia" w:hAnsi="宋体"/>
          <w:color w:val="auto"/>
          <w:szCs w:val="21"/>
          <w:highlight w:val="none"/>
        </w:rPr>
        <w:t xml:space="preserve">4.1 </w:t>
      </w:r>
      <w:r>
        <w:rPr>
          <w:rFonts w:hint="eastAsia" w:ascii="Calibri" w:hAnsi="Calibri"/>
          <w:color w:val="auto"/>
          <w:sz w:val="28"/>
          <w:szCs w:val="32"/>
          <w:highlight w:val="none"/>
        </w:rPr>
        <w:t>≥</w:t>
      </w:r>
      <w:r>
        <w:rPr>
          <w:rFonts w:hint="eastAsia" w:hAnsi="宋体"/>
          <w:color w:val="auto"/>
          <w:szCs w:val="21"/>
          <w:highlight w:val="none"/>
        </w:rPr>
        <w:t>15英寸医用显示屏（提供图片证明）；</w:t>
      </w:r>
    </w:p>
    <w:p>
      <w:pPr>
        <w:spacing w:line="460" w:lineRule="exact"/>
        <w:ind w:firstLine="420" w:firstLineChars="200"/>
        <w:rPr>
          <w:rFonts w:hAnsi="宋体"/>
          <w:color w:val="auto"/>
          <w:szCs w:val="21"/>
          <w:highlight w:val="none"/>
        </w:rPr>
      </w:pPr>
      <w:r>
        <w:rPr>
          <w:rFonts w:hint="eastAsia" w:hAnsi="宋体"/>
          <w:color w:val="auto"/>
          <w:szCs w:val="21"/>
          <w:highlight w:val="none"/>
        </w:rPr>
        <w:t>4.2 全键盘设计，并有轨迹球式鼠标配合快捷操作（提供图片证明）；</w:t>
      </w:r>
    </w:p>
    <w:p>
      <w:pPr>
        <w:spacing w:line="460" w:lineRule="exact"/>
        <w:ind w:firstLine="420" w:firstLineChars="200"/>
        <w:rPr>
          <w:rFonts w:hAnsi="宋体"/>
          <w:color w:val="auto"/>
          <w:szCs w:val="21"/>
          <w:highlight w:val="none"/>
        </w:rPr>
      </w:pPr>
      <w:r>
        <w:rPr>
          <w:rFonts w:hint="eastAsia" w:hAnsi="宋体"/>
          <w:color w:val="auto"/>
          <w:szCs w:val="21"/>
          <w:highlight w:val="none"/>
        </w:rPr>
        <w:t>4.3 显示信息：同屏显示12道心电波形；</w:t>
      </w:r>
    </w:p>
    <w:p>
      <w:pPr>
        <w:spacing w:line="460" w:lineRule="exact"/>
        <w:ind w:firstLine="420" w:firstLineChars="200"/>
        <w:rPr>
          <w:rFonts w:hAnsi="宋体"/>
          <w:color w:val="auto"/>
          <w:szCs w:val="21"/>
          <w:highlight w:val="none"/>
        </w:rPr>
      </w:pPr>
      <w:r>
        <w:rPr>
          <w:rFonts w:hint="eastAsia" w:hAnsi="宋体"/>
          <w:color w:val="auto"/>
          <w:szCs w:val="21"/>
          <w:highlight w:val="none"/>
        </w:rPr>
        <w:t>4.4内置热敏记录装置，可同步热敏打印十二道心电波形。</w:t>
      </w:r>
    </w:p>
    <w:p>
      <w:pPr>
        <w:spacing w:line="460" w:lineRule="exact"/>
        <w:ind w:firstLine="420" w:firstLineChars="200"/>
        <w:rPr>
          <w:rFonts w:hAnsi="宋体"/>
          <w:color w:val="auto"/>
          <w:szCs w:val="21"/>
          <w:highlight w:val="none"/>
        </w:rPr>
      </w:pPr>
    </w:p>
    <w:p>
      <w:pPr>
        <w:spacing w:line="460" w:lineRule="exact"/>
        <w:jc w:val="center"/>
        <w:rPr>
          <w:rFonts w:hAnsi="宋体"/>
          <w:b/>
          <w:bCs/>
          <w:color w:val="auto"/>
          <w:sz w:val="24"/>
          <w:highlight w:val="none"/>
        </w:rPr>
      </w:pPr>
      <w:r>
        <w:rPr>
          <w:rFonts w:hint="eastAsia" w:hAnsi="宋体"/>
          <w:b/>
          <w:bCs/>
          <w:color w:val="auto"/>
          <w:sz w:val="24"/>
          <w:highlight w:val="none"/>
        </w:rPr>
        <w:t>2-13 动态血压记录仪</w:t>
      </w:r>
    </w:p>
    <w:p>
      <w:pPr>
        <w:spacing w:line="460" w:lineRule="exact"/>
        <w:ind w:firstLine="420" w:firstLineChars="200"/>
        <w:rPr>
          <w:rFonts w:hAnsi="宋体"/>
          <w:color w:val="auto"/>
          <w:szCs w:val="21"/>
          <w:highlight w:val="none"/>
        </w:rPr>
      </w:pPr>
      <w:r>
        <w:rPr>
          <w:rFonts w:hint="eastAsia" w:hAnsi="宋体"/>
          <w:color w:val="auto"/>
          <w:szCs w:val="21"/>
          <w:highlight w:val="none"/>
        </w:rPr>
        <w:t>（一）性能参数：</w:t>
      </w:r>
    </w:p>
    <w:p>
      <w:pPr>
        <w:spacing w:line="460" w:lineRule="exact"/>
        <w:ind w:firstLine="420" w:firstLineChars="200"/>
        <w:rPr>
          <w:rFonts w:hAnsi="宋体"/>
          <w:color w:val="auto"/>
          <w:szCs w:val="21"/>
          <w:highlight w:val="none"/>
        </w:rPr>
      </w:pPr>
      <w:r>
        <w:rPr>
          <w:rFonts w:hint="eastAsia" w:hAnsi="宋体"/>
          <w:color w:val="auto"/>
          <w:szCs w:val="21"/>
          <w:highlight w:val="none"/>
        </w:rPr>
        <w:t>1、测量方式：自动、手动臂式测量；</w:t>
      </w:r>
    </w:p>
    <w:p>
      <w:pPr>
        <w:spacing w:line="460" w:lineRule="exact"/>
        <w:ind w:firstLine="420" w:firstLineChars="200"/>
        <w:rPr>
          <w:rFonts w:hAnsi="宋体"/>
          <w:color w:val="auto"/>
          <w:szCs w:val="21"/>
          <w:highlight w:val="none"/>
        </w:rPr>
      </w:pPr>
      <w:r>
        <w:rPr>
          <w:rFonts w:hint="eastAsia" w:hAnsi="宋体"/>
          <w:color w:val="auto"/>
          <w:szCs w:val="21"/>
          <w:highlight w:val="none"/>
        </w:rPr>
        <w:t>2、测量方法：振荡示波测量法；</w:t>
      </w:r>
    </w:p>
    <w:p>
      <w:pPr>
        <w:spacing w:line="460" w:lineRule="exact"/>
        <w:ind w:firstLine="420" w:firstLineChars="200"/>
        <w:rPr>
          <w:rFonts w:hAnsi="宋体"/>
          <w:color w:val="auto"/>
          <w:szCs w:val="21"/>
          <w:highlight w:val="none"/>
        </w:rPr>
      </w:pPr>
      <w:r>
        <w:rPr>
          <w:rFonts w:hint="eastAsia" w:hAnsi="宋体"/>
          <w:color w:val="auto"/>
          <w:szCs w:val="21"/>
          <w:highlight w:val="none"/>
        </w:rPr>
        <w:t>3、测量范围：</w:t>
      </w:r>
    </w:p>
    <w:p>
      <w:pPr>
        <w:spacing w:line="460" w:lineRule="exact"/>
        <w:ind w:firstLine="420" w:firstLineChars="200"/>
        <w:rPr>
          <w:rFonts w:hAnsi="宋体"/>
          <w:color w:val="auto"/>
          <w:szCs w:val="21"/>
          <w:highlight w:val="none"/>
        </w:rPr>
      </w:pPr>
      <w:r>
        <w:rPr>
          <w:rFonts w:hint="eastAsia" w:hAnsi="宋体"/>
          <w:color w:val="auto"/>
          <w:szCs w:val="21"/>
          <w:highlight w:val="none"/>
        </w:rPr>
        <w:t>3.1收缩压：40mmHg～270mmHg；</w:t>
      </w:r>
    </w:p>
    <w:p>
      <w:pPr>
        <w:spacing w:line="460" w:lineRule="exact"/>
        <w:ind w:firstLine="420" w:firstLineChars="200"/>
        <w:rPr>
          <w:rFonts w:hAnsi="宋体"/>
          <w:color w:val="auto"/>
          <w:szCs w:val="21"/>
          <w:highlight w:val="none"/>
        </w:rPr>
      </w:pPr>
      <w:r>
        <w:rPr>
          <w:rFonts w:hint="eastAsia" w:hAnsi="宋体"/>
          <w:color w:val="auto"/>
          <w:szCs w:val="21"/>
          <w:highlight w:val="none"/>
        </w:rPr>
        <w:t>3.2舒张压：10mmHg～215mmHg；</w:t>
      </w:r>
    </w:p>
    <w:p>
      <w:pPr>
        <w:spacing w:line="460" w:lineRule="exact"/>
        <w:ind w:firstLine="420" w:firstLineChars="200"/>
        <w:rPr>
          <w:rFonts w:hAnsi="宋体"/>
          <w:color w:val="auto"/>
          <w:szCs w:val="21"/>
          <w:highlight w:val="none"/>
        </w:rPr>
      </w:pPr>
      <w:r>
        <w:rPr>
          <w:rFonts w:hint="eastAsia" w:hAnsi="宋体"/>
          <w:color w:val="auto"/>
          <w:szCs w:val="21"/>
          <w:highlight w:val="none"/>
        </w:rPr>
        <w:t>3.3平均压：20mmHg～235mmHg；</w:t>
      </w:r>
    </w:p>
    <w:p>
      <w:pPr>
        <w:spacing w:line="460" w:lineRule="exact"/>
        <w:ind w:firstLine="420" w:firstLineChars="200"/>
        <w:rPr>
          <w:rFonts w:hAnsi="宋体"/>
          <w:color w:val="auto"/>
          <w:szCs w:val="21"/>
          <w:highlight w:val="none"/>
        </w:rPr>
      </w:pPr>
      <w:r>
        <w:rPr>
          <w:rFonts w:hint="eastAsia" w:hAnsi="宋体"/>
          <w:color w:val="auto"/>
          <w:szCs w:val="21"/>
          <w:highlight w:val="none"/>
        </w:rPr>
        <w:t>3.4脉率：40～240次/分。</w:t>
      </w:r>
    </w:p>
    <w:p>
      <w:pPr>
        <w:spacing w:line="460" w:lineRule="exact"/>
        <w:ind w:firstLine="420" w:firstLineChars="200"/>
        <w:rPr>
          <w:rFonts w:hAnsi="宋体"/>
          <w:color w:val="auto"/>
          <w:szCs w:val="21"/>
          <w:highlight w:val="none"/>
        </w:rPr>
      </w:pPr>
      <w:r>
        <w:rPr>
          <w:rFonts w:hint="eastAsia" w:hAnsi="宋体"/>
          <w:color w:val="auto"/>
          <w:szCs w:val="21"/>
          <w:highlight w:val="none"/>
        </w:rPr>
        <w:t>★4、记录时间：≥48h；</w:t>
      </w:r>
    </w:p>
    <w:p>
      <w:pPr>
        <w:spacing w:line="460" w:lineRule="exact"/>
        <w:ind w:firstLine="420" w:firstLineChars="200"/>
        <w:rPr>
          <w:rFonts w:hAnsi="宋体"/>
          <w:color w:val="auto"/>
          <w:szCs w:val="21"/>
          <w:highlight w:val="none"/>
        </w:rPr>
      </w:pPr>
      <w:r>
        <w:rPr>
          <w:rFonts w:hint="eastAsia" w:hAnsi="宋体"/>
          <w:color w:val="auto"/>
          <w:szCs w:val="21"/>
          <w:highlight w:val="none"/>
        </w:rPr>
        <w:t>★5、存储容量：≥500组数据；</w:t>
      </w:r>
    </w:p>
    <w:p>
      <w:pPr>
        <w:spacing w:line="460" w:lineRule="exact"/>
        <w:ind w:firstLine="420" w:firstLineChars="200"/>
        <w:rPr>
          <w:rFonts w:hAnsi="宋体"/>
          <w:color w:val="auto"/>
          <w:szCs w:val="21"/>
          <w:highlight w:val="none"/>
        </w:rPr>
      </w:pPr>
      <w:r>
        <w:rPr>
          <w:rFonts w:hint="eastAsia" w:hAnsi="宋体"/>
          <w:color w:val="auto"/>
          <w:szCs w:val="21"/>
          <w:highlight w:val="none"/>
        </w:rPr>
        <w:t>6、测量协议：支持昼、夜、特殊时段，三段方案不同测量间隔；</w:t>
      </w:r>
    </w:p>
    <w:p>
      <w:pPr>
        <w:spacing w:line="460" w:lineRule="exact"/>
        <w:ind w:firstLine="420" w:firstLineChars="200"/>
        <w:rPr>
          <w:rFonts w:hAnsi="宋体"/>
          <w:color w:val="auto"/>
          <w:szCs w:val="21"/>
          <w:highlight w:val="none"/>
        </w:rPr>
      </w:pPr>
      <w:r>
        <w:rPr>
          <w:rFonts w:hint="eastAsia" w:hAnsi="宋体"/>
          <w:color w:val="auto"/>
          <w:szCs w:val="21"/>
          <w:highlight w:val="none"/>
        </w:rPr>
        <w:t>7、测量间隔：至少包括5、10、15、20、30、45、60、90、120（min）；</w:t>
      </w:r>
    </w:p>
    <w:p>
      <w:pPr>
        <w:spacing w:line="460" w:lineRule="exact"/>
        <w:ind w:firstLine="420" w:firstLineChars="200"/>
        <w:rPr>
          <w:rFonts w:hAnsi="宋体"/>
          <w:color w:val="auto"/>
          <w:szCs w:val="21"/>
          <w:highlight w:val="none"/>
        </w:rPr>
      </w:pPr>
      <w:r>
        <w:rPr>
          <w:rFonts w:hint="eastAsia" w:hAnsi="宋体"/>
          <w:color w:val="auto"/>
          <w:szCs w:val="21"/>
          <w:highlight w:val="none"/>
        </w:rPr>
        <w:t>8、测量时间：≤60s/次；</w:t>
      </w:r>
    </w:p>
    <w:p>
      <w:pPr>
        <w:spacing w:line="460" w:lineRule="exact"/>
        <w:ind w:firstLine="420" w:firstLineChars="200"/>
        <w:rPr>
          <w:rFonts w:hAnsi="宋体"/>
          <w:color w:val="auto"/>
          <w:szCs w:val="21"/>
          <w:highlight w:val="none"/>
        </w:rPr>
      </w:pPr>
      <w:r>
        <w:rPr>
          <w:rFonts w:hint="eastAsia" w:hAnsi="宋体"/>
          <w:color w:val="auto"/>
          <w:szCs w:val="21"/>
          <w:highlight w:val="none"/>
        </w:rPr>
        <w:t>9、补测功能：自我识别系统，若系统测量失败可在2min内自动补测；</w:t>
      </w:r>
    </w:p>
    <w:p>
      <w:pPr>
        <w:spacing w:line="460" w:lineRule="exact"/>
        <w:ind w:firstLine="420" w:firstLineChars="200"/>
        <w:rPr>
          <w:rFonts w:hAnsi="宋体"/>
          <w:color w:val="auto"/>
          <w:szCs w:val="21"/>
          <w:highlight w:val="none"/>
        </w:rPr>
      </w:pPr>
      <w:r>
        <w:rPr>
          <w:rFonts w:hint="eastAsia" w:hAnsi="宋体"/>
          <w:color w:val="auto"/>
          <w:szCs w:val="21"/>
          <w:highlight w:val="none"/>
        </w:rPr>
        <w:t>10、测量精确度：±3mmHg；</w:t>
      </w:r>
    </w:p>
    <w:p>
      <w:pPr>
        <w:spacing w:line="460" w:lineRule="exact"/>
        <w:ind w:firstLine="420" w:firstLineChars="200"/>
        <w:rPr>
          <w:rFonts w:hAnsi="宋体"/>
          <w:color w:val="auto"/>
          <w:szCs w:val="21"/>
          <w:highlight w:val="none"/>
        </w:rPr>
      </w:pPr>
      <w:r>
        <w:rPr>
          <w:rFonts w:hint="eastAsia" w:hAnsi="宋体"/>
          <w:color w:val="auto"/>
          <w:szCs w:val="21"/>
          <w:highlight w:val="none"/>
        </w:rPr>
        <w:t>11、安全系统：最高血压测量值310 mmHg，自动安全能量释放装置；</w:t>
      </w:r>
    </w:p>
    <w:p>
      <w:pPr>
        <w:spacing w:line="460" w:lineRule="exact"/>
        <w:ind w:firstLine="420" w:firstLineChars="200"/>
        <w:rPr>
          <w:rFonts w:hAnsi="宋体"/>
          <w:color w:val="auto"/>
          <w:szCs w:val="21"/>
          <w:highlight w:val="none"/>
        </w:rPr>
      </w:pPr>
      <w:r>
        <w:rPr>
          <w:rFonts w:hint="eastAsia" w:hAnsi="宋体"/>
          <w:color w:val="auto"/>
          <w:szCs w:val="21"/>
          <w:highlight w:val="none"/>
        </w:rPr>
        <w:t>12、液晶屏显示：每次测量的收缩压（SYS）、舒张压（DIA）、平均动脉压（MAP）、脉率（HR），并具有低电量提示、报警提示、错误代码、时间显示功能；</w:t>
      </w:r>
    </w:p>
    <w:p>
      <w:pPr>
        <w:spacing w:line="460" w:lineRule="exact"/>
        <w:ind w:firstLine="420" w:firstLineChars="200"/>
        <w:rPr>
          <w:rFonts w:hAnsi="宋体"/>
          <w:color w:val="auto"/>
          <w:szCs w:val="21"/>
          <w:highlight w:val="none"/>
        </w:rPr>
      </w:pPr>
      <w:r>
        <w:rPr>
          <w:rFonts w:hint="eastAsia" w:hAnsi="宋体"/>
          <w:color w:val="auto"/>
          <w:szCs w:val="21"/>
          <w:highlight w:val="none"/>
        </w:rPr>
        <w:t>13、与电脑传输方式：USB数据线；</w:t>
      </w:r>
    </w:p>
    <w:p>
      <w:pPr>
        <w:spacing w:line="460" w:lineRule="exact"/>
        <w:ind w:firstLine="420" w:firstLineChars="200"/>
        <w:rPr>
          <w:rFonts w:hAnsi="宋体"/>
          <w:color w:val="auto"/>
          <w:szCs w:val="21"/>
          <w:highlight w:val="none"/>
        </w:rPr>
      </w:pPr>
      <w:r>
        <w:rPr>
          <w:rFonts w:hint="eastAsia" w:hAnsi="宋体"/>
          <w:color w:val="auto"/>
          <w:szCs w:val="21"/>
          <w:highlight w:val="none"/>
        </w:rPr>
        <w:t>14、电源：两节5号AA碱性电池；</w:t>
      </w:r>
    </w:p>
    <w:p>
      <w:pPr>
        <w:spacing w:line="460" w:lineRule="exact"/>
        <w:ind w:firstLine="420" w:firstLineChars="200"/>
        <w:rPr>
          <w:rFonts w:hAnsi="宋体"/>
          <w:color w:val="auto"/>
          <w:szCs w:val="21"/>
          <w:highlight w:val="none"/>
        </w:rPr>
      </w:pPr>
      <w:r>
        <w:rPr>
          <w:rFonts w:hint="eastAsia" w:hAnsi="宋体"/>
          <w:color w:val="auto"/>
          <w:szCs w:val="21"/>
          <w:highlight w:val="none"/>
        </w:rPr>
        <w:t>15、记录盒重量：≤260g。</w:t>
      </w:r>
    </w:p>
    <w:p>
      <w:pPr>
        <w:spacing w:line="460" w:lineRule="exact"/>
        <w:ind w:firstLine="420" w:firstLineChars="200"/>
        <w:rPr>
          <w:rFonts w:hAnsi="宋体"/>
          <w:color w:val="auto"/>
          <w:szCs w:val="21"/>
          <w:highlight w:val="none"/>
        </w:rPr>
      </w:pPr>
      <w:r>
        <w:rPr>
          <w:rFonts w:hint="eastAsia" w:hAnsi="宋体"/>
          <w:color w:val="auto"/>
          <w:szCs w:val="21"/>
          <w:highlight w:val="none"/>
        </w:rPr>
        <w:t>（二）软件功能：</w:t>
      </w:r>
    </w:p>
    <w:p>
      <w:pPr>
        <w:spacing w:line="460" w:lineRule="exact"/>
        <w:ind w:firstLine="420" w:firstLineChars="200"/>
        <w:rPr>
          <w:rFonts w:hAnsi="宋体"/>
          <w:color w:val="auto"/>
          <w:szCs w:val="21"/>
          <w:highlight w:val="none"/>
        </w:rPr>
      </w:pPr>
      <w:r>
        <w:rPr>
          <w:rFonts w:hint="eastAsia" w:hAnsi="宋体"/>
          <w:color w:val="auto"/>
          <w:szCs w:val="21"/>
          <w:highlight w:val="none"/>
        </w:rPr>
        <w:t>★1、血压报告编辑工具：数据表，血压勺状趋势图，血压升降彩色填充趋势图，血压柱状图，频率柱状图，PR/MAP/PP柱状图，饼图，离散度拟合线，频率柱状图，血压负荷值，昼夜血压变化节律，血压变异系数，24h脉率，晨峰血压；</w:t>
      </w:r>
    </w:p>
    <w:p>
      <w:pPr>
        <w:spacing w:line="460" w:lineRule="exact"/>
        <w:ind w:firstLine="420" w:firstLineChars="200"/>
        <w:rPr>
          <w:rFonts w:hAnsi="宋体"/>
          <w:color w:val="auto"/>
          <w:szCs w:val="21"/>
          <w:highlight w:val="none"/>
        </w:rPr>
      </w:pPr>
      <w:r>
        <w:rPr>
          <w:rFonts w:hint="eastAsia" w:hAnsi="宋体"/>
          <w:color w:val="auto"/>
          <w:szCs w:val="21"/>
          <w:highlight w:val="none"/>
        </w:rPr>
        <w:t>2、对于意外过高或过低的血压，可对数据进行编辑和添加注解，从而得到合理的血压趋势图；</w:t>
      </w:r>
    </w:p>
    <w:p>
      <w:pPr>
        <w:spacing w:line="460" w:lineRule="exact"/>
        <w:ind w:firstLine="420" w:firstLineChars="200"/>
        <w:rPr>
          <w:rFonts w:hAnsi="宋体"/>
          <w:color w:val="auto"/>
          <w:szCs w:val="21"/>
          <w:highlight w:val="none"/>
        </w:rPr>
      </w:pPr>
      <w:r>
        <w:rPr>
          <w:rFonts w:hint="eastAsia" w:hAnsi="宋体"/>
          <w:color w:val="auto"/>
          <w:szCs w:val="21"/>
          <w:highlight w:val="none"/>
        </w:rPr>
        <w:t>3、采样数据库支持多个账户登录，支持多种报告模板；</w:t>
      </w:r>
    </w:p>
    <w:p>
      <w:pPr>
        <w:spacing w:line="460" w:lineRule="exact"/>
        <w:ind w:firstLine="420" w:firstLineChars="200"/>
        <w:rPr>
          <w:rFonts w:hAnsi="宋体"/>
          <w:color w:val="auto"/>
          <w:szCs w:val="21"/>
          <w:highlight w:val="none"/>
        </w:rPr>
      </w:pPr>
      <w:r>
        <w:rPr>
          <w:rFonts w:hint="eastAsia" w:hAnsi="宋体"/>
          <w:color w:val="auto"/>
          <w:szCs w:val="21"/>
          <w:highlight w:val="none"/>
        </w:rPr>
        <w:t>4、提供远程传输服务，通过客户端软件将患者信息、病例上传，通过专家端软件下载病例、出具诊断报告，回传到客户端软件；</w:t>
      </w:r>
    </w:p>
    <w:p>
      <w:pPr>
        <w:spacing w:line="460" w:lineRule="exact"/>
        <w:ind w:firstLine="420" w:firstLineChars="200"/>
        <w:rPr>
          <w:rFonts w:hAnsi="宋体"/>
          <w:color w:val="auto"/>
          <w:szCs w:val="21"/>
          <w:highlight w:val="none"/>
        </w:rPr>
      </w:pPr>
      <w:r>
        <w:rPr>
          <w:rFonts w:hint="eastAsia" w:hAnsi="宋体"/>
          <w:color w:val="auto"/>
          <w:szCs w:val="21"/>
          <w:highlight w:val="none"/>
        </w:rPr>
        <w:t>5、用智能模糊测量法，克服由于患者预期测量时间而产生的紧张情绪造成的测量数据不客观的现象；</w:t>
      </w:r>
    </w:p>
    <w:p>
      <w:pPr>
        <w:spacing w:line="460" w:lineRule="exact"/>
        <w:ind w:firstLine="420" w:firstLineChars="200"/>
        <w:rPr>
          <w:rFonts w:hAnsi="宋体"/>
          <w:color w:val="auto"/>
          <w:szCs w:val="21"/>
          <w:highlight w:val="none"/>
        </w:rPr>
      </w:pPr>
      <w:r>
        <w:rPr>
          <w:rFonts w:hint="eastAsia" w:hAnsi="宋体"/>
          <w:color w:val="auto"/>
          <w:szCs w:val="21"/>
          <w:highlight w:val="none"/>
        </w:rPr>
        <w:t>6、电池电量低时会出现警报声（即发出"滴滴滴"三声报警声音），可以提醒用户更换电池；</w:t>
      </w:r>
    </w:p>
    <w:p>
      <w:pPr>
        <w:spacing w:line="460" w:lineRule="exact"/>
        <w:ind w:firstLine="420" w:firstLineChars="200"/>
        <w:rPr>
          <w:rFonts w:hAnsi="宋体"/>
          <w:color w:val="auto"/>
          <w:szCs w:val="21"/>
          <w:highlight w:val="none"/>
        </w:rPr>
      </w:pPr>
      <w:r>
        <w:rPr>
          <w:rFonts w:hint="eastAsia" w:hAnsi="宋体"/>
          <w:color w:val="auto"/>
          <w:szCs w:val="21"/>
          <w:highlight w:val="none"/>
        </w:rPr>
        <w:t>7、快速简便的设置，事件按钮，准确记录突发事件。</w:t>
      </w:r>
    </w:p>
    <w:p>
      <w:pPr>
        <w:spacing w:line="460" w:lineRule="exact"/>
        <w:jc w:val="center"/>
        <w:rPr>
          <w:rFonts w:hAnsi="宋体"/>
          <w:b/>
          <w:bCs/>
          <w:color w:val="auto"/>
          <w:sz w:val="24"/>
          <w:highlight w:val="none"/>
        </w:rPr>
      </w:pPr>
    </w:p>
    <w:p>
      <w:pPr>
        <w:spacing w:line="460" w:lineRule="exact"/>
        <w:jc w:val="center"/>
        <w:rPr>
          <w:rFonts w:hAnsi="宋体"/>
          <w:b/>
          <w:bCs/>
          <w:color w:val="auto"/>
          <w:sz w:val="24"/>
          <w:highlight w:val="none"/>
        </w:rPr>
      </w:pPr>
      <w:r>
        <w:rPr>
          <w:rFonts w:hint="eastAsia" w:hAnsi="宋体"/>
          <w:b/>
          <w:bCs/>
          <w:color w:val="auto"/>
          <w:sz w:val="24"/>
          <w:highlight w:val="none"/>
        </w:rPr>
        <w:t>2-14 电子血压计1</w:t>
      </w:r>
    </w:p>
    <w:p>
      <w:pPr>
        <w:spacing w:line="460" w:lineRule="exact"/>
        <w:ind w:firstLine="420" w:firstLineChars="200"/>
        <w:rPr>
          <w:rFonts w:hAnsi="宋体"/>
          <w:color w:val="auto"/>
          <w:szCs w:val="21"/>
          <w:highlight w:val="none"/>
        </w:rPr>
      </w:pPr>
      <w:r>
        <w:rPr>
          <w:rFonts w:hint="eastAsia" w:hAnsi="宋体"/>
          <w:color w:val="auto"/>
          <w:szCs w:val="21"/>
          <w:highlight w:val="none"/>
        </w:rPr>
        <w:t>1、由本体和袖带组成，手臂式。</w:t>
      </w:r>
    </w:p>
    <w:p>
      <w:pPr>
        <w:spacing w:line="460" w:lineRule="exact"/>
        <w:ind w:firstLine="420" w:firstLineChars="200"/>
        <w:rPr>
          <w:rFonts w:hAnsi="宋体"/>
          <w:color w:val="auto"/>
          <w:szCs w:val="21"/>
          <w:highlight w:val="none"/>
        </w:rPr>
      </w:pPr>
      <w:r>
        <w:rPr>
          <w:rFonts w:hint="eastAsia" w:hAnsi="宋体"/>
          <w:color w:val="auto"/>
          <w:szCs w:val="21"/>
          <w:highlight w:val="none"/>
        </w:rPr>
        <w:t>2、显示：数字式显示方式；测量方式：示波测定法。</w:t>
      </w:r>
    </w:p>
    <w:p>
      <w:pPr>
        <w:spacing w:line="460" w:lineRule="exact"/>
        <w:ind w:firstLine="420" w:firstLineChars="200"/>
        <w:rPr>
          <w:rFonts w:hAnsi="宋体"/>
          <w:color w:val="auto"/>
          <w:szCs w:val="21"/>
          <w:highlight w:val="none"/>
        </w:rPr>
      </w:pPr>
      <w:r>
        <w:rPr>
          <w:rFonts w:hint="eastAsia" w:hAnsi="宋体"/>
          <w:color w:val="auto"/>
          <w:szCs w:val="21"/>
          <w:highlight w:val="none"/>
        </w:rPr>
        <w:t>3、测量范围：压力：0mmHg-299 mmHg，脉搏数：40次/分-180次/分。</w:t>
      </w:r>
    </w:p>
    <w:p>
      <w:pPr>
        <w:spacing w:line="460" w:lineRule="exact"/>
        <w:ind w:firstLine="420" w:firstLineChars="200"/>
        <w:rPr>
          <w:rFonts w:hAnsi="宋体"/>
          <w:color w:val="auto"/>
          <w:szCs w:val="21"/>
          <w:highlight w:val="none"/>
        </w:rPr>
      </w:pPr>
      <w:r>
        <w:rPr>
          <w:rFonts w:hint="eastAsia" w:hAnsi="宋体"/>
          <w:color w:val="auto"/>
          <w:szCs w:val="21"/>
          <w:highlight w:val="none"/>
        </w:rPr>
        <w:t>4、臂周范围：220mm-320mm。</w:t>
      </w:r>
    </w:p>
    <w:p>
      <w:pPr>
        <w:spacing w:line="460" w:lineRule="exact"/>
        <w:ind w:firstLine="420" w:firstLineChars="200"/>
        <w:rPr>
          <w:rFonts w:hAnsi="宋体"/>
          <w:color w:val="auto"/>
          <w:szCs w:val="21"/>
          <w:highlight w:val="none"/>
        </w:rPr>
      </w:pPr>
      <w:r>
        <w:rPr>
          <w:rFonts w:hint="eastAsia" w:hAnsi="宋体"/>
          <w:color w:val="auto"/>
          <w:szCs w:val="21"/>
          <w:highlight w:val="none"/>
        </w:rPr>
        <w:t>5、用于测量成人血压及脉搏数。</w:t>
      </w:r>
    </w:p>
    <w:p>
      <w:pPr>
        <w:spacing w:line="460" w:lineRule="exact"/>
        <w:ind w:firstLine="420" w:firstLineChars="200"/>
        <w:rPr>
          <w:rFonts w:hAnsi="宋体"/>
          <w:color w:val="auto"/>
          <w:szCs w:val="21"/>
          <w:highlight w:val="none"/>
        </w:rPr>
      </w:pPr>
    </w:p>
    <w:p>
      <w:pPr>
        <w:spacing w:line="460" w:lineRule="exact"/>
        <w:jc w:val="center"/>
        <w:rPr>
          <w:rFonts w:hAnsi="宋体"/>
          <w:b/>
          <w:bCs/>
          <w:color w:val="auto"/>
          <w:sz w:val="24"/>
          <w:highlight w:val="none"/>
        </w:rPr>
      </w:pPr>
      <w:r>
        <w:rPr>
          <w:rFonts w:hint="eastAsia" w:hAnsi="宋体"/>
          <w:b/>
          <w:bCs/>
          <w:color w:val="auto"/>
          <w:sz w:val="24"/>
          <w:highlight w:val="none"/>
        </w:rPr>
        <w:t>2-15 电子血压计2</w:t>
      </w:r>
    </w:p>
    <w:p>
      <w:pPr>
        <w:spacing w:line="460" w:lineRule="exact"/>
        <w:ind w:firstLine="420" w:firstLineChars="200"/>
        <w:rPr>
          <w:rFonts w:hAnsi="宋体"/>
          <w:color w:val="auto"/>
          <w:szCs w:val="21"/>
          <w:highlight w:val="none"/>
        </w:rPr>
      </w:pPr>
      <w:r>
        <w:rPr>
          <w:rFonts w:hint="eastAsia" w:hAnsi="宋体"/>
          <w:color w:val="auto"/>
          <w:szCs w:val="21"/>
          <w:highlight w:val="none"/>
        </w:rPr>
        <w:t>1、由本体和袖带组成，手腕式。</w:t>
      </w:r>
    </w:p>
    <w:p>
      <w:pPr>
        <w:spacing w:line="460" w:lineRule="exact"/>
        <w:ind w:firstLine="420" w:firstLineChars="200"/>
        <w:rPr>
          <w:rFonts w:hAnsi="宋体"/>
          <w:color w:val="auto"/>
          <w:szCs w:val="21"/>
          <w:highlight w:val="none"/>
        </w:rPr>
      </w:pPr>
      <w:r>
        <w:rPr>
          <w:rFonts w:hint="eastAsia" w:hAnsi="宋体"/>
          <w:color w:val="auto"/>
          <w:szCs w:val="21"/>
          <w:highlight w:val="none"/>
        </w:rPr>
        <w:t>2、显示：数字式显示方式；测量方式：示波测定法。</w:t>
      </w:r>
    </w:p>
    <w:p>
      <w:pPr>
        <w:spacing w:line="460" w:lineRule="exact"/>
        <w:ind w:firstLine="420" w:firstLineChars="200"/>
        <w:rPr>
          <w:rFonts w:hAnsi="宋体"/>
          <w:color w:val="auto"/>
          <w:szCs w:val="21"/>
          <w:highlight w:val="none"/>
        </w:rPr>
      </w:pPr>
      <w:r>
        <w:rPr>
          <w:rFonts w:hint="eastAsia" w:hAnsi="宋体"/>
          <w:color w:val="auto"/>
          <w:szCs w:val="21"/>
          <w:highlight w:val="none"/>
        </w:rPr>
        <w:t>3、测量范围：压力：0mmHg-299 mmHg，脉搏数：40次/分-180次/分。</w:t>
      </w:r>
    </w:p>
    <w:p>
      <w:pPr>
        <w:spacing w:line="460" w:lineRule="exact"/>
        <w:ind w:firstLine="420" w:firstLineChars="200"/>
        <w:rPr>
          <w:rFonts w:hAnsi="宋体"/>
          <w:color w:val="auto"/>
          <w:szCs w:val="21"/>
          <w:highlight w:val="none"/>
        </w:rPr>
      </w:pPr>
      <w:r>
        <w:rPr>
          <w:rFonts w:hint="eastAsia" w:hAnsi="宋体"/>
          <w:color w:val="auto"/>
          <w:szCs w:val="21"/>
          <w:highlight w:val="none"/>
        </w:rPr>
        <w:t>4、用于测量成人血压及脉搏数。</w:t>
      </w:r>
    </w:p>
    <w:p>
      <w:pPr>
        <w:spacing w:line="460" w:lineRule="exact"/>
        <w:jc w:val="center"/>
        <w:rPr>
          <w:rFonts w:hAnsi="宋体"/>
          <w:b/>
          <w:bCs/>
          <w:color w:val="auto"/>
          <w:sz w:val="24"/>
          <w:highlight w:val="none"/>
        </w:rPr>
      </w:pPr>
    </w:p>
    <w:p>
      <w:pPr>
        <w:spacing w:line="460" w:lineRule="exact"/>
        <w:jc w:val="center"/>
        <w:rPr>
          <w:rFonts w:hAnsi="宋体"/>
          <w:b/>
          <w:bCs/>
          <w:color w:val="auto"/>
          <w:sz w:val="24"/>
          <w:highlight w:val="none"/>
        </w:rPr>
      </w:pPr>
      <w:r>
        <w:rPr>
          <w:rFonts w:hint="eastAsia" w:hAnsi="宋体"/>
          <w:b/>
          <w:bCs/>
          <w:color w:val="auto"/>
          <w:sz w:val="24"/>
          <w:highlight w:val="none"/>
        </w:rPr>
        <w:t>2-16 急救箱</w:t>
      </w:r>
    </w:p>
    <w:p>
      <w:pPr>
        <w:spacing w:line="460" w:lineRule="exact"/>
        <w:ind w:firstLine="420" w:firstLineChars="200"/>
        <w:rPr>
          <w:rFonts w:hAnsi="宋体"/>
          <w:color w:val="auto"/>
          <w:szCs w:val="21"/>
          <w:highlight w:val="none"/>
        </w:rPr>
      </w:pPr>
      <w:r>
        <w:rPr>
          <w:rFonts w:hint="eastAsia" w:hAnsi="宋体"/>
          <w:color w:val="auto"/>
          <w:szCs w:val="21"/>
          <w:highlight w:val="none"/>
        </w:rPr>
        <w:t>1、材质：外观采用复合ABS光面材质，铝合金固箱，内部EVA加绒布贴合；</w:t>
      </w:r>
    </w:p>
    <w:p>
      <w:pPr>
        <w:spacing w:line="460" w:lineRule="exact"/>
        <w:ind w:firstLine="420" w:firstLineChars="200"/>
        <w:rPr>
          <w:rFonts w:hAnsi="宋体"/>
          <w:color w:val="auto"/>
          <w:szCs w:val="21"/>
          <w:highlight w:val="none"/>
        </w:rPr>
      </w:pPr>
      <w:r>
        <w:rPr>
          <w:rFonts w:hint="eastAsia" w:hAnsi="宋体"/>
          <w:color w:val="auto"/>
          <w:szCs w:val="21"/>
          <w:highlight w:val="none"/>
        </w:rPr>
        <w:t>2、产品尺寸：46*32*19cm ±1cm；</w:t>
      </w:r>
    </w:p>
    <w:p>
      <w:pPr>
        <w:spacing w:line="460" w:lineRule="exact"/>
        <w:ind w:firstLine="420" w:firstLineChars="200"/>
        <w:rPr>
          <w:rFonts w:hAnsi="宋体"/>
          <w:color w:val="auto"/>
          <w:szCs w:val="21"/>
          <w:highlight w:val="none"/>
        </w:rPr>
      </w:pPr>
      <w:r>
        <w:rPr>
          <w:rFonts w:hint="eastAsia" w:hAnsi="宋体"/>
          <w:color w:val="auto"/>
          <w:szCs w:val="21"/>
          <w:highlight w:val="none"/>
        </w:rPr>
        <w:t>3、内部设计：急救箱采用双层设计，箱内采用EVA发泡，设计成可移动，可自由组装的EVA隔板，再配上透明隔板，使里面配置物一目了然，取用方便，摆放美观；</w:t>
      </w:r>
    </w:p>
    <w:p>
      <w:pPr>
        <w:spacing w:line="460" w:lineRule="exact"/>
        <w:ind w:firstLine="420" w:firstLineChars="200"/>
        <w:rPr>
          <w:rFonts w:hAnsi="宋体"/>
          <w:color w:val="auto"/>
          <w:szCs w:val="21"/>
          <w:highlight w:val="none"/>
        </w:rPr>
      </w:pPr>
      <w:r>
        <w:rPr>
          <w:rFonts w:hint="eastAsia" w:hAnsi="宋体"/>
          <w:color w:val="auto"/>
          <w:szCs w:val="21"/>
          <w:highlight w:val="none"/>
        </w:rPr>
        <w:t>4、外部设计：醒目的急救标识，安全锁口，银行押款箱A级手提；</w:t>
      </w:r>
    </w:p>
    <w:p>
      <w:pPr>
        <w:spacing w:line="460" w:lineRule="exact"/>
        <w:ind w:firstLine="420" w:firstLineChars="200"/>
        <w:rPr>
          <w:rFonts w:hAnsi="宋体"/>
          <w:color w:val="auto"/>
          <w:szCs w:val="21"/>
          <w:highlight w:val="none"/>
        </w:rPr>
      </w:pPr>
      <w:r>
        <w:rPr>
          <w:rFonts w:hint="eastAsia" w:hAnsi="宋体"/>
          <w:color w:val="auto"/>
          <w:szCs w:val="21"/>
          <w:highlight w:val="none"/>
        </w:rPr>
        <w:t>5、携带方式：单肩背、手提；</w:t>
      </w:r>
    </w:p>
    <w:p>
      <w:pPr>
        <w:spacing w:line="460" w:lineRule="exact"/>
        <w:ind w:firstLine="420" w:firstLineChars="200"/>
        <w:rPr>
          <w:rFonts w:hAnsi="宋体"/>
          <w:color w:val="auto"/>
          <w:szCs w:val="21"/>
          <w:highlight w:val="none"/>
        </w:rPr>
      </w:pPr>
      <w:r>
        <w:rPr>
          <w:rFonts w:hint="eastAsia" w:hAnsi="宋体"/>
          <w:color w:val="auto"/>
          <w:szCs w:val="21"/>
          <w:highlight w:val="none"/>
        </w:rPr>
        <w:t>6、适用场所：疾控中心、120急救中心、医院各科室、校医务室、工厂酒店办公室等。</w:t>
      </w:r>
    </w:p>
    <w:p>
      <w:pPr>
        <w:spacing w:line="460" w:lineRule="exact"/>
        <w:ind w:firstLine="420" w:firstLineChars="200"/>
        <w:rPr>
          <w:rFonts w:hAnsi="宋体"/>
          <w:color w:val="auto"/>
          <w:szCs w:val="21"/>
          <w:highlight w:val="none"/>
        </w:rPr>
      </w:pPr>
    </w:p>
    <w:p>
      <w:pPr>
        <w:spacing w:line="460" w:lineRule="exact"/>
        <w:jc w:val="center"/>
        <w:rPr>
          <w:rFonts w:hAnsi="宋体"/>
          <w:b/>
          <w:bCs/>
          <w:color w:val="auto"/>
          <w:sz w:val="24"/>
          <w:highlight w:val="none"/>
        </w:rPr>
      </w:pPr>
      <w:r>
        <w:rPr>
          <w:rFonts w:hint="eastAsia" w:hAnsi="宋体"/>
          <w:b/>
          <w:bCs/>
          <w:color w:val="auto"/>
          <w:sz w:val="24"/>
          <w:highlight w:val="none"/>
        </w:rPr>
        <w:t>2-17 急救包</w:t>
      </w:r>
    </w:p>
    <w:p>
      <w:pPr>
        <w:spacing w:line="460" w:lineRule="exact"/>
        <w:ind w:firstLine="420" w:firstLineChars="200"/>
        <w:rPr>
          <w:rFonts w:hAnsi="宋体"/>
          <w:color w:val="auto"/>
          <w:szCs w:val="21"/>
          <w:highlight w:val="none"/>
        </w:rPr>
      </w:pPr>
      <w:r>
        <w:rPr>
          <w:rFonts w:hint="eastAsia" w:hAnsi="宋体"/>
          <w:color w:val="auto"/>
          <w:szCs w:val="21"/>
          <w:highlight w:val="none"/>
        </w:rPr>
        <w:t>1、外观采用全新的牛津面料，不易褪色，结实耐用，卡扣固包，美观又实用，不锈钢肩扣，不易折断，镍氢镀拉头，经久耐用，防水防摩擦脚垫；</w:t>
      </w:r>
    </w:p>
    <w:p>
      <w:pPr>
        <w:spacing w:line="460" w:lineRule="exact"/>
        <w:ind w:firstLine="420" w:firstLineChars="200"/>
        <w:rPr>
          <w:rFonts w:hAnsi="宋体"/>
          <w:color w:val="auto"/>
          <w:szCs w:val="21"/>
          <w:highlight w:val="none"/>
        </w:rPr>
      </w:pPr>
      <w:r>
        <w:rPr>
          <w:rFonts w:hint="eastAsia" w:hAnsi="宋体"/>
          <w:color w:val="auto"/>
          <w:szCs w:val="21"/>
          <w:highlight w:val="none"/>
        </w:rPr>
        <w:t>2、内部设计：黑色里布，不易弄脏，方便清洗；隔层丰富，方便物品分类和安放诊断医用工具及各类医用耗材；</w:t>
      </w:r>
    </w:p>
    <w:p>
      <w:pPr>
        <w:spacing w:line="460" w:lineRule="exact"/>
        <w:ind w:firstLine="420" w:firstLineChars="200"/>
        <w:rPr>
          <w:rFonts w:hAnsi="宋体"/>
          <w:color w:val="auto"/>
          <w:szCs w:val="21"/>
          <w:highlight w:val="none"/>
        </w:rPr>
      </w:pPr>
      <w:r>
        <w:rPr>
          <w:rFonts w:hint="eastAsia" w:hAnsi="宋体"/>
          <w:color w:val="auto"/>
          <w:szCs w:val="21"/>
          <w:highlight w:val="none"/>
        </w:rPr>
        <w:t>3、外部设计：醒目的急救标识，安全卡扣，舒适的手提；</w:t>
      </w:r>
    </w:p>
    <w:p>
      <w:pPr>
        <w:spacing w:line="460" w:lineRule="exact"/>
        <w:ind w:firstLine="420" w:firstLineChars="200"/>
        <w:rPr>
          <w:rFonts w:hAnsi="宋体"/>
          <w:color w:val="auto"/>
          <w:szCs w:val="21"/>
          <w:highlight w:val="none"/>
        </w:rPr>
      </w:pPr>
      <w:r>
        <w:rPr>
          <w:rFonts w:hint="eastAsia" w:hAnsi="宋体"/>
          <w:color w:val="auto"/>
          <w:szCs w:val="21"/>
          <w:highlight w:val="none"/>
        </w:rPr>
        <w:t>4、产品尺寸：63*28*33cm（±2cm）；</w:t>
      </w:r>
    </w:p>
    <w:p>
      <w:pPr>
        <w:spacing w:line="460" w:lineRule="exact"/>
        <w:ind w:firstLine="420" w:firstLineChars="200"/>
        <w:rPr>
          <w:rFonts w:hAnsi="宋体"/>
          <w:color w:val="auto"/>
          <w:szCs w:val="21"/>
          <w:highlight w:val="none"/>
        </w:rPr>
      </w:pPr>
      <w:r>
        <w:rPr>
          <w:rFonts w:hint="eastAsia" w:hAnsi="宋体"/>
          <w:color w:val="auto"/>
          <w:szCs w:val="21"/>
          <w:highlight w:val="none"/>
        </w:rPr>
        <w:t>5、携带方式：手提，单肩斜跨；</w:t>
      </w:r>
    </w:p>
    <w:p>
      <w:pPr>
        <w:spacing w:line="460" w:lineRule="exact"/>
        <w:ind w:firstLine="420" w:firstLineChars="200"/>
        <w:rPr>
          <w:rFonts w:hAnsi="宋体"/>
          <w:color w:val="auto"/>
          <w:szCs w:val="21"/>
          <w:highlight w:val="none"/>
        </w:rPr>
      </w:pPr>
      <w:r>
        <w:rPr>
          <w:rFonts w:hint="eastAsia" w:hAnsi="宋体"/>
          <w:color w:val="auto"/>
          <w:szCs w:val="21"/>
          <w:highlight w:val="none"/>
        </w:rPr>
        <w:t>6、适用场合： 120急救中心、医院各科室、救援队伍、生活场所等。</w:t>
      </w:r>
    </w:p>
    <w:p>
      <w:pPr>
        <w:spacing w:line="460" w:lineRule="exact"/>
        <w:ind w:firstLine="420" w:firstLineChars="200"/>
        <w:rPr>
          <w:rFonts w:hAnsi="宋体"/>
          <w:color w:val="auto"/>
          <w:szCs w:val="21"/>
          <w:highlight w:val="none"/>
        </w:rPr>
      </w:pPr>
    </w:p>
    <w:p>
      <w:pPr>
        <w:spacing w:line="460" w:lineRule="exact"/>
        <w:jc w:val="center"/>
        <w:rPr>
          <w:rFonts w:hAnsi="宋体"/>
          <w:b/>
          <w:bCs/>
          <w:color w:val="auto"/>
          <w:sz w:val="24"/>
          <w:highlight w:val="none"/>
        </w:rPr>
      </w:pPr>
      <w:r>
        <w:rPr>
          <w:rFonts w:hint="eastAsia" w:hAnsi="宋体"/>
          <w:b/>
          <w:bCs/>
          <w:color w:val="auto"/>
          <w:sz w:val="24"/>
          <w:highlight w:val="none"/>
        </w:rPr>
        <w:t>2-18 电动洗胃机</w:t>
      </w:r>
    </w:p>
    <w:p>
      <w:pPr>
        <w:spacing w:line="460" w:lineRule="exact"/>
        <w:ind w:firstLine="420" w:firstLineChars="200"/>
        <w:rPr>
          <w:rFonts w:hAnsi="宋体"/>
          <w:color w:val="auto"/>
          <w:szCs w:val="21"/>
          <w:highlight w:val="none"/>
        </w:rPr>
      </w:pPr>
      <w:r>
        <w:rPr>
          <w:rFonts w:hint="eastAsia" w:hAnsi="宋体"/>
          <w:color w:val="auto"/>
          <w:szCs w:val="21"/>
          <w:highlight w:val="none"/>
        </w:rPr>
        <w:t>1、技术规格：</w:t>
      </w:r>
    </w:p>
    <w:p>
      <w:pPr>
        <w:spacing w:line="460" w:lineRule="exact"/>
        <w:ind w:firstLine="420" w:firstLineChars="200"/>
        <w:rPr>
          <w:rFonts w:hAnsi="宋体"/>
          <w:color w:val="auto"/>
          <w:szCs w:val="21"/>
          <w:highlight w:val="none"/>
        </w:rPr>
      </w:pPr>
      <w:r>
        <w:rPr>
          <w:rFonts w:hint="eastAsia" w:hAnsi="宋体"/>
          <w:color w:val="auto"/>
          <w:szCs w:val="21"/>
          <w:highlight w:val="none"/>
        </w:rPr>
        <w:t>1.1结构：以无油蠕动泵为动力，无堵塞结构，无需过滤网，有效防止洗胃过程带来危险；</w:t>
      </w:r>
    </w:p>
    <w:p>
      <w:pPr>
        <w:spacing w:line="460" w:lineRule="exact"/>
        <w:ind w:firstLine="420" w:firstLineChars="200"/>
        <w:rPr>
          <w:rFonts w:hAnsi="宋体"/>
          <w:color w:val="auto"/>
          <w:szCs w:val="21"/>
          <w:highlight w:val="none"/>
        </w:rPr>
      </w:pPr>
      <w:r>
        <w:rPr>
          <w:rFonts w:hint="eastAsia" w:hAnsi="宋体"/>
          <w:color w:val="auto"/>
          <w:szCs w:val="21"/>
          <w:highlight w:val="none"/>
        </w:rPr>
        <w:t>1.2压力反馈控制系统，强力换向防堵结构，机器无堵塞、卡死现象；</w:t>
      </w:r>
    </w:p>
    <w:p>
      <w:pPr>
        <w:spacing w:line="460" w:lineRule="exact"/>
        <w:ind w:firstLine="420" w:firstLineChars="200"/>
        <w:rPr>
          <w:rFonts w:hAnsi="宋体"/>
          <w:color w:val="auto"/>
          <w:szCs w:val="21"/>
          <w:highlight w:val="none"/>
        </w:rPr>
      </w:pPr>
      <w:r>
        <w:rPr>
          <w:rFonts w:hint="eastAsia" w:hAnsi="宋体"/>
          <w:color w:val="auto"/>
          <w:szCs w:val="21"/>
          <w:highlight w:val="none"/>
        </w:rPr>
        <w:t>1.3压力、液量双重安全保护，确保患者安全，提高救治效率；</w:t>
      </w:r>
    </w:p>
    <w:p>
      <w:pPr>
        <w:spacing w:line="460" w:lineRule="exact"/>
        <w:ind w:firstLine="420" w:firstLineChars="200"/>
        <w:rPr>
          <w:rFonts w:hAnsi="宋体"/>
          <w:color w:val="auto"/>
          <w:szCs w:val="21"/>
          <w:highlight w:val="none"/>
        </w:rPr>
      </w:pPr>
      <w:r>
        <w:rPr>
          <w:rFonts w:hint="eastAsia" w:hAnsi="宋体"/>
          <w:color w:val="auto"/>
          <w:szCs w:val="21"/>
          <w:highlight w:val="none"/>
        </w:rPr>
        <w:t>★1.4具有自动和手动两种洗胃模式、洗胃时，实时显示洗胃模式、压力、状态、次数。</w:t>
      </w:r>
    </w:p>
    <w:p>
      <w:pPr>
        <w:spacing w:line="460" w:lineRule="exact"/>
        <w:ind w:firstLine="420" w:firstLineChars="200"/>
        <w:rPr>
          <w:rFonts w:hAnsi="宋体"/>
          <w:color w:val="auto"/>
          <w:szCs w:val="21"/>
          <w:highlight w:val="none"/>
        </w:rPr>
      </w:pPr>
      <w:r>
        <w:rPr>
          <w:rFonts w:hint="eastAsia" w:hAnsi="宋体"/>
          <w:color w:val="auto"/>
          <w:szCs w:val="21"/>
          <w:highlight w:val="none"/>
        </w:rPr>
        <w:t>1.5采用微电脑控制，全中文液晶显示。</w:t>
      </w:r>
    </w:p>
    <w:p>
      <w:pPr>
        <w:spacing w:line="460" w:lineRule="exact"/>
        <w:ind w:firstLine="420" w:firstLineChars="200"/>
        <w:rPr>
          <w:rFonts w:hAnsi="宋体"/>
          <w:color w:val="auto"/>
          <w:szCs w:val="21"/>
          <w:highlight w:val="none"/>
        </w:rPr>
      </w:pPr>
      <w:r>
        <w:rPr>
          <w:rFonts w:hint="eastAsia" w:hAnsi="宋体"/>
          <w:color w:val="auto"/>
          <w:szCs w:val="21"/>
          <w:highlight w:val="none"/>
        </w:rPr>
        <w:t>2、主要功能：</w:t>
      </w:r>
    </w:p>
    <w:p>
      <w:pPr>
        <w:spacing w:line="460" w:lineRule="exact"/>
        <w:ind w:firstLine="420" w:firstLineChars="200"/>
        <w:rPr>
          <w:rFonts w:hAnsi="宋体"/>
          <w:color w:val="auto"/>
          <w:szCs w:val="21"/>
          <w:highlight w:val="none"/>
        </w:rPr>
      </w:pPr>
      <w:r>
        <w:rPr>
          <w:rFonts w:hint="eastAsia" w:hAnsi="宋体"/>
          <w:color w:val="auto"/>
          <w:szCs w:val="21"/>
          <w:highlight w:val="none"/>
        </w:rPr>
        <w:t>2.1洗胃：进液和出液异步进行，先出液后进液；</w:t>
      </w:r>
    </w:p>
    <w:p>
      <w:pPr>
        <w:spacing w:line="460" w:lineRule="exact"/>
        <w:ind w:firstLine="420" w:firstLineChars="200"/>
        <w:rPr>
          <w:rFonts w:hAnsi="宋体"/>
          <w:color w:val="auto"/>
          <w:szCs w:val="21"/>
          <w:highlight w:val="none"/>
        </w:rPr>
      </w:pPr>
      <w:r>
        <w:rPr>
          <w:rFonts w:hint="eastAsia" w:hAnsi="宋体"/>
          <w:color w:val="auto"/>
          <w:szCs w:val="21"/>
          <w:highlight w:val="none"/>
        </w:rPr>
        <w:t>2.2平衡：在“停止”或“洗胃”状态下，按此键机器完成一个出液过程后，自动转换成“洗胃”状态的进液；</w:t>
      </w:r>
    </w:p>
    <w:p>
      <w:pPr>
        <w:spacing w:line="460" w:lineRule="exact"/>
        <w:ind w:firstLine="420" w:firstLineChars="200"/>
        <w:rPr>
          <w:rFonts w:hAnsi="宋体"/>
          <w:color w:val="auto"/>
          <w:szCs w:val="21"/>
          <w:highlight w:val="none"/>
        </w:rPr>
      </w:pPr>
      <w:r>
        <w:rPr>
          <w:rFonts w:hint="eastAsia" w:hAnsi="宋体"/>
          <w:color w:val="auto"/>
          <w:szCs w:val="21"/>
          <w:highlight w:val="none"/>
        </w:rPr>
        <w:t>★2.3液量：根据需要可选择进液量，分别为：150ml；250ml；350ml；</w:t>
      </w:r>
    </w:p>
    <w:p>
      <w:pPr>
        <w:spacing w:line="460" w:lineRule="exact"/>
        <w:ind w:firstLine="420" w:firstLineChars="200"/>
        <w:rPr>
          <w:rFonts w:hAnsi="宋体"/>
          <w:color w:val="auto"/>
          <w:szCs w:val="21"/>
          <w:highlight w:val="none"/>
        </w:rPr>
      </w:pPr>
      <w:r>
        <w:rPr>
          <w:rFonts w:hint="eastAsia" w:hAnsi="宋体"/>
          <w:color w:val="auto"/>
          <w:szCs w:val="21"/>
          <w:highlight w:val="none"/>
        </w:rPr>
        <w:t>2.4清零：可对洗胃次数进行清零；</w:t>
      </w:r>
    </w:p>
    <w:p>
      <w:pPr>
        <w:spacing w:line="460" w:lineRule="exact"/>
        <w:ind w:firstLine="420" w:firstLineChars="200"/>
        <w:rPr>
          <w:rFonts w:hAnsi="宋体"/>
          <w:color w:val="auto"/>
          <w:szCs w:val="21"/>
          <w:highlight w:val="none"/>
        </w:rPr>
      </w:pPr>
      <w:r>
        <w:rPr>
          <w:rFonts w:hint="eastAsia" w:hAnsi="宋体"/>
          <w:color w:val="auto"/>
          <w:szCs w:val="21"/>
          <w:highlight w:val="none"/>
        </w:rPr>
        <w:t>2.5复位：可恢复至初始状态；</w:t>
      </w:r>
    </w:p>
    <w:p>
      <w:pPr>
        <w:spacing w:line="460" w:lineRule="exact"/>
        <w:ind w:firstLine="420" w:firstLineChars="200"/>
        <w:rPr>
          <w:rFonts w:hAnsi="宋体"/>
          <w:color w:val="auto"/>
          <w:szCs w:val="21"/>
          <w:highlight w:val="none"/>
        </w:rPr>
      </w:pPr>
      <w:r>
        <w:rPr>
          <w:rFonts w:hint="eastAsia" w:hAnsi="宋体"/>
          <w:color w:val="auto"/>
          <w:szCs w:val="21"/>
          <w:highlight w:val="none"/>
        </w:rPr>
        <w:t>2.6停止：按此键停机；</w:t>
      </w:r>
    </w:p>
    <w:p>
      <w:pPr>
        <w:spacing w:line="460" w:lineRule="exact"/>
        <w:ind w:firstLine="420" w:firstLineChars="200"/>
        <w:rPr>
          <w:rFonts w:hAnsi="宋体"/>
          <w:color w:val="auto"/>
          <w:szCs w:val="21"/>
          <w:highlight w:val="none"/>
        </w:rPr>
      </w:pPr>
      <w:r>
        <w:rPr>
          <w:rFonts w:hint="eastAsia" w:hAnsi="宋体"/>
          <w:color w:val="auto"/>
          <w:szCs w:val="21"/>
          <w:highlight w:val="none"/>
        </w:rPr>
        <w:t>3、主要性能参数：</w:t>
      </w:r>
    </w:p>
    <w:p>
      <w:pPr>
        <w:spacing w:line="460" w:lineRule="exact"/>
        <w:ind w:firstLine="420" w:firstLineChars="200"/>
        <w:rPr>
          <w:rFonts w:hAnsi="宋体"/>
          <w:color w:val="auto"/>
          <w:szCs w:val="21"/>
          <w:highlight w:val="none"/>
        </w:rPr>
      </w:pPr>
      <w:r>
        <w:rPr>
          <w:rFonts w:hint="eastAsia" w:hAnsi="宋体"/>
          <w:color w:val="auto"/>
          <w:szCs w:val="21"/>
          <w:highlight w:val="none"/>
        </w:rPr>
        <w:t>3.1流量 ：≥2000ml/min；</w:t>
      </w:r>
    </w:p>
    <w:p>
      <w:pPr>
        <w:spacing w:line="460" w:lineRule="exact"/>
        <w:ind w:firstLine="420" w:firstLineChars="200"/>
        <w:rPr>
          <w:rFonts w:hAnsi="宋体"/>
          <w:color w:val="auto"/>
          <w:szCs w:val="21"/>
          <w:highlight w:val="none"/>
        </w:rPr>
      </w:pPr>
      <w:r>
        <w:rPr>
          <w:rFonts w:hint="eastAsia" w:hAnsi="宋体"/>
          <w:color w:val="auto"/>
          <w:szCs w:val="21"/>
          <w:highlight w:val="none"/>
        </w:rPr>
        <w:t>3.2洗胃压力：进压≤0.05MPa；出压≥-0.05Mpa；</w:t>
      </w:r>
    </w:p>
    <w:p>
      <w:pPr>
        <w:spacing w:line="460" w:lineRule="exact"/>
        <w:ind w:firstLine="420" w:firstLineChars="200"/>
        <w:rPr>
          <w:rFonts w:hAnsi="宋体"/>
          <w:color w:val="auto"/>
          <w:szCs w:val="21"/>
          <w:highlight w:val="none"/>
        </w:rPr>
      </w:pPr>
      <w:r>
        <w:rPr>
          <w:rFonts w:hint="eastAsia" w:hAnsi="宋体"/>
          <w:color w:val="auto"/>
          <w:szCs w:val="21"/>
          <w:highlight w:val="none"/>
        </w:rPr>
        <w:t>3.3噪音：≤65dB；</w:t>
      </w:r>
    </w:p>
    <w:p>
      <w:pPr>
        <w:spacing w:line="460" w:lineRule="exact"/>
        <w:ind w:firstLine="420" w:firstLineChars="200"/>
        <w:rPr>
          <w:rFonts w:hAnsi="宋体"/>
          <w:color w:val="auto"/>
          <w:szCs w:val="21"/>
          <w:highlight w:val="none"/>
        </w:rPr>
      </w:pPr>
      <w:r>
        <w:rPr>
          <w:rFonts w:hint="eastAsia" w:hAnsi="宋体"/>
          <w:color w:val="auto"/>
          <w:szCs w:val="21"/>
          <w:highlight w:val="none"/>
        </w:rPr>
        <w:t>3.4输入功率：≤100VA。</w:t>
      </w:r>
    </w:p>
    <w:p>
      <w:pPr>
        <w:spacing w:line="460" w:lineRule="exact"/>
        <w:ind w:firstLine="420" w:firstLineChars="200"/>
        <w:rPr>
          <w:rFonts w:hAnsi="宋体"/>
          <w:color w:val="auto"/>
          <w:szCs w:val="21"/>
          <w:highlight w:val="none"/>
        </w:rPr>
      </w:pPr>
    </w:p>
    <w:p>
      <w:pPr>
        <w:spacing w:line="460" w:lineRule="exact"/>
        <w:jc w:val="center"/>
        <w:rPr>
          <w:rFonts w:hAnsi="宋体"/>
          <w:b/>
          <w:bCs/>
          <w:color w:val="auto"/>
          <w:sz w:val="24"/>
          <w:highlight w:val="none"/>
        </w:rPr>
      </w:pPr>
      <w:r>
        <w:rPr>
          <w:rFonts w:hint="eastAsia" w:hAnsi="宋体"/>
          <w:b/>
          <w:bCs/>
          <w:color w:val="auto"/>
          <w:sz w:val="24"/>
          <w:highlight w:val="none"/>
        </w:rPr>
        <w:t>2-19 简易呼吸器</w:t>
      </w:r>
    </w:p>
    <w:p>
      <w:pPr>
        <w:spacing w:line="460" w:lineRule="exact"/>
        <w:ind w:firstLine="420" w:firstLineChars="200"/>
        <w:rPr>
          <w:rFonts w:hAnsi="宋体"/>
          <w:color w:val="auto"/>
          <w:szCs w:val="21"/>
          <w:highlight w:val="none"/>
        </w:rPr>
      </w:pPr>
      <w:r>
        <w:rPr>
          <w:rFonts w:hint="eastAsia" w:hAnsi="宋体"/>
          <w:color w:val="auto"/>
          <w:szCs w:val="21"/>
          <w:highlight w:val="none"/>
        </w:rPr>
        <w:t>1、规格：成人、儿童；</w:t>
      </w:r>
    </w:p>
    <w:p>
      <w:pPr>
        <w:spacing w:line="460" w:lineRule="exact"/>
        <w:ind w:firstLine="420" w:firstLineChars="200"/>
        <w:rPr>
          <w:rFonts w:hAnsi="宋体"/>
          <w:color w:val="auto"/>
          <w:szCs w:val="21"/>
          <w:highlight w:val="none"/>
        </w:rPr>
      </w:pPr>
      <w:r>
        <w:rPr>
          <w:rFonts w:hint="eastAsia" w:hAnsi="宋体"/>
          <w:color w:val="auto"/>
          <w:szCs w:val="21"/>
          <w:highlight w:val="none"/>
        </w:rPr>
        <w:t>2、基本配置为球体、单向阀、氧气储气阀组、面罩，选配为输氧管、口咽通气道、开口器；</w:t>
      </w:r>
    </w:p>
    <w:p>
      <w:pPr>
        <w:spacing w:line="460" w:lineRule="exact"/>
        <w:ind w:firstLine="420" w:firstLineChars="200"/>
        <w:rPr>
          <w:rFonts w:hAnsi="宋体"/>
          <w:color w:val="auto"/>
          <w:szCs w:val="21"/>
          <w:highlight w:val="none"/>
        </w:rPr>
      </w:pPr>
      <w:r>
        <w:rPr>
          <w:rFonts w:hint="eastAsia" w:hAnsi="宋体"/>
          <w:color w:val="auto"/>
          <w:szCs w:val="21"/>
          <w:highlight w:val="none"/>
        </w:rPr>
        <w:t>3、供临床急救中人工挤压球囊通气用。</w:t>
      </w:r>
    </w:p>
    <w:p>
      <w:pPr>
        <w:spacing w:line="460" w:lineRule="exact"/>
        <w:ind w:firstLine="420" w:firstLineChars="200"/>
        <w:rPr>
          <w:color w:val="auto"/>
          <w:szCs w:val="21"/>
          <w:highlight w:val="none"/>
        </w:rPr>
      </w:pPr>
      <w:r>
        <w:rPr>
          <w:rFonts w:hint="eastAsia"/>
          <w:color w:val="auto"/>
          <w:szCs w:val="21"/>
          <w:highlight w:val="none"/>
        </w:rPr>
        <w:t xml:space="preserve">      </w:t>
      </w:r>
    </w:p>
    <w:p>
      <w:pPr>
        <w:spacing w:line="460" w:lineRule="exact"/>
        <w:ind w:firstLine="482" w:firstLineChars="200"/>
        <w:jc w:val="center"/>
        <w:rPr>
          <w:rFonts w:ascii="宋体" w:hAnsi="宋体"/>
          <w:b/>
          <w:bCs/>
          <w:color w:val="auto"/>
          <w:sz w:val="24"/>
          <w:highlight w:val="none"/>
        </w:rPr>
      </w:pPr>
    </w:p>
    <w:p>
      <w:pPr>
        <w:spacing w:line="460" w:lineRule="exact"/>
        <w:ind w:firstLine="482" w:firstLineChars="200"/>
        <w:jc w:val="center"/>
        <w:outlineLvl w:val="1"/>
        <w:rPr>
          <w:rFonts w:ascii="宋体" w:hAnsi="宋体"/>
          <w:b/>
          <w:bCs/>
          <w:color w:val="auto"/>
          <w:sz w:val="24"/>
          <w:highlight w:val="none"/>
        </w:rPr>
      </w:pPr>
      <w:r>
        <w:rPr>
          <w:rFonts w:hint="eastAsia" w:ascii="宋体" w:hAnsi="宋体"/>
          <w:b/>
          <w:bCs/>
          <w:color w:val="auto"/>
          <w:sz w:val="24"/>
          <w:highlight w:val="none"/>
        </w:rPr>
        <w:t>第三包</w:t>
      </w:r>
    </w:p>
    <w:p>
      <w:pPr>
        <w:spacing w:line="460" w:lineRule="exact"/>
        <w:ind w:firstLine="482" w:firstLineChars="200"/>
        <w:jc w:val="center"/>
        <w:rPr>
          <w:rFonts w:ascii="宋体" w:hAnsi="宋体"/>
          <w:b/>
          <w:bCs/>
          <w:color w:val="auto"/>
          <w:sz w:val="24"/>
          <w:highlight w:val="none"/>
          <w:lang w:val="zh-TW"/>
        </w:rPr>
      </w:pPr>
      <w:r>
        <w:rPr>
          <w:rFonts w:hint="eastAsia" w:ascii="宋体" w:hAnsi="宋体"/>
          <w:b/>
          <w:bCs/>
          <w:color w:val="auto"/>
          <w:sz w:val="24"/>
          <w:highlight w:val="none"/>
        </w:rPr>
        <w:t xml:space="preserve">3-1  </w:t>
      </w:r>
      <w:r>
        <w:rPr>
          <w:rFonts w:hint="eastAsia" w:ascii="宋体" w:hAnsi="宋体"/>
          <w:b/>
          <w:bCs/>
          <w:color w:val="auto"/>
          <w:sz w:val="24"/>
          <w:highlight w:val="none"/>
          <w:lang w:val="zh-TW"/>
        </w:rPr>
        <w:t>核酸扩增仪</w:t>
      </w:r>
    </w:p>
    <w:p>
      <w:pPr>
        <w:spacing w:line="460" w:lineRule="exact"/>
        <w:ind w:firstLine="420" w:firstLineChars="200"/>
        <w:rPr>
          <w:rFonts w:hAnsi="宋体"/>
          <w:color w:val="auto"/>
          <w:szCs w:val="21"/>
          <w:highlight w:val="none"/>
        </w:rPr>
      </w:pPr>
      <w:r>
        <w:rPr>
          <w:rFonts w:hint="eastAsia" w:hAnsi="宋体"/>
          <w:color w:val="auto"/>
          <w:szCs w:val="21"/>
          <w:highlight w:val="none"/>
        </w:rPr>
        <w:t>★1、样本模块：96×0.2ml梯度模块；梯度差为1℃～30℃；</w:t>
      </w:r>
    </w:p>
    <w:p>
      <w:pPr>
        <w:spacing w:line="460" w:lineRule="exact"/>
        <w:ind w:firstLine="420" w:firstLineChars="200"/>
        <w:rPr>
          <w:rFonts w:hAnsi="宋体"/>
          <w:color w:val="auto"/>
          <w:szCs w:val="21"/>
          <w:highlight w:val="none"/>
        </w:rPr>
      </w:pPr>
      <w:r>
        <w:rPr>
          <w:rFonts w:hint="eastAsia" w:hAnsi="宋体"/>
          <w:color w:val="auto"/>
          <w:szCs w:val="21"/>
          <w:highlight w:val="none"/>
        </w:rPr>
        <w:t>2、温度范围：4℃～99℃；</w:t>
      </w:r>
    </w:p>
    <w:p>
      <w:pPr>
        <w:spacing w:line="460" w:lineRule="exact"/>
        <w:ind w:firstLine="420" w:firstLineChars="200"/>
        <w:rPr>
          <w:rFonts w:hAnsi="宋体"/>
          <w:color w:val="auto"/>
          <w:szCs w:val="21"/>
          <w:highlight w:val="none"/>
        </w:rPr>
      </w:pPr>
      <w:r>
        <w:rPr>
          <w:rFonts w:hint="eastAsia" w:hAnsi="宋体"/>
          <w:color w:val="auto"/>
          <w:szCs w:val="21"/>
          <w:highlight w:val="none"/>
        </w:rPr>
        <w:t>3、升温速率：≥3.0℃/sec；</w:t>
      </w:r>
    </w:p>
    <w:p>
      <w:pPr>
        <w:spacing w:line="460" w:lineRule="exact"/>
        <w:ind w:firstLine="420" w:firstLineChars="200"/>
        <w:rPr>
          <w:rFonts w:hAnsi="宋体"/>
          <w:color w:val="auto"/>
          <w:szCs w:val="21"/>
          <w:highlight w:val="none"/>
        </w:rPr>
      </w:pPr>
      <w:r>
        <w:rPr>
          <w:rFonts w:hint="eastAsia" w:hAnsi="宋体"/>
          <w:color w:val="auto"/>
          <w:szCs w:val="21"/>
          <w:highlight w:val="none"/>
        </w:rPr>
        <w:t>4、降温速率：≥2.0℃/sec；</w:t>
      </w:r>
    </w:p>
    <w:p>
      <w:pPr>
        <w:spacing w:line="460" w:lineRule="exact"/>
        <w:ind w:firstLine="420" w:firstLineChars="200"/>
        <w:rPr>
          <w:rFonts w:hAnsi="宋体"/>
          <w:color w:val="auto"/>
          <w:szCs w:val="21"/>
          <w:highlight w:val="none"/>
        </w:rPr>
      </w:pPr>
      <w:r>
        <w:rPr>
          <w:rFonts w:hint="eastAsia" w:hAnsi="宋体"/>
          <w:color w:val="auto"/>
          <w:szCs w:val="21"/>
          <w:highlight w:val="none"/>
        </w:rPr>
        <w:t>5、控温精度：≤±0.3℃；</w:t>
      </w:r>
    </w:p>
    <w:p>
      <w:pPr>
        <w:spacing w:line="460" w:lineRule="exact"/>
        <w:ind w:firstLine="420" w:firstLineChars="200"/>
        <w:rPr>
          <w:rFonts w:hAnsi="宋体"/>
          <w:color w:val="auto"/>
          <w:szCs w:val="21"/>
          <w:highlight w:val="none"/>
        </w:rPr>
      </w:pPr>
      <w:r>
        <w:rPr>
          <w:rFonts w:hint="eastAsia" w:hAnsi="宋体"/>
          <w:color w:val="auto"/>
          <w:szCs w:val="21"/>
          <w:highlight w:val="none"/>
        </w:rPr>
        <w:t>6、模块温度均一性：≤±0.4℃（95℃时）≤±0.3℃（72℃时）≤±0.3℃（55℃时）；</w:t>
      </w:r>
    </w:p>
    <w:p>
      <w:pPr>
        <w:spacing w:line="460" w:lineRule="exact"/>
        <w:ind w:firstLine="420" w:firstLineChars="200"/>
        <w:rPr>
          <w:rFonts w:hAnsi="宋体"/>
          <w:color w:val="auto"/>
          <w:szCs w:val="21"/>
          <w:highlight w:val="none"/>
        </w:rPr>
      </w:pPr>
      <w:r>
        <w:rPr>
          <w:rFonts w:hint="eastAsia" w:hAnsi="宋体"/>
          <w:color w:val="auto"/>
          <w:szCs w:val="21"/>
          <w:highlight w:val="none"/>
        </w:rPr>
        <w:t>7、热盖温度范围：30℃～110℃；</w:t>
      </w:r>
    </w:p>
    <w:p>
      <w:pPr>
        <w:spacing w:line="460" w:lineRule="exact"/>
        <w:ind w:firstLine="420" w:firstLineChars="200"/>
        <w:rPr>
          <w:rFonts w:hAnsi="宋体"/>
          <w:color w:val="auto"/>
          <w:szCs w:val="21"/>
          <w:highlight w:val="none"/>
        </w:rPr>
      </w:pPr>
      <w:r>
        <w:rPr>
          <w:rFonts w:hint="eastAsia" w:hAnsi="宋体"/>
          <w:color w:val="auto"/>
          <w:szCs w:val="21"/>
          <w:highlight w:val="none"/>
        </w:rPr>
        <w:t>★8、控温模式：两种控温模式：BLOCK模拟，TUBE模式；</w:t>
      </w:r>
    </w:p>
    <w:p>
      <w:pPr>
        <w:spacing w:line="460" w:lineRule="exact"/>
        <w:ind w:firstLine="420" w:firstLineChars="200"/>
        <w:rPr>
          <w:rFonts w:hAnsi="宋体"/>
          <w:color w:val="auto"/>
          <w:szCs w:val="21"/>
          <w:highlight w:val="none"/>
        </w:rPr>
      </w:pPr>
      <w:r>
        <w:rPr>
          <w:rFonts w:hint="eastAsia" w:hAnsi="宋体"/>
          <w:color w:val="auto"/>
          <w:szCs w:val="21"/>
          <w:highlight w:val="none"/>
        </w:rPr>
        <w:t>9、屏幕显示：320*240点阵LCD；</w:t>
      </w:r>
    </w:p>
    <w:p>
      <w:pPr>
        <w:spacing w:line="460" w:lineRule="exact"/>
        <w:ind w:firstLine="420" w:firstLineChars="200"/>
        <w:rPr>
          <w:rFonts w:hAnsi="宋体"/>
          <w:color w:val="auto"/>
          <w:szCs w:val="21"/>
          <w:highlight w:val="none"/>
        </w:rPr>
      </w:pPr>
      <w:r>
        <w:rPr>
          <w:rFonts w:hint="eastAsia" w:hAnsi="宋体"/>
          <w:color w:val="auto"/>
          <w:szCs w:val="21"/>
          <w:highlight w:val="none"/>
        </w:rPr>
        <w:t>10、信号接口：RS232。</w:t>
      </w:r>
    </w:p>
    <w:p>
      <w:pPr>
        <w:spacing w:line="460" w:lineRule="exact"/>
        <w:ind w:firstLine="420" w:firstLineChars="200"/>
        <w:rPr>
          <w:rFonts w:hAnsi="宋体"/>
          <w:color w:val="auto"/>
          <w:szCs w:val="21"/>
          <w:highlight w:val="none"/>
        </w:rPr>
      </w:pPr>
    </w:p>
    <w:p>
      <w:pPr>
        <w:spacing w:line="460" w:lineRule="exact"/>
        <w:ind w:firstLine="482" w:firstLineChars="200"/>
        <w:jc w:val="center"/>
        <w:rPr>
          <w:rFonts w:ascii="宋体" w:hAnsi="宋体"/>
          <w:b/>
          <w:bCs/>
          <w:color w:val="auto"/>
          <w:sz w:val="24"/>
          <w:highlight w:val="none"/>
        </w:rPr>
      </w:pPr>
      <w:r>
        <w:rPr>
          <w:rFonts w:hint="eastAsia" w:ascii="宋体" w:hAnsi="宋体"/>
          <w:b/>
          <w:bCs/>
          <w:color w:val="auto"/>
          <w:sz w:val="24"/>
          <w:highlight w:val="none"/>
        </w:rPr>
        <w:t xml:space="preserve">3-2  </w:t>
      </w:r>
      <w:r>
        <w:rPr>
          <w:rFonts w:hint="eastAsia" w:ascii="宋体" w:hAnsi="宋体"/>
          <w:b/>
          <w:bCs/>
          <w:color w:val="auto"/>
          <w:sz w:val="24"/>
          <w:highlight w:val="none"/>
          <w:lang w:val="zh-TW"/>
        </w:rPr>
        <w:t>医用核酸分子快速杂交仪</w:t>
      </w:r>
    </w:p>
    <w:p>
      <w:pPr>
        <w:spacing w:line="460" w:lineRule="exact"/>
        <w:ind w:firstLine="420" w:firstLineChars="200"/>
        <w:rPr>
          <w:rFonts w:hAnsi="宋体"/>
          <w:color w:val="auto"/>
          <w:szCs w:val="21"/>
          <w:highlight w:val="none"/>
        </w:rPr>
      </w:pPr>
      <w:r>
        <w:rPr>
          <w:rFonts w:hint="eastAsia" w:hAnsi="宋体"/>
          <w:color w:val="auto"/>
          <w:szCs w:val="21"/>
          <w:highlight w:val="none"/>
        </w:rPr>
        <w:t>1、主要用途：本设备为体外诊断试剂医用设备，与利用核酸分子快速杂交为检测手段的试剂盒配套使用，用于核酸分子的杂交分析；</w:t>
      </w:r>
    </w:p>
    <w:p>
      <w:pPr>
        <w:spacing w:line="460" w:lineRule="exact"/>
        <w:ind w:firstLine="420" w:firstLineChars="200"/>
        <w:rPr>
          <w:rFonts w:hAnsi="宋体"/>
          <w:color w:val="auto"/>
          <w:szCs w:val="21"/>
          <w:highlight w:val="none"/>
        </w:rPr>
      </w:pPr>
      <w:r>
        <w:rPr>
          <w:rFonts w:hint="eastAsia" w:hAnsi="宋体"/>
          <w:color w:val="auto"/>
          <w:szCs w:val="21"/>
          <w:highlight w:val="none"/>
        </w:rPr>
        <w:t>★2、采用导流杂交技术，提高杂交效率，简化操作步骤，杂交时间短，HPV检测杂交温育时间≤10min（总检测时间≤30min）；</w:t>
      </w:r>
    </w:p>
    <w:p>
      <w:pPr>
        <w:spacing w:line="460" w:lineRule="exact"/>
        <w:ind w:firstLine="420" w:firstLineChars="200"/>
        <w:rPr>
          <w:rFonts w:hAnsi="宋体"/>
          <w:color w:val="auto"/>
          <w:szCs w:val="21"/>
          <w:highlight w:val="none"/>
        </w:rPr>
      </w:pPr>
      <w:r>
        <w:rPr>
          <w:rFonts w:hint="eastAsia" w:hAnsi="宋体"/>
          <w:color w:val="auto"/>
          <w:szCs w:val="21"/>
          <w:highlight w:val="none"/>
        </w:rPr>
        <w:t>3、高速热循环系统，采用先进热电制冷技术，快速加热和冷却；</w:t>
      </w:r>
    </w:p>
    <w:p>
      <w:pPr>
        <w:spacing w:line="460" w:lineRule="exact"/>
        <w:ind w:firstLine="420" w:firstLineChars="200"/>
        <w:rPr>
          <w:rFonts w:hAnsi="宋体"/>
          <w:color w:val="auto"/>
          <w:szCs w:val="21"/>
          <w:highlight w:val="none"/>
        </w:rPr>
      </w:pPr>
      <w:r>
        <w:rPr>
          <w:rFonts w:hint="eastAsia" w:hAnsi="宋体"/>
          <w:color w:val="auto"/>
          <w:szCs w:val="21"/>
          <w:highlight w:val="none"/>
        </w:rPr>
        <w:t>4、彩色LCD显示器，可对杂交过程中的温控变化进行实时监控；</w:t>
      </w:r>
    </w:p>
    <w:p>
      <w:pPr>
        <w:spacing w:line="460" w:lineRule="exact"/>
        <w:ind w:firstLine="420" w:firstLineChars="200"/>
        <w:rPr>
          <w:rFonts w:hAnsi="宋体"/>
          <w:color w:val="auto"/>
          <w:szCs w:val="21"/>
          <w:highlight w:val="none"/>
        </w:rPr>
      </w:pPr>
      <w:r>
        <w:rPr>
          <w:rFonts w:hint="eastAsia" w:hAnsi="宋体"/>
          <w:color w:val="auto"/>
          <w:szCs w:val="21"/>
          <w:highlight w:val="none"/>
        </w:rPr>
        <w:t>5、机械升降台代替手工密封，实现密封自动化；</w:t>
      </w:r>
    </w:p>
    <w:p>
      <w:pPr>
        <w:spacing w:line="460" w:lineRule="exact"/>
        <w:ind w:firstLine="420" w:firstLineChars="200"/>
        <w:rPr>
          <w:rFonts w:hAnsi="宋体"/>
          <w:color w:val="auto"/>
          <w:szCs w:val="21"/>
          <w:highlight w:val="none"/>
        </w:rPr>
      </w:pPr>
      <w:r>
        <w:rPr>
          <w:rFonts w:hint="eastAsia" w:hAnsi="宋体"/>
          <w:color w:val="auto"/>
          <w:szCs w:val="21"/>
          <w:highlight w:val="none"/>
        </w:rPr>
        <w:t>6、压力平衡系统，减少杂交过程试剂的损耗；</w:t>
      </w:r>
    </w:p>
    <w:p>
      <w:pPr>
        <w:spacing w:line="460" w:lineRule="exact"/>
        <w:ind w:firstLine="420" w:firstLineChars="200"/>
        <w:rPr>
          <w:rFonts w:hAnsi="宋体"/>
          <w:color w:val="auto"/>
          <w:szCs w:val="21"/>
          <w:highlight w:val="none"/>
        </w:rPr>
      </w:pPr>
      <w:r>
        <w:rPr>
          <w:rFonts w:hint="eastAsia" w:hAnsi="宋体"/>
          <w:color w:val="auto"/>
          <w:szCs w:val="21"/>
          <w:highlight w:val="none"/>
        </w:rPr>
        <w:t>7、检测容量灵活：最大可以检测30人份/次，最小可以检测1人份/次。样本可以随到随检，无需集中数量才开机检测；</w:t>
      </w:r>
    </w:p>
    <w:p>
      <w:pPr>
        <w:spacing w:line="460" w:lineRule="exact"/>
        <w:ind w:firstLine="420" w:firstLineChars="200"/>
        <w:rPr>
          <w:rFonts w:hAnsi="宋体"/>
          <w:color w:val="auto"/>
          <w:szCs w:val="21"/>
          <w:highlight w:val="none"/>
        </w:rPr>
      </w:pPr>
      <w:r>
        <w:rPr>
          <w:rFonts w:hint="eastAsia" w:hAnsi="宋体"/>
          <w:color w:val="auto"/>
          <w:szCs w:val="21"/>
          <w:highlight w:val="none"/>
        </w:rPr>
        <w:t>8、样本隔室分隔完全分隔，液性无渗透；</w:t>
      </w:r>
    </w:p>
    <w:p>
      <w:pPr>
        <w:spacing w:line="460" w:lineRule="exact"/>
        <w:ind w:firstLine="420" w:firstLineChars="200"/>
        <w:rPr>
          <w:rFonts w:hAnsi="宋体"/>
          <w:color w:val="auto"/>
          <w:szCs w:val="21"/>
          <w:highlight w:val="none"/>
        </w:rPr>
      </w:pPr>
      <w:r>
        <w:rPr>
          <w:rFonts w:hint="eastAsia" w:hAnsi="宋体"/>
          <w:color w:val="auto"/>
          <w:szCs w:val="21"/>
          <w:highlight w:val="none"/>
        </w:rPr>
        <w:t>★9、控温范围：20℃-55℃；</w:t>
      </w:r>
    </w:p>
    <w:p>
      <w:pPr>
        <w:spacing w:line="460" w:lineRule="exact"/>
        <w:ind w:firstLine="420" w:firstLineChars="200"/>
        <w:rPr>
          <w:rFonts w:hAnsi="宋体"/>
          <w:color w:val="auto"/>
          <w:szCs w:val="21"/>
          <w:highlight w:val="none"/>
        </w:rPr>
      </w:pPr>
      <w:r>
        <w:rPr>
          <w:rFonts w:hint="eastAsia" w:hAnsi="宋体"/>
          <w:color w:val="auto"/>
          <w:szCs w:val="21"/>
          <w:highlight w:val="none"/>
        </w:rPr>
        <w:t>10、控温精度： ±0.5℃；</w:t>
      </w:r>
    </w:p>
    <w:p>
      <w:pPr>
        <w:spacing w:line="460" w:lineRule="exact"/>
        <w:ind w:firstLine="420" w:firstLineChars="200"/>
        <w:rPr>
          <w:rFonts w:hAnsi="宋体"/>
          <w:color w:val="auto"/>
          <w:szCs w:val="21"/>
          <w:highlight w:val="none"/>
        </w:rPr>
      </w:pPr>
      <w:r>
        <w:rPr>
          <w:rFonts w:hint="eastAsia" w:hAnsi="宋体"/>
          <w:color w:val="auto"/>
          <w:szCs w:val="21"/>
          <w:highlight w:val="none"/>
        </w:rPr>
        <w:t>11、升温速率：≥3.0℃/min，降温速率：≥1.0℃/min，显示精度：0.1℃。</w:t>
      </w:r>
    </w:p>
    <w:p>
      <w:pPr>
        <w:spacing w:line="460" w:lineRule="exact"/>
        <w:ind w:firstLine="420" w:firstLineChars="200"/>
        <w:rPr>
          <w:rFonts w:hAnsi="宋体"/>
          <w:color w:val="auto"/>
          <w:szCs w:val="21"/>
          <w:highlight w:val="none"/>
        </w:rPr>
      </w:pPr>
    </w:p>
    <w:p>
      <w:pPr>
        <w:spacing w:line="460" w:lineRule="exact"/>
        <w:jc w:val="center"/>
        <w:rPr>
          <w:rFonts w:ascii="宋体" w:hAnsi="宋体"/>
          <w:b/>
          <w:bCs/>
          <w:color w:val="auto"/>
          <w:sz w:val="24"/>
          <w:highlight w:val="none"/>
        </w:rPr>
      </w:pPr>
      <w:r>
        <w:rPr>
          <w:rFonts w:hint="eastAsia" w:ascii="宋体" w:hAnsi="宋体"/>
          <w:b/>
          <w:bCs/>
          <w:color w:val="auto"/>
          <w:sz w:val="24"/>
          <w:highlight w:val="none"/>
        </w:rPr>
        <w:t>3-3 手持式血气分析仪</w:t>
      </w:r>
    </w:p>
    <w:p>
      <w:pPr>
        <w:spacing w:line="460" w:lineRule="exact"/>
        <w:ind w:firstLine="420" w:firstLineChars="200"/>
        <w:rPr>
          <w:rFonts w:ascii="宋体" w:hAnsi="宋体"/>
          <w:color w:val="auto"/>
          <w:szCs w:val="21"/>
          <w:highlight w:val="none"/>
          <w:lang w:eastAsia="zh-Hans"/>
        </w:rPr>
      </w:pPr>
      <w:r>
        <w:rPr>
          <w:rFonts w:hint="eastAsia" w:ascii="宋体" w:hAnsi="宋体"/>
          <w:color w:val="auto"/>
          <w:szCs w:val="21"/>
          <w:highlight w:val="none"/>
        </w:rPr>
        <w:t>1、</w:t>
      </w:r>
      <w:r>
        <w:rPr>
          <w:rFonts w:hint="eastAsia" w:ascii="宋体" w:hAnsi="宋体"/>
          <w:color w:val="auto"/>
          <w:szCs w:val="21"/>
          <w:highlight w:val="none"/>
          <w:lang w:eastAsia="zh-Hans"/>
        </w:rPr>
        <w:t>仪器基本参数：</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lang w:eastAsia="zh-Hans"/>
        </w:rPr>
        <w:t>1.1工作气压：300-1000</w:t>
      </w:r>
      <w:r>
        <w:rPr>
          <w:rFonts w:hint="eastAsia" w:ascii="宋体" w:hAnsi="宋体"/>
          <w:color w:val="auto"/>
          <w:szCs w:val="21"/>
          <w:highlight w:val="none"/>
        </w:rPr>
        <w:t>mmHg；</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lang w:eastAsia="zh-Hans"/>
        </w:rPr>
        <w:t>1.2工作温度：16-30</w:t>
      </w:r>
      <w:r>
        <w:rPr>
          <w:rFonts w:hint="eastAsia" w:ascii="宋体" w:hAnsi="宋体"/>
          <w:color w:val="auto"/>
          <w:szCs w:val="21"/>
          <w:highlight w:val="none"/>
        </w:rPr>
        <w:t>°C；</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lang w:eastAsia="zh-Hans"/>
        </w:rPr>
        <w:t>1.3工作湿度：≤90%</w:t>
      </w:r>
      <w:r>
        <w:rPr>
          <w:rFonts w:hint="eastAsia" w:ascii="宋体" w:hAnsi="宋体"/>
          <w:color w:val="auto"/>
          <w:szCs w:val="21"/>
          <w:highlight w:val="none"/>
        </w:rPr>
        <w:t>；</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lang w:eastAsia="zh-Hans"/>
        </w:rPr>
        <w:t>1.4仪器重量 ：≤635</w:t>
      </w:r>
      <w:r>
        <w:rPr>
          <w:rFonts w:hint="eastAsia" w:ascii="宋体" w:hAnsi="宋体"/>
          <w:color w:val="auto"/>
          <w:szCs w:val="21"/>
          <w:highlight w:val="none"/>
        </w:rPr>
        <w:t>g。</w:t>
      </w:r>
    </w:p>
    <w:p>
      <w:pPr>
        <w:spacing w:line="460" w:lineRule="exact"/>
        <w:ind w:firstLine="420" w:firstLineChars="200"/>
        <w:rPr>
          <w:rFonts w:ascii="宋体" w:hAnsi="宋体"/>
          <w:color w:val="auto"/>
          <w:szCs w:val="21"/>
          <w:highlight w:val="none"/>
          <w:lang w:eastAsia="zh-Hans"/>
        </w:rPr>
      </w:pPr>
      <w:r>
        <w:rPr>
          <w:rFonts w:hint="eastAsia" w:ascii="宋体" w:hAnsi="宋体"/>
          <w:color w:val="auto"/>
          <w:szCs w:val="21"/>
          <w:highlight w:val="none"/>
          <w:lang w:eastAsia="zh-Hans"/>
        </w:rPr>
        <w:t>2</w:t>
      </w:r>
      <w:r>
        <w:rPr>
          <w:rFonts w:hint="eastAsia" w:ascii="宋体" w:hAnsi="宋体"/>
          <w:color w:val="auto"/>
          <w:szCs w:val="21"/>
          <w:highlight w:val="none"/>
        </w:rPr>
        <w:t>、</w:t>
      </w:r>
      <w:r>
        <w:rPr>
          <w:rFonts w:hint="eastAsia" w:ascii="宋体" w:hAnsi="宋体"/>
          <w:color w:val="auto"/>
          <w:szCs w:val="21"/>
          <w:highlight w:val="none"/>
          <w:lang w:eastAsia="zh-Hans"/>
        </w:rPr>
        <w:t>技术参数：</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lang w:eastAsia="zh-Hans"/>
        </w:rPr>
        <w:t>2.1测定原理﹑方式：干式电化学法、生物电极法，微流体技术</w:t>
      </w:r>
      <w:r>
        <w:rPr>
          <w:rFonts w:hint="eastAsia" w:ascii="宋体" w:hAnsi="宋体"/>
          <w:color w:val="auto"/>
          <w:szCs w:val="21"/>
          <w:highlight w:val="none"/>
        </w:rPr>
        <w:t>；</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lang w:eastAsia="zh-Hans"/>
        </w:rPr>
        <w:t>2.2电源：直流电源，标准配置含数据传输、充电一体化底座</w:t>
      </w:r>
      <w:r>
        <w:rPr>
          <w:rFonts w:hint="eastAsia" w:ascii="宋体" w:hAnsi="宋体"/>
          <w:color w:val="auto"/>
          <w:szCs w:val="21"/>
          <w:highlight w:val="none"/>
        </w:rPr>
        <w:t>；</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lang w:eastAsia="zh-Hans"/>
        </w:rPr>
        <w:t>★2.3定标：多重定标</w:t>
      </w:r>
      <w:r>
        <w:rPr>
          <w:rFonts w:hint="eastAsia" w:ascii="宋体" w:hAnsi="宋体"/>
          <w:color w:val="auto"/>
          <w:szCs w:val="21"/>
          <w:highlight w:val="none"/>
        </w:rPr>
        <w:t>，</w:t>
      </w:r>
      <w:r>
        <w:rPr>
          <w:rFonts w:hint="eastAsia" w:ascii="宋体" w:hAnsi="宋体"/>
          <w:color w:val="auto"/>
          <w:szCs w:val="21"/>
          <w:highlight w:val="none"/>
          <w:lang w:eastAsia="zh-Hans"/>
        </w:rPr>
        <w:t>内外部电子质控系统、每个血样检测前均自动进行一</w:t>
      </w:r>
      <w:r>
        <w:rPr>
          <w:rFonts w:hint="eastAsia" w:ascii="宋体" w:hAnsi="宋体"/>
          <w:color w:val="auto"/>
          <w:szCs w:val="21"/>
          <w:highlight w:val="none"/>
        </w:rPr>
        <w:t>点</w:t>
      </w:r>
      <w:r>
        <w:rPr>
          <w:rFonts w:hint="eastAsia" w:ascii="宋体" w:hAnsi="宋体"/>
          <w:color w:val="auto"/>
          <w:szCs w:val="21"/>
          <w:highlight w:val="none"/>
          <w:lang w:eastAsia="zh-Hans"/>
        </w:rPr>
        <w:t>定标</w:t>
      </w:r>
      <w:r>
        <w:rPr>
          <w:rFonts w:hint="eastAsia" w:ascii="宋体" w:hAnsi="宋体"/>
          <w:color w:val="auto"/>
          <w:szCs w:val="21"/>
          <w:highlight w:val="none"/>
        </w:rPr>
        <w:t>；</w:t>
      </w:r>
    </w:p>
    <w:p>
      <w:pPr>
        <w:spacing w:line="460" w:lineRule="exact"/>
        <w:ind w:firstLine="420" w:firstLineChars="200"/>
        <w:rPr>
          <w:rFonts w:ascii="宋体" w:hAnsi="宋体"/>
          <w:color w:val="auto"/>
          <w:szCs w:val="21"/>
          <w:highlight w:val="none"/>
          <w:lang w:eastAsia="zh-Hans"/>
        </w:rPr>
      </w:pPr>
      <w:r>
        <w:rPr>
          <w:rFonts w:hint="eastAsia" w:ascii="宋体" w:hAnsi="宋体"/>
          <w:color w:val="auto"/>
          <w:szCs w:val="21"/>
          <w:highlight w:val="none"/>
          <w:lang w:eastAsia="zh-Hans"/>
        </w:rPr>
        <w:t>★2.4单机可以检测的项目参数：</w:t>
      </w:r>
    </w:p>
    <w:p>
      <w:pPr>
        <w:spacing w:line="460" w:lineRule="exact"/>
        <w:ind w:firstLine="420" w:firstLineChars="200"/>
        <w:rPr>
          <w:rFonts w:ascii="宋体" w:hAnsi="宋体"/>
          <w:color w:val="auto"/>
          <w:szCs w:val="21"/>
          <w:highlight w:val="none"/>
          <w:lang w:eastAsia="zh-Hans"/>
        </w:rPr>
      </w:pPr>
      <w:r>
        <w:rPr>
          <w:rFonts w:hint="eastAsia" w:ascii="宋体" w:hAnsi="宋体"/>
          <w:color w:val="auto"/>
          <w:szCs w:val="21"/>
          <w:highlight w:val="none"/>
        </w:rPr>
        <w:t xml:space="preserve">  </w:t>
      </w:r>
      <w:r>
        <w:rPr>
          <w:rFonts w:hint="eastAsia" w:ascii="宋体" w:hAnsi="宋体"/>
          <w:color w:val="auto"/>
          <w:szCs w:val="21"/>
          <w:highlight w:val="none"/>
          <w:lang w:eastAsia="zh-Hans"/>
        </w:rPr>
        <w:t>血  气Blood gas：pH、pCO2、pO2、TCO2、HCO3、Base Excess(BE)、sO2</w:t>
      </w:r>
    </w:p>
    <w:p>
      <w:pPr>
        <w:spacing w:line="460" w:lineRule="exact"/>
        <w:ind w:firstLine="420" w:firstLineChars="200"/>
        <w:rPr>
          <w:rFonts w:ascii="宋体" w:hAnsi="宋体"/>
          <w:color w:val="auto"/>
          <w:szCs w:val="21"/>
          <w:highlight w:val="none"/>
          <w:lang w:eastAsia="zh-Hans"/>
        </w:rPr>
      </w:pPr>
      <w:r>
        <w:rPr>
          <w:rFonts w:hint="eastAsia" w:ascii="宋体" w:hAnsi="宋体"/>
          <w:color w:val="auto"/>
          <w:szCs w:val="21"/>
          <w:highlight w:val="none"/>
          <w:lang w:eastAsia="zh-Hans"/>
        </w:rPr>
        <w:t xml:space="preserve">  电解质Electrolyte：Na+、K+、Cl-、TCO2、Anion Gap、iCa</w:t>
      </w:r>
    </w:p>
    <w:p>
      <w:pPr>
        <w:spacing w:line="460" w:lineRule="exact"/>
        <w:ind w:firstLine="420" w:firstLineChars="200"/>
        <w:rPr>
          <w:rFonts w:ascii="宋体" w:hAnsi="宋体"/>
          <w:color w:val="auto"/>
          <w:szCs w:val="21"/>
          <w:highlight w:val="none"/>
          <w:lang w:eastAsia="zh-Hans"/>
        </w:rPr>
      </w:pPr>
      <w:r>
        <w:rPr>
          <w:rFonts w:hint="eastAsia" w:ascii="宋体" w:hAnsi="宋体"/>
          <w:color w:val="auto"/>
          <w:szCs w:val="21"/>
          <w:highlight w:val="none"/>
          <w:lang w:eastAsia="zh-Hans"/>
        </w:rPr>
        <w:t xml:space="preserve">  生  化Chemistry：Glu、BUN、Crea、Lactate</w:t>
      </w:r>
    </w:p>
    <w:p>
      <w:pPr>
        <w:spacing w:line="460" w:lineRule="exact"/>
        <w:ind w:firstLine="420" w:firstLineChars="200"/>
        <w:rPr>
          <w:rFonts w:ascii="宋体" w:hAnsi="宋体"/>
          <w:color w:val="auto"/>
          <w:szCs w:val="21"/>
          <w:highlight w:val="none"/>
          <w:lang w:eastAsia="zh-Hans"/>
        </w:rPr>
      </w:pPr>
      <w:r>
        <w:rPr>
          <w:rFonts w:hint="eastAsia" w:ascii="宋体" w:hAnsi="宋体"/>
          <w:color w:val="auto"/>
          <w:szCs w:val="21"/>
          <w:highlight w:val="none"/>
          <w:lang w:eastAsia="zh-Hans"/>
        </w:rPr>
        <w:t xml:space="preserve">  血  液Hematology：Hematocrit(Hct)、Hemoglobin(Hgb)</w:t>
      </w:r>
    </w:p>
    <w:p>
      <w:pPr>
        <w:spacing w:line="460" w:lineRule="exact"/>
        <w:ind w:firstLine="420" w:firstLineChars="200"/>
        <w:rPr>
          <w:rFonts w:ascii="宋体" w:hAnsi="宋体"/>
          <w:color w:val="auto"/>
          <w:szCs w:val="21"/>
          <w:highlight w:val="none"/>
          <w:lang w:eastAsia="zh-Hans"/>
        </w:rPr>
      </w:pPr>
      <w:r>
        <w:rPr>
          <w:rFonts w:hint="eastAsia" w:ascii="宋体" w:hAnsi="宋体"/>
          <w:color w:val="auto"/>
          <w:szCs w:val="21"/>
          <w:highlight w:val="none"/>
          <w:lang w:eastAsia="zh-Hans"/>
        </w:rPr>
        <w:t xml:space="preserve">  血  凝Coagulation：ACT、PT/INR</w:t>
      </w:r>
    </w:p>
    <w:p>
      <w:pPr>
        <w:spacing w:line="460" w:lineRule="exact"/>
        <w:ind w:firstLine="420" w:firstLineChars="200"/>
        <w:rPr>
          <w:rFonts w:ascii="宋体" w:hAnsi="宋体"/>
          <w:color w:val="auto"/>
          <w:szCs w:val="21"/>
          <w:highlight w:val="none"/>
          <w:lang w:eastAsia="zh-Hans"/>
        </w:rPr>
      </w:pPr>
      <w:r>
        <w:rPr>
          <w:rFonts w:hint="eastAsia" w:ascii="宋体" w:hAnsi="宋体"/>
          <w:color w:val="auto"/>
          <w:szCs w:val="21"/>
          <w:highlight w:val="none"/>
          <w:lang w:eastAsia="zh-Hans"/>
        </w:rPr>
        <w:t xml:space="preserve">  心脏标记物Heart Mark：cTnI、CK-MB、BNP</w:t>
      </w:r>
    </w:p>
    <w:p>
      <w:pPr>
        <w:spacing w:line="460" w:lineRule="exact"/>
        <w:ind w:firstLine="420" w:firstLineChars="200"/>
        <w:rPr>
          <w:rFonts w:ascii="宋体" w:hAnsi="宋体"/>
          <w:color w:val="auto"/>
          <w:szCs w:val="21"/>
          <w:highlight w:val="none"/>
          <w:lang w:eastAsia="zh-Hans"/>
        </w:rPr>
      </w:pPr>
      <w:r>
        <w:rPr>
          <w:rFonts w:hint="eastAsia" w:ascii="宋体" w:hAnsi="宋体"/>
          <w:color w:val="auto"/>
          <w:szCs w:val="21"/>
          <w:highlight w:val="none"/>
          <w:lang w:eastAsia="zh-Hans"/>
        </w:rPr>
        <w:t>2.5可提供的计算参数：HCO3,TCO2,BE,Anion Gap,sO2,Hb</w:t>
      </w:r>
    </w:p>
    <w:p>
      <w:pPr>
        <w:spacing w:line="460" w:lineRule="exact"/>
        <w:ind w:firstLine="420" w:firstLineChars="200"/>
        <w:rPr>
          <w:rFonts w:ascii="宋体" w:hAnsi="宋体"/>
          <w:color w:val="auto"/>
          <w:szCs w:val="21"/>
          <w:highlight w:val="none"/>
          <w:lang w:eastAsia="zh-Hans"/>
        </w:rPr>
      </w:pPr>
      <w:r>
        <w:rPr>
          <w:rFonts w:hint="eastAsia" w:ascii="宋体" w:hAnsi="宋体"/>
          <w:color w:val="auto"/>
          <w:szCs w:val="21"/>
          <w:highlight w:val="none"/>
          <w:lang w:eastAsia="zh-Hans"/>
        </w:rPr>
        <w:t>★2.6消耗品：除一次性检测用卡片外无其他消耗品</w:t>
      </w:r>
    </w:p>
    <w:p>
      <w:pPr>
        <w:spacing w:line="460" w:lineRule="exact"/>
        <w:ind w:firstLine="420" w:firstLineChars="200"/>
        <w:rPr>
          <w:rFonts w:ascii="宋体" w:hAnsi="宋体"/>
          <w:color w:val="auto"/>
          <w:szCs w:val="21"/>
          <w:highlight w:val="none"/>
          <w:lang w:eastAsia="zh-Hans"/>
        </w:rPr>
      </w:pPr>
      <w:r>
        <w:rPr>
          <w:rFonts w:hint="eastAsia" w:ascii="宋体" w:hAnsi="宋体"/>
          <w:color w:val="auto"/>
          <w:szCs w:val="21"/>
          <w:highlight w:val="none"/>
          <w:lang w:eastAsia="zh-Hans"/>
        </w:rPr>
        <w:t>2.7测试片：低温保存保质期</w:t>
      </w:r>
      <w:r>
        <w:rPr>
          <w:rFonts w:hint="eastAsia" w:ascii="Calibri" w:hAnsi="Calibri"/>
          <w:color w:val="auto"/>
          <w:sz w:val="28"/>
          <w:szCs w:val="32"/>
          <w:highlight w:val="none"/>
        </w:rPr>
        <w:t>≥</w:t>
      </w:r>
      <w:r>
        <w:rPr>
          <w:rFonts w:hint="eastAsia" w:ascii="宋体" w:hAnsi="宋体"/>
          <w:color w:val="auto"/>
          <w:szCs w:val="21"/>
          <w:highlight w:val="none"/>
          <w:lang w:eastAsia="zh-Hans"/>
        </w:rPr>
        <w:t>6个月</w:t>
      </w:r>
    </w:p>
    <w:p>
      <w:pPr>
        <w:spacing w:line="460" w:lineRule="exact"/>
        <w:ind w:firstLine="420" w:firstLineChars="200"/>
        <w:rPr>
          <w:rFonts w:ascii="宋体" w:hAnsi="宋体"/>
          <w:color w:val="auto"/>
          <w:szCs w:val="21"/>
          <w:highlight w:val="none"/>
          <w:lang w:eastAsia="zh-Hans"/>
        </w:rPr>
      </w:pPr>
      <w:r>
        <w:rPr>
          <w:rFonts w:hint="eastAsia" w:ascii="宋体" w:hAnsi="宋体"/>
          <w:color w:val="auto"/>
          <w:szCs w:val="21"/>
          <w:highlight w:val="none"/>
          <w:lang w:eastAsia="zh-Hans"/>
        </w:rPr>
        <w:t>2.8可采用样品: 动脉血﹑静脉血﹑毛细管血﹑脐带血﹑混合静脉血﹑体外循环血</w:t>
      </w:r>
      <w:r>
        <w:rPr>
          <w:rFonts w:hint="eastAsia" w:ascii="宋体" w:hAnsi="宋体"/>
          <w:color w:val="auto"/>
          <w:szCs w:val="21"/>
          <w:highlight w:val="none"/>
        </w:rPr>
        <w:t>，</w:t>
      </w:r>
      <w:r>
        <w:rPr>
          <w:rFonts w:hint="eastAsia" w:ascii="宋体" w:hAnsi="宋体"/>
          <w:color w:val="auto"/>
          <w:szCs w:val="21"/>
          <w:highlight w:val="none"/>
          <w:lang w:eastAsia="zh-Hans"/>
        </w:rPr>
        <w:t>全血检测无需对血样进行预处理。</w:t>
      </w:r>
    </w:p>
    <w:p>
      <w:pPr>
        <w:spacing w:line="460" w:lineRule="exact"/>
        <w:ind w:firstLine="420" w:firstLineChars="200"/>
        <w:rPr>
          <w:rFonts w:ascii="宋体" w:hAnsi="宋体"/>
          <w:color w:val="auto"/>
          <w:szCs w:val="21"/>
          <w:highlight w:val="none"/>
          <w:lang w:eastAsia="zh-Hans"/>
        </w:rPr>
      </w:pPr>
      <w:r>
        <w:rPr>
          <w:rFonts w:hint="eastAsia" w:ascii="宋体" w:hAnsi="宋体"/>
          <w:color w:val="auto"/>
          <w:szCs w:val="21"/>
          <w:highlight w:val="none"/>
          <w:lang w:eastAsia="zh-Hans"/>
        </w:rPr>
        <w:t>2.9最小样品量</w:t>
      </w:r>
      <w:r>
        <w:rPr>
          <w:rFonts w:hint="eastAsia" w:ascii="宋体" w:hAnsi="宋体"/>
          <w:color w:val="auto"/>
          <w:szCs w:val="21"/>
          <w:highlight w:val="none"/>
        </w:rPr>
        <w:t>：</w:t>
      </w:r>
      <w:r>
        <w:rPr>
          <w:rFonts w:hint="eastAsia" w:ascii="Calibri" w:hAnsi="Calibri"/>
          <w:color w:val="auto"/>
          <w:sz w:val="28"/>
          <w:szCs w:val="32"/>
          <w:highlight w:val="none"/>
        </w:rPr>
        <w:t>≤</w:t>
      </w:r>
      <w:r>
        <w:rPr>
          <w:rFonts w:hint="eastAsia" w:ascii="宋体" w:hAnsi="宋体"/>
          <w:color w:val="auto"/>
          <w:szCs w:val="21"/>
          <w:highlight w:val="none"/>
          <w:lang w:eastAsia="zh-Hans"/>
        </w:rPr>
        <w:t>1</w:t>
      </w:r>
      <w:r>
        <w:rPr>
          <w:rFonts w:hint="eastAsia" w:ascii="宋体" w:hAnsi="宋体"/>
          <w:color w:val="auto"/>
          <w:szCs w:val="21"/>
          <w:highlight w:val="none"/>
        </w:rPr>
        <w:t>7</w:t>
      </w:r>
      <w:r>
        <w:rPr>
          <w:rFonts w:hint="eastAsia" w:ascii="宋体" w:hAnsi="宋体"/>
          <w:color w:val="auto"/>
          <w:szCs w:val="21"/>
          <w:highlight w:val="none"/>
          <w:lang w:eastAsia="zh-Hans"/>
        </w:rPr>
        <w:t>ul</w:t>
      </w:r>
    </w:p>
    <w:p>
      <w:pPr>
        <w:spacing w:line="460" w:lineRule="exact"/>
        <w:ind w:firstLine="420" w:firstLineChars="200"/>
        <w:rPr>
          <w:rFonts w:ascii="宋体" w:hAnsi="宋体"/>
          <w:color w:val="auto"/>
          <w:szCs w:val="21"/>
          <w:highlight w:val="none"/>
          <w:lang w:eastAsia="zh-Hans"/>
        </w:rPr>
      </w:pPr>
      <w:r>
        <w:rPr>
          <w:rFonts w:hint="eastAsia" w:ascii="宋体" w:hAnsi="宋体"/>
          <w:color w:val="auto"/>
          <w:szCs w:val="21"/>
          <w:highlight w:val="none"/>
          <w:lang w:eastAsia="zh-Hans"/>
        </w:rPr>
        <w:t>2.10打印机：红外热敏打印机</w:t>
      </w:r>
    </w:p>
    <w:p>
      <w:pPr>
        <w:spacing w:line="460" w:lineRule="exact"/>
        <w:ind w:firstLine="420" w:firstLineChars="200"/>
        <w:rPr>
          <w:rFonts w:ascii="宋体" w:hAnsi="宋体"/>
          <w:color w:val="auto"/>
          <w:szCs w:val="21"/>
          <w:highlight w:val="none"/>
          <w:lang w:eastAsia="zh-Hans"/>
        </w:rPr>
      </w:pPr>
      <w:r>
        <w:rPr>
          <w:rFonts w:hint="eastAsia" w:ascii="宋体" w:hAnsi="宋体"/>
          <w:color w:val="auto"/>
          <w:szCs w:val="21"/>
          <w:highlight w:val="none"/>
          <w:lang w:eastAsia="zh-Hans"/>
        </w:rPr>
        <w:t>2.11显示屏：液晶显示屏</w:t>
      </w:r>
    </w:p>
    <w:p>
      <w:pPr>
        <w:spacing w:line="460" w:lineRule="exact"/>
        <w:ind w:firstLine="420" w:firstLineChars="200"/>
        <w:rPr>
          <w:rFonts w:ascii="宋体" w:hAnsi="宋体"/>
          <w:color w:val="auto"/>
          <w:szCs w:val="21"/>
          <w:highlight w:val="none"/>
          <w:lang w:eastAsia="zh-Hans"/>
        </w:rPr>
      </w:pPr>
      <w:r>
        <w:rPr>
          <w:rFonts w:hint="eastAsia" w:ascii="宋体" w:hAnsi="宋体"/>
          <w:color w:val="auto"/>
          <w:szCs w:val="21"/>
          <w:highlight w:val="none"/>
          <w:lang w:eastAsia="zh-Hans"/>
        </w:rPr>
        <w:t>2.12接口：RS232或以太网接口可通过选配的CDS系统实现LIS、HIS系统的连接</w:t>
      </w:r>
    </w:p>
    <w:p>
      <w:pPr>
        <w:spacing w:line="460" w:lineRule="exact"/>
        <w:ind w:firstLine="420" w:firstLineChars="200"/>
        <w:rPr>
          <w:rFonts w:ascii="宋体" w:hAnsi="宋体"/>
          <w:color w:val="auto"/>
          <w:szCs w:val="21"/>
          <w:highlight w:val="none"/>
          <w:lang w:eastAsia="zh-Hans"/>
        </w:rPr>
      </w:pPr>
      <w:r>
        <w:rPr>
          <w:rFonts w:hint="eastAsia" w:ascii="宋体" w:hAnsi="宋体"/>
          <w:color w:val="auto"/>
          <w:szCs w:val="21"/>
          <w:highlight w:val="none"/>
          <w:lang w:eastAsia="zh-Hans"/>
        </w:rPr>
        <w:t>2.13具备仪器自我诊断程序</w:t>
      </w:r>
    </w:p>
    <w:p>
      <w:pPr>
        <w:spacing w:line="460" w:lineRule="exact"/>
        <w:ind w:firstLine="420" w:firstLineChars="200"/>
        <w:rPr>
          <w:rFonts w:ascii="宋体" w:hAnsi="宋体"/>
          <w:color w:val="auto"/>
          <w:szCs w:val="21"/>
          <w:highlight w:val="none"/>
          <w:lang w:eastAsia="zh-Hans"/>
        </w:rPr>
      </w:pPr>
      <w:r>
        <w:rPr>
          <w:rFonts w:hint="eastAsia" w:ascii="宋体" w:hAnsi="宋体"/>
          <w:color w:val="auto"/>
          <w:szCs w:val="21"/>
          <w:highlight w:val="none"/>
          <w:lang w:eastAsia="zh-Hans"/>
        </w:rPr>
        <w:t>2.14主机存储检测数据数量</w:t>
      </w:r>
      <w:r>
        <w:rPr>
          <w:rFonts w:hint="eastAsia" w:ascii="Calibri" w:hAnsi="Calibri"/>
          <w:color w:val="auto"/>
          <w:sz w:val="28"/>
          <w:szCs w:val="32"/>
          <w:highlight w:val="none"/>
        </w:rPr>
        <w:t>≥</w:t>
      </w:r>
      <w:r>
        <w:rPr>
          <w:rFonts w:hint="eastAsia" w:ascii="宋体" w:hAnsi="宋体"/>
          <w:color w:val="auto"/>
          <w:szCs w:val="21"/>
          <w:highlight w:val="none"/>
          <w:lang w:eastAsia="zh-Hans"/>
        </w:rPr>
        <w:t xml:space="preserve">5000组 </w:t>
      </w:r>
    </w:p>
    <w:p>
      <w:pPr>
        <w:spacing w:line="460" w:lineRule="exact"/>
        <w:ind w:firstLine="420" w:firstLineChars="200"/>
        <w:rPr>
          <w:rFonts w:ascii="宋体" w:hAnsi="宋体"/>
          <w:color w:val="auto"/>
          <w:szCs w:val="21"/>
          <w:highlight w:val="none"/>
          <w:lang w:eastAsia="zh-Hans"/>
        </w:rPr>
      </w:pPr>
      <w:r>
        <w:rPr>
          <w:rFonts w:hint="eastAsia" w:ascii="宋体" w:hAnsi="宋体"/>
          <w:color w:val="auto"/>
          <w:szCs w:val="21"/>
          <w:highlight w:val="none"/>
          <w:lang w:eastAsia="zh-Hans"/>
        </w:rPr>
        <w:t>2.15自带红外线条码扫描装置</w:t>
      </w:r>
    </w:p>
    <w:p>
      <w:pPr>
        <w:spacing w:line="460" w:lineRule="exact"/>
        <w:ind w:firstLine="420" w:firstLineChars="200"/>
        <w:rPr>
          <w:rFonts w:ascii="宋体" w:hAnsi="宋体"/>
          <w:color w:val="auto"/>
          <w:szCs w:val="21"/>
          <w:highlight w:val="none"/>
          <w:lang w:eastAsia="zh-Hans"/>
        </w:rPr>
      </w:pPr>
      <w:r>
        <w:rPr>
          <w:rFonts w:hint="eastAsia" w:ascii="宋体" w:hAnsi="宋体"/>
          <w:color w:val="auto"/>
          <w:szCs w:val="21"/>
          <w:highlight w:val="none"/>
          <w:lang w:eastAsia="zh-Hans"/>
        </w:rPr>
        <w:t>2.16连接血液数据管理系统，处理众多的测试数据</w:t>
      </w:r>
    </w:p>
    <w:p>
      <w:pPr>
        <w:spacing w:line="460" w:lineRule="exact"/>
        <w:ind w:firstLine="420" w:firstLineChars="200"/>
        <w:rPr>
          <w:rFonts w:ascii="宋体" w:hAnsi="宋体"/>
          <w:color w:val="auto"/>
          <w:szCs w:val="21"/>
          <w:highlight w:val="none"/>
          <w:lang w:eastAsia="zh-Hans"/>
        </w:rPr>
      </w:pPr>
      <w:r>
        <w:rPr>
          <w:rFonts w:hint="eastAsia" w:ascii="宋体" w:hAnsi="宋体"/>
          <w:color w:val="auto"/>
          <w:szCs w:val="21"/>
          <w:highlight w:val="none"/>
          <w:lang w:eastAsia="zh-Hans"/>
        </w:rPr>
        <w:t>2.17 质控方式：有</w:t>
      </w:r>
      <w:r>
        <w:rPr>
          <w:rFonts w:hint="eastAsia" w:ascii="宋体" w:hAnsi="宋体"/>
          <w:color w:val="auto"/>
          <w:szCs w:val="21"/>
          <w:highlight w:val="none"/>
        </w:rPr>
        <w:t>内、</w:t>
      </w:r>
      <w:r>
        <w:rPr>
          <w:rFonts w:hint="eastAsia" w:ascii="宋体" w:hAnsi="宋体"/>
          <w:color w:val="auto"/>
          <w:szCs w:val="21"/>
          <w:highlight w:val="none"/>
          <w:lang w:eastAsia="zh-Hans"/>
        </w:rPr>
        <w:t>外部电子模拟器和高、中、低三级液体</w:t>
      </w:r>
      <w:r>
        <w:rPr>
          <w:rFonts w:hint="eastAsia" w:ascii="宋体" w:hAnsi="宋体"/>
          <w:color w:val="auto"/>
          <w:szCs w:val="21"/>
          <w:highlight w:val="none"/>
        </w:rPr>
        <w:t>质控的三</w:t>
      </w:r>
      <w:r>
        <w:rPr>
          <w:rFonts w:hint="eastAsia" w:ascii="宋体" w:hAnsi="宋体"/>
          <w:color w:val="auto"/>
          <w:szCs w:val="21"/>
          <w:highlight w:val="none"/>
          <w:lang w:eastAsia="zh-Hans"/>
        </w:rPr>
        <w:t>种方式</w:t>
      </w:r>
    </w:p>
    <w:p>
      <w:pPr>
        <w:spacing w:line="460" w:lineRule="exact"/>
        <w:ind w:firstLine="420" w:firstLineChars="200"/>
        <w:rPr>
          <w:rFonts w:ascii="宋体" w:hAnsi="宋体"/>
          <w:color w:val="auto"/>
          <w:szCs w:val="21"/>
          <w:highlight w:val="none"/>
          <w:lang w:eastAsia="zh-Hans"/>
        </w:rPr>
      </w:pPr>
      <w:r>
        <w:rPr>
          <w:rFonts w:hint="eastAsia" w:ascii="宋体" w:hAnsi="宋体"/>
          <w:color w:val="auto"/>
          <w:szCs w:val="21"/>
          <w:highlight w:val="none"/>
          <w:lang w:eastAsia="zh-Hans"/>
        </w:rPr>
        <w:t>2.18 半年进行一次免费仪器升级，精确度更高</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2.19 </w:t>
      </w:r>
      <w:r>
        <w:rPr>
          <w:rFonts w:hint="eastAsia" w:ascii="宋体" w:hAnsi="宋体"/>
          <w:color w:val="auto"/>
          <w:szCs w:val="21"/>
          <w:highlight w:val="none"/>
          <w:lang w:eastAsia="zh-Hans"/>
        </w:rPr>
        <w:t>配置要求</w:t>
      </w:r>
      <w:r>
        <w:rPr>
          <w:rFonts w:hint="eastAsia" w:ascii="宋体" w:hAnsi="宋体"/>
          <w:color w:val="auto"/>
          <w:szCs w:val="21"/>
          <w:highlight w:val="none"/>
        </w:rPr>
        <w:t>（单台）</w:t>
      </w:r>
    </w:p>
    <w:tbl>
      <w:tblPr>
        <w:tblStyle w:val="35"/>
        <w:tblW w:w="0" w:type="auto"/>
        <w:tblInd w:w="5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8"/>
        <w:gridCol w:w="1187"/>
        <w:gridCol w:w="1027"/>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3338" w:type="dxa"/>
            <w:vAlign w:val="center"/>
          </w:tcPr>
          <w:p>
            <w:pPr>
              <w:spacing w:line="460" w:lineRule="exact"/>
              <w:jc w:val="center"/>
              <w:rPr>
                <w:rFonts w:ascii="宋体" w:hAnsi="宋体"/>
                <w:color w:val="auto"/>
                <w:szCs w:val="21"/>
                <w:highlight w:val="none"/>
                <w:lang w:eastAsia="zh-Hans"/>
              </w:rPr>
            </w:pPr>
            <w:r>
              <w:rPr>
                <w:rFonts w:hint="eastAsia" w:ascii="宋体" w:hAnsi="宋体"/>
                <w:color w:val="auto"/>
                <w:szCs w:val="21"/>
                <w:highlight w:val="none"/>
                <w:lang w:eastAsia="zh-Hans"/>
              </w:rPr>
              <w:t>产品名称</w:t>
            </w:r>
          </w:p>
        </w:tc>
        <w:tc>
          <w:tcPr>
            <w:tcW w:w="1187" w:type="dxa"/>
            <w:vAlign w:val="center"/>
          </w:tcPr>
          <w:p>
            <w:pPr>
              <w:spacing w:line="460" w:lineRule="exact"/>
              <w:jc w:val="center"/>
              <w:rPr>
                <w:rFonts w:ascii="宋体" w:hAnsi="宋体"/>
                <w:color w:val="auto"/>
                <w:szCs w:val="21"/>
                <w:highlight w:val="none"/>
                <w:lang w:eastAsia="zh-Hans"/>
              </w:rPr>
            </w:pPr>
            <w:r>
              <w:rPr>
                <w:rFonts w:hint="eastAsia" w:ascii="宋体" w:hAnsi="宋体"/>
                <w:color w:val="auto"/>
                <w:szCs w:val="21"/>
                <w:highlight w:val="none"/>
                <w:lang w:eastAsia="zh-Hans"/>
              </w:rPr>
              <w:t>单 位</w:t>
            </w:r>
          </w:p>
        </w:tc>
        <w:tc>
          <w:tcPr>
            <w:tcW w:w="1027" w:type="dxa"/>
            <w:vAlign w:val="center"/>
          </w:tcPr>
          <w:p>
            <w:pPr>
              <w:spacing w:line="460" w:lineRule="exact"/>
              <w:jc w:val="center"/>
              <w:rPr>
                <w:rFonts w:ascii="宋体" w:hAnsi="宋体"/>
                <w:color w:val="auto"/>
                <w:szCs w:val="21"/>
                <w:highlight w:val="none"/>
                <w:lang w:eastAsia="zh-Hans"/>
              </w:rPr>
            </w:pPr>
            <w:r>
              <w:rPr>
                <w:rFonts w:hint="eastAsia" w:ascii="宋体" w:hAnsi="宋体"/>
                <w:color w:val="auto"/>
                <w:szCs w:val="21"/>
                <w:highlight w:val="none"/>
                <w:lang w:eastAsia="zh-Hans"/>
              </w:rPr>
              <w:t>数 量</w:t>
            </w:r>
          </w:p>
        </w:tc>
        <w:tc>
          <w:tcPr>
            <w:tcW w:w="1347" w:type="dxa"/>
            <w:vAlign w:val="center"/>
          </w:tcPr>
          <w:p>
            <w:pPr>
              <w:spacing w:line="460" w:lineRule="exact"/>
              <w:jc w:val="center"/>
              <w:rPr>
                <w:rFonts w:ascii="宋体" w:hAnsi="宋体"/>
                <w:color w:val="auto"/>
                <w:szCs w:val="21"/>
                <w:highlight w:val="none"/>
                <w:lang w:eastAsia="zh-Hans"/>
              </w:rPr>
            </w:pPr>
            <w:r>
              <w:rPr>
                <w:rFonts w:hint="eastAsia" w:ascii="宋体" w:hAnsi="宋体"/>
                <w:color w:val="auto"/>
                <w:szCs w:val="21"/>
                <w:highlight w:val="none"/>
                <w:lang w:eastAsia="zh-Hans"/>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3338"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rPr>
              <w:t>手持式血液分析仪主机</w:t>
            </w:r>
          </w:p>
        </w:tc>
        <w:tc>
          <w:tcPr>
            <w:tcW w:w="1187"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rPr>
              <w:t>台</w:t>
            </w:r>
          </w:p>
        </w:tc>
        <w:tc>
          <w:tcPr>
            <w:tcW w:w="1027"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rPr>
              <w:t>1</w:t>
            </w:r>
          </w:p>
        </w:tc>
        <w:tc>
          <w:tcPr>
            <w:tcW w:w="1347" w:type="dxa"/>
            <w:vAlign w:val="center"/>
          </w:tcPr>
          <w:p>
            <w:pPr>
              <w:spacing w:line="460" w:lineRule="exact"/>
              <w:ind w:firstLine="420" w:firstLineChars="200"/>
              <w:jc w:val="center"/>
              <w:rPr>
                <w:rFonts w:ascii="宋体" w:hAnsi="宋体"/>
                <w:color w:val="auto"/>
                <w:szCs w:val="21"/>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3338"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rPr>
              <w:t>电池组</w:t>
            </w:r>
          </w:p>
        </w:tc>
        <w:tc>
          <w:tcPr>
            <w:tcW w:w="1187"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rPr>
              <w:t>个</w:t>
            </w:r>
          </w:p>
        </w:tc>
        <w:tc>
          <w:tcPr>
            <w:tcW w:w="1027"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rPr>
              <w:t>1</w:t>
            </w:r>
          </w:p>
        </w:tc>
        <w:tc>
          <w:tcPr>
            <w:tcW w:w="1347" w:type="dxa"/>
            <w:vAlign w:val="center"/>
          </w:tcPr>
          <w:p>
            <w:pPr>
              <w:spacing w:line="460" w:lineRule="exact"/>
              <w:ind w:firstLine="420" w:firstLineChars="200"/>
              <w:jc w:val="center"/>
              <w:rPr>
                <w:rFonts w:ascii="宋体" w:hAnsi="宋体"/>
                <w:color w:val="auto"/>
                <w:szCs w:val="21"/>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3338"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rPr>
              <w:t>中文操作手册</w:t>
            </w:r>
          </w:p>
        </w:tc>
        <w:tc>
          <w:tcPr>
            <w:tcW w:w="1187"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rPr>
              <w:t>本</w:t>
            </w:r>
          </w:p>
        </w:tc>
        <w:tc>
          <w:tcPr>
            <w:tcW w:w="1027"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rPr>
              <w:t>1</w:t>
            </w:r>
          </w:p>
        </w:tc>
        <w:tc>
          <w:tcPr>
            <w:tcW w:w="1347" w:type="dxa"/>
            <w:vAlign w:val="center"/>
          </w:tcPr>
          <w:p>
            <w:pPr>
              <w:spacing w:line="460" w:lineRule="exact"/>
              <w:ind w:firstLine="420" w:firstLineChars="200"/>
              <w:jc w:val="center"/>
              <w:rPr>
                <w:rFonts w:ascii="宋体" w:hAnsi="宋体"/>
                <w:color w:val="auto"/>
                <w:szCs w:val="21"/>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3338"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rPr>
              <w:t>测试卡片</w:t>
            </w:r>
          </w:p>
        </w:tc>
        <w:tc>
          <w:tcPr>
            <w:tcW w:w="1187"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rPr>
              <w:t>片</w:t>
            </w:r>
          </w:p>
        </w:tc>
        <w:tc>
          <w:tcPr>
            <w:tcW w:w="1027"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rPr>
              <w:t>5</w:t>
            </w:r>
          </w:p>
        </w:tc>
        <w:tc>
          <w:tcPr>
            <w:tcW w:w="1347" w:type="dxa"/>
            <w:vAlign w:val="center"/>
          </w:tcPr>
          <w:p>
            <w:pPr>
              <w:spacing w:line="460" w:lineRule="exact"/>
              <w:ind w:firstLine="420" w:firstLineChars="200"/>
              <w:jc w:val="center"/>
              <w:rPr>
                <w:rFonts w:ascii="宋体" w:hAnsi="宋体"/>
                <w:color w:val="auto"/>
                <w:szCs w:val="21"/>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3338"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rPr>
              <w:t>数据下载器/充电器（底座）</w:t>
            </w:r>
          </w:p>
        </w:tc>
        <w:tc>
          <w:tcPr>
            <w:tcW w:w="1187"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rPr>
              <w:t>个</w:t>
            </w:r>
          </w:p>
        </w:tc>
        <w:tc>
          <w:tcPr>
            <w:tcW w:w="1027"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rPr>
              <w:t>1</w:t>
            </w:r>
          </w:p>
        </w:tc>
        <w:tc>
          <w:tcPr>
            <w:tcW w:w="1347" w:type="dxa"/>
            <w:vAlign w:val="center"/>
          </w:tcPr>
          <w:p>
            <w:pPr>
              <w:spacing w:line="460" w:lineRule="exact"/>
              <w:ind w:firstLine="420" w:firstLineChars="20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3338"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rPr>
              <w:t>打印机</w:t>
            </w:r>
          </w:p>
        </w:tc>
        <w:tc>
          <w:tcPr>
            <w:tcW w:w="1187"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rPr>
              <w:t>台</w:t>
            </w:r>
          </w:p>
        </w:tc>
        <w:tc>
          <w:tcPr>
            <w:tcW w:w="1027"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rPr>
              <w:t>1</w:t>
            </w:r>
          </w:p>
        </w:tc>
        <w:tc>
          <w:tcPr>
            <w:tcW w:w="1347" w:type="dxa"/>
            <w:vAlign w:val="center"/>
          </w:tcPr>
          <w:p>
            <w:pPr>
              <w:spacing w:line="460" w:lineRule="exact"/>
              <w:ind w:firstLine="420" w:firstLineChars="200"/>
              <w:jc w:val="center"/>
              <w:rPr>
                <w:rFonts w:ascii="宋体" w:hAnsi="宋体"/>
                <w:color w:val="auto"/>
                <w:szCs w:val="21"/>
                <w:highlight w:val="none"/>
              </w:rPr>
            </w:pPr>
          </w:p>
        </w:tc>
      </w:tr>
    </w:tbl>
    <w:p>
      <w:pPr>
        <w:spacing w:line="460" w:lineRule="exact"/>
        <w:jc w:val="center"/>
        <w:rPr>
          <w:rFonts w:ascii="宋体" w:hAnsi="宋体"/>
          <w:b/>
          <w:bCs/>
          <w:color w:val="auto"/>
          <w:sz w:val="24"/>
          <w:highlight w:val="none"/>
        </w:rPr>
      </w:pPr>
    </w:p>
    <w:p>
      <w:pPr>
        <w:spacing w:line="460" w:lineRule="exact"/>
        <w:jc w:val="center"/>
        <w:outlineLvl w:val="1"/>
        <w:rPr>
          <w:rFonts w:ascii="宋体" w:hAnsi="宋体"/>
          <w:b/>
          <w:bCs/>
          <w:color w:val="auto"/>
          <w:sz w:val="24"/>
          <w:highlight w:val="none"/>
        </w:rPr>
      </w:pPr>
      <w:r>
        <w:rPr>
          <w:rFonts w:hint="eastAsia" w:ascii="宋体" w:hAnsi="宋体"/>
          <w:b/>
          <w:bCs/>
          <w:color w:val="auto"/>
          <w:sz w:val="24"/>
          <w:highlight w:val="none"/>
        </w:rPr>
        <w:t>第四包</w:t>
      </w:r>
    </w:p>
    <w:p>
      <w:pPr>
        <w:spacing w:line="460" w:lineRule="exact"/>
        <w:jc w:val="center"/>
        <w:rPr>
          <w:rFonts w:ascii="宋体" w:hAnsi="宋体"/>
          <w:b/>
          <w:bCs/>
          <w:color w:val="auto"/>
          <w:sz w:val="24"/>
          <w:highlight w:val="none"/>
        </w:rPr>
      </w:pPr>
      <w:r>
        <w:rPr>
          <w:rFonts w:hint="eastAsia" w:ascii="宋体" w:hAnsi="宋体"/>
          <w:b/>
          <w:bCs/>
          <w:color w:val="auto"/>
          <w:sz w:val="24"/>
          <w:highlight w:val="none"/>
        </w:rPr>
        <w:t>4-1便携式彩色多普勒超声诊断系统</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1、主要功能</w:t>
      </w:r>
    </w:p>
    <w:p>
      <w:pPr>
        <w:spacing w:line="460" w:lineRule="exact"/>
        <w:ind w:firstLine="420" w:firstLineChars="200"/>
        <w:rPr>
          <w:rFonts w:ascii="宋体" w:hAnsi="宋体"/>
          <w:color w:val="auto"/>
          <w:szCs w:val="21"/>
          <w:highlight w:val="none"/>
          <w:lang w:eastAsia="zh-Hans"/>
        </w:rPr>
      </w:pPr>
      <w:r>
        <w:rPr>
          <w:rFonts w:hint="eastAsia" w:ascii="宋体" w:hAnsi="宋体"/>
          <w:color w:val="auto"/>
          <w:szCs w:val="21"/>
          <w:highlight w:val="none"/>
        </w:rPr>
        <w:t>1.1</w:t>
      </w:r>
      <w:r>
        <w:rPr>
          <w:rFonts w:hint="eastAsia" w:ascii="宋体" w:hAnsi="宋体"/>
          <w:color w:val="auto"/>
          <w:szCs w:val="21"/>
          <w:highlight w:val="none"/>
          <w:lang w:eastAsia="zh-Hans"/>
        </w:rPr>
        <w:t>全数字化彩色多普勒超声诊断系统主机</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1.1.1≥</w:t>
      </w:r>
      <w:r>
        <w:rPr>
          <w:rFonts w:hint="eastAsia" w:ascii="宋体" w:hAnsi="宋体"/>
          <w:color w:val="auto"/>
          <w:szCs w:val="21"/>
          <w:highlight w:val="none"/>
          <w:lang w:eastAsia="zh-Hans"/>
        </w:rPr>
        <w:t>15</w:t>
      </w:r>
      <w:r>
        <w:rPr>
          <w:rFonts w:hint="eastAsia" w:ascii="宋体" w:hAnsi="宋体"/>
          <w:color w:val="auto"/>
          <w:szCs w:val="21"/>
          <w:highlight w:val="none"/>
        </w:rPr>
        <w:t>英</w:t>
      </w:r>
      <w:r>
        <w:rPr>
          <w:rFonts w:hint="eastAsia" w:ascii="宋体" w:hAnsi="宋体"/>
          <w:color w:val="auto"/>
          <w:szCs w:val="21"/>
          <w:highlight w:val="none"/>
          <w:lang w:eastAsia="zh-Hans"/>
        </w:rPr>
        <w:t>寸医用专业彩色LED显示屏</w:t>
      </w:r>
      <w:r>
        <w:rPr>
          <w:rFonts w:hint="eastAsia" w:ascii="宋体" w:hAnsi="宋体"/>
          <w:color w:val="auto"/>
          <w:szCs w:val="21"/>
          <w:highlight w:val="none"/>
        </w:rPr>
        <w:t>；</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1.1.2</w:t>
      </w:r>
      <w:r>
        <w:rPr>
          <w:rFonts w:hint="eastAsia" w:ascii="宋体" w:hAnsi="宋体"/>
          <w:color w:val="auto"/>
          <w:szCs w:val="21"/>
          <w:highlight w:val="none"/>
          <w:lang w:eastAsia="zh-Hans"/>
        </w:rPr>
        <w:t>多倍波束合成</w:t>
      </w:r>
      <w:r>
        <w:rPr>
          <w:rFonts w:hint="eastAsia" w:ascii="宋体" w:hAnsi="宋体"/>
          <w:color w:val="auto"/>
          <w:szCs w:val="21"/>
          <w:highlight w:val="none"/>
        </w:rPr>
        <w:t>；</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1.1.3</w:t>
      </w:r>
      <w:r>
        <w:rPr>
          <w:rFonts w:hint="eastAsia" w:ascii="宋体" w:hAnsi="宋体"/>
          <w:color w:val="auto"/>
          <w:szCs w:val="21"/>
          <w:highlight w:val="none"/>
          <w:lang w:eastAsia="zh-Hans"/>
        </w:rPr>
        <w:t>二维灰阶模式</w:t>
      </w:r>
      <w:r>
        <w:rPr>
          <w:rFonts w:hint="eastAsia" w:ascii="宋体" w:hAnsi="宋体"/>
          <w:color w:val="auto"/>
          <w:szCs w:val="21"/>
          <w:highlight w:val="none"/>
        </w:rPr>
        <w:t>；</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1.1.4</w:t>
      </w:r>
      <w:r>
        <w:rPr>
          <w:rFonts w:hint="eastAsia" w:ascii="宋体" w:hAnsi="宋体"/>
          <w:color w:val="auto"/>
          <w:szCs w:val="21"/>
          <w:highlight w:val="none"/>
          <w:lang w:eastAsia="zh-Hans"/>
        </w:rPr>
        <w:t>组织谐波成像模式</w:t>
      </w:r>
      <w:r>
        <w:rPr>
          <w:rFonts w:hint="eastAsia" w:ascii="宋体" w:hAnsi="宋体"/>
          <w:color w:val="auto"/>
          <w:szCs w:val="21"/>
          <w:highlight w:val="none"/>
        </w:rPr>
        <w:t>；</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1.1.5</w:t>
      </w:r>
      <w:r>
        <w:rPr>
          <w:rFonts w:hint="eastAsia" w:ascii="宋体" w:hAnsi="宋体"/>
          <w:color w:val="auto"/>
          <w:szCs w:val="21"/>
          <w:highlight w:val="none"/>
          <w:lang w:eastAsia="zh-Hans"/>
        </w:rPr>
        <w:t>斑点抑制成像</w:t>
      </w:r>
      <w:r>
        <w:rPr>
          <w:rFonts w:hint="eastAsia" w:ascii="宋体" w:hAnsi="宋体"/>
          <w:color w:val="auto"/>
          <w:szCs w:val="21"/>
          <w:highlight w:val="none"/>
        </w:rPr>
        <w:t>；</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1.1.6</w:t>
      </w:r>
      <w:r>
        <w:rPr>
          <w:rFonts w:hint="eastAsia" w:ascii="宋体" w:hAnsi="宋体"/>
          <w:color w:val="auto"/>
          <w:szCs w:val="21"/>
          <w:highlight w:val="none"/>
          <w:lang w:eastAsia="zh-Hans"/>
        </w:rPr>
        <w:t>空间复合成像</w:t>
      </w:r>
      <w:r>
        <w:rPr>
          <w:rFonts w:hint="eastAsia" w:ascii="宋体" w:hAnsi="宋体"/>
          <w:color w:val="auto"/>
          <w:szCs w:val="21"/>
          <w:highlight w:val="none"/>
        </w:rPr>
        <w:t>；</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1.1.7</w:t>
      </w:r>
      <w:r>
        <w:rPr>
          <w:rFonts w:hint="eastAsia" w:ascii="宋体" w:hAnsi="宋体"/>
          <w:color w:val="auto"/>
          <w:szCs w:val="21"/>
          <w:highlight w:val="none"/>
          <w:lang w:eastAsia="zh-Hans"/>
        </w:rPr>
        <w:t>频率复合成像</w:t>
      </w:r>
      <w:r>
        <w:rPr>
          <w:rFonts w:hint="eastAsia" w:ascii="宋体" w:hAnsi="宋体"/>
          <w:color w:val="auto"/>
          <w:szCs w:val="21"/>
          <w:highlight w:val="none"/>
        </w:rPr>
        <w:t>；</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1.1.8</w:t>
      </w:r>
      <w:r>
        <w:rPr>
          <w:rFonts w:hint="eastAsia" w:ascii="宋体" w:hAnsi="宋体"/>
          <w:color w:val="auto"/>
          <w:szCs w:val="21"/>
          <w:highlight w:val="none"/>
          <w:lang w:eastAsia="zh-Hans"/>
        </w:rPr>
        <w:t>彩色多普勒成像（包括彩色、能量、方向能量多普勒模式）</w:t>
      </w:r>
      <w:r>
        <w:rPr>
          <w:rFonts w:hint="eastAsia" w:ascii="宋体" w:hAnsi="宋体"/>
          <w:color w:val="auto"/>
          <w:szCs w:val="21"/>
          <w:highlight w:val="none"/>
        </w:rPr>
        <w:t>；</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1.1.9</w:t>
      </w:r>
      <w:r>
        <w:rPr>
          <w:rFonts w:hint="eastAsia" w:ascii="宋体" w:hAnsi="宋体"/>
          <w:color w:val="auto"/>
          <w:szCs w:val="21"/>
          <w:highlight w:val="none"/>
          <w:lang w:eastAsia="zh-Hans"/>
        </w:rPr>
        <w:t>高分辨率血流技术</w:t>
      </w:r>
      <w:r>
        <w:rPr>
          <w:rFonts w:hint="eastAsia" w:ascii="宋体" w:hAnsi="宋体"/>
          <w:color w:val="auto"/>
          <w:szCs w:val="21"/>
          <w:highlight w:val="none"/>
        </w:rPr>
        <w:t>；</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1.1.10</w:t>
      </w:r>
      <w:r>
        <w:rPr>
          <w:rFonts w:hint="eastAsia" w:ascii="宋体" w:hAnsi="宋体"/>
          <w:color w:val="auto"/>
          <w:szCs w:val="21"/>
          <w:highlight w:val="none"/>
          <w:lang w:eastAsia="zh-Hans"/>
        </w:rPr>
        <w:t>频谱多普勒成像（包括脉冲多普勒、高脉冲重复频率、连续波多普勒）</w:t>
      </w:r>
      <w:r>
        <w:rPr>
          <w:rFonts w:hint="eastAsia" w:ascii="宋体" w:hAnsi="宋体"/>
          <w:color w:val="auto"/>
          <w:szCs w:val="21"/>
          <w:highlight w:val="none"/>
        </w:rPr>
        <w:t>；</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★1.1.11</w:t>
      </w:r>
      <w:r>
        <w:rPr>
          <w:rFonts w:hint="eastAsia" w:ascii="宋体" w:hAnsi="宋体"/>
          <w:color w:val="auto"/>
          <w:szCs w:val="21"/>
          <w:highlight w:val="none"/>
          <w:lang w:eastAsia="zh-Hans"/>
        </w:rPr>
        <w:t>组织多普勒成</w:t>
      </w:r>
      <w:r>
        <w:rPr>
          <w:rFonts w:hint="eastAsia" w:ascii="宋体" w:hAnsi="宋体"/>
          <w:color w:val="auto"/>
          <w:szCs w:val="21"/>
          <w:highlight w:val="none"/>
        </w:rPr>
        <w:t>像</w:t>
      </w:r>
      <w:r>
        <w:rPr>
          <w:rFonts w:hint="eastAsia" w:ascii="宋体" w:hAnsi="宋体"/>
          <w:color w:val="auto"/>
          <w:szCs w:val="21"/>
          <w:highlight w:val="none"/>
          <w:lang w:eastAsia="zh-Hans"/>
        </w:rPr>
        <w:t>（包括TVI、TVD、TVM、TEI四种模式）</w:t>
      </w:r>
      <w:r>
        <w:rPr>
          <w:rFonts w:hint="eastAsia" w:ascii="宋体" w:hAnsi="宋体"/>
          <w:color w:val="auto"/>
          <w:szCs w:val="21"/>
          <w:highlight w:val="none"/>
        </w:rPr>
        <w:t>（提供图片证明）；</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1.1.12连续多普勒成像；</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★1.1.13</w:t>
      </w:r>
      <w:r>
        <w:rPr>
          <w:rFonts w:hint="eastAsia" w:ascii="宋体" w:hAnsi="宋体"/>
          <w:color w:val="auto"/>
          <w:szCs w:val="21"/>
          <w:highlight w:val="none"/>
          <w:lang w:eastAsia="zh-Hans"/>
        </w:rPr>
        <w:t>解剖M型模式，要求M取样线≥</w:t>
      </w:r>
      <w:r>
        <w:rPr>
          <w:rFonts w:hint="eastAsia" w:ascii="宋体" w:hAnsi="宋体"/>
          <w:color w:val="auto"/>
          <w:szCs w:val="21"/>
          <w:highlight w:val="none"/>
        </w:rPr>
        <w:t>3</w:t>
      </w:r>
      <w:r>
        <w:rPr>
          <w:rFonts w:hint="eastAsia" w:ascii="宋体" w:hAnsi="宋体"/>
          <w:color w:val="auto"/>
          <w:szCs w:val="21"/>
          <w:highlight w:val="none"/>
          <w:lang w:eastAsia="zh-Hans"/>
        </w:rPr>
        <w:t>条，能360度任意旋转角度，同时要求</w:t>
      </w:r>
      <w:r>
        <w:rPr>
          <w:rFonts w:hint="eastAsia" w:ascii="宋体" w:hAnsi="宋体"/>
          <w:color w:val="auto"/>
          <w:szCs w:val="21"/>
          <w:highlight w:val="none"/>
        </w:rPr>
        <w:t xml:space="preserve"> </w:t>
      </w:r>
      <w:r>
        <w:rPr>
          <w:rFonts w:hint="eastAsia" w:ascii="宋体" w:hAnsi="宋体"/>
          <w:color w:val="auto"/>
          <w:szCs w:val="21"/>
          <w:highlight w:val="none"/>
          <w:lang w:eastAsia="zh-Hans"/>
        </w:rPr>
        <w:t>支持实时扫描以及后处理离线分析过程中重构M型图像</w:t>
      </w:r>
      <w:r>
        <w:rPr>
          <w:rFonts w:hint="eastAsia" w:ascii="宋体" w:hAnsi="宋体"/>
          <w:color w:val="auto"/>
          <w:szCs w:val="21"/>
          <w:highlight w:val="none"/>
        </w:rPr>
        <w:t>（提供图片证明）；</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1.1.14</w:t>
      </w:r>
      <w:r>
        <w:rPr>
          <w:rFonts w:hint="eastAsia" w:ascii="宋体" w:hAnsi="宋体"/>
          <w:color w:val="auto"/>
          <w:szCs w:val="21"/>
          <w:highlight w:val="none"/>
          <w:lang w:eastAsia="zh-Hans"/>
        </w:rPr>
        <w:t>组织特异性成像，根据不同组织特性，可选多种成像条件，提高图像质量</w:t>
      </w:r>
      <w:r>
        <w:rPr>
          <w:rFonts w:hint="eastAsia" w:ascii="宋体" w:hAnsi="宋体"/>
          <w:color w:val="auto"/>
          <w:szCs w:val="21"/>
          <w:highlight w:val="none"/>
        </w:rPr>
        <w:t>；</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1.1.15</w:t>
      </w:r>
      <w:r>
        <w:rPr>
          <w:rFonts w:hint="eastAsia" w:ascii="宋体" w:hAnsi="宋体"/>
          <w:color w:val="auto"/>
          <w:szCs w:val="21"/>
          <w:highlight w:val="none"/>
          <w:lang w:eastAsia="zh-Hans"/>
        </w:rPr>
        <w:t>扩展成像技术</w:t>
      </w:r>
      <w:r>
        <w:rPr>
          <w:rFonts w:hint="eastAsia" w:ascii="宋体" w:hAnsi="宋体"/>
          <w:color w:val="auto"/>
          <w:szCs w:val="21"/>
          <w:highlight w:val="none"/>
        </w:rPr>
        <w:t>；</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1.1.16</w:t>
      </w:r>
      <w:r>
        <w:rPr>
          <w:rFonts w:hint="eastAsia" w:ascii="宋体" w:hAnsi="宋体"/>
          <w:color w:val="auto"/>
          <w:szCs w:val="21"/>
          <w:highlight w:val="none"/>
          <w:lang w:eastAsia="zh-Hans"/>
        </w:rPr>
        <w:t>实时双幅对比成像</w:t>
      </w:r>
      <w:r>
        <w:rPr>
          <w:rFonts w:hint="eastAsia" w:ascii="宋体" w:hAnsi="宋体"/>
          <w:color w:val="auto"/>
          <w:szCs w:val="21"/>
          <w:highlight w:val="none"/>
        </w:rPr>
        <w:t>；</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1.1.17</w:t>
      </w:r>
      <w:r>
        <w:rPr>
          <w:rFonts w:hint="eastAsia" w:ascii="宋体" w:hAnsi="宋体"/>
          <w:color w:val="auto"/>
          <w:szCs w:val="21"/>
          <w:highlight w:val="none"/>
          <w:lang w:eastAsia="zh-Hans"/>
        </w:rPr>
        <w:t>一键自动优化单元，可用于二维、彩色、频谱多普勒等多种模式，支持频谱多普勒角度自动优化和快速矫正</w:t>
      </w:r>
      <w:r>
        <w:rPr>
          <w:rFonts w:hint="eastAsia" w:ascii="宋体" w:hAnsi="宋体"/>
          <w:color w:val="auto"/>
          <w:szCs w:val="21"/>
          <w:highlight w:val="none"/>
        </w:rPr>
        <w:t>；</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1.1.18</w:t>
      </w:r>
      <w:r>
        <w:rPr>
          <w:rFonts w:hint="eastAsia" w:ascii="宋体" w:hAnsi="宋体"/>
          <w:color w:val="auto"/>
          <w:szCs w:val="21"/>
          <w:highlight w:val="none"/>
          <w:lang w:eastAsia="zh-Hans"/>
        </w:rPr>
        <w:t>局部放大（支持前端、后端放大）</w:t>
      </w:r>
      <w:r>
        <w:rPr>
          <w:rFonts w:hint="eastAsia" w:ascii="宋体" w:hAnsi="宋体"/>
          <w:color w:val="auto"/>
          <w:szCs w:val="21"/>
          <w:highlight w:val="none"/>
        </w:rPr>
        <w:t>；</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1.1.19</w:t>
      </w:r>
      <w:r>
        <w:rPr>
          <w:rFonts w:hint="eastAsia" w:ascii="宋体" w:hAnsi="宋体"/>
          <w:color w:val="auto"/>
          <w:szCs w:val="21"/>
          <w:highlight w:val="none"/>
          <w:lang w:eastAsia="zh-Hans"/>
        </w:rPr>
        <w:t>二维和彩色多谱勒双幅显示</w:t>
      </w:r>
      <w:r>
        <w:rPr>
          <w:rFonts w:hint="eastAsia" w:ascii="宋体" w:hAnsi="宋体"/>
          <w:color w:val="auto"/>
          <w:szCs w:val="21"/>
          <w:highlight w:val="none"/>
        </w:rPr>
        <w:t>；</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1.1.20</w:t>
      </w:r>
      <w:r>
        <w:rPr>
          <w:rFonts w:hint="eastAsia" w:ascii="宋体" w:hAnsi="宋体"/>
          <w:color w:val="auto"/>
          <w:szCs w:val="21"/>
          <w:highlight w:val="none"/>
          <w:lang w:eastAsia="zh-Hans"/>
        </w:rPr>
        <w:t>穿刺针增强技术，具备双幅实时对比显示，增强前后效果，支持增强平面多角度可调</w:t>
      </w:r>
      <w:r>
        <w:rPr>
          <w:rFonts w:hint="eastAsia" w:ascii="宋体" w:hAnsi="宋体"/>
          <w:color w:val="auto"/>
          <w:szCs w:val="21"/>
          <w:highlight w:val="none"/>
        </w:rPr>
        <w:t>；</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1.1.21</w:t>
      </w:r>
      <w:r>
        <w:rPr>
          <w:rFonts w:hint="eastAsia" w:ascii="宋体" w:hAnsi="宋体"/>
          <w:color w:val="auto"/>
          <w:szCs w:val="21"/>
          <w:highlight w:val="none"/>
          <w:lang w:eastAsia="zh-Hans"/>
        </w:rPr>
        <w:t>支持超声教学软件（支持腹部、妇产、甲状腺、乳腺、睾丸、神经方面应用）机器内部能提供标准超声声像图、解剖示意图、扫查手法图及扫查技巧介绍，支持医生对超声扫查的自学和训练，支持以上单窗口图像放大功能</w:t>
      </w:r>
      <w:r>
        <w:rPr>
          <w:rFonts w:hint="eastAsia" w:ascii="宋体" w:hAnsi="宋体"/>
          <w:color w:val="auto"/>
          <w:szCs w:val="21"/>
          <w:highlight w:val="none"/>
        </w:rPr>
        <w:t>；</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★1.1.22可选配经食道心脏超声模块；</w:t>
      </w:r>
    </w:p>
    <w:p>
      <w:pPr>
        <w:spacing w:line="460" w:lineRule="exact"/>
        <w:ind w:firstLine="420" w:firstLineChars="200"/>
        <w:rPr>
          <w:rFonts w:ascii="宋体" w:hAnsi="宋体"/>
          <w:color w:val="auto"/>
          <w:szCs w:val="21"/>
          <w:highlight w:val="none"/>
          <w:lang w:eastAsia="zh-Hans"/>
        </w:rPr>
      </w:pPr>
      <w:r>
        <w:rPr>
          <w:rFonts w:hint="eastAsia" w:ascii="宋体" w:hAnsi="宋体"/>
          <w:color w:val="auto"/>
          <w:szCs w:val="21"/>
          <w:highlight w:val="none"/>
        </w:rPr>
        <w:t>1.2</w:t>
      </w:r>
      <w:r>
        <w:rPr>
          <w:rFonts w:hint="eastAsia" w:ascii="宋体" w:hAnsi="宋体"/>
          <w:color w:val="auto"/>
          <w:szCs w:val="21"/>
          <w:highlight w:val="none"/>
          <w:lang w:eastAsia="zh-Hans"/>
        </w:rPr>
        <w:t>测量和分析:</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1.2.1</w:t>
      </w:r>
      <w:r>
        <w:rPr>
          <w:rFonts w:hint="eastAsia" w:ascii="宋体" w:hAnsi="宋体"/>
          <w:color w:val="auto"/>
          <w:szCs w:val="21"/>
          <w:highlight w:val="none"/>
          <w:lang w:eastAsia="zh-Hans"/>
        </w:rPr>
        <w:t>常规测量软件包，具备距离、面积、周长、体积、多普勒测量（自动或手动包络测量，自动计算测量参数）</w:t>
      </w:r>
      <w:r>
        <w:rPr>
          <w:rFonts w:hint="eastAsia" w:ascii="宋体" w:hAnsi="宋体"/>
          <w:color w:val="auto"/>
          <w:szCs w:val="21"/>
          <w:highlight w:val="none"/>
        </w:rPr>
        <w:t>；</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1.2.2</w:t>
      </w:r>
      <w:r>
        <w:rPr>
          <w:rFonts w:hint="eastAsia" w:ascii="宋体" w:hAnsi="宋体"/>
          <w:color w:val="auto"/>
          <w:szCs w:val="21"/>
          <w:highlight w:val="none"/>
          <w:lang w:eastAsia="zh-Hans"/>
        </w:rPr>
        <w:t>全科专用测量及分析软件包，包括腹部、心脏、小器官、儿科、血管、神经，可自动生成报告</w:t>
      </w:r>
      <w:r>
        <w:rPr>
          <w:rFonts w:hint="eastAsia" w:ascii="宋体" w:hAnsi="宋体"/>
          <w:color w:val="auto"/>
          <w:szCs w:val="21"/>
          <w:highlight w:val="none"/>
        </w:rPr>
        <w:t>；</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1.2.3</w:t>
      </w:r>
      <w:r>
        <w:rPr>
          <w:rFonts w:hint="eastAsia" w:ascii="宋体" w:hAnsi="宋体"/>
          <w:color w:val="auto"/>
          <w:szCs w:val="21"/>
          <w:highlight w:val="none"/>
          <w:lang w:eastAsia="zh-Hans"/>
        </w:rPr>
        <w:t>血管内中膜自动测量，可同时进行血管前、后壁的内中膜一段距离的自动描记、自动生成测量数据结果</w:t>
      </w:r>
      <w:r>
        <w:rPr>
          <w:rFonts w:hint="eastAsia" w:ascii="宋体" w:hAnsi="宋体"/>
          <w:color w:val="auto"/>
          <w:szCs w:val="21"/>
          <w:highlight w:val="none"/>
        </w:rPr>
        <w:t>；</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1.2.4</w:t>
      </w:r>
      <w:r>
        <w:rPr>
          <w:rFonts w:hint="eastAsia" w:ascii="宋体" w:hAnsi="宋体"/>
          <w:color w:val="auto"/>
          <w:szCs w:val="21"/>
          <w:highlight w:val="none"/>
          <w:lang w:eastAsia="zh-Hans"/>
        </w:rPr>
        <w:t>用户可自定义测量项目以及公式编辑</w:t>
      </w:r>
      <w:r>
        <w:rPr>
          <w:rFonts w:hint="eastAsia" w:ascii="宋体" w:hAnsi="宋体"/>
          <w:color w:val="auto"/>
          <w:szCs w:val="21"/>
          <w:highlight w:val="none"/>
        </w:rPr>
        <w:t>；</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1.3</w:t>
      </w:r>
      <w:r>
        <w:rPr>
          <w:rFonts w:hint="eastAsia" w:ascii="宋体" w:hAnsi="宋体"/>
          <w:color w:val="auto"/>
          <w:szCs w:val="21"/>
          <w:highlight w:val="none"/>
          <w:lang w:eastAsia="zh-Hans"/>
        </w:rPr>
        <w:t>电影回放及原始数据处理</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1.3.1</w:t>
      </w:r>
      <w:r>
        <w:rPr>
          <w:rFonts w:hint="eastAsia" w:ascii="宋体" w:hAnsi="宋体"/>
          <w:color w:val="auto"/>
          <w:szCs w:val="21"/>
          <w:highlight w:val="none"/>
          <w:lang w:eastAsia="zh-Hans"/>
        </w:rPr>
        <w:t>所有模式下支持手动、自动回放；支持向后存储和向前存储，时间长度可预置，向后存储≥5</w:t>
      </w:r>
      <w:r>
        <w:rPr>
          <w:rFonts w:hint="eastAsia" w:ascii="宋体" w:hAnsi="宋体"/>
          <w:color w:val="auto"/>
          <w:szCs w:val="21"/>
          <w:highlight w:val="none"/>
        </w:rPr>
        <w:t>min</w:t>
      </w:r>
      <w:r>
        <w:rPr>
          <w:rFonts w:hint="eastAsia" w:ascii="宋体" w:hAnsi="宋体"/>
          <w:color w:val="auto"/>
          <w:szCs w:val="21"/>
          <w:highlight w:val="none"/>
          <w:lang w:eastAsia="zh-Hans"/>
        </w:rPr>
        <w:t>的电影</w:t>
      </w:r>
      <w:r>
        <w:rPr>
          <w:rFonts w:hint="eastAsia" w:ascii="宋体" w:hAnsi="宋体"/>
          <w:color w:val="auto"/>
          <w:szCs w:val="21"/>
          <w:highlight w:val="none"/>
        </w:rPr>
        <w:t>；</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1.3.2</w:t>
      </w:r>
      <w:r>
        <w:rPr>
          <w:rFonts w:hint="eastAsia" w:ascii="宋体" w:hAnsi="宋体"/>
          <w:color w:val="auto"/>
          <w:szCs w:val="21"/>
          <w:highlight w:val="none"/>
          <w:lang w:eastAsia="zh-Hans"/>
        </w:rPr>
        <w:t>原始数据处理，可对回放图像进行参数调节</w:t>
      </w:r>
      <w:r>
        <w:rPr>
          <w:rFonts w:hint="eastAsia" w:ascii="宋体" w:hAnsi="宋体"/>
          <w:color w:val="auto"/>
          <w:szCs w:val="21"/>
          <w:highlight w:val="none"/>
        </w:rPr>
        <w:t>；</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1.3.3</w:t>
      </w:r>
      <w:r>
        <w:rPr>
          <w:rFonts w:hint="eastAsia" w:ascii="宋体" w:hAnsi="宋体"/>
          <w:color w:val="auto"/>
          <w:szCs w:val="21"/>
          <w:highlight w:val="none"/>
          <w:lang w:eastAsia="zh-Hans"/>
        </w:rPr>
        <w:t>动态和静态图像同步存储功能，存储或导出图像数据的同时不影响实时扫描</w:t>
      </w:r>
      <w:r>
        <w:rPr>
          <w:rFonts w:hint="eastAsia" w:ascii="宋体" w:hAnsi="宋体"/>
          <w:color w:val="auto"/>
          <w:szCs w:val="21"/>
          <w:highlight w:val="none"/>
        </w:rPr>
        <w:t>；</w:t>
      </w:r>
    </w:p>
    <w:p>
      <w:pPr>
        <w:spacing w:line="460" w:lineRule="exact"/>
        <w:ind w:firstLine="420" w:firstLineChars="200"/>
        <w:rPr>
          <w:rFonts w:ascii="宋体" w:hAnsi="宋体"/>
          <w:color w:val="auto"/>
          <w:szCs w:val="21"/>
          <w:highlight w:val="none"/>
          <w:lang w:eastAsia="zh-Hans"/>
        </w:rPr>
      </w:pPr>
      <w:r>
        <w:rPr>
          <w:rFonts w:hint="eastAsia" w:ascii="宋体" w:hAnsi="宋体"/>
          <w:color w:val="auto"/>
          <w:szCs w:val="21"/>
          <w:highlight w:val="none"/>
        </w:rPr>
        <w:t>1.4</w:t>
      </w:r>
      <w:r>
        <w:rPr>
          <w:rFonts w:hint="eastAsia" w:ascii="宋体" w:hAnsi="宋体"/>
          <w:color w:val="auto"/>
          <w:szCs w:val="21"/>
          <w:highlight w:val="none"/>
          <w:lang w:eastAsia="zh-Hans"/>
        </w:rPr>
        <w:t>检查存储和管理（内置超声工作站）</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1.4.1</w:t>
      </w:r>
      <w:r>
        <w:rPr>
          <w:rFonts w:hint="eastAsia" w:ascii="宋体" w:hAnsi="宋体"/>
          <w:color w:val="auto"/>
          <w:szCs w:val="21"/>
          <w:highlight w:val="none"/>
          <w:lang w:eastAsia="zh-Hans"/>
        </w:rPr>
        <w:t>≥</w:t>
      </w:r>
      <w:r>
        <w:rPr>
          <w:rFonts w:hint="eastAsia" w:ascii="宋体" w:hAnsi="宋体"/>
          <w:color w:val="auto"/>
          <w:szCs w:val="21"/>
          <w:highlight w:val="none"/>
        </w:rPr>
        <w:t>12</w:t>
      </w:r>
      <w:r>
        <w:rPr>
          <w:rFonts w:hint="eastAsia" w:ascii="宋体" w:hAnsi="宋体"/>
          <w:color w:val="auto"/>
          <w:szCs w:val="21"/>
          <w:highlight w:val="none"/>
          <w:lang w:eastAsia="zh-Hans"/>
        </w:rPr>
        <w:t>0G</w:t>
      </w:r>
      <w:r>
        <w:rPr>
          <w:rFonts w:hint="eastAsia" w:ascii="宋体" w:hAnsi="宋体"/>
          <w:color w:val="auto"/>
          <w:szCs w:val="21"/>
          <w:highlight w:val="none"/>
        </w:rPr>
        <w:t>固态</w:t>
      </w:r>
      <w:r>
        <w:rPr>
          <w:rFonts w:hint="eastAsia" w:ascii="宋体" w:hAnsi="宋体"/>
          <w:color w:val="auto"/>
          <w:szCs w:val="21"/>
          <w:highlight w:val="none"/>
          <w:lang w:eastAsia="zh-Hans"/>
        </w:rPr>
        <w:t>硬盘</w:t>
      </w:r>
      <w:r>
        <w:rPr>
          <w:rFonts w:hint="eastAsia" w:ascii="宋体" w:hAnsi="宋体"/>
          <w:color w:val="auto"/>
          <w:szCs w:val="21"/>
          <w:highlight w:val="none"/>
        </w:rPr>
        <w:t>；</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1.4.2</w:t>
      </w:r>
      <w:r>
        <w:rPr>
          <w:rFonts w:hint="eastAsia" w:ascii="宋体" w:hAnsi="宋体"/>
          <w:color w:val="auto"/>
          <w:szCs w:val="21"/>
          <w:highlight w:val="none"/>
          <w:lang w:eastAsia="zh-Hans"/>
        </w:rPr>
        <w:t>内置超声工作站</w:t>
      </w:r>
      <w:r>
        <w:rPr>
          <w:rFonts w:hint="eastAsia" w:ascii="宋体" w:hAnsi="宋体"/>
          <w:color w:val="auto"/>
          <w:szCs w:val="21"/>
          <w:highlight w:val="none"/>
        </w:rPr>
        <w:t>；</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1.4.3</w:t>
      </w:r>
      <w:r>
        <w:rPr>
          <w:rFonts w:hint="eastAsia" w:ascii="宋体" w:hAnsi="宋体"/>
          <w:color w:val="auto"/>
          <w:szCs w:val="21"/>
          <w:highlight w:val="none"/>
          <w:lang w:eastAsia="zh-Hans"/>
        </w:rPr>
        <w:t>多种图像导出格式：动态图像、静态图像以PC格式直接导出，无需特殊软件即能在普通PC 机上直接观看图像</w:t>
      </w:r>
      <w:r>
        <w:rPr>
          <w:rFonts w:hint="eastAsia" w:ascii="宋体" w:hAnsi="宋体"/>
          <w:color w:val="auto"/>
          <w:szCs w:val="21"/>
          <w:highlight w:val="none"/>
        </w:rPr>
        <w:t>；</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1.4.4</w:t>
      </w:r>
      <w:r>
        <w:rPr>
          <w:rFonts w:hint="eastAsia" w:ascii="宋体" w:hAnsi="宋体"/>
          <w:color w:val="auto"/>
          <w:szCs w:val="21"/>
          <w:highlight w:val="none"/>
          <w:lang w:eastAsia="zh-Hans"/>
        </w:rPr>
        <w:t>导出、备份图像数据资料同时，可进行实时检查，不影响检查操作</w:t>
      </w:r>
      <w:r>
        <w:rPr>
          <w:rFonts w:hint="eastAsia" w:ascii="宋体" w:hAnsi="宋体"/>
          <w:color w:val="auto"/>
          <w:szCs w:val="21"/>
          <w:highlight w:val="none"/>
        </w:rPr>
        <w:t>；</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1.4.5</w:t>
      </w:r>
      <w:r>
        <w:rPr>
          <w:rFonts w:hint="eastAsia" w:ascii="宋体" w:hAnsi="宋体"/>
          <w:color w:val="auto"/>
          <w:szCs w:val="21"/>
          <w:highlight w:val="none"/>
          <w:lang w:eastAsia="zh-Hans"/>
        </w:rPr>
        <w:t>一键存储至硬盘，突然关机或未结束检查关机资料不丢失</w:t>
      </w:r>
      <w:r>
        <w:rPr>
          <w:rFonts w:hint="eastAsia" w:ascii="宋体" w:hAnsi="宋体"/>
          <w:color w:val="auto"/>
          <w:szCs w:val="21"/>
          <w:highlight w:val="none"/>
        </w:rPr>
        <w:t>。</w:t>
      </w:r>
    </w:p>
    <w:p>
      <w:pPr>
        <w:spacing w:line="460" w:lineRule="exact"/>
        <w:ind w:firstLine="210" w:firstLineChars="100"/>
        <w:rPr>
          <w:rFonts w:ascii="宋体" w:hAnsi="宋体"/>
          <w:color w:val="auto"/>
          <w:szCs w:val="21"/>
          <w:highlight w:val="none"/>
          <w:lang w:eastAsia="zh-Hans"/>
        </w:rPr>
      </w:pPr>
      <w:r>
        <w:rPr>
          <w:rFonts w:hint="eastAsia" w:ascii="宋体" w:hAnsi="宋体"/>
          <w:color w:val="auto"/>
          <w:szCs w:val="21"/>
          <w:highlight w:val="none"/>
        </w:rPr>
        <w:t>2、</w:t>
      </w:r>
      <w:r>
        <w:rPr>
          <w:rFonts w:hint="eastAsia" w:ascii="宋体" w:hAnsi="宋体"/>
          <w:color w:val="auto"/>
          <w:szCs w:val="21"/>
          <w:highlight w:val="none"/>
          <w:lang w:eastAsia="zh-Hans"/>
        </w:rPr>
        <w:t>技术参数及要求</w:t>
      </w:r>
    </w:p>
    <w:p>
      <w:pPr>
        <w:spacing w:line="460" w:lineRule="exact"/>
        <w:ind w:firstLine="420" w:firstLineChars="200"/>
        <w:rPr>
          <w:rFonts w:ascii="宋体" w:hAnsi="宋体"/>
          <w:color w:val="auto"/>
          <w:szCs w:val="21"/>
          <w:highlight w:val="none"/>
          <w:lang w:eastAsia="zh-Hans"/>
        </w:rPr>
      </w:pPr>
      <w:r>
        <w:rPr>
          <w:rFonts w:hint="eastAsia" w:ascii="宋体" w:hAnsi="宋体"/>
          <w:color w:val="auto"/>
          <w:szCs w:val="21"/>
          <w:highlight w:val="none"/>
        </w:rPr>
        <w:t>2.1</w:t>
      </w:r>
      <w:r>
        <w:rPr>
          <w:rFonts w:hint="eastAsia" w:ascii="宋体" w:hAnsi="宋体"/>
          <w:color w:val="auto"/>
          <w:szCs w:val="21"/>
          <w:highlight w:val="none"/>
          <w:lang w:eastAsia="zh-Hans"/>
        </w:rPr>
        <w:t>系统通用功能</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2.1.1</w:t>
      </w:r>
      <w:r>
        <w:rPr>
          <w:rFonts w:hint="eastAsia" w:ascii="宋体" w:hAnsi="宋体"/>
          <w:color w:val="auto"/>
          <w:szCs w:val="21"/>
          <w:highlight w:val="none"/>
          <w:lang w:eastAsia="zh-Hans"/>
        </w:rPr>
        <w:t>监视器</w:t>
      </w:r>
      <w:r>
        <w:rPr>
          <w:rFonts w:hint="eastAsia" w:ascii="宋体" w:hAnsi="宋体"/>
          <w:color w:val="auto"/>
          <w:szCs w:val="21"/>
          <w:highlight w:val="none"/>
        </w:rPr>
        <w:t>：</w:t>
      </w:r>
      <w:r>
        <w:rPr>
          <w:rFonts w:hint="eastAsia" w:ascii="宋体" w:hAnsi="宋体"/>
          <w:color w:val="auto"/>
          <w:szCs w:val="21"/>
          <w:highlight w:val="none"/>
          <w:lang w:eastAsia="zh-Hans"/>
        </w:rPr>
        <w:t>≥15</w:t>
      </w:r>
      <w:r>
        <w:rPr>
          <w:rFonts w:hint="eastAsia" w:ascii="宋体" w:hAnsi="宋体"/>
          <w:color w:val="auto"/>
          <w:szCs w:val="21"/>
          <w:highlight w:val="none"/>
        </w:rPr>
        <w:t>英</w:t>
      </w:r>
      <w:r>
        <w:rPr>
          <w:rFonts w:hint="eastAsia" w:ascii="宋体" w:hAnsi="宋体"/>
          <w:color w:val="auto"/>
          <w:szCs w:val="21"/>
          <w:highlight w:val="none"/>
          <w:lang w:eastAsia="zh-Hans"/>
        </w:rPr>
        <w:t>寸高分辨率、医用专业彩色LED显示屏</w:t>
      </w:r>
      <w:r>
        <w:rPr>
          <w:rFonts w:hint="eastAsia" w:ascii="宋体" w:hAnsi="宋体"/>
          <w:color w:val="auto"/>
          <w:szCs w:val="21"/>
          <w:highlight w:val="none"/>
        </w:rPr>
        <w:t>；</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2.1.2</w:t>
      </w:r>
      <w:r>
        <w:rPr>
          <w:rFonts w:hint="eastAsia" w:ascii="宋体" w:hAnsi="宋体"/>
          <w:color w:val="auto"/>
          <w:szCs w:val="21"/>
          <w:highlight w:val="none"/>
          <w:lang w:eastAsia="zh-Hans"/>
        </w:rPr>
        <w:t>内置探头接口</w:t>
      </w:r>
      <w:r>
        <w:rPr>
          <w:rFonts w:hint="eastAsia" w:ascii="宋体" w:hAnsi="宋体"/>
          <w:color w:val="auto"/>
          <w:szCs w:val="21"/>
          <w:highlight w:val="none"/>
        </w:rPr>
        <w:t>：</w:t>
      </w:r>
      <w:r>
        <w:rPr>
          <w:rFonts w:hint="eastAsia" w:ascii="Calibri" w:hAnsi="Calibri"/>
          <w:color w:val="auto"/>
          <w:sz w:val="28"/>
          <w:szCs w:val="32"/>
          <w:highlight w:val="none"/>
        </w:rPr>
        <w:t>≥</w:t>
      </w:r>
      <w:r>
        <w:rPr>
          <w:rFonts w:hint="eastAsia" w:ascii="宋体" w:hAnsi="宋体"/>
          <w:color w:val="auto"/>
          <w:szCs w:val="21"/>
          <w:highlight w:val="none"/>
          <w:lang w:eastAsia="zh-Hans"/>
        </w:rPr>
        <w:t>1个</w:t>
      </w:r>
      <w:r>
        <w:rPr>
          <w:rFonts w:hint="eastAsia" w:ascii="宋体" w:hAnsi="宋体"/>
          <w:color w:val="auto"/>
          <w:szCs w:val="21"/>
          <w:highlight w:val="none"/>
        </w:rPr>
        <w:t>；</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2.1.3</w:t>
      </w:r>
      <w:r>
        <w:rPr>
          <w:rFonts w:hint="eastAsia" w:ascii="宋体" w:hAnsi="宋体"/>
          <w:color w:val="auto"/>
          <w:szCs w:val="21"/>
          <w:highlight w:val="none"/>
          <w:lang w:eastAsia="zh-Hans"/>
        </w:rPr>
        <w:t>安全标准：符合商品安全质量要求</w:t>
      </w:r>
      <w:r>
        <w:rPr>
          <w:rFonts w:hint="eastAsia" w:ascii="宋体" w:hAnsi="宋体"/>
          <w:color w:val="auto"/>
          <w:szCs w:val="21"/>
          <w:highlight w:val="none"/>
        </w:rPr>
        <w:t>；</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2.1.4</w:t>
      </w:r>
      <w:r>
        <w:rPr>
          <w:rFonts w:hint="eastAsia" w:ascii="宋体" w:hAnsi="宋体"/>
          <w:color w:val="auto"/>
          <w:szCs w:val="21"/>
          <w:highlight w:val="none"/>
          <w:lang w:eastAsia="zh-Hans"/>
        </w:rPr>
        <w:t>整机重量≤6KG</w:t>
      </w:r>
      <w:r>
        <w:rPr>
          <w:rFonts w:hint="eastAsia" w:ascii="宋体" w:hAnsi="宋体"/>
          <w:color w:val="auto"/>
          <w:szCs w:val="21"/>
          <w:highlight w:val="none"/>
        </w:rPr>
        <w:t>；</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2.1.5</w:t>
      </w:r>
      <w:r>
        <w:rPr>
          <w:rFonts w:hint="eastAsia" w:ascii="宋体" w:hAnsi="宋体"/>
          <w:color w:val="auto"/>
          <w:szCs w:val="21"/>
          <w:highlight w:val="none"/>
          <w:lang w:eastAsia="zh-Hans"/>
        </w:rPr>
        <w:t>支持用户自定义按键数量≥4个</w:t>
      </w:r>
      <w:r>
        <w:rPr>
          <w:rFonts w:hint="eastAsia" w:ascii="宋体" w:hAnsi="宋体"/>
          <w:color w:val="auto"/>
          <w:szCs w:val="21"/>
          <w:highlight w:val="none"/>
        </w:rPr>
        <w:t>；</w:t>
      </w:r>
    </w:p>
    <w:p>
      <w:pPr>
        <w:spacing w:line="460" w:lineRule="exact"/>
        <w:ind w:firstLine="420" w:firstLineChars="200"/>
        <w:rPr>
          <w:rFonts w:ascii="宋体" w:hAnsi="宋体"/>
          <w:color w:val="auto"/>
          <w:szCs w:val="21"/>
          <w:highlight w:val="none"/>
          <w:lang w:eastAsia="zh-Hans"/>
        </w:rPr>
      </w:pPr>
      <w:r>
        <w:rPr>
          <w:rFonts w:hint="eastAsia" w:ascii="宋体" w:hAnsi="宋体"/>
          <w:color w:val="auto"/>
          <w:szCs w:val="21"/>
          <w:highlight w:val="none"/>
        </w:rPr>
        <w:t>2.2</w:t>
      </w:r>
      <w:r>
        <w:rPr>
          <w:rFonts w:hint="eastAsia" w:ascii="宋体" w:hAnsi="宋体"/>
          <w:color w:val="auto"/>
          <w:szCs w:val="21"/>
          <w:highlight w:val="none"/>
          <w:lang w:eastAsia="zh-Hans"/>
        </w:rPr>
        <w:t>探头规格</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2.2.1</w:t>
      </w:r>
      <w:r>
        <w:rPr>
          <w:rFonts w:hint="eastAsia" w:ascii="宋体" w:hAnsi="宋体"/>
          <w:color w:val="auto"/>
          <w:szCs w:val="21"/>
          <w:highlight w:val="none"/>
          <w:lang w:eastAsia="zh-Hans"/>
        </w:rPr>
        <w:t>频率: 宽频带变频探头,二维和彩色独立变频</w:t>
      </w:r>
      <w:r>
        <w:rPr>
          <w:rFonts w:hint="eastAsia" w:ascii="宋体" w:hAnsi="宋体"/>
          <w:color w:val="auto"/>
          <w:szCs w:val="21"/>
          <w:highlight w:val="none"/>
        </w:rPr>
        <w:t>；</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2.2.2</w:t>
      </w:r>
      <w:r>
        <w:rPr>
          <w:rFonts w:hint="eastAsia" w:ascii="宋体" w:hAnsi="宋体"/>
          <w:color w:val="auto"/>
          <w:szCs w:val="21"/>
          <w:highlight w:val="none"/>
          <w:lang w:eastAsia="zh-Hans"/>
        </w:rPr>
        <w:t>凸阵探头具有≥4种频率的变频范围，常规扫描角度≥70度，扩展后扫描角度≥90度</w:t>
      </w:r>
      <w:r>
        <w:rPr>
          <w:rFonts w:hint="eastAsia" w:ascii="宋体" w:hAnsi="宋体"/>
          <w:color w:val="auto"/>
          <w:szCs w:val="21"/>
          <w:highlight w:val="none"/>
        </w:rPr>
        <w:t>；</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2.2.3</w:t>
      </w:r>
      <w:r>
        <w:rPr>
          <w:rFonts w:hint="eastAsia" w:ascii="宋体" w:hAnsi="宋体"/>
          <w:color w:val="auto"/>
          <w:szCs w:val="21"/>
          <w:highlight w:val="none"/>
          <w:lang w:eastAsia="zh-Hans"/>
        </w:rPr>
        <w:t>线阵探头具有≥5种频率的变频范围，支持梯形扩展显示</w:t>
      </w:r>
      <w:r>
        <w:rPr>
          <w:rFonts w:hint="eastAsia" w:ascii="宋体" w:hAnsi="宋体"/>
          <w:color w:val="auto"/>
          <w:szCs w:val="21"/>
          <w:highlight w:val="none"/>
        </w:rPr>
        <w:t>；</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2.2.4</w:t>
      </w:r>
      <w:r>
        <w:rPr>
          <w:rFonts w:hint="eastAsia" w:ascii="宋体" w:hAnsi="宋体"/>
          <w:color w:val="auto"/>
          <w:szCs w:val="21"/>
          <w:highlight w:val="none"/>
          <w:lang w:eastAsia="zh-Hans"/>
        </w:rPr>
        <w:t>相控阵探头具有≥5种频率的变频范围，扫描角度≥90度</w:t>
      </w:r>
      <w:r>
        <w:rPr>
          <w:rFonts w:hint="eastAsia" w:ascii="宋体" w:hAnsi="宋体"/>
          <w:color w:val="auto"/>
          <w:szCs w:val="21"/>
          <w:highlight w:val="none"/>
        </w:rPr>
        <w:t>；</w:t>
      </w:r>
    </w:p>
    <w:p>
      <w:pPr>
        <w:spacing w:line="460" w:lineRule="exact"/>
        <w:ind w:firstLine="420" w:firstLineChars="200"/>
        <w:rPr>
          <w:rFonts w:ascii="宋体" w:hAnsi="宋体"/>
          <w:color w:val="auto"/>
          <w:szCs w:val="21"/>
          <w:highlight w:val="none"/>
          <w:lang w:eastAsia="zh-Hans"/>
        </w:rPr>
      </w:pPr>
      <w:r>
        <w:rPr>
          <w:rFonts w:hint="eastAsia" w:ascii="宋体" w:hAnsi="宋体"/>
          <w:color w:val="auto"/>
          <w:szCs w:val="21"/>
          <w:highlight w:val="none"/>
        </w:rPr>
        <w:t>2.3</w:t>
      </w:r>
      <w:r>
        <w:rPr>
          <w:rFonts w:hint="eastAsia" w:ascii="宋体" w:hAnsi="宋体"/>
          <w:color w:val="auto"/>
          <w:szCs w:val="21"/>
          <w:highlight w:val="none"/>
          <w:lang w:eastAsia="zh-Hans"/>
        </w:rPr>
        <w:t>二维灰阶模式</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2.3.1</w:t>
      </w:r>
      <w:r>
        <w:rPr>
          <w:rFonts w:hint="eastAsia" w:ascii="宋体" w:hAnsi="宋体"/>
          <w:color w:val="auto"/>
          <w:szCs w:val="21"/>
          <w:highlight w:val="none"/>
          <w:lang w:eastAsia="zh-Hans"/>
        </w:rPr>
        <w:t>数字化声束形成器</w:t>
      </w:r>
      <w:r>
        <w:rPr>
          <w:rFonts w:hint="eastAsia" w:ascii="宋体" w:hAnsi="宋体"/>
          <w:color w:val="auto"/>
          <w:szCs w:val="21"/>
          <w:highlight w:val="none"/>
        </w:rPr>
        <w:t>；</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2.3.2</w:t>
      </w:r>
      <w:r>
        <w:rPr>
          <w:rFonts w:hint="eastAsia" w:ascii="宋体" w:hAnsi="宋体"/>
          <w:color w:val="auto"/>
          <w:szCs w:val="21"/>
          <w:highlight w:val="none"/>
          <w:lang w:eastAsia="zh-Hans"/>
        </w:rPr>
        <w:t>数字化全程动态聚焦，数字化可变孔径及动态变迹，A/D≥12 bit</w:t>
      </w:r>
      <w:r>
        <w:rPr>
          <w:rFonts w:hint="eastAsia" w:ascii="宋体" w:hAnsi="宋体"/>
          <w:color w:val="auto"/>
          <w:szCs w:val="21"/>
          <w:highlight w:val="none"/>
        </w:rPr>
        <w:t>；</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2.3.3</w:t>
      </w:r>
      <w:r>
        <w:rPr>
          <w:rFonts w:hint="eastAsia" w:ascii="宋体" w:hAnsi="宋体"/>
          <w:color w:val="auto"/>
          <w:szCs w:val="21"/>
          <w:highlight w:val="none"/>
          <w:lang w:eastAsia="zh-Hans"/>
        </w:rPr>
        <w:t>接收方式：发射、接收通道≥1024，多倍信号并行处理</w:t>
      </w:r>
      <w:r>
        <w:rPr>
          <w:rFonts w:hint="eastAsia" w:ascii="宋体" w:hAnsi="宋体"/>
          <w:color w:val="auto"/>
          <w:szCs w:val="21"/>
          <w:highlight w:val="none"/>
        </w:rPr>
        <w:t>；</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2.3.4</w:t>
      </w:r>
      <w:r>
        <w:rPr>
          <w:rFonts w:hint="eastAsia" w:ascii="宋体" w:hAnsi="宋体"/>
          <w:color w:val="auto"/>
          <w:szCs w:val="21"/>
          <w:highlight w:val="none"/>
          <w:lang w:eastAsia="zh-Hans"/>
        </w:rPr>
        <w:t>扫描线：每帧线密度≥230超声线</w:t>
      </w:r>
      <w:r>
        <w:rPr>
          <w:rFonts w:hint="eastAsia" w:ascii="宋体" w:hAnsi="宋体"/>
          <w:color w:val="auto"/>
          <w:szCs w:val="21"/>
          <w:highlight w:val="none"/>
        </w:rPr>
        <w:t>；</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2.3.5</w:t>
      </w:r>
      <w:r>
        <w:rPr>
          <w:rFonts w:hint="eastAsia" w:ascii="宋体" w:hAnsi="宋体"/>
          <w:color w:val="auto"/>
          <w:szCs w:val="21"/>
          <w:highlight w:val="none"/>
          <w:lang w:eastAsia="zh-Hans"/>
        </w:rPr>
        <w:t>发射声束聚焦：发射≥4段</w:t>
      </w:r>
      <w:r>
        <w:rPr>
          <w:rFonts w:hint="eastAsia" w:ascii="宋体" w:hAnsi="宋体"/>
          <w:color w:val="auto"/>
          <w:szCs w:val="21"/>
          <w:highlight w:val="none"/>
        </w:rPr>
        <w:t>；</w:t>
      </w:r>
    </w:p>
    <w:p>
      <w:pPr>
        <w:spacing w:line="460" w:lineRule="exact"/>
        <w:ind w:firstLine="420" w:firstLineChars="200"/>
        <w:rPr>
          <w:rFonts w:ascii="宋体" w:hAnsi="宋体"/>
          <w:color w:val="auto"/>
          <w:szCs w:val="21"/>
          <w:highlight w:val="none"/>
          <w:lang w:eastAsia="zh-Hans"/>
        </w:rPr>
      </w:pPr>
      <w:r>
        <w:rPr>
          <w:rFonts w:hint="eastAsia" w:ascii="宋体" w:hAnsi="宋体"/>
          <w:color w:val="auto"/>
          <w:szCs w:val="21"/>
          <w:highlight w:val="none"/>
        </w:rPr>
        <w:t>2.3.6</w:t>
      </w:r>
      <w:r>
        <w:rPr>
          <w:rFonts w:hint="eastAsia" w:ascii="宋体" w:hAnsi="宋体"/>
          <w:color w:val="auto"/>
          <w:szCs w:val="21"/>
          <w:highlight w:val="none"/>
          <w:lang w:eastAsia="zh-Hans"/>
        </w:rPr>
        <w:t>扫描频率：</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lang w:eastAsia="zh-Hans"/>
        </w:rPr>
        <w:t>电子凸阵：超声频率</w:t>
      </w:r>
      <w:r>
        <w:rPr>
          <w:rFonts w:hint="eastAsia" w:ascii="宋体" w:hAnsi="宋体"/>
          <w:color w:val="auto"/>
          <w:szCs w:val="21"/>
          <w:highlight w:val="none"/>
          <w:lang w:eastAsia="zh-Hans"/>
        </w:rPr>
        <w:tab/>
      </w:r>
      <w:r>
        <w:rPr>
          <w:rFonts w:hint="eastAsia" w:ascii="宋体" w:hAnsi="宋体"/>
          <w:color w:val="auto"/>
          <w:szCs w:val="21"/>
          <w:highlight w:val="none"/>
          <w:lang w:eastAsia="zh-Hans"/>
        </w:rPr>
        <w:t>1.7- 6.0 MHz</w:t>
      </w:r>
      <w:r>
        <w:rPr>
          <w:rFonts w:hint="eastAsia" w:ascii="宋体" w:hAnsi="宋体"/>
          <w:color w:val="auto"/>
          <w:szCs w:val="21"/>
          <w:highlight w:val="none"/>
        </w:rPr>
        <w:t>；</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lang w:eastAsia="zh-Hans"/>
        </w:rPr>
        <w:t>电子相控阵：超声频率1.5- 5.0MHz</w:t>
      </w:r>
      <w:r>
        <w:rPr>
          <w:rFonts w:hint="eastAsia" w:ascii="宋体" w:hAnsi="宋体"/>
          <w:color w:val="auto"/>
          <w:szCs w:val="21"/>
          <w:highlight w:val="none"/>
        </w:rPr>
        <w:t>；</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lang w:eastAsia="zh-Hans"/>
        </w:rPr>
        <w:t>电子线阵：超声频率</w:t>
      </w:r>
      <w:r>
        <w:rPr>
          <w:rFonts w:hint="eastAsia" w:ascii="宋体" w:hAnsi="宋体"/>
          <w:color w:val="auto"/>
          <w:szCs w:val="21"/>
          <w:highlight w:val="none"/>
          <w:lang w:eastAsia="zh-Hans"/>
        </w:rPr>
        <w:tab/>
      </w:r>
      <w:r>
        <w:rPr>
          <w:rFonts w:hint="eastAsia" w:ascii="宋体" w:hAnsi="宋体"/>
          <w:color w:val="auto"/>
          <w:szCs w:val="21"/>
          <w:highlight w:val="none"/>
          <w:lang w:eastAsia="zh-Hans"/>
        </w:rPr>
        <w:t>3.5-13MHz</w:t>
      </w:r>
      <w:r>
        <w:rPr>
          <w:rFonts w:hint="eastAsia" w:ascii="宋体" w:hAnsi="宋体"/>
          <w:color w:val="auto"/>
          <w:szCs w:val="21"/>
          <w:highlight w:val="none"/>
        </w:rPr>
        <w:t>；</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2.3.7</w:t>
      </w:r>
      <w:r>
        <w:rPr>
          <w:rFonts w:hint="eastAsia" w:ascii="宋体" w:hAnsi="宋体"/>
          <w:color w:val="auto"/>
          <w:szCs w:val="21"/>
          <w:highlight w:val="none"/>
          <w:lang w:eastAsia="zh-Hans"/>
        </w:rPr>
        <w:t>二维独立角度偏转</w:t>
      </w:r>
      <w:r>
        <w:rPr>
          <w:rFonts w:hint="eastAsia" w:ascii="宋体" w:hAnsi="宋体"/>
          <w:color w:val="auto"/>
          <w:szCs w:val="21"/>
          <w:highlight w:val="none"/>
        </w:rPr>
        <w:t>；</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2.3.8</w:t>
      </w:r>
      <w:r>
        <w:rPr>
          <w:rFonts w:hint="eastAsia" w:ascii="宋体" w:hAnsi="宋体"/>
          <w:color w:val="auto"/>
          <w:szCs w:val="21"/>
          <w:highlight w:val="none"/>
          <w:lang w:eastAsia="zh-Hans"/>
        </w:rPr>
        <w:t>预设条件：针对不同的检查脏器，预置最佳图像检查条件</w:t>
      </w:r>
      <w:r>
        <w:rPr>
          <w:rFonts w:hint="eastAsia" w:ascii="宋体" w:hAnsi="宋体"/>
          <w:color w:val="auto"/>
          <w:szCs w:val="21"/>
          <w:highlight w:val="none"/>
        </w:rPr>
        <w:t>；</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★2.3.9</w:t>
      </w:r>
      <w:r>
        <w:rPr>
          <w:rFonts w:hint="eastAsia" w:ascii="宋体" w:hAnsi="宋体"/>
          <w:color w:val="auto"/>
          <w:szCs w:val="21"/>
          <w:highlight w:val="none"/>
          <w:lang w:eastAsia="zh-Hans"/>
        </w:rPr>
        <w:t>TGC: ≥8段</w:t>
      </w:r>
      <w:r>
        <w:rPr>
          <w:rFonts w:hint="eastAsia" w:ascii="宋体" w:hAnsi="宋体"/>
          <w:color w:val="auto"/>
          <w:szCs w:val="21"/>
          <w:highlight w:val="none"/>
        </w:rPr>
        <w:t>（提供原厂彩页证明）；</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2.3.10L</w:t>
      </w:r>
      <w:r>
        <w:rPr>
          <w:rFonts w:hint="eastAsia" w:ascii="宋体" w:hAnsi="宋体"/>
          <w:color w:val="auto"/>
          <w:szCs w:val="21"/>
          <w:highlight w:val="none"/>
          <w:lang w:eastAsia="zh-Hans"/>
        </w:rPr>
        <w:t>GC: ≥6段</w:t>
      </w:r>
      <w:r>
        <w:rPr>
          <w:rFonts w:hint="eastAsia" w:ascii="宋体" w:hAnsi="宋体"/>
          <w:color w:val="auto"/>
          <w:szCs w:val="21"/>
          <w:highlight w:val="none"/>
        </w:rPr>
        <w:t>；</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2.3.11</w:t>
      </w:r>
      <w:r>
        <w:rPr>
          <w:rFonts w:hint="eastAsia" w:ascii="宋体" w:hAnsi="宋体"/>
          <w:color w:val="auto"/>
          <w:szCs w:val="21"/>
          <w:highlight w:val="none"/>
          <w:lang w:eastAsia="zh-Hans"/>
        </w:rPr>
        <w:t>二维灰阶：≥256</w:t>
      </w:r>
      <w:r>
        <w:rPr>
          <w:rFonts w:hint="eastAsia" w:ascii="宋体" w:hAnsi="宋体"/>
          <w:color w:val="auto"/>
          <w:szCs w:val="21"/>
          <w:highlight w:val="none"/>
        </w:rPr>
        <w:t>；</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2.3.12</w:t>
      </w:r>
      <w:r>
        <w:rPr>
          <w:rFonts w:hint="eastAsia" w:ascii="宋体" w:hAnsi="宋体"/>
          <w:color w:val="auto"/>
          <w:szCs w:val="21"/>
          <w:highlight w:val="none"/>
          <w:lang w:eastAsia="zh-Hans"/>
        </w:rPr>
        <w:t>增益调节: B/M/D分别独立可调，≥100</w:t>
      </w:r>
      <w:r>
        <w:rPr>
          <w:rFonts w:hint="eastAsia" w:ascii="宋体" w:hAnsi="宋体"/>
          <w:color w:val="auto"/>
          <w:szCs w:val="21"/>
          <w:highlight w:val="none"/>
        </w:rPr>
        <w:t>；</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2.3.13</w:t>
      </w:r>
      <w:r>
        <w:rPr>
          <w:rFonts w:hint="eastAsia" w:ascii="宋体" w:hAnsi="宋体"/>
          <w:color w:val="auto"/>
          <w:szCs w:val="21"/>
          <w:highlight w:val="none"/>
          <w:lang w:eastAsia="zh-Hans"/>
        </w:rPr>
        <w:t>伪彩图谱: ≥8种</w:t>
      </w:r>
      <w:r>
        <w:rPr>
          <w:rFonts w:hint="eastAsia" w:ascii="宋体" w:hAnsi="宋体"/>
          <w:color w:val="auto"/>
          <w:szCs w:val="21"/>
          <w:highlight w:val="none"/>
        </w:rPr>
        <w:t>；</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2.3.14</w:t>
      </w:r>
      <w:r>
        <w:rPr>
          <w:rFonts w:hint="eastAsia" w:ascii="宋体" w:hAnsi="宋体"/>
          <w:color w:val="auto"/>
          <w:szCs w:val="21"/>
          <w:highlight w:val="none"/>
          <w:lang w:eastAsia="zh-Hans"/>
        </w:rPr>
        <w:t>体位标记：≥120种，可以自定义注释</w:t>
      </w:r>
      <w:r>
        <w:rPr>
          <w:rFonts w:hint="eastAsia" w:ascii="宋体" w:hAnsi="宋体"/>
          <w:color w:val="auto"/>
          <w:szCs w:val="21"/>
          <w:highlight w:val="none"/>
        </w:rPr>
        <w:t>；</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2.3.15</w:t>
      </w:r>
      <w:r>
        <w:rPr>
          <w:rFonts w:hint="eastAsia" w:ascii="宋体" w:hAnsi="宋体"/>
          <w:color w:val="auto"/>
          <w:szCs w:val="21"/>
          <w:highlight w:val="none"/>
          <w:lang w:eastAsia="zh-Hans"/>
        </w:rPr>
        <w:t>扫描帧率：诊断深度18cm，全视野时≥51帧／</w:t>
      </w:r>
      <w:r>
        <w:rPr>
          <w:rFonts w:hint="eastAsia" w:ascii="宋体" w:hAnsi="宋体"/>
          <w:color w:val="auto"/>
          <w:szCs w:val="21"/>
          <w:highlight w:val="none"/>
        </w:rPr>
        <w:t>s；</w:t>
      </w:r>
    </w:p>
    <w:p>
      <w:pPr>
        <w:spacing w:line="460" w:lineRule="exact"/>
        <w:ind w:firstLine="420" w:firstLineChars="200"/>
        <w:rPr>
          <w:rFonts w:ascii="宋体" w:hAnsi="宋体"/>
          <w:color w:val="auto"/>
          <w:szCs w:val="21"/>
          <w:highlight w:val="none"/>
          <w:lang w:eastAsia="zh-Hans"/>
        </w:rPr>
      </w:pPr>
      <w:r>
        <w:rPr>
          <w:rFonts w:hint="eastAsia" w:ascii="宋体" w:hAnsi="宋体"/>
          <w:color w:val="auto"/>
          <w:szCs w:val="21"/>
          <w:highlight w:val="none"/>
        </w:rPr>
        <w:t>2.4</w:t>
      </w:r>
      <w:r>
        <w:rPr>
          <w:rFonts w:hint="eastAsia" w:ascii="宋体" w:hAnsi="宋体"/>
          <w:color w:val="auto"/>
          <w:szCs w:val="21"/>
          <w:highlight w:val="none"/>
          <w:lang w:eastAsia="zh-Hans"/>
        </w:rPr>
        <w:t>彩色多普勒模式</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2.4.1</w:t>
      </w:r>
      <w:r>
        <w:rPr>
          <w:rFonts w:hint="eastAsia" w:ascii="宋体" w:hAnsi="宋体"/>
          <w:color w:val="auto"/>
          <w:szCs w:val="21"/>
          <w:highlight w:val="none"/>
          <w:lang w:eastAsia="zh-Hans"/>
        </w:rPr>
        <w:t>包括速度、速度方差、能量、方向能量显示等</w:t>
      </w:r>
      <w:r>
        <w:rPr>
          <w:rFonts w:hint="eastAsia" w:ascii="宋体" w:hAnsi="宋体"/>
          <w:color w:val="auto"/>
          <w:szCs w:val="21"/>
          <w:highlight w:val="none"/>
        </w:rPr>
        <w:t>；</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2.4.2</w:t>
      </w:r>
      <w:r>
        <w:rPr>
          <w:rFonts w:hint="eastAsia" w:ascii="宋体" w:hAnsi="宋体"/>
          <w:color w:val="auto"/>
          <w:szCs w:val="21"/>
          <w:highlight w:val="none"/>
          <w:lang w:eastAsia="zh-Hans"/>
        </w:rPr>
        <w:t>显示方式：B/C、B/C/M、B/POWER、B/C/PW</w:t>
      </w:r>
      <w:r>
        <w:rPr>
          <w:rFonts w:hint="eastAsia" w:ascii="宋体" w:hAnsi="宋体"/>
          <w:color w:val="auto"/>
          <w:szCs w:val="21"/>
          <w:highlight w:val="none"/>
        </w:rPr>
        <w:t>；</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2.4.3</w:t>
      </w:r>
      <w:r>
        <w:rPr>
          <w:rFonts w:hint="eastAsia" w:ascii="宋体" w:hAnsi="宋体"/>
          <w:color w:val="auto"/>
          <w:szCs w:val="21"/>
          <w:highlight w:val="none"/>
          <w:lang w:eastAsia="zh-Hans"/>
        </w:rPr>
        <w:t>取样框偏转: ≥±20度</w:t>
      </w:r>
      <w:r>
        <w:rPr>
          <w:rFonts w:hint="eastAsia" w:ascii="宋体" w:hAnsi="宋体"/>
          <w:color w:val="auto"/>
          <w:szCs w:val="21"/>
          <w:highlight w:val="none"/>
        </w:rPr>
        <w:t>；</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2.4.4</w:t>
      </w:r>
      <w:r>
        <w:rPr>
          <w:rFonts w:hint="eastAsia" w:ascii="宋体" w:hAnsi="宋体"/>
          <w:color w:val="auto"/>
          <w:szCs w:val="21"/>
          <w:highlight w:val="none"/>
          <w:lang w:eastAsia="zh-Hans"/>
        </w:rPr>
        <w:t>最大帧率: ≥240 帧/</w:t>
      </w:r>
      <w:r>
        <w:rPr>
          <w:rFonts w:hint="eastAsia" w:ascii="宋体" w:hAnsi="宋体"/>
          <w:color w:val="auto"/>
          <w:szCs w:val="21"/>
          <w:highlight w:val="none"/>
        </w:rPr>
        <w:t>s；</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2.4.5</w:t>
      </w:r>
      <w:r>
        <w:rPr>
          <w:rFonts w:hint="eastAsia" w:ascii="宋体" w:hAnsi="宋体"/>
          <w:color w:val="auto"/>
          <w:szCs w:val="21"/>
          <w:highlight w:val="none"/>
          <w:lang w:eastAsia="zh-Hans"/>
        </w:rPr>
        <w:t>支持B/C 同宽</w:t>
      </w:r>
      <w:r>
        <w:rPr>
          <w:rFonts w:hint="eastAsia" w:ascii="宋体" w:hAnsi="宋体"/>
          <w:color w:val="auto"/>
          <w:szCs w:val="21"/>
          <w:highlight w:val="none"/>
        </w:rPr>
        <w:t>；</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2.5</w:t>
      </w:r>
      <w:r>
        <w:rPr>
          <w:rFonts w:hint="eastAsia" w:ascii="宋体" w:hAnsi="宋体"/>
          <w:color w:val="auto"/>
          <w:szCs w:val="21"/>
          <w:highlight w:val="none"/>
          <w:lang w:eastAsia="zh-Hans"/>
        </w:rPr>
        <w:t>频谱多普勒模式</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2.5.1</w:t>
      </w:r>
      <w:r>
        <w:rPr>
          <w:rFonts w:hint="eastAsia" w:ascii="宋体" w:hAnsi="宋体"/>
          <w:color w:val="auto"/>
          <w:szCs w:val="21"/>
          <w:highlight w:val="none"/>
          <w:lang w:eastAsia="zh-Hans"/>
        </w:rPr>
        <w:t>包括脉冲多普勒、高脉冲重复频率、连续多普勒</w:t>
      </w:r>
      <w:r>
        <w:rPr>
          <w:rFonts w:hint="eastAsia" w:ascii="宋体" w:hAnsi="宋体"/>
          <w:color w:val="auto"/>
          <w:szCs w:val="21"/>
          <w:highlight w:val="none"/>
        </w:rPr>
        <w:t>；</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2.5.2</w:t>
      </w:r>
      <w:r>
        <w:rPr>
          <w:rFonts w:hint="eastAsia" w:ascii="宋体" w:hAnsi="宋体"/>
          <w:color w:val="auto"/>
          <w:szCs w:val="21"/>
          <w:highlight w:val="none"/>
          <w:lang w:eastAsia="zh-Hans"/>
        </w:rPr>
        <w:t>显示方式：B, PW，B/PW, B/C/PW, B/CW, B/C/CW等等</w:t>
      </w:r>
      <w:r>
        <w:rPr>
          <w:rFonts w:hint="eastAsia" w:ascii="宋体" w:hAnsi="宋体"/>
          <w:color w:val="auto"/>
          <w:szCs w:val="21"/>
          <w:highlight w:val="none"/>
        </w:rPr>
        <w:t>；</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2.5.3</w:t>
      </w:r>
      <w:r>
        <w:rPr>
          <w:rFonts w:hint="eastAsia" w:ascii="宋体" w:hAnsi="宋体"/>
          <w:color w:val="auto"/>
          <w:szCs w:val="21"/>
          <w:highlight w:val="none"/>
          <w:lang w:eastAsia="zh-Hans"/>
        </w:rPr>
        <w:t>显示控制：反转、零移位、B刷新、D扩展、B/D扩展等</w:t>
      </w:r>
      <w:r>
        <w:rPr>
          <w:rFonts w:hint="eastAsia" w:ascii="宋体" w:hAnsi="宋体"/>
          <w:color w:val="auto"/>
          <w:szCs w:val="21"/>
          <w:highlight w:val="none"/>
        </w:rPr>
        <w:t>；</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2.5.4</w:t>
      </w:r>
      <w:r>
        <w:rPr>
          <w:rFonts w:hint="eastAsia" w:ascii="宋体" w:hAnsi="宋体"/>
          <w:color w:val="auto"/>
          <w:szCs w:val="21"/>
          <w:highlight w:val="none"/>
          <w:lang w:eastAsia="zh-Hans"/>
        </w:rPr>
        <w:t>最大速度: ≥9.21m/s（连续多普勒速度: ≥35m/s）</w:t>
      </w:r>
      <w:r>
        <w:rPr>
          <w:rFonts w:hint="eastAsia" w:ascii="宋体" w:hAnsi="宋体"/>
          <w:color w:val="auto"/>
          <w:szCs w:val="21"/>
          <w:highlight w:val="none"/>
        </w:rPr>
        <w:t>；</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2.5.5</w:t>
      </w:r>
      <w:r>
        <w:rPr>
          <w:rFonts w:hint="eastAsia" w:ascii="宋体" w:hAnsi="宋体"/>
          <w:color w:val="auto"/>
          <w:szCs w:val="21"/>
          <w:highlight w:val="none"/>
          <w:lang w:eastAsia="zh-Hans"/>
        </w:rPr>
        <w:t>最小速度: ≤1 mm /s（非噪声信号）</w:t>
      </w:r>
      <w:r>
        <w:rPr>
          <w:rFonts w:hint="eastAsia" w:ascii="宋体" w:hAnsi="宋体"/>
          <w:color w:val="auto"/>
          <w:szCs w:val="21"/>
          <w:highlight w:val="none"/>
        </w:rPr>
        <w:t>；</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2.5.6</w:t>
      </w:r>
      <w:r>
        <w:rPr>
          <w:rFonts w:hint="eastAsia" w:ascii="宋体" w:hAnsi="宋体"/>
          <w:color w:val="auto"/>
          <w:szCs w:val="21"/>
          <w:highlight w:val="none"/>
          <w:lang w:eastAsia="zh-Hans"/>
        </w:rPr>
        <w:t>取样容积: 0.5-20mm</w:t>
      </w:r>
      <w:r>
        <w:rPr>
          <w:rFonts w:ascii="宋体" w:hAnsi="宋体"/>
          <w:color w:val="auto"/>
          <w:szCs w:val="21"/>
          <w:highlight w:val="none"/>
          <w:vertAlign w:val="superscript"/>
        </w:rPr>
        <w:t>3</w:t>
      </w:r>
      <w:r>
        <w:rPr>
          <w:rFonts w:hint="eastAsia" w:ascii="宋体" w:hAnsi="宋体"/>
          <w:color w:val="auto"/>
          <w:szCs w:val="21"/>
          <w:highlight w:val="none"/>
        </w:rPr>
        <w:t>；</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2.5.7</w:t>
      </w:r>
      <w:r>
        <w:rPr>
          <w:rFonts w:hint="eastAsia" w:ascii="宋体" w:hAnsi="宋体"/>
          <w:color w:val="auto"/>
          <w:szCs w:val="21"/>
          <w:highlight w:val="none"/>
          <w:lang w:eastAsia="zh-Hans"/>
        </w:rPr>
        <w:t>偏转角度: ≥±20度 (线阵探头)</w:t>
      </w:r>
      <w:r>
        <w:rPr>
          <w:rFonts w:hint="eastAsia" w:ascii="宋体" w:hAnsi="宋体"/>
          <w:color w:val="auto"/>
          <w:szCs w:val="21"/>
          <w:highlight w:val="none"/>
        </w:rPr>
        <w:t>；</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2.5.8</w:t>
      </w:r>
      <w:r>
        <w:rPr>
          <w:rFonts w:hint="eastAsia" w:ascii="宋体" w:hAnsi="宋体"/>
          <w:color w:val="auto"/>
          <w:szCs w:val="21"/>
          <w:highlight w:val="none"/>
          <w:lang w:eastAsia="zh-Hans"/>
        </w:rPr>
        <w:t>零位移动：≥8 级</w:t>
      </w:r>
      <w:r>
        <w:rPr>
          <w:rFonts w:hint="eastAsia" w:ascii="宋体" w:hAnsi="宋体"/>
          <w:color w:val="auto"/>
          <w:szCs w:val="21"/>
          <w:highlight w:val="none"/>
        </w:rPr>
        <w:t>；</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2.5.9</w:t>
      </w:r>
      <w:r>
        <w:rPr>
          <w:rFonts w:hint="eastAsia" w:ascii="宋体" w:hAnsi="宋体"/>
          <w:color w:val="auto"/>
          <w:szCs w:val="21"/>
          <w:highlight w:val="none"/>
          <w:lang w:eastAsia="zh-Hans"/>
        </w:rPr>
        <w:t>快速角度校正</w:t>
      </w:r>
      <w:r>
        <w:rPr>
          <w:rFonts w:hint="eastAsia" w:ascii="宋体" w:hAnsi="宋体"/>
          <w:color w:val="auto"/>
          <w:szCs w:val="21"/>
          <w:highlight w:val="none"/>
        </w:rPr>
        <w:t>；</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2.5.10</w:t>
      </w:r>
      <w:r>
        <w:rPr>
          <w:rFonts w:hint="eastAsia" w:ascii="宋体" w:hAnsi="宋体"/>
          <w:color w:val="auto"/>
          <w:szCs w:val="21"/>
          <w:highlight w:val="none"/>
          <w:lang w:eastAsia="zh-Hans"/>
        </w:rPr>
        <w:t>支持频谱自动测量</w:t>
      </w:r>
      <w:r>
        <w:rPr>
          <w:rFonts w:hint="eastAsia" w:ascii="宋体" w:hAnsi="宋体"/>
          <w:color w:val="auto"/>
          <w:szCs w:val="21"/>
          <w:highlight w:val="none"/>
        </w:rPr>
        <w:t>；</w:t>
      </w:r>
    </w:p>
    <w:p>
      <w:pPr>
        <w:spacing w:line="460" w:lineRule="exact"/>
        <w:ind w:firstLine="420" w:firstLineChars="200"/>
        <w:rPr>
          <w:rFonts w:ascii="宋体" w:hAnsi="宋体"/>
          <w:color w:val="auto"/>
          <w:szCs w:val="21"/>
          <w:highlight w:val="none"/>
          <w:lang w:eastAsia="zh-Hans"/>
        </w:rPr>
      </w:pPr>
      <w:r>
        <w:rPr>
          <w:rFonts w:hint="eastAsia" w:ascii="宋体" w:hAnsi="宋体"/>
          <w:color w:val="auto"/>
          <w:szCs w:val="21"/>
          <w:highlight w:val="none"/>
        </w:rPr>
        <w:t>2.6</w:t>
      </w:r>
      <w:r>
        <w:rPr>
          <w:rFonts w:hint="eastAsia" w:ascii="宋体" w:hAnsi="宋体"/>
          <w:color w:val="auto"/>
          <w:szCs w:val="21"/>
          <w:highlight w:val="none"/>
          <w:lang w:eastAsia="zh-Hans"/>
        </w:rPr>
        <w:t>连通性</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2.6.1</w:t>
      </w:r>
      <w:r>
        <w:rPr>
          <w:rFonts w:hint="eastAsia" w:ascii="宋体" w:hAnsi="宋体"/>
          <w:color w:val="auto"/>
          <w:szCs w:val="21"/>
          <w:highlight w:val="none"/>
          <w:lang w:eastAsia="zh-Hans"/>
        </w:rPr>
        <w:t>参考信号: 心电，并支持心电触发控制</w:t>
      </w:r>
      <w:r>
        <w:rPr>
          <w:rFonts w:hint="eastAsia" w:ascii="宋体" w:hAnsi="宋体"/>
          <w:color w:val="auto"/>
          <w:szCs w:val="21"/>
          <w:highlight w:val="none"/>
        </w:rPr>
        <w:t>；</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2.6.2</w:t>
      </w:r>
      <w:r>
        <w:rPr>
          <w:rFonts w:hint="eastAsia" w:ascii="宋体" w:hAnsi="宋体"/>
          <w:color w:val="auto"/>
          <w:szCs w:val="21"/>
          <w:highlight w:val="none"/>
          <w:lang w:eastAsia="zh-Hans"/>
        </w:rPr>
        <w:t>支持USB储存介质一键存储普通PC格式文件，无需转换</w:t>
      </w:r>
      <w:r>
        <w:rPr>
          <w:rFonts w:hint="eastAsia" w:ascii="宋体" w:hAnsi="宋体"/>
          <w:color w:val="auto"/>
          <w:szCs w:val="21"/>
          <w:highlight w:val="none"/>
        </w:rPr>
        <w:t>；</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2.6.3</w:t>
      </w:r>
      <w:r>
        <w:rPr>
          <w:rFonts w:hint="eastAsia" w:ascii="宋体" w:hAnsi="宋体"/>
          <w:color w:val="auto"/>
          <w:szCs w:val="21"/>
          <w:highlight w:val="none"/>
          <w:lang w:eastAsia="zh-Hans"/>
        </w:rPr>
        <w:t>USB3.0接口≥2个，支持USB接口扩展</w:t>
      </w:r>
      <w:r>
        <w:rPr>
          <w:rFonts w:hint="eastAsia" w:ascii="宋体" w:hAnsi="宋体"/>
          <w:color w:val="auto"/>
          <w:szCs w:val="21"/>
          <w:highlight w:val="none"/>
        </w:rPr>
        <w:t>；</w:t>
      </w:r>
    </w:p>
    <w:p>
      <w:pPr>
        <w:spacing w:line="460" w:lineRule="exact"/>
        <w:ind w:firstLine="420" w:firstLineChars="200"/>
        <w:rPr>
          <w:rFonts w:ascii="宋体" w:hAnsi="宋体"/>
          <w:color w:val="auto"/>
          <w:szCs w:val="21"/>
          <w:highlight w:val="none"/>
          <w:lang w:eastAsia="zh-Hans"/>
        </w:rPr>
      </w:pPr>
      <w:r>
        <w:rPr>
          <w:rFonts w:hint="eastAsia" w:ascii="宋体" w:hAnsi="宋体"/>
          <w:color w:val="auto"/>
          <w:szCs w:val="21"/>
          <w:highlight w:val="none"/>
        </w:rPr>
        <w:t>2.7</w:t>
      </w:r>
      <w:r>
        <w:rPr>
          <w:rFonts w:hint="eastAsia" w:ascii="宋体" w:hAnsi="宋体"/>
          <w:color w:val="auto"/>
          <w:szCs w:val="21"/>
          <w:highlight w:val="none"/>
          <w:lang w:eastAsia="zh-Hans"/>
        </w:rPr>
        <w:t>外设和附件</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2.7.1</w:t>
      </w:r>
      <w:r>
        <w:rPr>
          <w:rFonts w:hint="eastAsia" w:ascii="宋体" w:hAnsi="宋体"/>
          <w:color w:val="auto"/>
          <w:szCs w:val="21"/>
          <w:highlight w:val="none"/>
          <w:lang w:eastAsia="zh-Hans"/>
        </w:rPr>
        <w:t>可拆卸锂电池</w:t>
      </w:r>
      <w:r>
        <w:rPr>
          <w:rFonts w:hint="eastAsia" w:ascii="宋体" w:hAnsi="宋体"/>
          <w:color w:val="auto"/>
          <w:szCs w:val="21"/>
          <w:highlight w:val="none"/>
        </w:rPr>
        <w:t>；</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2.7.2</w:t>
      </w:r>
      <w:r>
        <w:rPr>
          <w:rFonts w:hint="eastAsia" w:ascii="宋体" w:hAnsi="宋体"/>
          <w:color w:val="auto"/>
          <w:szCs w:val="21"/>
          <w:highlight w:val="none"/>
          <w:lang w:eastAsia="zh-Hans"/>
        </w:rPr>
        <w:t>多功能专用台车</w:t>
      </w:r>
      <w:r>
        <w:rPr>
          <w:rFonts w:hint="eastAsia" w:ascii="宋体" w:hAnsi="宋体"/>
          <w:color w:val="auto"/>
          <w:szCs w:val="21"/>
          <w:highlight w:val="none"/>
        </w:rPr>
        <w:t>；</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2.7.3</w:t>
      </w:r>
      <w:r>
        <w:rPr>
          <w:rFonts w:hint="eastAsia" w:ascii="宋体" w:hAnsi="宋体"/>
          <w:color w:val="auto"/>
          <w:szCs w:val="21"/>
          <w:highlight w:val="none"/>
          <w:lang w:eastAsia="zh-Hans"/>
        </w:rPr>
        <w:t>储物设备</w:t>
      </w:r>
      <w:r>
        <w:rPr>
          <w:rFonts w:hint="eastAsia" w:ascii="宋体" w:hAnsi="宋体"/>
          <w:color w:val="auto"/>
          <w:szCs w:val="21"/>
          <w:highlight w:val="none"/>
        </w:rPr>
        <w:t>；</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2.7.4</w:t>
      </w:r>
      <w:r>
        <w:rPr>
          <w:rFonts w:hint="eastAsia" w:ascii="宋体" w:hAnsi="宋体"/>
          <w:color w:val="auto"/>
          <w:szCs w:val="21"/>
          <w:highlight w:val="none"/>
          <w:lang w:eastAsia="zh-Hans"/>
        </w:rPr>
        <w:t>专用旅行箱，可装载主机、探头及相关备件</w:t>
      </w:r>
      <w:r>
        <w:rPr>
          <w:rFonts w:hint="eastAsia" w:ascii="宋体" w:hAnsi="宋体"/>
          <w:color w:val="auto"/>
          <w:szCs w:val="21"/>
          <w:highlight w:val="none"/>
        </w:rPr>
        <w:t>。</w:t>
      </w:r>
    </w:p>
    <w:p>
      <w:pPr>
        <w:spacing w:line="460" w:lineRule="exact"/>
        <w:ind w:firstLine="420" w:firstLineChars="200"/>
        <w:rPr>
          <w:rFonts w:ascii="宋体" w:hAnsi="宋体"/>
          <w:color w:val="auto"/>
          <w:szCs w:val="21"/>
          <w:highlight w:val="none"/>
          <w:lang w:eastAsia="zh-Hans"/>
        </w:rPr>
      </w:pPr>
      <w:r>
        <w:rPr>
          <w:rFonts w:hint="eastAsia" w:ascii="宋体" w:hAnsi="宋体"/>
          <w:color w:val="auto"/>
          <w:szCs w:val="21"/>
          <w:highlight w:val="none"/>
        </w:rPr>
        <w:t>3、</w:t>
      </w:r>
      <w:r>
        <w:rPr>
          <w:rFonts w:hint="eastAsia" w:ascii="宋体" w:hAnsi="宋体"/>
          <w:color w:val="auto"/>
          <w:szCs w:val="21"/>
          <w:highlight w:val="none"/>
          <w:lang w:eastAsia="zh-Hans"/>
        </w:rPr>
        <w:t>配置要求</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3.1</w:t>
      </w:r>
      <w:r>
        <w:rPr>
          <w:rFonts w:hint="eastAsia" w:ascii="宋体" w:hAnsi="宋体"/>
          <w:color w:val="auto"/>
          <w:szCs w:val="21"/>
          <w:highlight w:val="none"/>
          <w:lang w:eastAsia="zh-Hans"/>
        </w:rPr>
        <w:t>全身应用彩色多普勒超声诊断仪主机1台</w:t>
      </w:r>
      <w:r>
        <w:rPr>
          <w:rFonts w:hint="eastAsia" w:ascii="宋体" w:hAnsi="宋体"/>
          <w:color w:val="auto"/>
          <w:szCs w:val="21"/>
          <w:highlight w:val="none"/>
        </w:rPr>
        <w:t>；</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3.2</w:t>
      </w:r>
      <w:r>
        <w:rPr>
          <w:rFonts w:hint="eastAsia" w:ascii="宋体" w:hAnsi="宋体"/>
          <w:color w:val="auto"/>
          <w:szCs w:val="21"/>
          <w:highlight w:val="none"/>
          <w:lang w:eastAsia="zh-Hans"/>
        </w:rPr>
        <w:t>探头</w:t>
      </w:r>
      <w:r>
        <w:rPr>
          <w:rFonts w:hint="eastAsia" w:ascii="宋体" w:hAnsi="宋体"/>
          <w:color w:val="auto"/>
          <w:szCs w:val="21"/>
          <w:highlight w:val="none"/>
        </w:rPr>
        <w:t>配置</w:t>
      </w:r>
      <w:r>
        <w:rPr>
          <w:rFonts w:hint="eastAsia" w:ascii="宋体" w:hAnsi="宋体"/>
          <w:color w:val="auto"/>
          <w:szCs w:val="21"/>
          <w:highlight w:val="none"/>
          <w:lang w:eastAsia="zh-Hans"/>
        </w:rPr>
        <w:t>：凸阵探头1个</w:t>
      </w:r>
      <w:r>
        <w:rPr>
          <w:rFonts w:hint="eastAsia" w:ascii="宋体" w:hAnsi="宋体"/>
          <w:color w:val="auto"/>
          <w:szCs w:val="21"/>
          <w:highlight w:val="none"/>
        </w:rPr>
        <w:t>、</w:t>
      </w:r>
      <w:r>
        <w:rPr>
          <w:rFonts w:hint="eastAsia" w:ascii="宋体" w:hAnsi="宋体"/>
          <w:color w:val="auto"/>
          <w:szCs w:val="21"/>
          <w:highlight w:val="none"/>
          <w:lang w:eastAsia="zh-Hans"/>
        </w:rPr>
        <w:t>心脏探头1个</w:t>
      </w:r>
      <w:r>
        <w:rPr>
          <w:rFonts w:hint="eastAsia" w:ascii="宋体" w:hAnsi="宋体"/>
          <w:color w:val="auto"/>
          <w:szCs w:val="21"/>
          <w:highlight w:val="none"/>
        </w:rPr>
        <w:t>、线阵探头1个；</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3.3</w:t>
      </w:r>
      <w:r>
        <w:rPr>
          <w:rFonts w:hint="eastAsia" w:ascii="宋体" w:hAnsi="宋体"/>
          <w:color w:val="auto"/>
          <w:szCs w:val="21"/>
          <w:highlight w:val="none"/>
          <w:lang w:eastAsia="zh-Hans"/>
        </w:rPr>
        <w:t>多功能台车：1个</w:t>
      </w:r>
      <w:r>
        <w:rPr>
          <w:rFonts w:hint="eastAsia" w:ascii="宋体" w:hAnsi="宋体"/>
          <w:color w:val="auto"/>
          <w:szCs w:val="21"/>
          <w:highlight w:val="none"/>
        </w:rPr>
        <w:t>；</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3.4</w:t>
      </w:r>
      <w:r>
        <w:rPr>
          <w:rFonts w:hint="eastAsia" w:ascii="宋体" w:hAnsi="宋体"/>
          <w:color w:val="auto"/>
          <w:szCs w:val="21"/>
          <w:highlight w:val="none"/>
          <w:lang w:eastAsia="zh-Hans"/>
        </w:rPr>
        <w:t>探头扩展器：1个</w:t>
      </w:r>
      <w:r>
        <w:rPr>
          <w:rFonts w:hint="eastAsia" w:ascii="宋体" w:hAnsi="宋体"/>
          <w:color w:val="auto"/>
          <w:szCs w:val="21"/>
          <w:highlight w:val="none"/>
        </w:rPr>
        <w:t>；</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3.5</w:t>
      </w:r>
      <w:r>
        <w:rPr>
          <w:rFonts w:hint="eastAsia" w:ascii="宋体" w:hAnsi="宋体"/>
          <w:color w:val="auto"/>
          <w:szCs w:val="21"/>
          <w:highlight w:val="none"/>
          <w:lang w:eastAsia="zh-Hans"/>
        </w:rPr>
        <w:t>拉杆箱：1个</w:t>
      </w:r>
      <w:r>
        <w:rPr>
          <w:rFonts w:hint="eastAsia" w:ascii="宋体" w:hAnsi="宋体"/>
          <w:color w:val="auto"/>
          <w:szCs w:val="21"/>
          <w:highlight w:val="none"/>
        </w:rPr>
        <w:t>；</w:t>
      </w:r>
    </w:p>
    <w:p>
      <w:pPr>
        <w:spacing w:line="460" w:lineRule="exact"/>
        <w:ind w:firstLine="482" w:firstLineChars="200"/>
        <w:jc w:val="center"/>
        <w:rPr>
          <w:rFonts w:ascii="宋体" w:hAnsi="宋体" w:cs="宋体"/>
          <w:b/>
          <w:bCs/>
          <w:color w:val="auto"/>
          <w:sz w:val="24"/>
          <w:highlight w:val="none"/>
        </w:rPr>
      </w:pPr>
    </w:p>
    <w:p>
      <w:pPr>
        <w:spacing w:line="460" w:lineRule="exact"/>
        <w:ind w:firstLine="482" w:firstLineChars="200"/>
        <w:jc w:val="center"/>
        <w:outlineLvl w:val="1"/>
        <w:rPr>
          <w:rFonts w:ascii="宋体" w:hAnsi="宋体" w:cs="宋体"/>
          <w:b/>
          <w:bCs/>
          <w:color w:val="auto"/>
          <w:sz w:val="24"/>
          <w:highlight w:val="none"/>
        </w:rPr>
      </w:pPr>
      <w:r>
        <w:rPr>
          <w:rFonts w:hint="eastAsia" w:ascii="宋体" w:hAnsi="宋体" w:cs="宋体"/>
          <w:b/>
          <w:bCs/>
          <w:color w:val="auto"/>
          <w:sz w:val="24"/>
          <w:highlight w:val="none"/>
        </w:rPr>
        <w:t>第五包</w:t>
      </w:r>
    </w:p>
    <w:p>
      <w:pPr>
        <w:spacing w:line="460" w:lineRule="exact"/>
        <w:ind w:firstLine="482" w:firstLineChars="200"/>
        <w:jc w:val="center"/>
        <w:rPr>
          <w:rFonts w:ascii="宋体" w:hAnsi="宋体" w:cs="宋体"/>
          <w:b/>
          <w:bCs/>
          <w:color w:val="auto"/>
          <w:sz w:val="24"/>
          <w:highlight w:val="none"/>
          <w:lang w:val="zh-TW"/>
        </w:rPr>
      </w:pPr>
      <w:r>
        <w:rPr>
          <w:rFonts w:hint="eastAsia" w:ascii="宋体" w:hAnsi="宋体" w:cs="宋体"/>
          <w:b/>
          <w:bCs/>
          <w:color w:val="auto"/>
          <w:sz w:val="24"/>
          <w:highlight w:val="none"/>
          <w:lang w:val="zh-TW"/>
        </w:rPr>
        <w:t>Q开关Nd:YAG激光治疗机</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rPr>
        <w:t>1.</w:t>
      </w:r>
      <w:r>
        <w:rPr>
          <w:rFonts w:hint="eastAsia" w:ascii="宋体" w:hAnsi="宋体" w:cs="宋体"/>
          <w:color w:val="auto"/>
          <w:szCs w:val="21"/>
          <w:highlight w:val="none"/>
          <w:lang w:val="zh-TW"/>
        </w:rPr>
        <w:t>激光器类型：Nd:YAG激光；</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2、激光波长：1064nm /532nm ；</w:t>
      </w:r>
    </w:p>
    <w:p>
      <w:pPr>
        <w:spacing w:line="360" w:lineRule="auto"/>
        <w:rPr>
          <w:rFonts w:ascii="宋体" w:hAnsi="宋体" w:cs="宋体"/>
          <w:color w:val="auto"/>
          <w:szCs w:val="21"/>
          <w:highlight w:val="none"/>
        </w:rPr>
      </w:pPr>
      <w:r>
        <w:rPr>
          <w:rFonts w:hint="eastAsia" w:ascii="宋体" w:hAnsi="宋体" w:cs="宋体"/>
          <w:color w:val="auto"/>
          <w:szCs w:val="21"/>
          <w:highlight w:val="none"/>
          <w:lang w:val="zh-TW"/>
        </w:rPr>
        <w:t>★</w:t>
      </w:r>
      <w:r>
        <w:rPr>
          <w:rFonts w:hint="eastAsia" w:ascii="宋体" w:hAnsi="宋体" w:cs="宋体"/>
          <w:color w:val="auto"/>
          <w:szCs w:val="21"/>
          <w:highlight w:val="none"/>
        </w:rPr>
        <w:t>3、</w:t>
      </w:r>
      <w:r>
        <w:rPr>
          <w:rFonts w:hint="eastAsia" w:ascii="宋体" w:hAnsi="宋体" w:cs="宋体"/>
          <w:color w:val="auto"/>
          <w:szCs w:val="21"/>
          <w:highlight w:val="none"/>
          <w:lang w:val="zh-TW"/>
        </w:rPr>
        <w:t>传输方式：7关节平衡锤式导光臂；</w:t>
      </w:r>
    </w:p>
    <w:p>
      <w:pPr>
        <w:spacing w:line="360" w:lineRule="auto"/>
        <w:rPr>
          <w:rFonts w:ascii="宋体" w:hAnsi="宋体" w:cs="宋体"/>
          <w:color w:val="auto"/>
          <w:szCs w:val="21"/>
          <w:highlight w:val="none"/>
        </w:rPr>
      </w:pPr>
      <w:r>
        <w:rPr>
          <w:rFonts w:hint="eastAsia" w:ascii="宋体" w:hAnsi="宋体" w:cs="宋体"/>
          <w:color w:val="auto"/>
          <w:szCs w:val="21"/>
          <w:highlight w:val="none"/>
          <w:lang w:val="zh-TW"/>
        </w:rPr>
        <w:t>★</w:t>
      </w:r>
      <w:r>
        <w:rPr>
          <w:rFonts w:hint="eastAsia" w:ascii="宋体" w:hAnsi="宋体" w:cs="宋体"/>
          <w:color w:val="auto"/>
          <w:szCs w:val="21"/>
          <w:highlight w:val="none"/>
        </w:rPr>
        <w:t>4、</w:t>
      </w:r>
      <w:r>
        <w:rPr>
          <w:rFonts w:hint="eastAsia" w:ascii="宋体" w:hAnsi="宋体" w:cs="宋体"/>
          <w:color w:val="auto"/>
          <w:szCs w:val="21"/>
          <w:highlight w:val="none"/>
          <w:lang w:val="zh-TW"/>
        </w:rPr>
        <w:t>治疗手具：光电旋转手具，具有光斑直径、能量密度调节与显示同步功能；</w:t>
      </w:r>
    </w:p>
    <w:p>
      <w:pPr>
        <w:spacing w:line="360" w:lineRule="auto"/>
        <w:rPr>
          <w:rFonts w:ascii="宋体" w:hAnsi="宋体" w:cs="宋体"/>
          <w:color w:val="auto"/>
          <w:szCs w:val="21"/>
          <w:highlight w:val="none"/>
        </w:rPr>
      </w:pPr>
      <w:r>
        <w:rPr>
          <w:rFonts w:hint="eastAsia" w:ascii="宋体" w:hAnsi="宋体" w:cs="宋体"/>
          <w:color w:val="auto"/>
          <w:szCs w:val="21"/>
          <w:highlight w:val="none"/>
          <w:lang w:val="zh-TW"/>
        </w:rPr>
        <w:t>★</w:t>
      </w:r>
      <w:r>
        <w:rPr>
          <w:rFonts w:hint="eastAsia" w:ascii="宋体" w:hAnsi="宋体" w:cs="宋体"/>
          <w:color w:val="auto"/>
          <w:szCs w:val="21"/>
          <w:highlight w:val="none"/>
        </w:rPr>
        <w:t>5、</w:t>
      </w:r>
      <w:r>
        <w:rPr>
          <w:rFonts w:hint="eastAsia" w:ascii="宋体" w:hAnsi="宋体" w:cs="宋体"/>
          <w:color w:val="auto"/>
          <w:szCs w:val="21"/>
          <w:highlight w:val="none"/>
          <w:lang w:val="zh-TW"/>
        </w:rPr>
        <w:t>光斑直径：1064nm:2～8mm（8mm为平行光传输），532nm:1.5～7mm（</w:t>
      </w:r>
      <w:r>
        <w:rPr>
          <w:rFonts w:hint="eastAsia" w:ascii="宋体" w:hAnsi="宋体" w:cs="宋体"/>
          <w:color w:val="auto"/>
          <w:szCs w:val="21"/>
          <w:highlight w:val="none"/>
        </w:rPr>
        <w:t>7</w:t>
      </w:r>
      <w:r>
        <w:rPr>
          <w:rFonts w:hint="eastAsia" w:ascii="宋体" w:hAnsi="宋体" w:cs="宋体"/>
          <w:color w:val="auto"/>
          <w:szCs w:val="21"/>
          <w:highlight w:val="none"/>
          <w:lang w:val="zh-TW"/>
        </w:rPr>
        <w:t>mm为平行光传输）；</w:t>
      </w:r>
    </w:p>
    <w:p>
      <w:pPr>
        <w:spacing w:line="360" w:lineRule="auto"/>
        <w:rPr>
          <w:rFonts w:ascii="宋体" w:hAnsi="宋体" w:cs="宋体"/>
          <w:color w:val="auto"/>
          <w:szCs w:val="21"/>
          <w:highlight w:val="none"/>
        </w:rPr>
      </w:pPr>
      <w:r>
        <w:rPr>
          <w:rFonts w:hint="eastAsia" w:ascii="宋体" w:hAnsi="宋体" w:cs="宋体"/>
          <w:color w:val="auto"/>
          <w:szCs w:val="21"/>
          <w:highlight w:val="none"/>
          <w:lang w:val="zh-TW"/>
        </w:rPr>
        <w:t>★</w:t>
      </w:r>
      <w:r>
        <w:rPr>
          <w:rFonts w:hint="eastAsia" w:ascii="宋体" w:hAnsi="宋体" w:cs="宋体"/>
          <w:color w:val="auto"/>
          <w:szCs w:val="21"/>
          <w:highlight w:val="none"/>
        </w:rPr>
        <w:t>6、</w:t>
      </w:r>
      <w:r>
        <w:rPr>
          <w:rFonts w:hint="eastAsia" w:ascii="宋体" w:hAnsi="宋体" w:cs="宋体"/>
          <w:color w:val="auto"/>
          <w:szCs w:val="21"/>
          <w:highlight w:val="none"/>
          <w:lang w:val="zh-TW"/>
        </w:rPr>
        <w:t>脉冲宽度：4ns/</w:t>
      </w:r>
      <w:r>
        <w:rPr>
          <w:rFonts w:hint="eastAsia" w:ascii="宋体" w:hAnsi="宋体" w:cs="宋体"/>
          <w:color w:val="auto"/>
          <w:szCs w:val="21"/>
          <w:highlight w:val="none"/>
        </w:rPr>
        <w:t>4ns+4ns／</w:t>
      </w:r>
      <w:r>
        <w:rPr>
          <w:rFonts w:hint="eastAsia" w:ascii="宋体" w:hAnsi="宋体" w:cs="宋体"/>
          <w:color w:val="auto"/>
          <w:szCs w:val="21"/>
          <w:highlight w:val="none"/>
          <w:lang w:val="zh-TW"/>
        </w:rPr>
        <w:t>900ps～2.5ns；</w:t>
      </w:r>
    </w:p>
    <w:p>
      <w:pPr>
        <w:spacing w:line="360" w:lineRule="auto"/>
        <w:rPr>
          <w:rFonts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szCs w:val="21"/>
          <w:highlight w:val="none"/>
          <w:lang w:val="zh-TW"/>
        </w:rPr>
        <w:t>终端单脉冲输出能量：</w:t>
      </w:r>
      <w:r>
        <w:rPr>
          <w:rFonts w:hint="eastAsia" w:ascii="宋体" w:hAnsi="宋体" w:cs="宋体"/>
          <w:color w:val="auto"/>
          <w:szCs w:val="21"/>
          <w:highlight w:val="none"/>
        </w:rPr>
        <w:t xml:space="preserve"> </w:t>
      </w:r>
      <w:r>
        <w:rPr>
          <w:rFonts w:hint="eastAsia" w:ascii="宋体" w:hAnsi="宋体" w:cs="宋体"/>
          <w:color w:val="auto"/>
          <w:szCs w:val="21"/>
          <w:highlight w:val="none"/>
          <w:lang w:val="zh-TW"/>
        </w:rPr>
        <w:t>1064nm：100m</w:t>
      </w:r>
      <w:r>
        <w:rPr>
          <w:rFonts w:hint="eastAsia" w:ascii="宋体" w:hAnsi="宋体" w:cs="宋体"/>
          <w:color w:val="auto"/>
          <w:szCs w:val="21"/>
          <w:highlight w:val="none"/>
        </w:rPr>
        <w:t>J</w:t>
      </w:r>
      <w:r>
        <w:rPr>
          <w:rFonts w:hint="eastAsia" w:ascii="宋体" w:hAnsi="宋体" w:cs="宋体"/>
          <w:color w:val="auto"/>
          <w:szCs w:val="21"/>
          <w:highlight w:val="none"/>
          <w:lang w:val="zh-TW"/>
        </w:rPr>
        <w:t>-1200m</w:t>
      </w:r>
      <w:r>
        <w:rPr>
          <w:rFonts w:hint="eastAsia" w:ascii="宋体" w:hAnsi="宋体" w:cs="宋体"/>
          <w:color w:val="auto"/>
          <w:szCs w:val="21"/>
          <w:highlight w:val="none"/>
        </w:rPr>
        <w:t>J,</w:t>
      </w:r>
      <w:r>
        <w:rPr>
          <w:rFonts w:hint="eastAsia" w:ascii="宋体" w:hAnsi="宋体" w:cs="宋体"/>
          <w:color w:val="auto"/>
          <w:szCs w:val="21"/>
          <w:highlight w:val="none"/>
          <w:lang w:val="zh-TW"/>
        </w:rPr>
        <w:t>532nm：5m</w:t>
      </w:r>
      <w:r>
        <w:rPr>
          <w:rFonts w:hint="eastAsia" w:ascii="宋体" w:hAnsi="宋体" w:cs="宋体"/>
          <w:color w:val="auto"/>
          <w:szCs w:val="21"/>
          <w:highlight w:val="none"/>
        </w:rPr>
        <w:t>J</w:t>
      </w:r>
      <w:r>
        <w:rPr>
          <w:rFonts w:hint="eastAsia" w:ascii="宋体" w:hAnsi="宋体" w:cs="宋体"/>
          <w:color w:val="auto"/>
          <w:szCs w:val="21"/>
          <w:highlight w:val="none"/>
          <w:lang w:val="zh-TW"/>
        </w:rPr>
        <w:t>-400m</w:t>
      </w:r>
      <w:r>
        <w:rPr>
          <w:rFonts w:hint="eastAsia" w:ascii="宋体" w:hAnsi="宋体" w:cs="宋体"/>
          <w:color w:val="auto"/>
          <w:szCs w:val="21"/>
          <w:highlight w:val="none"/>
        </w:rPr>
        <w:t>J；</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rPr>
        <w:t>8、</w:t>
      </w:r>
      <w:r>
        <w:rPr>
          <w:rFonts w:hint="eastAsia" w:ascii="宋体" w:hAnsi="宋体" w:cs="宋体"/>
          <w:color w:val="auto"/>
          <w:szCs w:val="21"/>
          <w:highlight w:val="none"/>
          <w:lang w:val="zh-TW"/>
        </w:rPr>
        <w:t>光路系统：采用陶瓷双腔、双棒、双灯泵浦；</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rPr>
        <w:t>9、</w:t>
      </w:r>
      <w:r>
        <w:rPr>
          <w:rFonts w:hint="eastAsia" w:ascii="宋体" w:hAnsi="宋体" w:cs="宋体"/>
          <w:color w:val="auto"/>
          <w:szCs w:val="21"/>
          <w:highlight w:val="none"/>
          <w:lang w:val="zh-TW"/>
        </w:rPr>
        <w:t>重复频率：1～10Hz；</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rPr>
        <w:t>10、</w:t>
      </w:r>
      <w:r>
        <w:rPr>
          <w:rFonts w:hint="eastAsia" w:ascii="宋体" w:hAnsi="宋体" w:cs="宋体"/>
          <w:color w:val="auto"/>
          <w:szCs w:val="21"/>
          <w:highlight w:val="none"/>
          <w:lang w:val="zh-TW"/>
        </w:rPr>
        <w:t>激光瞄准：650</w:t>
      </w:r>
      <w:r>
        <w:rPr>
          <w:rFonts w:hint="eastAsia" w:ascii="宋体" w:hAnsi="宋体" w:cs="宋体"/>
          <w:color w:val="auto"/>
          <w:szCs w:val="21"/>
          <w:highlight w:val="none"/>
        </w:rPr>
        <w:t>nm±20nm</w:t>
      </w:r>
      <w:r>
        <w:rPr>
          <w:rFonts w:hint="eastAsia" w:ascii="宋体" w:hAnsi="宋体" w:cs="宋体"/>
          <w:color w:val="auto"/>
          <w:szCs w:val="21"/>
          <w:highlight w:val="none"/>
          <w:lang w:val="zh-TW"/>
        </w:rPr>
        <w:t>波长红色半导体指示光，亮度强弱可调；</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w:t>
      </w:r>
      <w:r>
        <w:rPr>
          <w:rFonts w:hint="eastAsia" w:ascii="宋体" w:hAnsi="宋体" w:cs="宋体"/>
          <w:color w:val="auto"/>
          <w:szCs w:val="21"/>
          <w:highlight w:val="none"/>
        </w:rPr>
        <w:t>11、</w:t>
      </w:r>
      <w:r>
        <w:rPr>
          <w:rFonts w:hint="eastAsia" w:ascii="宋体" w:hAnsi="宋体" w:cs="宋体"/>
          <w:color w:val="auto"/>
          <w:szCs w:val="21"/>
          <w:highlight w:val="none"/>
          <w:lang w:val="zh-TW"/>
        </w:rPr>
        <w:t>冷却系统：封闭内循环水制冷，外循环强风冷却，内置双过滤洁净装置；</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rPr>
        <w:t>12、</w:t>
      </w:r>
      <w:r>
        <w:rPr>
          <w:rFonts w:hint="eastAsia" w:ascii="宋体" w:hAnsi="宋体" w:cs="宋体"/>
          <w:color w:val="auto"/>
          <w:szCs w:val="21"/>
          <w:highlight w:val="none"/>
          <w:lang w:val="zh-TW"/>
        </w:rPr>
        <w:t>控制系统：彩色触摸屏显示，具有参数修正功能及升级接口，主电源工作电压、冷却水温度、光斑计数、计时显示，故障语言显示及声音提示，密码设置、常用数据储存等功能；</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w:t>
      </w:r>
      <w:r>
        <w:rPr>
          <w:rFonts w:hint="eastAsia" w:ascii="宋体" w:hAnsi="宋体" w:cs="宋体"/>
          <w:color w:val="auto"/>
          <w:szCs w:val="21"/>
          <w:highlight w:val="none"/>
        </w:rPr>
        <w:t>13、</w:t>
      </w:r>
      <w:r>
        <w:rPr>
          <w:rFonts w:hint="eastAsia" w:ascii="宋体" w:hAnsi="宋体" w:cs="宋体"/>
          <w:color w:val="auto"/>
          <w:szCs w:val="21"/>
          <w:highlight w:val="none"/>
          <w:lang w:val="zh-TW"/>
        </w:rPr>
        <w:t>安全保护功能：激光器具有光闸保护功能，脚踏开关具有智能脚踏识别功能；</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14、电 源：AC220V/50Hz/10A。</w:t>
      </w:r>
    </w:p>
    <w:p>
      <w:pPr>
        <w:spacing w:line="460" w:lineRule="exact"/>
        <w:ind w:firstLine="420" w:firstLineChars="200"/>
        <w:rPr>
          <w:color w:val="auto"/>
          <w:szCs w:val="21"/>
          <w:highlight w:val="none"/>
        </w:rPr>
      </w:pPr>
    </w:p>
    <w:p>
      <w:pPr>
        <w:spacing w:line="460" w:lineRule="exact"/>
        <w:jc w:val="center"/>
        <w:outlineLvl w:val="1"/>
        <w:rPr>
          <w:rFonts w:ascii="宋体" w:hAnsi="宋体"/>
          <w:b/>
          <w:bCs/>
          <w:color w:val="auto"/>
          <w:sz w:val="24"/>
          <w:highlight w:val="none"/>
        </w:rPr>
      </w:pPr>
      <w:r>
        <w:rPr>
          <w:rFonts w:hint="eastAsia" w:ascii="宋体" w:hAnsi="宋体"/>
          <w:b/>
          <w:bCs/>
          <w:color w:val="auto"/>
          <w:sz w:val="24"/>
          <w:highlight w:val="none"/>
        </w:rPr>
        <w:t>第</w:t>
      </w:r>
      <w:r>
        <w:rPr>
          <w:rFonts w:hint="eastAsia"/>
          <w:b/>
          <w:bCs/>
          <w:color w:val="auto"/>
          <w:sz w:val="24"/>
          <w:highlight w:val="none"/>
        </w:rPr>
        <w:t>六</w:t>
      </w:r>
      <w:r>
        <w:rPr>
          <w:rFonts w:hint="eastAsia" w:ascii="宋体" w:hAnsi="宋体"/>
          <w:b/>
          <w:bCs/>
          <w:color w:val="auto"/>
          <w:sz w:val="24"/>
          <w:highlight w:val="none"/>
        </w:rPr>
        <w:t>包</w:t>
      </w:r>
    </w:p>
    <w:p>
      <w:pPr>
        <w:spacing w:line="460" w:lineRule="exact"/>
        <w:jc w:val="center"/>
        <w:rPr>
          <w:rFonts w:ascii="宋体" w:hAnsi="宋体"/>
          <w:b/>
          <w:bCs/>
          <w:color w:val="auto"/>
          <w:sz w:val="24"/>
          <w:highlight w:val="none"/>
        </w:rPr>
      </w:pPr>
      <w:r>
        <w:rPr>
          <w:rFonts w:hint="eastAsia" w:ascii="宋体" w:hAnsi="宋体"/>
          <w:b/>
          <w:bCs/>
          <w:color w:val="auto"/>
          <w:sz w:val="24"/>
          <w:highlight w:val="none"/>
        </w:rPr>
        <w:t>6-1 标本柜-1</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1、规格尺寸：700×450×850 mm</w:t>
      </w:r>
      <w:r>
        <w:rPr>
          <w:rFonts w:ascii="宋体" w:hAnsi="宋体" w:cs="宋体"/>
          <w:color w:val="auto"/>
          <w:szCs w:val="21"/>
          <w:highlight w:val="none"/>
          <w:vertAlign w:val="superscript"/>
          <w:lang w:val="zh-TW"/>
        </w:rPr>
        <w:t>3</w:t>
      </w:r>
      <w:r>
        <w:rPr>
          <w:rFonts w:hint="eastAsia" w:ascii="宋体" w:hAnsi="宋体" w:cs="宋体"/>
          <w:color w:val="auto"/>
          <w:szCs w:val="21"/>
          <w:highlight w:val="none"/>
          <w:lang w:val="zh-TW"/>
        </w:rPr>
        <w:t>±5mm</w:t>
      </w:r>
      <w:r>
        <w:rPr>
          <w:rFonts w:hint="eastAsia" w:ascii="宋体" w:hAnsi="宋体" w:cs="宋体"/>
          <w:color w:val="auto"/>
          <w:szCs w:val="21"/>
          <w:highlight w:val="none"/>
          <w:vertAlign w:val="superscript"/>
          <w:lang w:val="zh-TW"/>
        </w:rPr>
        <w:t>3</w:t>
      </w:r>
      <w:r>
        <w:rPr>
          <w:rFonts w:hint="eastAsia" w:ascii="宋体" w:hAnsi="宋体" w:cs="宋体"/>
          <w:color w:val="auto"/>
          <w:szCs w:val="21"/>
          <w:highlight w:val="none"/>
          <w:lang w:val="zh-TW"/>
        </w:rPr>
        <w:t>；</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2、整体材料均为不锈钢304材质，厚度≥1.0mm；</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3、下柜有活动隔板可调，根据要求自行调节，满足使用需求，隔板额定载荷：</w:t>
      </w:r>
      <w:r>
        <w:rPr>
          <w:rFonts w:hint="eastAsia" w:ascii="Calibri" w:hAnsi="Calibri"/>
          <w:color w:val="auto"/>
          <w:sz w:val="28"/>
          <w:szCs w:val="32"/>
          <w:highlight w:val="none"/>
        </w:rPr>
        <w:t>≥</w:t>
      </w:r>
      <w:r>
        <w:rPr>
          <w:rFonts w:hint="eastAsia" w:ascii="宋体" w:hAnsi="宋体" w:cs="宋体"/>
          <w:color w:val="auto"/>
          <w:szCs w:val="21"/>
          <w:highlight w:val="none"/>
          <w:lang w:val="zh-TW"/>
        </w:rPr>
        <w:t>30kg；</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4、台面下方2个抽屉，配有安全锁，确保物品的安全；</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5、商标采用激光打字，产品管理具有追溯性。</w:t>
      </w:r>
    </w:p>
    <w:p>
      <w:pPr>
        <w:spacing w:line="460" w:lineRule="exact"/>
        <w:rPr>
          <w:rFonts w:ascii="宋体" w:hAnsi="宋体"/>
          <w:b/>
          <w:bCs/>
          <w:color w:val="auto"/>
          <w:sz w:val="24"/>
          <w:highlight w:val="none"/>
        </w:rPr>
      </w:pPr>
    </w:p>
    <w:p>
      <w:pPr>
        <w:spacing w:line="460" w:lineRule="exact"/>
        <w:jc w:val="center"/>
        <w:rPr>
          <w:rFonts w:ascii="宋体" w:hAnsi="宋体"/>
          <w:b/>
          <w:bCs/>
          <w:color w:val="auto"/>
          <w:sz w:val="24"/>
          <w:highlight w:val="none"/>
        </w:rPr>
      </w:pPr>
    </w:p>
    <w:p>
      <w:pPr>
        <w:spacing w:line="360" w:lineRule="auto"/>
        <w:jc w:val="center"/>
        <w:rPr>
          <w:rFonts w:ascii="宋体" w:hAnsi="宋体" w:cs="宋体"/>
          <w:color w:val="auto"/>
          <w:szCs w:val="21"/>
          <w:highlight w:val="none"/>
          <w:lang w:val="zh-TW"/>
        </w:rPr>
      </w:pPr>
      <w:r>
        <w:rPr>
          <w:rFonts w:hint="eastAsia" w:ascii="宋体" w:hAnsi="宋体" w:cs="宋体"/>
          <w:b/>
          <w:bCs/>
          <w:color w:val="auto"/>
          <w:kern w:val="0"/>
          <w:sz w:val="24"/>
          <w:highlight w:val="none"/>
          <w:lang w:val="zh-TW"/>
        </w:rPr>
        <w:t>6-2 标本柜（带冷藏）-2</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1、柜体结构说明:框架采用≥1.5mm厚的SUS304不锈钢钢板，台体外侧采用≥1.2mm厚的SUS304不锈钢钢板，隔板为全不锈钢≥1.2mm厚的多孔隔板，能确保柜体内部风量正常运转；</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2、门需配中空不锈钢边玻璃门，防凝效果好，门体带加热系统，以防冷凝水在门上凝固，不得结冰结霜，四周密封，必须能有效防止有害气体溢出；</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3、触摸型数字电脑温度显示调节器，自动控温系统；</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4、自动排风系统，当门开启时，传感器自动开启排风，能与整体排风系统无缝对接，面风速需达到0.5m/s以上，需能彻底排出有害气体，排风量：200-400m³/h；</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5、中间隔层：SUS304不锈钢隔板板，配专用耐腐塑料标本存放盒，承载强度大，以便标本存放方便；</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6、制冷压缩机制冷；</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7、储藏温度：-1℃_7℃；</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8、使用电源：220V/50HZ，功率800；</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9、把手：全不锈钢；</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10、电源：自带保护装置电源插座；</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11、调整脚：工业专用不锈钢弹簧角；</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12、铰链：90°开合无声铰链；</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13、冷却速度：容积大于或等于500L时，冷却时间不超多3.5h；</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14、内部空气净化装置：臭氧+负离子净化；</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15、技术指标：四门；规格尺寸（mm）：1210*760*2000 mm</w:t>
      </w:r>
      <w:r>
        <w:rPr>
          <w:rFonts w:hint="eastAsia" w:ascii="宋体" w:hAnsi="宋体" w:cs="宋体"/>
          <w:color w:val="auto"/>
          <w:szCs w:val="21"/>
          <w:highlight w:val="none"/>
          <w:vertAlign w:val="superscript"/>
          <w:lang w:val="zh-TW"/>
        </w:rPr>
        <w:t>3</w:t>
      </w:r>
      <w:r>
        <w:rPr>
          <w:rFonts w:hint="eastAsia" w:ascii="宋体" w:hAnsi="宋体" w:cs="宋体"/>
          <w:color w:val="auto"/>
          <w:szCs w:val="21"/>
          <w:highlight w:val="none"/>
          <w:lang w:val="zh-TW"/>
        </w:rPr>
        <w:t>±5mm</w:t>
      </w:r>
      <w:r>
        <w:rPr>
          <w:rFonts w:ascii="宋体" w:hAnsi="宋体" w:cs="宋体"/>
          <w:color w:val="auto"/>
          <w:szCs w:val="21"/>
          <w:highlight w:val="none"/>
          <w:vertAlign w:val="superscript"/>
          <w:lang w:val="zh-TW"/>
        </w:rPr>
        <w:t>3</w:t>
      </w:r>
      <w:r>
        <w:rPr>
          <w:rFonts w:hint="eastAsia" w:ascii="宋体" w:hAnsi="宋体" w:cs="宋体"/>
          <w:color w:val="auto"/>
          <w:szCs w:val="21"/>
          <w:highlight w:val="none"/>
          <w:lang w:val="zh-TW"/>
        </w:rPr>
        <w:t>；温度：2-+20℃；容积（盘）1000L；电压（V-Hz）：220V-50Hz；功率（w）：800。</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 </w:t>
      </w:r>
    </w:p>
    <w:p>
      <w:pPr>
        <w:spacing w:line="460" w:lineRule="exact"/>
        <w:ind w:firstLine="482" w:firstLineChars="200"/>
        <w:jc w:val="center"/>
        <w:rPr>
          <w:rFonts w:ascii="宋体" w:hAnsi="宋体" w:cs="宋体"/>
          <w:b/>
          <w:bCs/>
          <w:color w:val="auto"/>
          <w:sz w:val="24"/>
          <w:highlight w:val="none"/>
          <w:lang w:val="zh-TW"/>
        </w:rPr>
      </w:pPr>
      <w:r>
        <w:rPr>
          <w:rFonts w:hint="eastAsia" w:ascii="宋体" w:hAnsi="宋体" w:cs="宋体"/>
          <w:b/>
          <w:bCs/>
          <w:color w:val="auto"/>
          <w:sz w:val="24"/>
          <w:highlight w:val="none"/>
          <w:lang w:val="zh-TW"/>
        </w:rPr>
        <w:t>6-3蜡块柜</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1．底座采用≥1.2</w:t>
      </w:r>
      <w:r>
        <w:rPr>
          <w:rFonts w:hint="eastAsia" w:ascii="宋体" w:hAnsi="宋体" w:cs="宋体"/>
          <w:color w:val="auto"/>
          <w:szCs w:val="21"/>
          <w:highlight w:val="none"/>
        </w:rPr>
        <w:t>mm</w:t>
      </w:r>
      <w:r>
        <w:rPr>
          <w:rFonts w:hint="eastAsia" w:ascii="宋体" w:hAnsi="宋体" w:cs="宋体"/>
          <w:color w:val="auto"/>
          <w:szCs w:val="21"/>
          <w:highlight w:val="none"/>
          <w:lang w:val="zh-TW"/>
        </w:rPr>
        <w:t>冷轧钢板，箱体≥1.2</w:t>
      </w:r>
      <w:r>
        <w:rPr>
          <w:rFonts w:hint="eastAsia" w:ascii="宋体" w:hAnsi="宋体" w:cs="宋体"/>
          <w:color w:val="auto"/>
          <w:szCs w:val="21"/>
          <w:highlight w:val="none"/>
        </w:rPr>
        <w:t>mm</w:t>
      </w:r>
      <w:r>
        <w:rPr>
          <w:rFonts w:hint="eastAsia" w:ascii="宋体" w:hAnsi="宋体" w:cs="宋体"/>
          <w:color w:val="auto"/>
          <w:szCs w:val="21"/>
          <w:highlight w:val="none"/>
          <w:lang w:val="zh-TW"/>
        </w:rPr>
        <w:t>冷轧钢板，抽屉≥0.8</w:t>
      </w:r>
      <w:r>
        <w:rPr>
          <w:rFonts w:hint="eastAsia" w:ascii="宋体" w:hAnsi="宋体" w:cs="宋体"/>
          <w:color w:val="auto"/>
          <w:szCs w:val="21"/>
          <w:highlight w:val="none"/>
        </w:rPr>
        <w:t>mm</w:t>
      </w:r>
      <w:r>
        <w:rPr>
          <w:rFonts w:hint="eastAsia" w:ascii="宋体" w:hAnsi="宋体" w:cs="宋体"/>
          <w:color w:val="auto"/>
          <w:szCs w:val="21"/>
          <w:highlight w:val="none"/>
          <w:lang w:val="zh-TW"/>
        </w:rPr>
        <w:t>冷轧钢板；</w:t>
      </w:r>
    </w:p>
    <w:p>
      <w:pPr>
        <w:spacing w:line="360" w:lineRule="auto"/>
        <w:rPr>
          <w:rFonts w:ascii="宋体" w:hAnsi="宋体" w:cs="宋体"/>
          <w:color w:val="auto"/>
          <w:szCs w:val="21"/>
          <w:highlight w:val="none"/>
        </w:rPr>
      </w:pPr>
      <w:r>
        <w:rPr>
          <w:rFonts w:hint="eastAsia" w:ascii="宋体" w:hAnsi="宋体" w:cs="宋体"/>
          <w:color w:val="auto"/>
          <w:szCs w:val="21"/>
          <w:highlight w:val="none"/>
          <w:lang w:val="zh-TW"/>
        </w:rPr>
        <w:t>2．每组≥4 节，加底座一只，每节4个大抽，中间有活动分隔条可灵活归类；</w:t>
      </w:r>
    </w:p>
    <w:p>
      <w:pPr>
        <w:spacing w:line="360" w:lineRule="auto"/>
        <w:rPr>
          <w:rFonts w:ascii="宋体" w:hAnsi="宋体" w:cs="宋体"/>
          <w:color w:val="auto"/>
          <w:szCs w:val="21"/>
          <w:highlight w:val="none"/>
          <w:lang w:val="zh-TW" w:eastAsia="zh-TW"/>
        </w:rPr>
      </w:pPr>
      <w:r>
        <w:rPr>
          <w:rFonts w:hint="eastAsia" w:ascii="宋体" w:hAnsi="宋体" w:cs="宋体"/>
          <w:color w:val="auto"/>
          <w:szCs w:val="21"/>
          <w:highlight w:val="none"/>
          <w:lang w:val="zh-TW" w:eastAsia="zh-TW"/>
        </w:rPr>
        <w:t>3．拉手：ABS 暗拉手；</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4．表面处理：脱脂除油、表调、锌系磷化、钝化、粉末喷涂；</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5．专用插槽、标鉴槽：一体化冲压成；</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6．单组规格：403*478*1250 mm</w:t>
      </w:r>
      <w:r>
        <w:rPr>
          <w:rFonts w:hint="eastAsia" w:ascii="宋体" w:hAnsi="宋体" w:cs="宋体"/>
          <w:color w:val="auto"/>
          <w:szCs w:val="21"/>
          <w:highlight w:val="none"/>
          <w:vertAlign w:val="superscript"/>
          <w:lang w:val="zh-TW"/>
        </w:rPr>
        <w:t>3</w:t>
      </w:r>
      <w:r>
        <w:rPr>
          <w:rFonts w:hint="eastAsia" w:ascii="宋体" w:hAnsi="宋体" w:cs="宋体"/>
          <w:color w:val="auto"/>
          <w:szCs w:val="21"/>
          <w:highlight w:val="none"/>
          <w:lang w:val="zh-TW"/>
        </w:rPr>
        <w:t>±5 mm</w:t>
      </w:r>
      <w:r>
        <w:rPr>
          <w:rFonts w:hint="eastAsia" w:ascii="宋体" w:hAnsi="宋体" w:cs="宋体"/>
          <w:color w:val="auto"/>
          <w:szCs w:val="21"/>
          <w:highlight w:val="none"/>
          <w:vertAlign w:val="superscript"/>
          <w:lang w:val="zh-TW"/>
        </w:rPr>
        <w:t>3</w:t>
      </w:r>
      <w:r>
        <w:rPr>
          <w:rFonts w:hint="eastAsia" w:ascii="宋体" w:hAnsi="宋体" w:cs="宋体"/>
          <w:color w:val="auto"/>
          <w:szCs w:val="21"/>
          <w:highlight w:val="none"/>
          <w:lang w:val="zh-TW"/>
        </w:rPr>
        <w:t>，每三节为一组。（平均容量12500以上,平均每个抽屉容量约为782个左右）。</w:t>
      </w:r>
    </w:p>
    <w:p>
      <w:pPr>
        <w:spacing w:line="360" w:lineRule="auto"/>
        <w:rPr>
          <w:rFonts w:ascii="宋体" w:hAnsi="宋体" w:cs="宋体"/>
          <w:color w:val="auto"/>
          <w:szCs w:val="21"/>
          <w:highlight w:val="none"/>
          <w:lang w:val="zh-TW"/>
        </w:rPr>
      </w:pPr>
    </w:p>
    <w:p>
      <w:pPr>
        <w:spacing w:line="460" w:lineRule="exact"/>
        <w:ind w:firstLine="482" w:firstLineChars="200"/>
        <w:jc w:val="center"/>
        <w:rPr>
          <w:rFonts w:ascii="宋体" w:hAnsi="宋体" w:cs="宋体"/>
          <w:b/>
          <w:bCs/>
          <w:color w:val="auto"/>
          <w:sz w:val="24"/>
          <w:highlight w:val="none"/>
          <w:lang w:val="zh-TW"/>
        </w:rPr>
      </w:pPr>
      <w:r>
        <w:rPr>
          <w:rFonts w:hint="eastAsia" w:ascii="宋体" w:hAnsi="宋体" w:cs="宋体"/>
          <w:b/>
          <w:bCs/>
          <w:color w:val="auto"/>
          <w:sz w:val="24"/>
          <w:highlight w:val="none"/>
          <w:lang w:val="zh-TW"/>
        </w:rPr>
        <w:t>6-4玻片柜</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1．底座采用SPCC1.2</w:t>
      </w:r>
      <w:r>
        <w:rPr>
          <w:rFonts w:hint="eastAsia" w:ascii="宋体" w:hAnsi="宋体" w:cs="宋体"/>
          <w:color w:val="auto"/>
          <w:szCs w:val="21"/>
          <w:highlight w:val="none"/>
        </w:rPr>
        <w:t>mm</w:t>
      </w:r>
      <w:r>
        <w:rPr>
          <w:rFonts w:hint="eastAsia" w:ascii="宋体" w:hAnsi="宋体" w:cs="宋体"/>
          <w:color w:val="auto"/>
          <w:szCs w:val="21"/>
          <w:highlight w:val="none"/>
          <w:lang w:val="zh-TW"/>
        </w:rPr>
        <w:t>冷轧钢板，箱体采用至少1.2</w:t>
      </w:r>
      <w:r>
        <w:rPr>
          <w:rFonts w:hint="eastAsia" w:ascii="宋体" w:hAnsi="宋体" w:cs="宋体"/>
          <w:color w:val="auto"/>
          <w:szCs w:val="21"/>
          <w:highlight w:val="none"/>
        </w:rPr>
        <w:t>mm</w:t>
      </w:r>
      <w:r>
        <w:rPr>
          <w:rFonts w:hint="eastAsia" w:ascii="宋体" w:hAnsi="宋体" w:cs="宋体"/>
          <w:color w:val="auto"/>
          <w:szCs w:val="21"/>
          <w:highlight w:val="none"/>
          <w:lang w:val="zh-TW"/>
        </w:rPr>
        <w:t>冷轧钢板，抽屉采用至少1.0</w:t>
      </w:r>
      <w:r>
        <w:rPr>
          <w:rFonts w:hint="eastAsia" w:ascii="宋体" w:hAnsi="宋体" w:cs="宋体"/>
          <w:color w:val="auto"/>
          <w:szCs w:val="21"/>
          <w:highlight w:val="none"/>
        </w:rPr>
        <w:t>mm</w:t>
      </w:r>
      <w:r>
        <w:rPr>
          <w:rFonts w:hint="eastAsia" w:ascii="宋体" w:hAnsi="宋体" w:cs="宋体"/>
          <w:color w:val="auto"/>
          <w:szCs w:val="21"/>
          <w:highlight w:val="none"/>
          <w:lang w:val="zh-TW"/>
        </w:rPr>
        <w:t>冷轧钢板；</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2．玻片专用抽ABS板式滑道，抽屉内置暗锁，具备防滑功能；</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3．拉手采用铜镀沙金，抽屉内有塑料分隔条，便于存档。柜体表面处理脱脂除油、表调、锌系磷化、钝化、粉末喷涂。插槽：金属开模专用插槽。标鉴槽：一体化冲压成；</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rPr>
        <w:t>4</w:t>
      </w:r>
      <w:r>
        <w:rPr>
          <w:rFonts w:hint="eastAsia" w:ascii="宋体" w:hAnsi="宋体" w:cs="宋体"/>
          <w:color w:val="auto"/>
          <w:szCs w:val="21"/>
          <w:highlight w:val="none"/>
          <w:lang w:val="zh-TW"/>
        </w:rPr>
        <w:t>．单组规格：403*478*1250 mm</w:t>
      </w:r>
      <w:r>
        <w:rPr>
          <w:rFonts w:hint="eastAsia" w:ascii="宋体" w:hAnsi="宋体" w:cs="宋体"/>
          <w:color w:val="auto"/>
          <w:szCs w:val="21"/>
          <w:highlight w:val="none"/>
          <w:vertAlign w:val="superscript"/>
          <w:lang w:val="zh-TW"/>
        </w:rPr>
        <w:t>3</w:t>
      </w:r>
      <w:r>
        <w:rPr>
          <w:rFonts w:hint="eastAsia" w:ascii="宋体" w:hAnsi="宋体" w:cs="宋体"/>
          <w:color w:val="auto"/>
          <w:szCs w:val="21"/>
          <w:highlight w:val="none"/>
          <w:lang w:val="zh-TW"/>
        </w:rPr>
        <w:t>±5 mm</w:t>
      </w:r>
      <w:r>
        <w:rPr>
          <w:rFonts w:hint="eastAsia" w:ascii="宋体" w:hAnsi="宋体" w:cs="宋体"/>
          <w:color w:val="auto"/>
          <w:szCs w:val="21"/>
          <w:highlight w:val="none"/>
          <w:vertAlign w:val="superscript"/>
          <w:lang w:val="zh-TW"/>
        </w:rPr>
        <w:t>3</w:t>
      </w:r>
      <w:r>
        <w:rPr>
          <w:rFonts w:hint="eastAsia" w:ascii="宋体" w:hAnsi="宋体" w:cs="宋体"/>
          <w:color w:val="auto"/>
          <w:szCs w:val="21"/>
          <w:highlight w:val="none"/>
          <w:lang w:val="zh-TW"/>
        </w:rPr>
        <w:t>，每三节为一组，可以灵活摆放。（可容纳量：至少十二节，七十二抽，可存放</w:t>
      </w:r>
      <w:r>
        <w:rPr>
          <w:rFonts w:hint="eastAsia" w:ascii="Calibri" w:hAnsi="Calibri"/>
          <w:color w:val="auto"/>
          <w:sz w:val="28"/>
          <w:szCs w:val="32"/>
          <w:highlight w:val="none"/>
        </w:rPr>
        <w:t>≥</w:t>
      </w:r>
      <w:r>
        <w:rPr>
          <w:rFonts w:hint="eastAsia" w:ascii="宋体" w:hAnsi="宋体" w:cs="宋体"/>
          <w:color w:val="auto"/>
          <w:szCs w:val="21"/>
          <w:highlight w:val="none"/>
          <w:lang w:val="zh-TW"/>
        </w:rPr>
        <w:t>60000张标准病理玻片</w:t>
      </w:r>
      <w:bookmarkStart w:id="220" w:name="_Toc18448"/>
      <w:r>
        <w:rPr>
          <w:rFonts w:hint="eastAsia" w:ascii="宋体" w:hAnsi="宋体" w:cs="宋体"/>
          <w:color w:val="auto"/>
          <w:szCs w:val="21"/>
          <w:highlight w:val="none"/>
          <w:lang w:val="zh-TW"/>
        </w:rPr>
        <w:t>。</w:t>
      </w:r>
    </w:p>
    <w:p>
      <w:pPr>
        <w:spacing w:line="360" w:lineRule="auto"/>
        <w:rPr>
          <w:rFonts w:ascii="宋体" w:hAnsi="宋体" w:cs="宋体"/>
          <w:color w:val="auto"/>
          <w:szCs w:val="21"/>
          <w:highlight w:val="none"/>
          <w:lang w:val="zh-TW"/>
        </w:rPr>
      </w:pPr>
    </w:p>
    <w:p>
      <w:pPr>
        <w:spacing w:line="360" w:lineRule="auto"/>
        <w:ind w:firstLine="482" w:firstLineChars="200"/>
        <w:jc w:val="center"/>
        <w:rPr>
          <w:rFonts w:ascii="宋体" w:hAnsi="宋体" w:cs="宋体"/>
          <w:b/>
          <w:bCs/>
          <w:color w:val="auto"/>
          <w:sz w:val="24"/>
          <w:highlight w:val="none"/>
        </w:rPr>
      </w:pPr>
      <w:r>
        <w:rPr>
          <w:rFonts w:hint="eastAsia" w:ascii="宋体" w:hAnsi="宋体" w:cs="宋体"/>
          <w:b/>
          <w:bCs/>
          <w:color w:val="auto"/>
          <w:sz w:val="24"/>
          <w:highlight w:val="none"/>
          <w:lang w:val="zh-TW"/>
        </w:rPr>
        <w:t>6-5</w:t>
      </w:r>
      <w:r>
        <w:rPr>
          <w:rFonts w:hint="eastAsia" w:ascii="宋体" w:hAnsi="宋体" w:cs="宋体"/>
          <w:b/>
          <w:bCs/>
          <w:color w:val="auto"/>
          <w:sz w:val="24"/>
          <w:highlight w:val="none"/>
        </w:rPr>
        <w:t xml:space="preserve"> 取材台（</w:t>
      </w:r>
      <w:r>
        <w:rPr>
          <w:rFonts w:hint="eastAsia" w:ascii="宋体" w:hAnsi="宋体" w:cs="宋体"/>
          <w:b/>
          <w:bCs/>
          <w:color w:val="auto"/>
          <w:sz w:val="24"/>
          <w:highlight w:val="none"/>
          <w:lang w:val="zh-TW"/>
        </w:rPr>
        <w:t>全不锈钢智能净化取材工作站</w:t>
      </w:r>
      <w:r>
        <w:rPr>
          <w:rFonts w:hint="eastAsia" w:ascii="宋体" w:hAnsi="宋体" w:cs="宋体"/>
          <w:b/>
          <w:bCs/>
          <w:color w:val="auto"/>
          <w:sz w:val="24"/>
          <w:highlight w:val="none"/>
        </w:rPr>
        <w:t>）</w:t>
      </w:r>
      <w:bookmarkEnd w:id="220"/>
    </w:p>
    <w:p>
      <w:pPr>
        <w:spacing w:line="360" w:lineRule="auto"/>
        <w:rPr>
          <w:rFonts w:ascii="宋体" w:hAnsi="宋体" w:cs="宋体"/>
          <w:color w:val="auto"/>
          <w:szCs w:val="21"/>
          <w:highlight w:val="none"/>
        </w:rPr>
      </w:pPr>
      <w:r>
        <w:rPr>
          <w:rFonts w:hint="eastAsia" w:ascii="宋体" w:hAnsi="宋体" w:cs="宋体"/>
          <w:color w:val="auto"/>
          <w:szCs w:val="21"/>
          <w:highlight w:val="none"/>
        </w:rPr>
        <w:t>（一）规格材质</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rPr>
        <w:t>1.</w:t>
      </w:r>
      <w:r>
        <w:rPr>
          <w:rFonts w:hint="eastAsia" w:ascii="宋体" w:hAnsi="宋体" w:cs="宋体"/>
          <w:color w:val="auto"/>
          <w:szCs w:val="21"/>
          <w:highlight w:val="none"/>
          <w:lang w:val="zh-TW"/>
        </w:rPr>
        <w:t>规格：1800*800*1950 mm</w:t>
      </w:r>
      <w:r>
        <w:rPr>
          <w:rFonts w:hint="eastAsia" w:ascii="宋体" w:hAnsi="宋体" w:cs="宋体"/>
          <w:color w:val="auto"/>
          <w:szCs w:val="21"/>
          <w:highlight w:val="none"/>
          <w:vertAlign w:val="superscript"/>
          <w:lang w:val="zh-TW"/>
        </w:rPr>
        <w:t>3</w:t>
      </w:r>
      <w:r>
        <w:rPr>
          <w:rFonts w:hint="eastAsia" w:ascii="宋体" w:hAnsi="宋体" w:cs="宋体"/>
          <w:color w:val="auto"/>
          <w:szCs w:val="21"/>
          <w:highlight w:val="none"/>
          <w:lang w:val="zh-TW"/>
        </w:rPr>
        <w:t>±5 mm</w:t>
      </w:r>
      <w:r>
        <w:rPr>
          <w:rFonts w:hint="eastAsia" w:ascii="宋体" w:hAnsi="宋体" w:cs="宋体"/>
          <w:color w:val="auto"/>
          <w:szCs w:val="21"/>
          <w:highlight w:val="none"/>
          <w:vertAlign w:val="superscript"/>
          <w:lang w:val="zh-TW"/>
        </w:rPr>
        <w:t>3</w:t>
      </w:r>
      <w:r>
        <w:rPr>
          <w:rFonts w:hint="eastAsia" w:ascii="宋体" w:hAnsi="宋体" w:cs="宋体"/>
          <w:color w:val="auto"/>
          <w:szCs w:val="21"/>
          <w:highlight w:val="none"/>
          <w:lang w:val="zh-TW"/>
        </w:rPr>
        <w:t>；</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rPr>
        <w:t>2.</w:t>
      </w:r>
      <w:r>
        <w:rPr>
          <w:rFonts w:hint="eastAsia" w:ascii="宋体" w:hAnsi="宋体" w:cs="宋体"/>
          <w:color w:val="auto"/>
          <w:szCs w:val="21"/>
          <w:highlight w:val="none"/>
          <w:lang w:val="zh-TW"/>
        </w:rPr>
        <w:t>框架外体采用至少1.5mm厚304#全不锈钢制成；</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3</w:t>
      </w:r>
      <w:r>
        <w:rPr>
          <w:rFonts w:hint="eastAsia" w:ascii="宋体" w:hAnsi="宋体" w:cs="宋体"/>
          <w:color w:val="auto"/>
          <w:szCs w:val="21"/>
          <w:highlight w:val="none"/>
        </w:rPr>
        <w:t>.</w:t>
      </w:r>
      <w:r>
        <w:rPr>
          <w:rFonts w:hint="eastAsia" w:ascii="宋体" w:hAnsi="宋体" w:cs="宋体"/>
          <w:color w:val="auto"/>
          <w:szCs w:val="21"/>
          <w:highlight w:val="none"/>
          <w:lang w:val="zh-TW"/>
        </w:rPr>
        <w:t>内衬及排风百叶采用至少1.5mm厚304#全不锈钢制成；</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4、操作台面：采用至少2.0mm厚304#全不锈钢制成，设置水边，防止液体外溢；</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5、水盆：采用至少2.0mm厚304#全不锈钢制成；</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（二）配置清单：</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1、照明系统：万向无影射灯定点照明；</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2、配备紫外线消毒系统；</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3、取材砧板：取材砧板具备激光雕刻毫米级刻度尺；</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4、水龙头1:具备台面冲洗功能，全铜赛道阀芯；</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5、水龙头2:主体加厚纯铜制作，涂层经环氧树脂耐热固处理，防紫外线辐射，防酸碱、耐腐蚀，开关采用陶瓷阀心、耐磨、耐腐蚀，开关寿命要求≥50万次，静态最大耐压≥10Pa,鹅颈出水管可≥360°旋转，水嘴密封性能符合国家标准。</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6、配置组织粉碎装置；</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7、控制与保护开关：原装专用电控系统，设有双保护防漏电装置；</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8、配置冷热水系统。</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9、配置大体成像系统，配置</w:t>
      </w:r>
      <w:r>
        <w:rPr>
          <w:rFonts w:hint="eastAsia" w:ascii="Calibri" w:hAnsi="Calibri"/>
          <w:color w:val="auto"/>
          <w:sz w:val="28"/>
          <w:szCs w:val="32"/>
          <w:highlight w:val="none"/>
        </w:rPr>
        <w:t>≥</w:t>
      </w:r>
      <w:r>
        <w:rPr>
          <w:rFonts w:hint="eastAsia" w:ascii="宋体" w:hAnsi="宋体" w:cs="宋体"/>
          <w:color w:val="auto"/>
          <w:szCs w:val="21"/>
          <w:highlight w:val="none"/>
          <w:lang w:val="zh-TW"/>
        </w:rPr>
        <w:t>1300万像素摄像头，</w:t>
      </w:r>
      <w:r>
        <w:rPr>
          <w:rFonts w:hint="eastAsia" w:ascii="Calibri" w:hAnsi="Calibri"/>
          <w:color w:val="auto"/>
          <w:sz w:val="28"/>
          <w:szCs w:val="32"/>
          <w:highlight w:val="none"/>
        </w:rPr>
        <w:t>≥</w:t>
      </w:r>
      <w:r>
        <w:rPr>
          <w:rFonts w:hint="eastAsia" w:ascii="宋体" w:hAnsi="宋体" w:cs="宋体"/>
          <w:color w:val="auto"/>
          <w:szCs w:val="21"/>
          <w:highlight w:val="none"/>
          <w:lang w:val="zh-TW"/>
        </w:rPr>
        <w:t>35.2倍放大倍数。</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rPr>
        <w:t>10.</w:t>
      </w:r>
      <w:r>
        <w:rPr>
          <w:rFonts w:hint="eastAsia" w:ascii="宋体" w:hAnsi="宋体" w:cs="宋体"/>
          <w:color w:val="auto"/>
          <w:szCs w:val="21"/>
          <w:highlight w:val="none"/>
          <w:lang w:val="zh-TW"/>
        </w:rPr>
        <w:t>配置清单：</w:t>
      </w:r>
    </w:p>
    <w:tbl>
      <w:tblPr>
        <w:tblStyle w:val="35"/>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3411"/>
        <w:gridCol w:w="210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89" w:type="dxa"/>
            <w:shd w:val="clear" w:color="auto" w:fill="auto"/>
            <w:vAlign w:val="center"/>
          </w:tcPr>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序号</w:t>
            </w:r>
          </w:p>
        </w:tc>
        <w:tc>
          <w:tcPr>
            <w:tcW w:w="3411" w:type="dxa"/>
            <w:shd w:val="clear" w:color="auto" w:fill="auto"/>
            <w:vAlign w:val="center"/>
          </w:tcPr>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设备名称</w:t>
            </w:r>
          </w:p>
        </w:tc>
        <w:tc>
          <w:tcPr>
            <w:tcW w:w="2100" w:type="dxa"/>
            <w:shd w:val="clear" w:color="auto" w:fill="auto"/>
            <w:vAlign w:val="center"/>
          </w:tcPr>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规格型号</w:t>
            </w:r>
          </w:p>
        </w:tc>
        <w:tc>
          <w:tcPr>
            <w:tcW w:w="2100" w:type="dxa"/>
            <w:shd w:val="clear" w:color="auto" w:fill="auto"/>
            <w:vAlign w:val="center"/>
          </w:tcPr>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89" w:type="dxa"/>
            <w:shd w:val="clear" w:color="auto" w:fill="auto"/>
            <w:vAlign w:val="center"/>
          </w:tcPr>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1</w:t>
            </w:r>
          </w:p>
        </w:tc>
        <w:tc>
          <w:tcPr>
            <w:tcW w:w="3411" w:type="dxa"/>
            <w:shd w:val="clear" w:color="auto" w:fill="auto"/>
            <w:vAlign w:val="center"/>
          </w:tcPr>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全不锈钢智能净化取材工作站</w:t>
            </w:r>
          </w:p>
        </w:tc>
        <w:tc>
          <w:tcPr>
            <w:tcW w:w="2100" w:type="dxa"/>
            <w:shd w:val="clear" w:color="auto" w:fill="auto"/>
            <w:vAlign w:val="center"/>
          </w:tcPr>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1800*800*1950mm</w:t>
            </w:r>
          </w:p>
        </w:tc>
        <w:tc>
          <w:tcPr>
            <w:tcW w:w="2100" w:type="dxa"/>
            <w:shd w:val="clear" w:color="auto" w:fill="auto"/>
            <w:vAlign w:val="center"/>
          </w:tcPr>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89" w:type="dxa"/>
            <w:shd w:val="clear" w:color="auto" w:fill="auto"/>
            <w:vAlign w:val="center"/>
          </w:tcPr>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2</w:t>
            </w:r>
          </w:p>
        </w:tc>
        <w:tc>
          <w:tcPr>
            <w:tcW w:w="3411" w:type="dxa"/>
            <w:shd w:val="clear" w:color="auto" w:fill="auto"/>
            <w:vAlign w:val="center"/>
          </w:tcPr>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取材砧板</w:t>
            </w:r>
          </w:p>
        </w:tc>
        <w:tc>
          <w:tcPr>
            <w:tcW w:w="2100" w:type="dxa"/>
            <w:shd w:val="clear" w:color="auto" w:fill="auto"/>
            <w:vAlign w:val="center"/>
          </w:tcPr>
          <w:p>
            <w:pPr>
              <w:spacing w:line="360" w:lineRule="auto"/>
              <w:rPr>
                <w:rFonts w:ascii="宋体" w:hAnsi="宋体" w:cs="宋体"/>
                <w:color w:val="auto"/>
                <w:szCs w:val="21"/>
                <w:highlight w:val="none"/>
                <w:lang w:val="zh-TW"/>
              </w:rPr>
            </w:pPr>
          </w:p>
        </w:tc>
        <w:tc>
          <w:tcPr>
            <w:tcW w:w="2100" w:type="dxa"/>
            <w:shd w:val="clear" w:color="auto" w:fill="auto"/>
            <w:vAlign w:val="center"/>
          </w:tcPr>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89" w:type="dxa"/>
            <w:shd w:val="clear" w:color="auto" w:fill="auto"/>
            <w:vAlign w:val="center"/>
          </w:tcPr>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3</w:t>
            </w:r>
          </w:p>
        </w:tc>
        <w:tc>
          <w:tcPr>
            <w:tcW w:w="3411" w:type="dxa"/>
            <w:shd w:val="clear" w:color="auto" w:fill="auto"/>
            <w:vAlign w:val="center"/>
          </w:tcPr>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无影灯</w:t>
            </w:r>
          </w:p>
        </w:tc>
        <w:tc>
          <w:tcPr>
            <w:tcW w:w="2100" w:type="dxa"/>
            <w:shd w:val="clear" w:color="auto" w:fill="auto"/>
            <w:vAlign w:val="center"/>
          </w:tcPr>
          <w:p>
            <w:pPr>
              <w:spacing w:line="360" w:lineRule="auto"/>
              <w:rPr>
                <w:rFonts w:ascii="宋体" w:hAnsi="宋体" w:cs="宋体"/>
                <w:color w:val="auto"/>
                <w:szCs w:val="21"/>
                <w:highlight w:val="none"/>
                <w:lang w:val="zh-TW"/>
              </w:rPr>
            </w:pPr>
          </w:p>
        </w:tc>
        <w:tc>
          <w:tcPr>
            <w:tcW w:w="2100" w:type="dxa"/>
            <w:shd w:val="clear" w:color="auto" w:fill="auto"/>
            <w:vAlign w:val="center"/>
          </w:tcPr>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89" w:type="dxa"/>
            <w:shd w:val="clear" w:color="auto" w:fill="auto"/>
            <w:vAlign w:val="center"/>
          </w:tcPr>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4</w:t>
            </w:r>
          </w:p>
        </w:tc>
        <w:tc>
          <w:tcPr>
            <w:tcW w:w="3411" w:type="dxa"/>
            <w:shd w:val="clear" w:color="auto" w:fill="auto"/>
            <w:vAlign w:val="center"/>
          </w:tcPr>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组织粉碎装置</w:t>
            </w:r>
          </w:p>
        </w:tc>
        <w:tc>
          <w:tcPr>
            <w:tcW w:w="2100" w:type="dxa"/>
            <w:shd w:val="clear" w:color="auto" w:fill="auto"/>
            <w:vAlign w:val="center"/>
          </w:tcPr>
          <w:p>
            <w:pPr>
              <w:spacing w:line="360" w:lineRule="auto"/>
              <w:rPr>
                <w:rFonts w:ascii="宋体" w:hAnsi="宋体" w:cs="宋体"/>
                <w:color w:val="auto"/>
                <w:szCs w:val="21"/>
                <w:highlight w:val="none"/>
                <w:lang w:val="zh-TW"/>
              </w:rPr>
            </w:pPr>
          </w:p>
        </w:tc>
        <w:tc>
          <w:tcPr>
            <w:tcW w:w="2100" w:type="dxa"/>
            <w:shd w:val="clear" w:color="auto" w:fill="auto"/>
            <w:vAlign w:val="center"/>
          </w:tcPr>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89" w:type="dxa"/>
            <w:shd w:val="clear" w:color="auto" w:fill="auto"/>
            <w:vAlign w:val="center"/>
          </w:tcPr>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5</w:t>
            </w:r>
          </w:p>
        </w:tc>
        <w:tc>
          <w:tcPr>
            <w:tcW w:w="3411" w:type="dxa"/>
            <w:shd w:val="clear" w:color="auto" w:fill="auto"/>
            <w:vAlign w:val="center"/>
          </w:tcPr>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水龙头</w:t>
            </w:r>
          </w:p>
        </w:tc>
        <w:tc>
          <w:tcPr>
            <w:tcW w:w="2100" w:type="dxa"/>
            <w:shd w:val="clear" w:color="auto" w:fill="auto"/>
            <w:vAlign w:val="center"/>
          </w:tcPr>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单口</w:t>
            </w:r>
          </w:p>
        </w:tc>
        <w:tc>
          <w:tcPr>
            <w:tcW w:w="2100" w:type="dxa"/>
            <w:shd w:val="clear" w:color="auto" w:fill="auto"/>
            <w:vAlign w:val="center"/>
          </w:tcPr>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89" w:type="dxa"/>
            <w:shd w:val="clear" w:color="auto" w:fill="auto"/>
            <w:vAlign w:val="center"/>
          </w:tcPr>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6</w:t>
            </w:r>
          </w:p>
        </w:tc>
        <w:tc>
          <w:tcPr>
            <w:tcW w:w="3411" w:type="dxa"/>
            <w:shd w:val="clear" w:color="auto" w:fill="auto"/>
            <w:vAlign w:val="center"/>
          </w:tcPr>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静音风机</w:t>
            </w:r>
          </w:p>
        </w:tc>
        <w:tc>
          <w:tcPr>
            <w:tcW w:w="2100" w:type="dxa"/>
            <w:shd w:val="clear" w:color="auto" w:fill="auto"/>
            <w:vAlign w:val="center"/>
          </w:tcPr>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Q=1500h/m³</w:t>
            </w:r>
          </w:p>
        </w:tc>
        <w:tc>
          <w:tcPr>
            <w:tcW w:w="2100" w:type="dxa"/>
            <w:shd w:val="clear" w:color="auto" w:fill="auto"/>
            <w:vAlign w:val="center"/>
          </w:tcPr>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89" w:type="dxa"/>
            <w:shd w:val="clear" w:color="auto" w:fill="auto"/>
            <w:vAlign w:val="center"/>
          </w:tcPr>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7</w:t>
            </w:r>
          </w:p>
        </w:tc>
        <w:tc>
          <w:tcPr>
            <w:tcW w:w="3411" w:type="dxa"/>
            <w:shd w:val="clear" w:color="auto" w:fill="auto"/>
            <w:vAlign w:val="center"/>
          </w:tcPr>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冷热水系统</w:t>
            </w:r>
          </w:p>
        </w:tc>
        <w:tc>
          <w:tcPr>
            <w:tcW w:w="2100" w:type="dxa"/>
            <w:shd w:val="clear" w:color="auto" w:fill="auto"/>
            <w:vAlign w:val="center"/>
          </w:tcPr>
          <w:p>
            <w:pPr>
              <w:spacing w:line="360" w:lineRule="auto"/>
              <w:rPr>
                <w:rFonts w:ascii="宋体" w:hAnsi="宋体" w:cs="宋体"/>
                <w:color w:val="auto"/>
                <w:szCs w:val="21"/>
                <w:highlight w:val="none"/>
                <w:lang w:val="zh-TW"/>
              </w:rPr>
            </w:pPr>
          </w:p>
        </w:tc>
        <w:tc>
          <w:tcPr>
            <w:tcW w:w="2100" w:type="dxa"/>
            <w:shd w:val="clear" w:color="auto" w:fill="auto"/>
            <w:vAlign w:val="center"/>
          </w:tcPr>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89" w:type="dxa"/>
            <w:shd w:val="clear" w:color="auto" w:fill="auto"/>
            <w:vAlign w:val="center"/>
          </w:tcPr>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8</w:t>
            </w:r>
          </w:p>
        </w:tc>
        <w:tc>
          <w:tcPr>
            <w:tcW w:w="3411" w:type="dxa"/>
            <w:shd w:val="clear" w:color="auto" w:fill="auto"/>
            <w:vAlign w:val="center"/>
          </w:tcPr>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大体成像系统</w:t>
            </w:r>
          </w:p>
        </w:tc>
        <w:tc>
          <w:tcPr>
            <w:tcW w:w="2100" w:type="dxa"/>
            <w:shd w:val="clear" w:color="auto" w:fill="auto"/>
            <w:vAlign w:val="center"/>
          </w:tcPr>
          <w:p>
            <w:pPr>
              <w:spacing w:line="360" w:lineRule="auto"/>
              <w:rPr>
                <w:rFonts w:ascii="宋体" w:hAnsi="宋体" w:cs="宋体"/>
                <w:color w:val="auto"/>
                <w:szCs w:val="21"/>
                <w:highlight w:val="none"/>
                <w:lang w:val="zh-TW"/>
              </w:rPr>
            </w:pPr>
          </w:p>
        </w:tc>
        <w:tc>
          <w:tcPr>
            <w:tcW w:w="2100" w:type="dxa"/>
            <w:shd w:val="clear" w:color="auto" w:fill="auto"/>
            <w:vAlign w:val="center"/>
          </w:tcPr>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1</w:t>
            </w:r>
          </w:p>
        </w:tc>
      </w:tr>
    </w:tbl>
    <w:p>
      <w:pPr>
        <w:spacing w:line="460" w:lineRule="exact"/>
        <w:jc w:val="center"/>
        <w:rPr>
          <w:b/>
          <w:bCs/>
          <w:color w:val="auto"/>
          <w:sz w:val="24"/>
          <w:highlight w:val="none"/>
        </w:rPr>
      </w:pPr>
    </w:p>
    <w:p>
      <w:pPr>
        <w:spacing w:line="460" w:lineRule="exact"/>
        <w:ind w:firstLine="482" w:firstLineChars="200"/>
        <w:jc w:val="center"/>
        <w:outlineLvl w:val="1"/>
        <w:rPr>
          <w:b/>
          <w:bCs/>
          <w:color w:val="auto"/>
          <w:sz w:val="24"/>
          <w:highlight w:val="none"/>
        </w:rPr>
      </w:pPr>
      <w:r>
        <w:rPr>
          <w:rFonts w:hint="eastAsia"/>
          <w:b/>
          <w:bCs/>
          <w:color w:val="auto"/>
          <w:sz w:val="24"/>
          <w:highlight w:val="none"/>
        </w:rPr>
        <w:t xml:space="preserve">第七包 </w:t>
      </w:r>
    </w:p>
    <w:p>
      <w:pPr>
        <w:spacing w:line="460" w:lineRule="exact"/>
        <w:ind w:firstLine="482" w:firstLineChars="200"/>
        <w:jc w:val="center"/>
        <w:rPr>
          <w:rFonts w:ascii="宋体" w:hAnsi="宋体" w:cs="宋体"/>
          <w:b/>
          <w:bCs/>
          <w:color w:val="auto"/>
          <w:sz w:val="24"/>
          <w:highlight w:val="none"/>
          <w:lang w:val="zh-TW"/>
        </w:rPr>
      </w:pPr>
      <w:r>
        <w:rPr>
          <w:rFonts w:hint="eastAsia" w:ascii="宋体" w:hAnsi="宋体" w:cs="宋体"/>
          <w:b/>
          <w:bCs/>
          <w:color w:val="auto"/>
          <w:sz w:val="24"/>
          <w:highlight w:val="none"/>
          <w:lang w:val="zh-TW"/>
        </w:rPr>
        <w:t>麻醉机</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1、基本要求</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1</w:t>
      </w:r>
      <w:r>
        <w:rPr>
          <w:rFonts w:hint="eastAsia" w:ascii="宋体" w:hAnsi="宋体" w:cs="宋体"/>
          <w:color w:val="auto"/>
          <w:szCs w:val="21"/>
          <w:highlight w:val="none"/>
        </w:rPr>
        <w:t>.</w:t>
      </w:r>
      <w:r>
        <w:rPr>
          <w:rFonts w:hint="eastAsia" w:ascii="宋体" w:hAnsi="宋体" w:cs="宋体"/>
          <w:color w:val="auto"/>
          <w:szCs w:val="21"/>
          <w:highlight w:val="none"/>
          <w:lang w:val="zh-TW"/>
        </w:rPr>
        <w:t>1能满足新生儿、儿童、成人的各种手术。</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1</w:t>
      </w:r>
      <w:r>
        <w:rPr>
          <w:rFonts w:hint="eastAsia" w:ascii="宋体" w:hAnsi="宋体" w:cs="宋体"/>
          <w:color w:val="auto"/>
          <w:szCs w:val="21"/>
          <w:highlight w:val="none"/>
        </w:rPr>
        <w:t>.</w:t>
      </w:r>
      <w:r>
        <w:rPr>
          <w:rFonts w:hint="eastAsia" w:ascii="宋体" w:hAnsi="宋体" w:cs="宋体"/>
          <w:color w:val="auto"/>
          <w:szCs w:val="21"/>
          <w:highlight w:val="none"/>
          <w:lang w:val="zh-TW"/>
        </w:rPr>
        <w:t>2后备电池至少工作40min，有待机模式（Standby），需要时可快速投入运行。</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en-GB"/>
        </w:rPr>
        <w:t>★</w:t>
      </w:r>
      <w:r>
        <w:rPr>
          <w:rFonts w:hint="eastAsia" w:ascii="宋体" w:hAnsi="宋体" w:cs="宋体"/>
          <w:color w:val="auto"/>
          <w:szCs w:val="21"/>
          <w:highlight w:val="none"/>
          <w:lang w:val="zh-TW"/>
        </w:rPr>
        <w:t>1.3 具有RS-232数据输出接口，方便接入医院的信息化管理网络。</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2、气体输送系统</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2</w:t>
      </w:r>
      <w:r>
        <w:rPr>
          <w:rFonts w:hint="eastAsia" w:ascii="宋体" w:hAnsi="宋体" w:cs="宋体"/>
          <w:color w:val="auto"/>
          <w:szCs w:val="21"/>
          <w:highlight w:val="none"/>
        </w:rPr>
        <w:t>.</w:t>
      </w:r>
      <w:r>
        <w:rPr>
          <w:rFonts w:hint="eastAsia" w:ascii="宋体" w:hAnsi="宋体" w:cs="宋体"/>
          <w:color w:val="auto"/>
          <w:szCs w:val="21"/>
          <w:highlight w:val="none"/>
          <w:lang w:val="zh-TW"/>
        </w:rPr>
        <w:t>1 具有氧气、笑气、空气三种气源接口。</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2</w:t>
      </w:r>
      <w:r>
        <w:rPr>
          <w:rFonts w:hint="eastAsia" w:ascii="宋体" w:hAnsi="宋体" w:cs="宋体"/>
          <w:color w:val="auto"/>
          <w:szCs w:val="21"/>
          <w:highlight w:val="none"/>
        </w:rPr>
        <w:t>.</w:t>
      </w:r>
      <w:r>
        <w:rPr>
          <w:rFonts w:hint="eastAsia" w:ascii="宋体" w:hAnsi="宋体" w:cs="宋体"/>
          <w:color w:val="auto"/>
          <w:szCs w:val="21"/>
          <w:highlight w:val="none"/>
          <w:lang w:val="zh-TW"/>
        </w:rPr>
        <w:t>2 防低氧装置保证氧浓度不低于23%。声光报警指示O2失供。</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2</w:t>
      </w:r>
      <w:r>
        <w:rPr>
          <w:rFonts w:hint="eastAsia" w:ascii="宋体" w:hAnsi="宋体" w:cs="宋体"/>
          <w:color w:val="auto"/>
          <w:szCs w:val="21"/>
          <w:highlight w:val="none"/>
        </w:rPr>
        <w:t>.</w:t>
      </w:r>
      <w:r>
        <w:rPr>
          <w:rFonts w:hint="eastAsia" w:ascii="宋体" w:hAnsi="宋体" w:cs="宋体"/>
          <w:color w:val="auto"/>
          <w:szCs w:val="21"/>
          <w:highlight w:val="none"/>
          <w:lang w:val="zh-TW"/>
        </w:rPr>
        <w:t>3电子流量计分别显示各新鲜气体流量，有机械流量管控制总的新鲜气体流量。监测屏幕可显示模拟新鲜气体流量计。</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2</w:t>
      </w:r>
      <w:r>
        <w:rPr>
          <w:rFonts w:hint="eastAsia" w:ascii="宋体" w:hAnsi="宋体" w:cs="宋体"/>
          <w:color w:val="auto"/>
          <w:szCs w:val="21"/>
          <w:highlight w:val="none"/>
        </w:rPr>
        <w:t>.</w:t>
      </w:r>
      <w:r>
        <w:rPr>
          <w:rFonts w:hint="eastAsia" w:ascii="宋体" w:hAnsi="宋体" w:cs="宋体"/>
          <w:color w:val="auto"/>
          <w:szCs w:val="21"/>
          <w:highlight w:val="none"/>
          <w:lang w:val="zh-TW"/>
        </w:rPr>
        <w:t>4 可进行低流量麻醉，无须最小气流量。</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★2</w:t>
      </w:r>
      <w:r>
        <w:rPr>
          <w:rFonts w:hint="eastAsia" w:ascii="宋体" w:hAnsi="宋体" w:cs="宋体"/>
          <w:color w:val="auto"/>
          <w:szCs w:val="21"/>
          <w:highlight w:val="none"/>
        </w:rPr>
        <w:t>.</w:t>
      </w:r>
      <w:r>
        <w:rPr>
          <w:rFonts w:hint="eastAsia" w:ascii="宋体" w:hAnsi="宋体" w:cs="宋体"/>
          <w:color w:val="auto"/>
          <w:szCs w:val="21"/>
          <w:highlight w:val="none"/>
          <w:lang w:val="zh-TW"/>
        </w:rPr>
        <w:t>5有新鲜气体隔离阀技术。</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3、呼吸回路系统</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3</w:t>
      </w:r>
      <w:r>
        <w:rPr>
          <w:rFonts w:hint="eastAsia" w:ascii="宋体" w:hAnsi="宋体" w:cs="宋体"/>
          <w:color w:val="auto"/>
          <w:szCs w:val="21"/>
          <w:highlight w:val="none"/>
        </w:rPr>
        <w:t>.</w:t>
      </w:r>
      <w:r>
        <w:rPr>
          <w:rFonts w:hint="eastAsia" w:ascii="宋体" w:hAnsi="宋体" w:cs="宋体"/>
          <w:color w:val="auto"/>
          <w:szCs w:val="21"/>
          <w:highlight w:val="none"/>
          <w:lang w:val="zh-TW"/>
        </w:rPr>
        <w:t>1采用集成化回路，组件少，临床医生无须使用任何工具能拆卸组装。</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★3</w:t>
      </w:r>
      <w:r>
        <w:rPr>
          <w:rFonts w:hint="eastAsia" w:ascii="宋体" w:hAnsi="宋体" w:cs="宋体"/>
          <w:color w:val="auto"/>
          <w:szCs w:val="21"/>
          <w:highlight w:val="none"/>
        </w:rPr>
        <w:t>.</w:t>
      </w:r>
      <w:r>
        <w:rPr>
          <w:rFonts w:hint="eastAsia" w:ascii="宋体" w:hAnsi="宋体" w:cs="宋体"/>
          <w:color w:val="auto"/>
          <w:szCs w:val="21"/>
          <w:highlight w:val="none"/>
          <w:lang w:val="zh-TW"/>
        </w:rPr>
        <w:t>2为了彻底解决回路积水问题，要求配置回路加热功能。</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3</w:t>
      </w:r>
      <w:r>
        <w:rPr>
          <w:rFonts w:hint="eastAsia" w:ascii="宋体" w:hAnsi="宋体" w:cs="宋体"/>
          <w:color w:val="auto"/>
          <w:szCs w:val="21"/>
          <w:highlight w:val="none"/>
        </w:rPr>
        <w:t>.</w:t>
      </w:r>
      <w:r>
        <w:rPr>
          <w:rFonts w:hint="eastAsia" w:ascii="宋体" w:hAnsi="宋体" w:cs="宋体"/>
          <w:color w:val="auto"/>
          <w:szCs w:val="21"/>
          <w:highlight w:val="none"/>
          <w:lang w:val="zh-TW"/>
        </w:rPr>
        <w:t>3所有部件不含橡胶，可直接高温高压消毒。</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3</w:t>
      </w:r>
      <w:r>
        <w:rPr>
          <w:rFonts w:hint="eastAsia" w:ascii="宋体" w:hAnsi="宋体" w:cs="宋体"/>
          <w:color w:val="auto"/>
          <w:szCs w:val="21"/>
          <w:highlight w:val="none"/>
        </w:rPr>
        <w:t>.</w:t>
      </w:r>
      <w:r>
        <w:rPr>
          <w:rFonts w:hint="eastAsia" w:ascii="宋体" w:hAnsi="宋体" w:cs="宋体"/>
          <w:color w:val="auto"/>
          <w:szCs w:val="21"/>
          <w:highlight w:val="none"/>
          <w:lang w:val="zh-TW"/>
        </w:rPr>
        <w:t>4应用于早产儿、新生儿、小儿不需更换小儿风箱。</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★3</w:t>
      </w:r>
      <w:r>
        <w:rPr>
          <w:rFonts w:hint="eastAsia" w:ascii="宋体" w:hAnsi="宋体" w:cs="宋体"/>
          <w:color w:val="auto"/>
          <w:szCs w:val="21"/>
          <w:highlight w:val="none"/>
        </w:rPr>
        <w:t>.</w:t>
      </w:r>
      <w:r>
        <w:rPr>
          <w:rFonts w:hint="eastAsia" w:ascii="宋体" w:hAnsi="宋体" w:cs="宋体"/>
          <w:color w:val="auto"/>
          <w:szCs w:val="21"/>
          <w:highlight w:val="none"/>
          <w:lang w:val="zh-TW"/>
        </w:rPr>
        <w:t>5钠石灰吸收罐容量</w:t>
      </w:r>
      <w:r>
        <w:rPr>
          <w:rFonts w:hint="eastAsia" w:ascii="Calibri" w:hAnsi="Calibri"/>
          <w:color w:val="auto"/>
          <w:sz w:val="28"/>
          <w:szCs w:val="32"/>
          <w:highlight w:val="none"/>
        </w:rPr>
        <w:t>≥</w:t>
      </w:r>
      <w:r>
        <w:rPr>
          <w:rFonts w:hint="eastAsia" w:ascii="宋体" w:hAnsi="宋体" w:cs="宋体"/>
          <w:color w:val="auto"/>
          <w:szCs w:val="21"/>
          <w:highlight w:val="none"/>
          <w:lang w:val="zh-TW"/>
        </w:rPr>
        <w:t>1.5L，可配置一次性钠石灰罐。</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★3</w:t>
      </w:r>
      <w:r>
        <w:rPr>
          <w:rFonts w:hint="eastAsia" w:ascii="宋体" w:hAnsi="宋体" w:cs="宋体"/>
          <w:color w:val="auto"/>
          <w:szCs w:val="21"/>
          <w:highlight w:val="none"/>
        </w:rPr>
        <w:t>.</w:t>
      </w:r>
      <w:r>
        <w:rPr>
          <w:rFonts w:hint="eastAsia" w:ascii="宋体" w:hAnsi="宋体" w:cs="宋体"/>
          <w:color w:val="auto"/>
          <w:szCs w:val="21"/>
          <w:highlight w:val="none"/>
          <w:lang w:val="zh-TW"/>
        </w:rPr>
        <w:t>6呼吸回路左右均可安装。</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4、呼吸机</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4</w:t>
      </w:r>
      <w:r>
        <w:rPr>
          <w:rFonts w:hint="eastAsia" w:ascii="宋体" w:hAnsi="宋体" w:cs="宋体"/>
          <w:color w:val="auto"/>
          <w:szCs w:val="21"/>
          <w:highlight w:val="none"/>
        </w:rPr>
        <w:t>.</w:t>
      </w:r>
      <w:r>
        <w:rPr>
          <w:rFonts w:hint="eastAsia" w:ascii="宋体" w:hAnsi="宋体" w:cs="宋体"/>
          <w:color w:val="auto"/>
          <w:szCs w:val="21"/>
          <w:highlight w:val="none"/>
          <w:lang w:val="zh-TW"/>
        </w:rPr>
        <w:t>1电动电控呼吸机或气动电控</w:t>
      </w:r>
    </w:p>
    <w:p>
      <w:pPr>
        <w:spacing w:line="360" w:lineRule="auto"/>
        <w:rPr>
          <w:rFonts w:ascii="宋体" w:hAnsi="宋体" w:cs="宋体"/>
          <w:color w:val="auto"/>
          <w:szCs w:val="21"/>
          <w:highlight w:val="none"/>
          <w:lang w:val="zh-TW" w:eastAsia="zh-TW"/>
        </w:rPr>
      </w:pPr>
      <w:r>
        <w:rPr>
          <w:rFonts w:hint="eastAsia" w:ascii="宋体" w:hAnsi="宋体" w:cs="宋体"/>
          <w:color w:val="auto"/>
          <w:szCs w:val="21"/>
          <w:highlight w:val="none"/>
          <w:lang w:val="zh-TW" w:eastAsia="zh-TW"/>
        </w:rPr>
        <w:t>4</w:t>
      </w:r>
      <w:r>
        <w:rPr>
          <w:rFonts w:hint="eastAsia" w:ascii="宋体" w:hAnsi="宋体" w:cs="宋体"/>
          <w:color w:val="auto"/>
          <w:szCs w:val="21"/>
          <w:highlight w:val="none"/>
          <w:lang w:eastAsia="zh-TW"/>
        </w:rPr>
        <w:t>.</w:t>
      </w:r>
      <w:r>
        <w:rPr>
          <w:rFonts w:hint="eastAsia" w:ascii="宋体" w:hAnsi="宋体" w:cs="宋体"/>
          <w:color w:val="auto"/>
          <w:szCs w:val="21"/>
          <w:highlight w:val="none"/>
          <w:lang w:val="zh-TW" w:eastAsia="zh-TW"/>
        </w:rPr>
        <w:t>2 通气模式：手动通气、CMV（IPPV）、PLV 、PCV</w:t>
      </w:r>
    </w:p>
    <w:p>
      <w:pPr>
        <w:spacing w:line="360" w:lineRule="auto"/>
        <w:rPr>
          <w:rFonts w:ascii="宋体" w:hAnsi="宋体" w:cs="宋体"/>
          <w:color w:val="auto"/>
          <w:szCs w:val="21"/>
          <w:highlight w:val="none"/>
          <w:lang w:val="zh-TW" w:eastAsia="zh-TW"/>
        </w:rPr>
      </w:pPr>
      <w:r>
        <w:rPr>
          <w:rFonts w:hint="eastAsia" w:ascii="宋体" w:hAnsi="宋体" w:cs="宋体"/>
          <w:color w:val="auto"/>
          <w:szCs w:val="21"/>
          <w:highlight w:val="none"/>
          <w:lang w:val="zh-TW" w:eastAsia="zh-TW"/>
        </w:rPr>
        <w:t>4</w:t>
      </w:r>
      <w:r>
        <w:rPr>
          <w:rFonts w:hint="eastAsia" w:ascii="宋体" w:hAnsi="宋体" w:cs="宋体"/>
          <w:color w:val="auto"/>
          <w:szCs w:val="21"/>
          <w:highlight w:val="none"/>
          <w:lang w:eastAsia="zh-TW"/>
        </w:rPr>
        <w:t>.</w:t>
      </w:r>
      <w:r>
        <w:rPr>
          <w:rFonts w:hint="eastAsia" w:ascii="宋体" w:hAnsi="宋体" w:cs="宋体"/>
          <w:color w:val="auto"/>
          <w:szCs w:val="21"/>
          <w:highlight w:val="none"/>
          <w:lang w:val="zh-TW" w:eastAsia="zh-TW"/>
        </w:rPr>
        <w:t xml:space="preserve">3压力限制Pmax：          15—70mbar </w:t>
      </w:r>
    </w:p>
    <w:p>
      <w:pPr>
        <w:spacing w:line="360" w:lineRule="auto"/>
        <w:rPr>
          <w:rFonts w:ascii="宋体" w:hAnsi="宋体" w:cs="宋体"/>
          <w:color w:val="auto"/>
          <w:szCs w:val="21"/>
          <w:highlight w:val="none"/>
          <w:lang w:val="zh-TW" w:eastAsia="zh-TW"/>
        </w:rPr>
      </w:pPr>
      <w:r>
        <w:rPr>
          <w:rFonts w:hint="eastAsia" w:ascii="宋体" w:hAnsi="宋体" w:cs="宋体"/>
          <w:color w:val="auto"/>
          <w:szCs w:val="21"/>
          <w:highlight w:val="none"/>
          <w:lang w:val="zh-TW" w:eastAsia="zh-TW"/>
        </w:rPr>
        <w:t>4</w:t>
      </w:r>
      <w:r>
        <w:rPr>
          <w:rFonts w:hint="eastAsia" w:ascii="宋体" w:hAnsi="宋体" w:cs="宋体"/>
          <w:color w:val="auto"/>
          <w:szCs w:val="21"/>
          <w:highlight w:val="none"/>
          <w:lang w:eastAsia="zh-TW"/>
        </w:rPr>
        <w:t>.</w:t>
      </w:r>
      <w:r>
        <w:rPr>
          <w:rFonts w:hint="eastAsia" w:ascii="宋体" w:hAnsi="宋体" w:cs="宋体"/>
          <w:color w:val="auto"/>
          <w:szCs w:val="21"/>
          <w:highlight w:val="none"/>
          <w:lang w:val="zh-TW" w:eastAsia="zh-TW"/>
        </w:rPr>
        <w:t>4容量控制模式下最小潮气量（设定）：20ml</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4</w:t>
      </w:r>
      <w:r>
        <w:rPr>
          <w:rFonts w:hint="eastAsia" w:ascii="宋体" w:hAnsi="宋体" w:cs="宋体"/>
          <w:color w:val="auto"/>
          <w:szCs w:val="21"/>
          <w:highlight w:val="none"/>
        </w:rPr>
        <w:t>.</w:t>
      </w:r>
      <w:r>
        <w:rPr>
          <w:rFonts w:hint="eastAsia" w:ascii="宋体" w:hAnsi="宋体" w:cs="宋体"/>
          <w:color w:val="auto"/>
          <w:szCs w:val="21"/>
          <w:highlight w:val="none"/>
          <w:lang w:val="zh-TW"/>
        </w:rPr>
        <w:t>5通气频率                   6—50次/min</w:t>
      </w:r>
      <w:r>
        <w:rPr>
          <w:rFonts w:hint="eastAsia" w:ascii="宋体" w:hAnsi="宋体" w:cs="宋体"/>
          <w:color w:val="auto"/>
          <w:szCs w:val="21"/>
          <w:highlight w:val="none"/>
          <w:lang w:val="zh-TW"/>
        </w:rPr>
        <w:tab/>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4</w:t>
      </w:r>
      <w:r>
        <w:rPr>
          <w:rFonts w:hint="eastAsia" w:ascii="宋体" w:hAnsi="宋体" w:cs="宋体"/>
          <w:color w:val="auto"/>
          <w:szCs w:val="21"/>
          <w:highlight w:val="none"/>
        </w:rPr>
        <w:t>.</w:t>
      </w:r>
      <w:r>
        <w:rPr>
          <w:rFonts w:hint="eastAsia" w:ascii="宋体" w:hAnsi="宋体" w:cs="宋体"/>
          <w:color w:val="auto"/>
          <w:szCs w:val="21"/>
          <w:highlight w:val="none"/>
          <w:lang w:val="zh-TW"/>
        </w:rPr>
        <w:t>6平台时间比率Tip:            0—50%</w:t>
      </w:r>
    </w:p>
    <w:p>
      <w:pPr>
        <w:spacing w:line="360" w:lineRule="auto"/>
        <w:rPr>
          <w:rFonts w:ascii="宋体" w:hAnsi="宋体" w:cs="宋体"/>
          <w:color w:val="auto"/>
          <w:szCs w:val="21"/>
          <w:highlight w:val="none"/>
          <w:lang w:val="zh-TW" w:eastAsia="zh-TW"/>
        </w:rPr>
      </w:pPr>
      <w:r>
        <w:rPr>
          <w:rFonts w:hint="eastAsia" w:ascii="宋体" w:hAnsi="宋体" w:cs="宋体"/>
          <w:color w:val="auto"/>
          <w:szCs w:val="21"/>
          <w:highlight w:val="none"/>
          <w:lang w:val="zh-TW" w:eastAsia="zh-TW"/>
        </w:rPr>
        <w:t>4</w:t>
      </w:r>
      <w:r>
        <w:rPr>
          <w:rFonts w:hint="eastAsia" w:ascii="宋体" w:hAnsi="宋体" w:cs="宋体"/>
          <w:color w:val="auto"/>
          <w:szCs w:val="21"/>
          <w:highlight w:val="none"/>
          <w:lang w:eastAsia="zh-TW"/>
        </w:rPr>
        <w:t>.</w:t>
      </w:r>
      <w:r>
        <w:rPr>
          <w:rFonts w:hint="eastAsia" w:ascii="宋体" w:hAnsi="宋体" w:cs="宋体"/>
          <w:color w:val="auto"/>
          <w:szCs w:val="21"/>
          <w:highlight w:val="none"/>
          <w:lang w:val="zh-TW" w:eastAsia="zh-TW"/>
        </w:rPr>
        <w:t>7吸气流量                   10—75L/min</w:t>
      </w:r>
    </w:p>
    <w:p>
      <w:pPr>
        <w:spacing w:line="360" w:lineRule="auto"/>
        <w:rPr>
          <w:rFonts w:ascii="宋体" w:hAnsi="宋体" w:cs="宋体"/>
          <w:color w:val="auto"/>
          <w:szCs w:val="21"/>
          <w:highlight w:val="none"/>
          <w:lang w:val="zh-TW" w:eastAsia="zh-TW"/>
        </w:rPr>
      </w:pPr>
      <w:r>
        <w:rPr>
          <w:rFonts w:hint="eastAsia" w:ascii="宋体" w:hAnsi="宋体" w:cs="宋体"/>
          <w:color w:val="auto"/>
          <w:szCs w:val="21"/>
          <w:highlight w:val="none"/>
          <w:lang w:val="zh-TW" w:eastAsia="zh-TW"/>
        </w:rPr>
        <w:t>★4</w:t>
      </w:r>
      <w:r>
        <w:rPr>
          <w:rFonts w:hint="eastAsia" w:ascii="宋体" w:hAnsi="宋体" w:cs="宋体"/>
          <w:color w:val="auto"/>
          <w:szCs w:val="21"/>
          <w:highlight w:val="none"/>
          <w:lang w:eastAsia="zh-TW"/>
        </w:rPr>
        <w:t>.</w:t>
      </w:r>
      <w:r>
        <w:rPr>
          <w:rFonts w:hint="eastAsia" w:ascii="宋体" w:hAnsi="宋体" w:cs="宋体"/>
          <w:color w:val="auto"/>
          <w:szCs w:val="21"/>
          <w:highlight w:val="none"/>
          <w:lang w:val="zh-TW" w:eastAsia="zh-TW"/>
        </w:rPr>
        <w:t>8 PEEP                   0—20mbar(从0,1,2,3,4…20连续可调)</w:t>
      </w:r>
    </w:p>
    <w:p>
      <w:pPr>
        <w:spacing w:line="360" w:lineRule="auto"/>
        <w:rPr>
          <w:rFonts w:ascii="宋体" w:hAnsi="宋体" w:cs="宋体"/>
          <w:color w:val="auto"/>
          <w:szCs w:val="21"/>
          <w:highlight w:val="none"/>
          <w:lang w:val="zh-TW" w:eastAsia="zh-TW"/>
        </w:rPr>
      </w:pPr>
      <w:r>
        <w:rPr>
          <w:rFonts w:hint="eastAsia" w:ascii="宋体" w:hAnsi="宋体" w:cs="宋体"/>
          <w:color w:val="auto"/>
          <w:szCs w:val="21"/>
          <w:highlight w:val="none"/>
          <w:lang w:val="zh-TW" w:eastAsia="zh-TW"/>
        </w:rPr>
        <w:t>4</w:t>
      </w:r>
      <w:r>
        <w:rPr>
          <w:rFonts w:hint="eastAsia" w:ascii="宋体" w:hAnsi="宋体" w:cs="宋体"/>
          <w:color w:val="auto"/>
          <w:szCs w:val="21"/>
          <w:highlight w:val="none"/>
          <w:lang w:eastAsia="zh-TW"/>
        </w:rPr>
        <w:t>.</w:t>
      </w:r>
      <w:r>
        <w:rPr>
          <w:rFonts w:hint="eastAsia" w:ascii="宋体" w:hAnsi="宋体" w:cs="宋体"/>
          <w:color w:val="auto"/>
          <w:szCs w:val="21"/>
          <w:highlight w:val="none"/>
          <w:lang w:val="zh-TW" w:eastAsia="zh-TW"/>
        </w:rPr>
        <w:t>9吸呼比                     3:1—1:3</w:t>
      </w:r>
    </w:p>
    <w:p>
      <w:pPr>
        <w:spacing w:line="360" w:lineRule="auto"/>
        <w:rPr>
          <w:rFonts w:ascii="宋体" w:hAnsi="宋体" w:cs="宋体"/>
          <w:color w:val="auto"/>
          <w:szCs w:val="21"/>
          <w:highlight w:val="none"/>
          <w:lang w:val="zh-TW" w:eastAsia="zh-TW"/>
        </w:rPr>
      </w:pPr>
      <w:r>
        <w:rPr>
          <w:rFonts w:hint="eastAsia" w:ascii="宋体" w:hAnsi="宋体" w:cs="宋体"/>
          <w:color w:val="auto"/>
          <w:szCs w:val="21"/>
          <w:highlight w:val="none"/>
          <w:lang w:val="zh-TW" w:eastAsia="zh-TW"/>
        </w:rPr>
        <w:t>4</w:t>
      </w:r>
      <w:r>
        <w:rPr>
          <w:rFonts w:hint="eastAsia" w:ascii="宋体" w:hAnsi="宋体" w:cs="宋体"/>
          <w:color w:val="auto"/>
          <w:szCs w:val="21"/>
          <w:highlight w:val="none"/>
          <w:lang w:eastAsia="zh-TW"/>
        </w:rPr>
        <w:t>.</w:t>
      </w:r>
      <w:r>
        <w:rPr>
          <w:rFonts w:hint="eastAsia" w:ascii="宋体" w:hAnsi="宋体" w:cs="宋体"/>
          <w:color w:val="auto"/>
          <w:szCs w:val="21"/>
          <w:highlight w:val="none"/>
          <w:lang w:val="zh-TW" w:eastAsia="zh-TW"/>
        </w:rPr>
        <w:t>10新鲜气体流量范围          0—12 L/min</w:t>
      </w:r>
    </w:p>
    <w:p>
      <w:pPr>
        <w:spacing w:line="360" w:lineRule="auto"/>
        <w:rPr>
          <w:rFonts w:ascii="宋体" w:hAnsi="宋体" w:cs="宋体"/>
          <w:color w:val="auto"/>
          <w:szCs w:val="21"/>
          <w:highlight w:val="none"/>
          <w:lang w:val="zh-TW" w:eastAsia="zh-TW"/>
        </w:rPr>
      </w:pPr>
      <w:r>
        <w:rPr>
          <w:rFonts w:hint="eastAsia" w:ascii="宋体" w:hAnsi="宋体" w:cs="宋体"/>
          <w:color w:val="auto"/>
          <w:szCs w:val="21"/>
          <w:highlight w:val="none"/>
          <w:lang w:val="zh-TW" w:eastAsia="zh-TW"/>
        </w:rPr>
        <w:t>4</w:t>
      </w:r>
      <w:r>
        <w:rPr>
          <w:rFonts w:hint="eastAsia" w:ascii="宋体" w:hAnsi="宋体" w:cs="宋体"/>
          <w:color w:val="auto"/>
          <w:szCs w:val="21"/>
          <w:highlight w:val="none"/>
          <w:lang w:eastAsia="zh-TW"/>
        </w:rPr>
        <w:t>.</w:t>
      </w:r>
      <w:r>
        <w:rPr>
          <w:rFonts w:hint="eastAsia" w:ascii="宋体" w:hAnsi="宋体" w:cs="宋体"/>
          <w:color w:val="auto"/>
          <w:szCs w:val="21"/>
          <w:highlight w:val="none"/>
          <w:lang w:val="zh-TW" w:eastAsia="zh-TW"/>
        </w:rPr>
        <w:t>11总新鲜气体流量            0—10 L/min</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4</w:t>
      </w:r>
      <w:r>
        <w:rPr>
          <w:rFonts w:hint="eastAsia" w:ascii="宋体" w:hAnsi="宋体" w:cs="宋体"/>
          <w:color w:val="auto"/>
          <w:szCs w:val="21"/>
          <w:highlight w:val="none"/>
        </w:rPr>
        <w:t>.</w:t>
      </w:r>
      <w:r>
        <w:rPr>
          <w:rFonts w:hint="eastAsia" w:ascii="宋体" w:hAnsi="宋体" w:cs="宋体"/>
          <w:color w:val="auto"/>
          <w:szCs w:val="21"/>
          <w:highlight w:val="none"/>
          <w:lang w:val="zh-TW"/>
        </w:rPr>
        <w:t>12快速充氧                  25—75 L/min</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★4</w:t>
      </w:r>
      <w:r>
        <w:rPr>
          <w:rFonts w:hint="eastAsia" w:ascii="宋体" w:hAnsi="宋体" w:cs="宋体"/>
          <w:color w:val="auto"/>
          <w:szCs w:val="21"/>
          <w:highlight w:val="none"/>
        </w:rPr>
        <w:t>.</w:t>
      </w:r>
      <w:r>
        <w:rPr>
          <w:rFonts w:hint="eastAsia" w:ascii="宋体" w:hAnsi="宋体" w:cs="宋体"/>
          <w:color w:val="auto"/>
          <w:szCs w:val="21"/>
          <w:highlight w:val="none"/>
          <w:lang w:val="zh-TW"/>
        </w:rPr>
        <w:t>13在高压氧气气源出现故障时，仍可以通过室内空气实现机控通气</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5、挥发罐</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5</w:t>
      </w:r>
      <w:r>
        <w:rPr>
          <w:rFonts w:hint="eastAsia" w:ascii="宋体" w:hAnsi="宋体" w:cs="宋体"/>
          <w:color w:val="auto"/>
          <w:szCs w:val="21"/>
          <w:highlight w:val="none"/>
        </w:rPr>
        <w:t>.</w:t>
      </w:r>
      <w:r>
        <w:rPr>
          <w:rFonts w:hint="eastAsia" w:ascii="宋体" w:hAnsi="宋体" w:cs="宋体"/>
          <w:color w:val="auto"/>
          <w:szCs w:val="21"/>
          <w:highlight w:val="none"/>
          <w:lang w:val="zh-TW"/>
        </w:rPr>
        <w:t>1 配置一个容量</w:t>
      </w:r>
      <w:r>
        <w:rPr>
          <w:rFonts w:hint="eastAsia" w:ascii="Calibri" w:hAnsi="Calibri"/>
          <w:color w:val="auto"/>
          <w:sz w:val="28"/>
          <w:szCs w:val="32"/>
          <w:highlight w:val="none"/>
        </w:rPr>
        <w:t>≥</w:t>
      </w:r>
      <w:r>
        <w:rPr>
          <w:rFonts w:hint="eastAsia" w:ascii="宋体" w:hAnsi="宋体" w:cs="宋体"/>
          <w:color w:val="auto"/>
          <w:szCs w:val="21"/>
          <w:highlight w:val="none"/>
          <w:lang w:val="zh-TW"/>
        </w:rPr>
        <w:t>280ml的七氟醚挥发罐，插入式加药器。</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5</w:t>
      </w:r>
      <w:r>
        <w:rPr>
          <w:rFonts w:hint="eastAsia" w:ascii="宋体" w:hAnsi="宋体" w:cs="宋体"/>
          <w:color w:val="auto"/>
          <w:szCs w:val="21"/>
          <w:highlight w:val="none"/>
        </w:rPr>
        <w:t>.</w:t>
      </w:r>
      <w:r>
        <w:rPr>
          <w:rFonts w:hint="eastAsia" w:ascii="宋体" w:hAnsi="宋体" w:cs="宋体"/>
          <w:color w:val="auto"/>
          <w:szCs w:val="21"/>
          <w:highlight w:val="none"/>
          <w:lang w:val="zh-TW"/>
        </w:rPr>
        <w:t>2 挥发罐具有压力、温度、流量自动补偿功能。</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5</w:t>
      </w:r>
      <w:r>
        <w:rPr>
          <w:rFonts w:hint="eastAsia" w:ascii="宋体" w:hAnsi="宋体" w:cs="宋体"/>
          <w:color w:val="auto"/>
          <w:szCs w:val="21"/>
          <w:highlight w:val="none"/>
        </w:rPr>
        <w:t>.</w:t>
      </w:r>
      <w:r>
        <w:rPr>
          <w:rFonts w:hint="eastAsia" w:ascii="宋体" w:hAnsi="宋体" w:cs="宋体"/>
          <w:color w:val="auto"/>
          <w:szCs w:val="21"/>
          <w:highlight w:val="none"/>
          <w:lang w:val="zh-TW"/>
        </w:rPr>
        <w:t>3 扩展温度范围10℃—40℃。</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5</w:t>
      </w:r>
      <w:r>
        <w:rPr>
          <w:rFonts w:hint="eastAsia" w:ascii="宋体" w:hAnsi="宋体" w:cs="宋体"/>
          <w:color w:val="auto"/>
          <w:szCs w:val="21"/>
          <w:highlight w:val="none"/>
        </w:rPr>
        <w:t>.</w:t>
      </w:r>
      <w:r>
        <w:rPr>
          <w:rFonts w:hint="eastAsia" w:ascii="宋体" w:hAnsi="宋体" w:cs="宋体"/>
          <w:color w:val="auto"/>
          <w:szCs w:val="21"/>
          <w:highlight w:val="none"/>
          <w:lang w:val="zh-TW"/>
        </w:rPr>
        <w:t>4 扩展的流量和浓度范围，新鲜氧流量在200-5000ml/min</w:t>
      </w:r>
    </w:p>
    <w:p>
      <w:pPr>
        <w:spacing w:line="360" w:lineRule="auto"/>
        <w:rPr>
          <w:rFonts w:ascii="宋体" w:hAnsi="宋体" w:cs="宋体"/>
          <w:color w:val="auto"/>
          <w:szCs w:val="21"/>
          <w:highlight w:val="none"/>
          <w:lang w:val="en-GB"/>
        </w:rPr>
      </w:pPr>
      <w:r>
        <w:rPr>
          <w:rFonts w:hint="eastAsia" w:ascii="宋体" w:hAnsi="宋体" w:cs="宋体"/>
          <w:color w:val="auto"/>
          <w:szCs w:val="21"/>
          <w:highlight w:val="none"/>
          <w:lang w:val="zh-TW"/>
        </w:rPr>
        <w:t>5</w:t>
      </w:r>
      <w:r>
        <w:rPr>
          <w:rFonts w:hint="eastAsia" w:ascii="宋体" w:hAnsi="宋体" w:cs="宋体"/>
          <w:color w:val="auto"/>
          <w:szCs w:val="21"/>
          <w:highlight w:val="none"/>
        </w:rPr>
        <w:t>.</w:t>
      </w:r>
      <w:r>
        <w:rPr>
          <w:rFonts w:hint="eastAsia" w:ascii="宋体" w:hAnsi="宋体" w:cs="宋体"/>
          <w:color w:val="auto"/>
          <w:szCs w:val="21"/>
          <w:highlight w:val="none"/>
          <w:lang w:val="zh-TW"/>
        </w:rPr>
        <w:t xml:space="preserve">5 </w:t>
      </w:r>
      <w:r>
        <w:rPr>
          <w:rFonts w:hint="eastAsia" w:ascii="宋体" w:hAnsi="宋体" w:cs="宋体"/>
          <w:color w:val="auto"/>
          <w:szCs w:val="21"/>
          <w:highlight w:val="none"/>
          <w:lang w:val="en-GB"/>
        </w:rPr>
        <w:t>运输时挥发罐无需排空剩余麻醉药剂，出厂一次标定不需再专门维护及定标。</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★5.6可使用同品牌地氟醚挥发罐。</w:t>
      </w:r>
    </w:p>
    <w:p>
      <w:pPr>
        <w:spacing w:line="360" w:lineRule="auto"/>
        <w:rPr>
          <w:rFonts w:ascii="宋体" w:hAnsi="宋体" w:cs="宋体"/>
          <w:color w:val="auto"/>
          <w:szCs w:val="21"/>
          <w:highlight w:val="none"/>
          <w:lang w:val="en-GB"/>
        </w:rPr>
      </w:pPr>
      <w:r>
        <w:rPr>
          <w:rFonts w:hint="eastAsia" w:ascii="宋体" w:hAnsi="宋体" w:cs="宋体"/>
          <w:color w:val="auto"/>
          <w:szCs w:val="21"/>
          <w:highlight w:val="none"/>
          <w:lang w:val="en-GB"/>
        </w:rPr>
        <w:t>6、麻醉机监测系统</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en-GB"/>
        </w:rPr>
        <w:t>6</w:t>
      </w:r>
      <w:r>
        <w:rPr>
          <w:rFonts w:hint="eastAsia" w:ascii="宋体" w:hAnsi="宋体" w:cs="宋体"/>
          <w:color w:val="auto"/>
          <w:szCs w:val="21"/>
          <w:highlight w:val="none"/>
        </w:rPr>
        <w:t>.</w:t>
      </w:r>
      <w:r>
        <w:rPr>
          <w:rFonts w:hint="eastAsia" w:ascii="宋体" w:hAnsi="宋体" w:cs="宋体"/>
          <w:color w:val="auto"/>
          <w:szCs w:val="21"/>
          <w:highlight w:val="none"/>
          <w:lang w:val="en-GB"/>
        </w:rPr>
        <w:t xml:space="preserve">1 </w:t>
      </w:r>
      <w:r>
        <w:rPr>
          <w:rFonts w:hint="eastAsia" w:ascii="宋体" w:hAnsi="宋体" w:cs="宋体"/>
          <w:color w:val="auto"/>
          <w:szCs w:val="21"/>
          <w:highlight w:val="none"/>
          <w:lang w:val="zh-TW"/>
        </w:rPr>
        <w:t>监测参数可以显示在一个中央彩色（至少红、绿、蓝三种颜色）液晶显示屏幕上。且显示屏与主机一体化设计（非外接屏幕）。</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6</w:t>
      </w:r>
      <w:r>
        <w:rPr>
          <w:rFonts w:hint="eastAsia" w:ascii="宋体" w:hAnsi="宋体" w:cs="宋体"/>
          <w:color w:val="auto"/>
          <w:szCs w:val="21"/>
          <w:highlight w:val="none"/>
        </w:rPr>
        <w:t>.</w:t>
      </w:r>
      <w:r>
        <w:rPr>
          <w:rFonts w:hint="eastAsia" w:ascii="宋体" w:hAnsi="宋体" w:cs="宋体"/>
          <w:color w:val="auto"/>
          <w:szCs w:val="21"/>
          <w:highlight w:val="none"/>
          <w:lang w:val="zh-TW"/>
        </w:rPr>
        <w:t>2 主要监测内容：平均压、平台压、峰压和</w:t>
      </w:r>
      <w:r>
        <w:rPr>
          <w:rFonts w:hint="eastAsia" w:ascii="宋体" w:hAnsi="宋体" w:cs="宋体"/>
          <w:color w:val="auto"/>
          <w:szCs w:val="21"/>
          <w:highlight w:val="none"/>
          <w:lang w:val="de-DE"/>
        </w:rPr>
        <w:t>PEEP，压力波形曲线、</w:t>
      </w:r>
      <w:r>
        <w:rPr>
          <w:rFonts w:hint="eastAsia" w:ascii="宋体" w:hAnsi="宋体" w:cs="宋体"/>
          <w:color w:val="auto"/>
          <w:szCs w:val="21"/>
          <w:highlight w:val="none"/>
          <w:lang w:val="zh-TW"/>
        </w:rPr>
        <w:t>分钟通气量，潮气量，呼吸频率</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6</w:t>
      </w:r>
      <w:r>
        <w:rPr>
          <w:rFonts w:hint="eastAsia" w:ascii="宋体" w:hAnsi="宋体" w:cs="宋体"/>
          <w:color w:val="auto"/>
          <w:szCs w:val="21"/>
          <w:highlight w:val="none"/>
        </w:rPr>
        <w:t>.</w:t>
      </w:r>
      <w:r>
        <w:rPr>
          <w:rFonts w:hint="eastAsia" w:ascii="宋体" w:hAnsi="宋体" w:cs="宋体"/>
          <w:color w:val="auto"/>
          <w:szCs w:val="21"/>
          <w:highlight w:val="none"/>
          <w:lang w:val="zh-TW"/>
        </w:rPr>
        <w:t>3具备吸入氧浓度监测</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★6</w:t>
      </w:r>
      <w:r>
        <w:rPr>
          <w:rFonts w:hint="eastAsia" w:ascii="宋体" w:hAnsi="宋体" w:cs="宋体"/>
          <w:color w:val="auto"/>
          <w:szCs w:val="21"/>
          <w:highlight w:val="none"/>
        </w:rPr>
        <w:t>.</w:t>
      </w:r>
      <w:r>
        <w:rPr>
          <w:rFonts w:hint="eastAsia" w:ascii="宋体" w:hAnsi="宋体" w:cs="宋体"/>
          <w:color w:val="auto"/>
          <w:szCs w:val="21"/>
          <w:highlight w:val="none"/>
          <w:lang w:val="zh-TW"/>
        </w:rPr>
        <w:t>4采用监测精度更高的热阻丝原理的流量传感器，且出厂配置不低于5个。</w:t>
      </w:r>
    </w:p>
    <w:p>
      <w:pPr>
        <w:spacing w:after="120"/>
        <w:ind w:firstLine="1260" w:firstLineChars="600"/>
        <w:rPr>
          <w:rFonts w:ascii="宋体" w:hAnsi="宋体" w:cs="宋体"/>
          <w:color w:val="auto"/>
          <w:szCs w:val="21"/>
          <w:highlight w:val="none"/>
          <w:lang w:val="zh-TW"/>
        </w:rPr>
      </w:pPr>
    </w:p>
    <w:p>
      <w:pPr>
        <w:spacing w:after="120"/>
        <w:ind w:firstLine="210" w:firstLineChars="100"/>
        <w:rPr>
          <w:color w:val="auto"/>
          <w:highlight w:val="none"/>
          <w:lang w:val="zh-TW"/>
        </w:rPr>
      </w:pPr>
    </w:p>
    <w:p>
      <w:pPr>
        <w:spacing w:line="460" w:lineRule="exact"/>
        <w:ind w:firstLine="482" w:firstLineChars="200"/>
        <w:jc w:val="center"/>
        <w:outlineLvl w:val="1"/>
        <w:rPr>
          <w:b/>
          <w:bCs/>
          <w:color w:val="auto"/>
          <w:sz w:val="24"/>
          <w:highlight w:val="none"/>
          <w:lang w:val="zh-TW" w:eastAsia="zh-TW"/>
        </w:rPr>
      </w:pPr>
      <w:r>
        <w:rPr>
          <w:rFonts w:hint="eastAsia"/>
          <w:b/>
          <w:bCs/>
          <w:color w:val="auto"/>
          <w:sz w:val="24"/>
          <w:highlight w:val="none"/>
          <w:lang w:val="zh-TW" w:eastAsia="zh-TW"/>
        </w:rPr>
        <w:t>第八包</w:t>
      </w:r>
    </w:p>
    <w:p>
      <w:pPr>
        <w:spacing w:line="460" w:lineRule="exact"/>
        <w:ind w:firstLine="482" w:firstLineChars="200"/>
        <w:jc w:val="center"/>
        <w:rPr>
          <w:rFonts w:ascii="宋体" w:hAnsi="宋体" w:cs="宋体"/>
          <w:color w:val="auto"/>
          <w:sz w:val="24"/>
          <w:highlight w:val="none"/>
          <w:lang w:eastAsia="zh-TW"/>
        </w:rPr>
      </w:pPr>
      <w:r>
        <w:rPr>
          <w:rFonts w:hint="eastAsia"/>
          <w:b/>
          <w:bCs/>
          <w:color w:val="auto"/>
          <w:sz w:val="24"/>
          <w:highlight w:val="none"/>
          <w:lang w:eastAsia="zh-TW"/>
        </w:rPr>
        <w:t>8-1   呼吸机-1</w:t>
      </w:r>
    </w:p>
    <w:p>
      <w:pPr>
        <w:spacing w:line="360" w:lineRule="auto"/>
        <w:rPr>
          <w:rFonts w:ascii="宋体" w:hAnsi="宋体" w:cs="宋体"/>
          <w:color w:val="auto"/>
          <w:szCs w:val="21"/>
          <w:highlight w:val="none"/>
          <w:lang w:val="zh-TW" w:eastAsia="zh-TW"/>
        </w:rPr>
      </w:pPr>
      <w:r>
        <w:rPr>
          <w:rFonts w:hint="eastAsia" w:ascii="宋体" w:hAnsi="宋体" w:cs="宋体"/>
          <w:color w:val="auto"/>
          <w:szCs w:val="21"/>
          <w:highlight w:val="none"/>
          <w:lang w:val="zh-TW" w:eastAsia="zh-TW"/>
        </w:rPr>
        <w:t>（一）基本要求：</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1、适用于新生儿、</w:t>
      </w:r>
      <w:r>
        <w:rPr>
          <w:rFonts w:hint="eastAsia" w:ascii="宋体" w:hAnsi="宋体" w:cs="宋体"/>
          <w:color w:val="auto"/>
          <w:szCs w:val="21"/>
          <w:highlight w:val="none"/>
        </w:rPr>
        <w:t>婴儿</w:t>
      </w:r>
      <w:r>
        <w:rPr>
          <w:rFonts w:hint="eastAsia" w:ascii="宋体" w:hAnsi="宋体" w:cs="宋体"/>
          <w:color w:val="auto"/>
          <w:szCs w:val="21"/>
          <w:highlight w:val="none"/>
          <w:lang w:val="zh-TW"/>
        </w:rPr>
        <w:t>，儿童及成人的有创呼吸机</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（二）硬件要求：</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★1、采用屏幕尺寸</w:t>
      </w:r>
      <w:r>
        <w:rPr>
          <w:rFonts w:hint="eastAsia" w:ascii="Calibri" w:hAnsi="Calibri"/>
          <w:color w:val="auto"/>
          <w:sz w:val="28"/>
          <w:szCs w:val="32"/>
          <w:highlight w:val="none"/>
        </w:rPr>
        <w:t>≥</w:t>
      </w:r>
      <w:r>
        <w:rPr>
          <w:rFonts w:hint="eastAsia" w:ascii="宋体" w:hAnsi="宋体" w:cs="宋体"/>
          <w:color w:val="auto"/>
          <w:szCs w:val="21"/>
          <w:highlight w:val="none"/>
          <w:lang w:val="zh-TW"/>
        </w:rPr>
        <w:t>15英寸的高分辨率触摸显示屏；可定制3个显示界面实现一键切换</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★2、屏幕可与主机分离，且主机上也同时具备基本呼吸参数（诸如：气道压力、氧浓度、分钟通气量）</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rPr>
        <w:t>3</w:t>
      </w:r>
      <w:r>
        <w:rPr>
          <w:rFonts w:hint="eastAsia" w:ascii="宋体" w:hAnsi="宋体" w:cs="宋体"/>
          <w:color w:val="auto"/>
          <w:szCs w:val="21"/>
          <w:highlight w:val="none"/>
          <w:lang w:val="zh-TW"/>
        </w:rPr>
        <w:t>、具有</w:t>
      </w:r>
      <w:r>
        <w:rPr>
          <w:rFonts w:hint="eastAsia" w:ascii="Calibri" w:hAnsi="Calibri"/>
          <w:color w:val="auto"/>
          <w:sz w:val="28"/>
          <w:szCs w:val="32"/>
          <w:highlight w:val="none"/>
        </w:rPr>
        <w:t>≥</w:t>
      </w:r>
      <w:r>
        <w:rPr>
          <w:rFonts w:hint="eastAsia" w:ascii="宋体" w:hAnsi="宋体" w:cs="宋体"/>
          <w:color w:val="auto"/>
          <w:szCs w:val="21"/>
          <w:highlight w:val="none"/>
          <w:lang w:val="zh-TW"/>
        </w:rPr>
        <w:t>2个USB接口，且具备波形数据导出功能，可直接导出呼吸机相关数据</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rPr>
        <w:t>4</w:t>
      </w:r>
      <w:r>
        <w:rPr>
          <w:rFonts w:hint="eastAsia" w:ascii="宋体" w:hAnsi="宋体" w:cs="宋体"/>
          <w:color w:val="auto"/>
          <w:szCs w:val="21"/>
          <w:highlight w:val="none"/>
          <w:lang w:val="zh-TW"/>
        </w:rPr>
        <w:t>、具有RS232接口和视频输出接口，用于医疗设备或医院网络互联，以及投影显示屏幕用于教学</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rPr>
        <w:t>5</w:t>
      </w:r>
      <w:r>
        <w:rPr>
          <w:rFonts w:hint="eastAsia" w:ascii="宋体" w:hAnsi="宋体" w:cs="宋体"/>
          <w:color w:val="auto"/>
          <w:szCs w:val="21"/>
          <w:highlight w:val="none"/>
          <w:lang w:val="zh-TW"/>
        </w:rPr>
        <w:t>、氧浓度监测采用顺磁氧技术，不使用传统的化学氧电池模式</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w:t>
      </w:r>
      <w:r>
        <w:rPr>
          <w:rFonts w:hint="eastAsia" w:ascii="宋体" w:hAnsi="宋体" w:cs="宋体"/>
          <w:color w:val="auto"/>
          <w:szCs w:val="21"/>
          <w:highlight w:val="none"/>
        </w:rPr>
        <w:t>6</w:t>
      </w:r>
      <w:r>
        <w:rPr>
          <w:rFonts w:hint="eastAsia" w:ascii="宋体" w:hAnsi="宋体" w:cs="宋体"/>
          <w:color w:val="auto"/>
          <w:szCs w:val="21"/>
          <w:highlight w:val="none"/>
          <w:lang w:val="zh-TW"/>
        </w:rPr>
        <w:t>、为保障流量监测精准度和触发精度，呼出端要求采用热丝原理的近端流量传感器</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w:t>
      </w:r>
      <w:r>
        <w:rPr>
          <w:rFonts w:hint="eastAsia" w:ascii="宋体" w:hAnsi="宋体" w:cs="宋体"/>
          <w:color w:val="auto"/>
          <w:szCs w:val="21"/>
          <w:highlight w:val="none"/>
        </w:rPr>
        <w:t>7</w:t>
      </w:r>
      <w:r>
        <w:rPr>
          <w:rFonts w:hint="eastAsia" w:ascii="宋体" w:hAnsi="宋体" w:cs="宋体"/>
          <w:color w:val="auto"/>
          <w:szCs w:val="21"/>
          <w:highlight w:val="none"/>
          <w:lang w:val="zh-TW"/>
        </w:rPr>
        <w:t>、具备经鼻高流速氧疗功能</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rPr>
        <w:t>8</w:t>
      </w:r>
      <w:r>
        <w:rPr>
          <w:rFonts w:hint="eastAsia" w:ascii="宋体" w:hAnsi="宋体" w:cs="宋体"/>
          <w:color w:val="auto"/>
          <w:szCs w:val="21"/>
          <w:highlight w:val="none"/>
          <w:lang w:val="zh-TW"/>
        </w:rPr>
        <w:t>、具备安全阀：在供气系统出现障碍时打开，允许患者呼吸空气</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rPr>
        <w:t>9</w:t>
      </w:r>
      <w:r>
        <w:rPr>
          <w:rFonts w:hint="eastAsia" w:ascii="宋体" w:hAnsi="宋体" w:cs="宋体"/>
          <w:color w:val="auto"/>
          <w:szCs w:val="21"/>
          <w:highlight w:val="none"/>
          <w:lang w:val="zh-TW"/>
        </w:rPr>
        <w:t>、可应用新一代的外置压缩空气气源，噪音低，体积小（不能大于主机），重量轻，备用电池可以驱动外置气源</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rPr>
        <w:t>10</w:t>
      </w:r>
      <w:r>
        <w:rPr>
          <w:rFonts w:hint="eastAsia" w:ascii="宋体" w:hAnsi="宋体" w:cs="宋体"/>
          <w:color w:val="auto"/>
          <w:szCs w:val="21"/>
          <w:highlight w:val="none"/>
          <w:lang w:val="zh-TW"/>
        </w:rPr>
        <w:t>、具备360°报警灯，可任何角度观察到报警提示</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（三）技术参数要求：</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1、通气模式</w:t>
      </w:r>
    </w:p>
    <w:p>
      <w:pPr>
        <w:spacing w:line="360" w:lineRule="auto"/>
        <w:rPr>
          <w:rFonts w:ascii="宋体" w:hAnsi="宋体" w:cs="宋体"/>
          <w:color w:val="auto"/>
          <w:szCs w:val="21"/>
          <w:highlight w:val="none"/>
          <w:lang w:val="zh-TW" w:eastAsia="zh-TW"/>
        </w:rPr>
      </w:pPr>
      <w:r>
        <w:rPr>
          <w:rFonts w:hint="eastAsia" w:ascii="宋体" w:hAnsi="宋体" w:cs="宋体"/>
          <w:color w:val="auto"/>
          <w:szCs w:val="21"/>
          <w:highlight w:val="none"/>
          <w:lang w:val="zh-TW" w:eastAsia="zh-TW"/>
        </w:rPr>
        <w:t>★1.1容控模式下必须具备：VC-AC、VC-CMV、VC-SIMV。且可叠加Autoflow功能。可选配： VC-MMV</w:t>
      </w:r>
    </w:p>
    <w:p>
      <w:pPr>
        <w:spacing w:line="360" w:lineRule="auto"/>
        <w:rPr>
          <w:rFonts w:ascii="宋体" w:hAnsi="宋体" w:cs="宋体"/>
          <w:color w:val="auto"/>
          <w:szCs w:val="21"/>
          <w:highlight w:val="none"/>
          <w:lang w:val="zh-TW" w:eastAsia="zh-TW"/>
        </w:rPr>
      </w:pPr>
      <w:r>
        <w:rPr>
          <w:rFonts w:hint="eastAsia" w:ascii="宋体" w:hAnsi="宋体" w:cs="宋体"/>
          <w:color w:val="auto"/>
          <w:szCs w:val="21"/>
          <w:highlight w:val="none"/>
          <w:lang w:val="zh-TW" w:eastAsia="zh-TW"/>
        </w:rPr>
        <w:t>★1.2压控模式下必须具备：PC-AC、PC-CMV、PC-SIMV、PC-BIPAP，压控下可叠加VG功能。可选配：PC-PSV、PC-APRV（带Tlow自动设置）。</w:t>
      </w:r>
    </w:p>
    <w:p>
      <w:pPr>
        <w:spacing w:line="360" w:lineRule="auto"/>
        <w:rPr>
          <w:rFonts w:ascii="宋体" w:hAnsi="宋体" w:cs="宋体"/>
          <w:color w:val="auto"/>
          <w:szCs w:val="21"/>
          <w:highlight w:val="none"/>
          <w:lang w:val="zh-TW" w:eastAsia="zh-TW"/>
        </w:rPr>
      </w:pPr>
      <w:r>
        <w:rPr>
          <w:rFonts w:hint="eastAsia" w:ascii="宋体" w:hAnsi="宋体" w:cs="宋体"/>
          <w:color w:val="auto"/>
          <w:szCs w:val="21"/>
          <w:highlight w:val="none"/>
          <w:lang w:val="zh-TW" w:eastAsia="zh-TW"/>
        </w:rPr>
        <w:t>1.3自主呼吸模式必须具备： CPAP/PS。可选配PPS或NAVA</w:t>
      </w:r>
    </w:p>
    <w:p>
      <w:pPr>
        <w:spacing w:line="360" w:lineRule="auto"/>
        <w:rPr>
          <w:rFonts w:ascii="宋体" w:hAnsi="宋体" w:cs="宋体"/>
          <w:color w:val="auto"/>
          <w:szCs w:val="21"/>
          <w:highlight w:val="none"/>
          <w:lang w:val="fr-FR" w:eastAsia="zh-TW"/>
        </w:rPr>
      </w:pPr>
      <w:r>
        <w:rPr>
          <w:rFonts w:hint="eastAsia" w:ascii="宋体" w:hAnsi="宋体" w:cs="宋体"/>
          <w:color w:val="auto"/>
          <w:szCs w:val="21"/>
          <w:highlight w:val="none"/>
          <w:lang w:val="zh-TW" w:eastAsia="zh-TW"/>
        </w:rPr>
        <w:t>2、潮气量</w:t>
      </w:r>
      <w:r>
        <w:rPr>
          <w:rFonts w:hint="eastAsia" w:ascii="宋体" w:hAnsi="宋体" w:cs="宋体"/>
          <w:color w:val="auto"/>
          <w:szCs w:val="21"/>
          <w:highlight w:val="none"/>
          <w:lang w:val="fr-FR" w:eastAsia="zh-TW"/>
        </w:rPr>
        <w:t xml:space="preserve">(VT)： </w:t>
      </w:r>
      <w:r>
        <w:rPr>
          <w:rFonts w:hint="eastAsia" w:ascii="宋体" w:hAnsi="宋体" w:cs="宋体"/>
          <w:color w:val="auto"/>
          <w:szCs w:val="21"/>
          <w:highlight w:val="none"/>
          <w:lang w:val="zh-TW" w:eastAsia="zh-TW"/>
        </w:rPr>
        <w:t xml:space="preserve">新生儿 2ml to100ml </w:t>
      </w:r>
      <w:r>
        <w:rPr>
          <w:rFonts w:hint="eastAsia" w:ascii="宋体" w:hAnsi="宋体" w:cs="宋体"/>
          <w:color w:val="auto"/>
          <w:szCs w:val="21"/>
          <w:highlight w:val="none"/>
          <w:lang w:val="fr-FR" w:eastAsia="zh-TW"/>
        </w:rPr>
        <w:t>；</w:t>
      </w:r>
      <w:r>
        <w:rPr>
          <w:rFonts w:hint="eastAsia" w:ascii="宋体" w:hAnsi="宋体" w:cs="宋体"/>
          <w:color w:val="auto"/>
          <w:szCs w:val="21"/>
          <w:highlight w:val="none"/>
          <w:lang w:val="zh-TW" w:eastAsia="zh-TW"/>
        </w:rPr>
        <w:t>小儿20ml to 300ml ；儿童及成人：100 ml to 2000 ml</w:t>
      </w:r>
    </w:p>
    <w:p>
      <w:pPr>
        <w:spacing w:line="360" w:lineRule="auto"/>
        <w:rPr>
          <w:rFonts w:ascii="宋体" w:hAnsi="宋体" w:cs="宋体"/>
          <w:color w:val="auto"/>
          <w:szCs w:val="21"/>
          <w:highlight w:val="none"/>
          <w:lang w:val="fr-FR"/>
        </w:rPr>
      </w:pPr>
      <w:r>
        <w:rPr>
          <w:rFonts w:hint="eastAsia" w:ascii="宋体" w:hAnsi="宋体" w:cs="宋体"/>
          <w:color w:val="auto"/>
          <w:szCs w:val="21"/>
          <w:highlight w:val="none"/>
          <w:lang w:val="fr-FR"/>
        </w:rPr>
        <w:t>3</w:t>
      </w:r>
      <w:r>
        <w:rPr>
          <w:rFonts w:hint="eastAsia" w:ascii="宋体" w:hAnsi="宋体" w:cs="宋体"/>
          <w:color w:val="auto"/>
          <w:szCs w:val="21"/>
          <w:highlight w:val="none"/>
          <w:lang w:val="zh-TW"/>
        </w:rPr>
        <w:t>、其它设置参数</w:t>
      </w:r>
    </w:p>
    <w:p>
      <w:pPr>
        <w:spacing w:line="360" w:lineRule="auto"/>
        <w:rPr>
          <w:rFonts w:ascii="宋体" w:hAnsi="宋体" w:cs="宋体"/>
          <w:color w:val="auto"/>
          <w:szCs w:val="21"/>
          <w:highlight w:val="none"/>
          <w:lang w:val="fr-FR"/>
        </w:rPr>
      </w:pPr>
      <w:r>
        <w:rPr>
          <w:rFonts w:hint="eastAsia" w:ascii="宋体" w:hAnsi="宋体" w:cs="宋体"/>
          <w:color w:val="auto"/>
          <w:szCs w:val="21"/>
          <w:highlight w:val="none"/>
          <w:lang w:val="fr-FR"/>
        </w:rPr>
        <w:t>3.1</w:t>
      </w:r>
      <w:r>
        <w:rPr>
          <w:rFonts w:hint="eastAsia" w:ascii="宋体" w:hAnsi="宋体" w:cs="宋体"/>
          <w:color w:val="auto"/>
          <w:szCs w:val="21"/>
          <w:highlight w:val="none"/>
          <w:lang w:val="zh-TW"/>
        </w:rPr>
        <w:t>吸气流速</w:t>
      </w:r>
      <w:r>
        <w:rPr>
          <w:rFonts w:hint="eastAsia" w:ascii="宋体" w:hAnsi="宋体" w:cs="宋体"/>
          <w:color w:val="auto"/>
          <w:szCs w:val="21"/>
          <w:highlight w:val="none"/>
          <w:lang w:val="fr-FR"/>
        </w:rPr>
        <w:t xml:space="preserve"> (Flow) 2 to 30L/min </w:t>
      </w:r>
    </w:p>
    <w:p>
      <w:pPr>
        <w:spacing w:line="360" w:lineRule="auto"/>
        <w:rPr>
          <w:rFonts w:ascii="宋体" w:hAnsi="宋体" w:cs="宋体"/>
          <w:color w:val="auto"/>
          <w:szCs w:val="21"/>
          <w:highlight w:val="none"/>
          <w:lang w:val="fr-FR"/>
        </w:rPr>
      </w:pPr>
      <w:r>
        <w:rPr>
          <w:rFonts w:hint="eastAsia" w:ascii="宋体" w:hAnsi="宋体" w:cs="宋体"/>
          <w:color w:val="auto"/>
          <w:szCs w:val="21"/>
          <w:highlight w:val="none"/>
          <w:lang w:val="fr-FR"/>
        </w:rPr>
        <w:t>3.2</w:t>
      </w:r>
      <w:r>
        <w:rPr>
          <w:rFonts w:hint="eastAsia" w:ascii="宋体" w:hAnsi="宋体" w:cs="宋体"/>
          <w:color w:val="auto"/>
          <w:szCs w:val="21"/>
          <w:highlight w:val="none"/>
          <w:lang w:val="zh-TW"/>
        </w:rPr>
        <w:t>吸气压力</w:t>
      </w:r>
      <w:r>
        <w:rPr>
          <w:rFonts w:hint="eastAsia" w:ascii="宋体" w:hAnsi="宋体" w:cs="宋体"/>
          <w:color w:val="auto"/>
          <w:szCs w:val="21"/>
          <w:highlight w:val="none"/>
          <w:lang w:val="fr-FR"/>
        </w:rPr>
        <w:t xml:space="preserve">(Pinsp) 1 to 95mbar </w:t>
      </w:r>
    </w:p>
    <w:p>
      <w:pPr>
        <w:spacing w:line="360" w:lineRule="auto"/>
        <w:rPr>
          <w:rFonts w:ascii="宋体" w:hAnsi="宋体" w:cs="宋体"/>
          <w:color w:val="auto"/>
          <w:szCs w:val="21"/>
          <w:highlight w:val="none"/>
          <w:lang w:val="fr-FR"/>
        </w:rPr>
      </w:pPr>
      <w:r>
        <w:rPr>
          <w:rFonts w:hint="eastAsia" w:ascii="宋体" w:hAnsi="宋体" w:cs="宋体"/>
          <w:color w:val="auto"/>
          <w:szCs w:val="21"/>
          <w:highlight w:val="none"/>
          <w:lang w:val="fr-FR"/>
        </w:rPr>
        <w:t>3.3</w:t>
      </w:r>
      <w:r>
        <w:rPr>
          <w:rFonts w:hint="eastAsia" w:ascii="宋体" w:hAnsi="宋体" w:cs="宋体"/>
          <w:color w:val="auto"/>
          <w:szCs w:val="21"/>
          <w:highlight w:val="none"/>
          <w:lang w:val="zh-TW"/>
        </w:rPr>
        <w:t>吸气压力上限</w:t>
      </w:r>
      <w:r>
        <w:rPr>
          <w:rFonts w:hint="eastAsia" w:ascii="宋体" w:hAnsi="宋体" w:cs="宋体"/>
          <w:color w:val="auto"/>
          <w:szCs w:val="21"/>
          <w:highlight w:val="none"/>
          <w:lang w:val="fr-FR"/>
        </w:rPr>
        <w:t xml:space="preserve">(Pmax) 0 to 100 mbar </w:t>
      </w:r>
    </w:p>
    <w:p>
      <w:pPr>
        <w:spacing w:line="360" w:lineRule="auto"/>
        <w:rPr>
          <w:rFonts w:ascii="宋体" w:hAnsi="宋体" w:cs="宋体"/>
          <w:color w:val="auto"/>
          <w:szCs w:val="21"/>
          <w:highlight w:val="none"/>
          <w:lang w:val="fr-FR"/>
        </w:rPr>
      </w:pPr>
      <w:r>
        <w:rPr>
          <w:rFonts w:hint="eastAsia" w:ascii="宋体" w:hAnsi="宋体" w:cs="宋体"/>
          <w:color w:val="auto"/>
          <w:szCs w:val="21"/>
          <w:highlight w:val="none"/>
          <w:lang w:val="fr-FR"/>
        </w:rPr>
        <w:t xml:space="preserve">3.4 PEEP 0 to 50mbar </w:t>
      </w:r>
    </w:p>
    <w:p>
      <w:pPr>
        <w:spacing w:line="360" w:lineRule="auto"/>
        <w:rPr>
          <w:rFonts w:ascii="宋体" w:hAnsi="宋体" w:cs="宋体"/>
          <w:color w:val="auto"/>
          <w:szCs w:val="21"/>
          <w:highlight w:val="none"/>
          <w:lang w:val="fr-FR"/>
        </w:rPr>
      </w:pPr>
      <w:r>
        <w:rPr>
          <w:rFonts w:hint="eastAsia" w:ascii="宋体" w:hAnsi="宋体" w:cs="宋体"/>
          <w:color w:val="auto"/>
          <w:szCs w:val="21"/>
          <w:highlight w:val="none"/>
          <w:lang w:val="fr-FR"/>
        </w:rPr>
        <w:t>3.5</w:t>
      </w:r>
      <w:r>
        <w:rPr>
          <w:rFonts w:hint="eastAsia" w:ascii="宋体" w:hAnsi="宋体" w:cs="宋体"/>
          <w:color w:val="auto"/>
          <w:szCs w:val="21"/>
          <w:highlight w:val="none"/>
          <w:lang w:val="zh-TW"/>
        </w:rPr>
        <w:t>压力上升时间</w:t>
      </w:r>
      <w:r>
        <w:rPr>
          <w:rFonts w:hint="eastAsia" w:ascii="宋体" w:hAnsi="宋体" w:cs="宋体"/>
          <w:color w:val="auto"/>
          <w:szCs w:val="21"/>
          <w:highlight w:val="none"/>
          <w:lang w:val="fr-FR"/>
        </w:rPr>
        <w:t>(Slope) ：</w:t>
      </w:r>
      <w:r>
        <w:rPr>
          <w:rFonts w:hint="eastAsia" w:ascii="宋体" w:hAnsi="宋体" w:cs="宋体"/>
          <w:color w:val="auto"/>
          <w:szCs w:val="21"/>
          <w:highlight w:val="none"/>
          <w:lang w:val="zh-TW"/>
        </w:rPr>
        <w:t>新生儿</w:t>
      </w:r>
      <w:r>
        <w:rPr>
          <w:rFonts w:hint="eastAsia" w:ascii="宋体" w:hAnsi="宋体" w:cs="宋体"/>
          <w:color w:val="auto"/>
          <w:szCs w:val="21"/>
          <w:highlight w:val="none"/>
          <w:lang w:val="fr-FR"/>
        </w:rPr>
        <w:t xml:space="preserve"> 0 to 1.5s ；</w:t>
      </w:r>
      <w:r>
        <w:rPr>
          <w:rFonts w:hint="eastAsia" w:ascii="宋体" w:hAnsi="宋体" w:cs="宋体"/>
          <w:color w:val="auto"/>
          <w:szCs w:val="21"/>
          <w:highlight w:val="none"/>
          <w:lang w:val="zh-TW"/>
        </w:rPr>
        <w:t>儿童</w:t>
      </w:r>
      <w:r>
        <w:rPr>
          <w:rFonts w:hint="eastAsia" w:ascii="宋体" w:hAnsi="宋体" w:cs="宋体"/>
          <w:color w:val="auto"/>
          <w:szCs w:val="21"/>
          <w:highlight w:val="none"/>
          <w:lang w:val="fr-FR"/>
        </w:rPr>
        <w:t xml:space="preserve">0 to 2s  </w:t>
      </w:r>
    </w:p>
    <w:p>
      <w:pPr>
        <w:spacing w:line="360" w:lineRule="auto"/>
        <w:rPr>
          <w:rFonts w:ascii="宋体" w:hAnsi="宋体" w:cs="宋体"/>
          <w:color w:val="auto"/>
          <w:szCs w:val="21"/>
          <w:highlight w:val="none"/>
          <w:lang w:val="fr-FR"/>
        </w:rPr>
      </w:pPr>
      <w:r>
        <w:rPr>
          <w:rFonts w:hint="eastAsia" w:ascii="宋体" w:hAnsi="宋体" w:cs="宋体"/>
          <w:color w:val="auto"/>
          <w:szCs w:val="21"/>
          <w:highlight w:val="none"/>
          <w:lang w:val="fr-FR"/>
        </w:rPr>
        <w:t>3.6</w:t>
      </w:r>
      <w:r>
        <w:rPr>
          <w:rFonts w:hint="eastAsia" w:ascii="宋体" w:hAnsi="宋体" w:cs="宋体"/>
          <w:color w:val="auto"/>
          <w:szCs w:val="21"/>
          <w:highlight w:val="none"/>
          <w:lang w:val="zh-TW"/>
        </w:rPr>
        <w:t>氧浓度</w:t>
      </w:r>
      <w:r>
        <w:rPr>
          <w:rFonts w:hint="eastAsia" w:ascii="宋体" w:hAnsi="宋体" w:cs="宋体"/>
          <w:color w:val="auto"/>
          <w:szCs w:val="21"/>
          <w:highlight w:val="none"/>
          <w:lang w:val="fr-FR"/>
        </w:rPr>
        <w:t xml:space="preserve">(FiO2) 21 to 100%Vol% </w:t>
      </w:r>
    </w:p>
    <w:p>
      <w:pPr>
        <w:spacing w:line="360" w:lineRule="auto"/>
        <w:rPr>
          <w:rFonts w:ascii="宋体" w:hAnsi="宋体" w:cs="宋体"/>
          <w:color w:val="auto"/>
          <w:szCs w:val="21"/>
          <w:highlight w:val="none"/>
          <w:lang w:val="fr-FR"/>
        </w:rPr>
      </w:pPr>
      <w:r>
        <w:rPr>
          <w:rFonts w:hint="eastAsia" w:ascii="宋体" w:hAnsi="宋体" w:cs="宋体"/>
          <w:color w:val="auto"/>
          <w:szCs w:val="21"/>
          <w:highlight w:val="none"/>
          <w:lang w:val="fr-FR"/>
        </w:rPr>
        <w:t>3.7</w:t>
      </w:r>
      <w:r>
        <w:rPr>
          <w:rFonts w:hint="eastAsia" w:ascii="宋体" w:hAnsi="宋体" w:cs="宋体"/>
          <w:color w:val="auto"/>
          <w:szCs w:val="21"/>
          <w:highlight w:val="none"/>
          <w:lang w:val="zh-TW"/>
        </w:rPr>
        <w:t>流速触发灵敏度</w:t>
      </w:r>
      <w:r>
        <w:rPr>
          <w:rFonts w:hint="eastAsia" w:ascii="宋体" w:hAnsi="宋体" w:cs="宋体"/>
          <w:color w:val="auto"/>
          <w:szCs w:val="21"/>
          <w:highlight w:val="none"/>
          <w:lang w:val="fr-FR"/>
        </w:rPr>
        <w:t xml:space="preserve">(Flow trigger) 0.2 to 15 L/min </w:t>
      </w:r>
    </w:p>
    <w:p>
      <w:pPr>
        <w:spacing w:line="360" w:lineRule="auto"/>
        <w:rPr>
          <w:rFonts w:ascii="宋体" w:hAnsi="宋体" w:cs="宋体"/>
          <w:color w:val="auto"/>
          <w:szCs w:val="21"/>
          <w:highlight w:val="none"/>
          <w:lang w:val="fr-FR"/>
        </w:rPr>
      </w:pPr>
      <w:r>
        <w:rPr>
          <w:rFonts w:hint="eastAsia" w:ascii="宋体" w:hAnsi="宋体" w:cs="宋体"/>
          <w:color w:val="auto"/>
          <w:szCs w:val="21"/>
          <w:highlight w:val="none"/>
          <w:lang w:val="fr-FR"/>
        </w:rPr>
        <w:t>4</w:t>
      </w:r>
      <w:r>
        <w:rPr>
          <w:rFonts w:hint="eastAsia" w:ascii="宋体" w:hAnsi="宋体" w:cs="宋体"/>
          <w:color w:val="auto"/>
          <w:szCs w:val="21"/>
          <w:highlight w:val="none"/>
          <w:lang w:val="zh-TW"/>
        </w:rPr>
        <w:t>、可升级可视化肺视图功能或叫座舱</w:t>
      </w:r>
      <w:r>
        <w:rPr>
          <w:rFonts w:hint="eastAsia" w:ascii="宋体" w:hAnsi="宋体" w:cs="宋体"/>
          <w:color w:val="auto"/>
          <w:szCs w:val="21"/>
          <w:highlight w:val="none"/>
          <w:lang w:val="fr-FR"/>
        </w:rPr>
        <w:t>，</w:t>
      </w:r>
      <w:r>
        <w:rPr>
          <w:rFonts w:hint="eastAsia" w:ascii="宋体" w:hAnsi="宋体" w:cs="宋体"/>
          <w:color w:val="auto"/>
          <w:szCs w:val="21"/>
          <w:highlight w:val="none"/>
          <w:lang w:val="zh-TW"/>
        </w:rPr>
        <w:t>将患者的气道压力、顺应性、自主呼吸、机控呼吸通过图形模拟成一个直观的肺视图</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5、至少具备以下监测参数：</w:t>
      </w:r>
    </w:p>
    <w:p>
      <w:pPr>
        <w:spacing w:line="360" w:lineRule="auto"/>
        <w:rPr>
          <w:rFonts w:ascii="宋体" w:hAnsi="宋体" w:cs="宋体"/>
          <w:color w:val="auto"/>
          <w:szCs w:val="21"/>
          <w:highlight w:val="none"/>
          <w:lang w:val="zh-TW" w:eastAsia="zh-TW"/>
        </w:rPr>
      </w:pPr>
      <w:r>
        <w:rPr>
          <w:rFonts w:hint="eastAsia" w:ascii="宋体" w:hAnsi="宋体" w:cs="宋体"/>
          <w:color w:val="auto"/>
          <w:szCs w:val="21"/>
          <w:highlight w:val="none"/>
          <w:lang w:val="zh-TW" w:eastAsia="zh-TW"/>
        </w:rPr>
        <w:t>5.1. 气道压力监测：平台压 Pplat、呼气末正压 PEEP、最大吸气压 PIP、平均气道压 Pmean、均气道压Pmin、范围 -60 到 120 mbar (or hPa or cmH2O)</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 xml:space="preserve">5.2. 流量监测: 潮气量监测范围 0 to 5500 mL; 分钟通气量监测范围 0 to 99 L/min </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5.3. 氧浓度监测。范围18到 100 Vol.-%</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5.4. 顺应性 C。范围0 到 650 mL/mbar</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5.5阻力 R。范围0 to 1000 mbar/ (L/s)</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5.6分钟泄漏量。范围0 to 99 L/min</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 xml:space="preserve">5.7. 波形显示：压力时间波形；流速时间波形；容量时间波形 </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5.8.具备</w:t>
      </w:r>
      <w:r>
        <w:rPr>
          <w:rFonts w:hint="eastAsia" w:ascii="Calibri" w:hAnsi="Calibri"/>
          <w:color w:val="auto"/>
          <w:sz w:val="28"/>
          <w:szCs w:val="32"/>
          <w:highlight w:val="none"/>
        </w:rPr>
        <w:t>≥</w:t>
      </w:r>
      <w:r>
        <w:rPr>
          <w:rFonts w:hint="eastAsia" w:ascii="宋体" w:hAnsi="宋体" w:cs="宋体"/>
          <w:color w:val="auto"/>
          <w:szCs w:val="21"/>
          <w:highlight w:val="none"/>
          <w:lang w:val="zh-TW"/>
        </w:rPr>
        <w:t>2个呼吸环图的监测</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★5.9可同屏显示趋势图标、波形和监测参数</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6、报警监测至少包括：分钟通气量、气道压力、吸氧浓度、呼吸频率、潮气量、窒息时间等</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7、系统内置电子说明书</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rPr>
        <w:t>8、具备报警索引，系统可链接报警产生原因及处理办法。</w:t>
      </w:r>
    </w:p>
    <w:p>
      <w:pPr>
        <w:spacing w:line="360" w:lineRule="auto"/>
        <w:jc w:val="center"/>
        <w:rPr>
          <w:rFonts w:ascii="宋体" w:hAnsi="宋体" w:cs="宋体"/>
          <w:b/>
          <w:bCs/>
          <w:color w:val="auto"/>
          <w:sz w:val="24"/>
          <w:highlight w:val="none"/>
        </w:rPr>
      </w:pPr>
    </w:p>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8-2  呼吸机-2</w:t>
      </w:r>
    </w:p>
    <w:p>
      <w:pPr>
        <w:spacing w:line="360" w:lineRule="auto"/>
        <w:rPr>
          <w:rFonts w:ascii="宋体" w:hAnsi="宋体" w:cs="宋体"/>
          <w:color w:val="auto"/>
          <w:szCs w:val="21"/>
          <w:highlight w:val="none"/>
          <w:lang w:val="zh-TW"/>
        </w:rPr>
      </w:pPr>
      <w:r>
        <w:rPr>
          <w:rFonts w:hint="eastAsia" w:ascii="宋体"/>
          <w:color w:val="auto"/>
          <w:szCs w:val="21"/>
          <w:highlight w:val="none"/>
        </w:rPr>
        <w:t>1</w:t>
      </w:r>
      <w:r>
        <w:rPr>
          <w:rFonts w:hint="eastAsia" w:ascii="宋体" w:hAnsi="宋体" w:cs="宋体"/>
          <w:color w:val="auto"/>
          <w:szCs w:val="21"/>
          <w:highlight w:val="none"/>
          <w:lang w:val="zh-TW"/>
        </w:rPr>
        <w:t>、气动电控呼吸机，适用于对成人、小儿和婴幼儿患者进行通气辅助及呼吸支持的呼吸机，中文操作界面。</w:t>
      </w:r>
    </w:p>
    <w:p>
      <w:pPr>
        <w:spacing w:line="360" w:lineRule="auto"/>
        <w:rPr>
          <w:rFonts w:ascii="宋体" w:hAnsi="宋体" w:cs="宋体"/>
          <w:color w:val="auto"/>
          <w:szCs w:val="21"/>
          <w:highlight w:val="none"/>
          <w:lang w:val="zh-TW"/>
        </w:rPr>
      </w:pPr>
      <w:r>
        <w:rPr>
          <w:rFonts w:hint="eastAsia" w:ascii="宋体" w:hAnsi="宋体" w:cs="宋体"/>
          <w:color w:val="auto"/>
          <w:szCs w:val="21"/>
          <w:highlight w:val="none"/>
          <w:lang w:val="zh-TW" w:eastAsia="zh-TW"/>
        </w:rPr>
        <w:t>2、采用</w:t>
      </w:r>
      <w:r>
        <w:rPr>
          <w:rFonts w:hint="eastAsia"/>
          <w:color w:val="auto"/>
          <w:highlight w:val="none"/>
          <w:lang w:eastAsia="zh-TW"/>
        </w:rPr>
        <w:t>≥</w:t>
      </w:r>
      <w:r>
        <w:rPr>
          <w:rFonts w:hint="eastAsia" w:ascii="宋体" w:hAnsi="宋体" w:cs="宋体"/>
          <w:color w:val="auto"/>
          <w:szCs w:val="21"/>
          <w:highlight w:val="none"/>
          <w:lang w:val="zh-TW" w:eastAsia="zh-TW"/>
        </w:rPr>
        <w:t>15.5英寸彩色TFT触摸控制屏幕，分辨率≥1920*1080。</w:t>
      </w:r>
      <w:r>
        <w:rPr>
          <w:rFonts w:hint="eastAsia" w:ascii="宋体" w:hAnsi="宋体" w:cs="宋体"/>
          <w:color w:val="auto"/>
          <w:szCs w:val="21"/>
          <w:highlight w:val="none"/>
          <w:lang w:val="zh-TW"/>
        </w:rPr>
        <w:t>屏幕显示多至5道波形同屏显示，可提供≥4种环图，支持呼吸环、波形和监测参数同屏显示；支持短趋势、波形、监测值同屏显示。</w:t>
      </w:r>
    </w:p>
    <w:p>
      <w:pPr>
        <w:spacing w:line="360" w:lineRule="auto"/>
        <w:rPr>
          <w:rFonts w:ascii="宋体"/>
          <w:color w:val="auto"/>
          <w:szCs w:val="21"/>
          <w:highlight w:val="none"/>
        </w:rPr>
      </w:pPr>
      <w:r>
        <w:rPr>
          <w:rFonts w:hint="eastAsia" w:ascii="宋体"/>
          <w:color w:val="auto"/>
          <w:szCs w:val="21"/>
          <w:highlight w:val="none"/>
        </w:rPr>
        <w:t>3</w:t>
      </w:r>
      <w:r>
        <w:rPr>
          <w:rFonts w:hint="eastAsia" w:ascii="宋体" w:hAnsi="宋体" w:cs="宋体"/>
          <w:color w:val="auto"/>
          <w:szCs w:val="21"/>
          <w:highlight w:val="none"/>
          <w:lang w:val="zh-TW"/>
        </w:rPr>
        <w:t>、</w:t>
      </w:r>
      <w:r>
        <w:rPr>
          <w:rFonts w:hint="eastAsia" w:ascii="宋体"/>
          <w:color w:val="auto"/>
          <w:szCs w:val="21"/>
          <w:highlight w:val="none"/>
        </w:rPr>
        <w:t>配备备用空气气源，可在断气断电状态下继续工作,具备实时气源压力电子显示。</w:t>
      </w:r>
    </w:p>
    <w:p>
      <w:pPr>
        <w:spacing w:line="360" w:lineRule="auto"/>
        <w:rPr>
          <w:rFonts w:ascii="宋体"/>
          <w:color w:val="auto"/>
          <w:szCs w:val="21"/>
          <w:highlight w:val="none"/>
        </w:rPr>
      </w:pPr>
      <w:r>
        <w:rPr>
          <w:rFonts w:hint="eastAsia" w:ascii="宋体"/>
          <w:color w:val="auto"/>
          <w:szCs w:val="21"/>
          <w:highlight w:val="none"/>
        </w:rPr>
        <w:t>4</w:t>
      </w:r>
      <w:r>
        <w:rPr>
          <w:rFonts w:hint="eastAsia" w:ascii="宋体" w:hAnsi="宋体" w:cs="宋体"/>
          <w:color w:val="auto"/>
          <w:szCs w:val="21"/>
          <w:highlight w:val="none"/>
          <w:lang w:val="zh-TW"/>
        </w:rPr>
        <w:t>、</w:t>
      </w:r>
      <w:r>
        <w:rPr>
          <w:rFonts w:hint="eastAsia" w:ascii="宋体"/>
          <w:color w:val="auto"/>
          <w:szCs w:val="21"/>
          <w:highlight w:val="none"/>
        </w:rPr>
        <w:t>可监测参数≥96h的趋势图、表分析</w:t>
      </w:r>
      <w:r>
        <w:rPr>
          <w:rFonts w:hint="eastAsia" w:ascii="Calibri" w:hAnsi="Calibri"/>
          <w:color w:val="auto"/>
          <w:sz w:val="28"/>
          <w:szCs w:val="32"/>
          <w:highlight w:val="none"/>
        </w:rPr>
        <w:t>≥</w:t>
      </w:r>
      <w:r>
        <w:rPr>
          <w:rFonts w:hint="eastAsia" w:ascii="宋体"/>
          <w:color w:val="auto"/>
          <w:szCs w:val="21"/>
          <w:highlight w:val="none"/>
        </w:rPr>
        <w:t>5000条报警和操作日志记录，病人信息，当前的设置参数、报警限和趋势，日志等数据可导出，并具备截屏U盘导出功能（可缓存10张以上截屏文件）</w:t>
      </w:r>
    </w:p>
    <w:p>
      <w:pPr>
        <w:spacing w:line="360" w:lineRule="auto"/>
        <w:rPr>
          <w:rFonts w:ascii="宋体"/>
          <w:color w:val="auto"/>
          <w:szCs w:val="21"/>
          <w:highlight w:val="none"/>
        </w:rPr>
      </w:pPr>
      <w:r>
        <w:rPr>
          <w:rFonts w:hint="eastAsia" w:ascii="宋体"/>
          <w:color w:val="auto"/>
          <w:szCs w:val="21"/>
          <w:highlight w:val="none"/>
        </w:rPr>
        <w:t>5</w:t>
      </w:r>
      <w:r>
        <w:rPr>
          <w:rFonts w:hint="eastAsia" w:ascii="宋体" w:hAnsi="宋体" w:cs="宋体"/>
          <w:color w:val="auto"/>
          <w:szCs w:val="21"/>
          <w:highlight w:val="none"/>
          <w:lang w:val="zh-TW"/>
        </w:rPr>
        <w:t>、</w:t>
      </w:r>
      <w:r>
        <w:rPr>
          <w:rFonts w:hint="eastAsia" w:ascii="宋体"/>
          <w:color w:val="auto"/>
          <w:szCs w:val="21"/>
          <w:highlight w:val="none"/>
        </w:rPr>
        <w:t>吸气安全阀组件可拆卸，并能高温高压蒸汽消毒（134℃），以防止交叉感染。呼气阀组件一体化设计，内置金属膜片流量传感器，精度高，寿命长，并能高温高压蒸汽消毒（134℃），以防止交叉感染。</w:t>
      </w:r>
    </w:p>
    <w:p>
      <w:pPr>
        <w:spacing w:line="360" w:lineRule="auto"/>
        <w:rPr>
          <w:rFonts w:ascii="宋体"/>
          <w:color w:val="auto"/>
          <w:szCs w:val="21"/>
          <w:highlight w:val="none"/>
        </w:rPr>
      </w:pPr>
      <w:r>
        <w:rPr>
          <w:rFonts w:hint="eastAsia" w:ascii="宋体"/>
          <w:color w:val="auto"/>
          <w:szCs w:val="21"/>
          <w:highlight w:val="none"/>
        </w:rPr>
        <w:t>6</w:t>
      </w:r>
      <w:r>
        <w:rPr>
          <w:rFonts w:hint="eastAsia" w:ascii="宋体" w:hAnsi="宋体" w:cs="宋体"/>
          <w:color w:val="auto"/>
          <w:szCs w:val="21"/>
          <w:highlight w:val="none"/>
          <w:lang w:val="zh-TW"/>
        </w:rPr>
        <w:t>、</w:t>
      </w:r>
      <w:r>
        <w:rPr>
          <w:rFonts w:hint="eastAsia" w:ascii="宋体"/>
          <w:color w:val="auto"/>
          <w:szCs w:val="21"/>
          <w:highlight w:val="none"/>
        </w:rPr>
        <w:t>配旁流CO2监测，采用模块化设计，可兼容同品牌监护仪.</w:t>
      </w:r>
    </w:p>
    <w:p>
      <w:pPr>
        <w:spacing w:line="360" w:lineRule="auto"/>
        <w:rPr>
          <w:rFonts w:ascii="宋体"/>
          <w:color w:val="auto"/>
          <w:szCs w:val="21"/>
          <w:highlight w:val="none"/>
        </w:rPr>
      </w:pPr>
      <w:r>
        <w:rPr>
          <w:rFonts w:hint="eastAsia" w:ascii="宋体"/>
          <w:color w:val="auto"/>
          <w:szCs w:val="21"/>
          <w:highlight w:val="none"/>
        </w:rPr>
        <w:t>7</w:t>
      </w:r>
      <w:r>
        <w:rPr>
          <w:rFonts w:hint="eastAsia" w:ascii="宋体" w:hAnsi="宋体" w:cs="宋体"/>
          <w:color w:val="auto"/>
          <w:szCs w:val="21"/>
          <w:highlight w:val="none"/>
          <w:lang w:val="zh-TW"/>
        </w:rPr>
        <w:t>、</w:t>
      </w:r>
      <w:r>
        <w:rPr>
          <w:rFonts w:hint="eastAsia" w:ascii="宋体"/>
          <w:color w:val="auto"/>
          <w:szCs w:val="21"/>
          <w:highlight w:val="none"/>
        </w:rPr>
        <w:t>配主流CO2监测，同时监测气道死腔VDaw 和肺泡通气量Vtalv 等参数，可以监测容积-二氧化碳图；可进行肺泡通气计算.</w:t>
      </w:r>
    </w:p>
    <w:p>
      <w:pPr>
        <w:spacing w:line="360" w:lineRule="auto"/>
        <w:rPr>
          <w:rFonts w:ascii="宋体"/>
          <w:color w:val="auto"/>
          <w:szCs w:val="21"/>
          <w:highlight w:val="none"/>
        </w:rPr>
      </w:pPr>
      <w:r>
        <w:rPr>
          <w:rFonts w:hint="eastAsia" w:ascii="宋体"/>
          <w:color w:val="auto"/>
          <w:szCs w:val="21"/>
          <w:highlight w:val="none"/>
        </w:rPr>
        <w:t>8</w:t>
      </w:r>
      <w:r>
        <w:rPr>
          <w:rFonts w:hint="eastAsia" w:ascii="宋体" w:hAnsi="宋体" w:cs="宋体"/>
          <w:color w:val="auto"/>
          <w:szCs w:val="21"/>
          <w:highlight w:val="none"/>
          <w:lang w:val="zh-TW"/>
        </w:rPr>
        <w:t>、</w:t>
      </w:r>
      <w:r>
        <w:rPr>
          <w:rFonts w:hint="eastAsia" w:ascii="宋体"/>
          <w:color w:val="auto"/>
          <w:szCs w:val="21"/>
          <w:highlight w:val="none"/>
        </w:rPr>
        <w:t>配SpO2监测，提供SpO2和PR监测值，提供脉搏波，采用模块化设计，可兼容同品牌监护仪。</w:t>
      </w:r>
    </w:p>
    <w:p>
      <w:pPr>
        <w:spacing w:line="360" w:lineRule="auto"/>
        <w:rPr>
          <w:rFonts w:ascii="宋体"/>
          <w:color w:val="auto"/>
          <w:szCs w:val="21"/>
          <w:highlight w:val="none"/>
        </w:rPr>
      </w:pPr>
      <w:r>
        <w:rPr>
          <w:rFonts w:hint="eastAsia" w:ascii="宋体"/>
          <w:color w:val="auto"/>
          <w:szCs w:val="21"/>
          <w:highlight w:val="none"/>
        </w:rPr>
        <w:t>9</w:t>
      </w:r>
      <w:r>
        <w:rPr>
          <w:rFonts w:hint="eastAsia" w:ascii="宋体" w:hAnsi="宋体" w:cs="宋体"/>
          <w:color w:val="auto"/>
          <w:szCs w:val="21"/>
          <w:highlight w:val="none"/>
          <w:lang w:val="zh-TW"/>
        </w:rPr>
        <w:t>、</w:t>
      </w:r>
      <w:r>
        <w:rPr>
          <w:rFonts w:hint="eastAsia" w:ascii="宋体"/>
          <w:color w:val="auto"/>
          <w:szCs w:val="21"/>
          <w:highlight w:val="none"/>
        </w:rPr>
        <w:t>配顺磁氧</w:t>
      </w:r>
    </w:p>
    <w:p>
      <w:pPr>
        <w:spacing w:line="360" w:lineRule="auto"/>
        <w:rPr>
          <w:rFonts w:ascii="宋体"/>
          <w:color w:val="auto"/>
          <w:szCs w:val="21"/>
          <w:highlight w:val="none"/>
        </w:rPr>
      </w:pPr>
      <w:r>
        <w:rPr>
          <w:rFonts w:hint="eastAsia" w:ascii="宋体"/>
          <w:color w:val="auto"/>
          <w:szCs w:val="21"/>
          <w:highlight w:val="none"/>
        </w:rPr>
        <w:t>10</w:t>
      </w:r>
      <w:r>
        <w:rPr>
          <w:rFonts w:hint="eastAsia" w:ascii="宋体" w:hAnsi="宋体" w:cs="宋体"/>
          <w:color w:val="auto"/>
          <w:szCs w:val="21"/>
          <w:highlight w:val="none"/>
          <w:lang w:val="zh-TW"/>
        </w:rPr>
        <w:t>、</w:t>
      </w:r>
      <w:r>
        <w:rPr>
          <w:rFonts w:hint="eastAsia" w:ascii="宋体"/>
          <w:color w:val="auto"/>
          <w:szCs w:val="21"/>
          <w:highlight w:val="none"/>
        </w:rPr>
        <w:t>具备图形化显示肺部阻力、顺应性和自主呼吸等生理参数变化。</w:t>
      </w:r>
    </w:p>
    <w:p>
      <w:pPr>
        <w:spacing w:line="360" w:lineRule="auto"/>
        <w:rPr>
          <w:rFonts w:ascii="宋体"/>
          <w:color w:val="auto"/>
          <w:szCs w:val="21"/>
          <w:highlight w:val="none"/>
        </w:rPr>
      </w:pPr>
      <w:r>
        <w:rPr>
          <w:rFonts w:hint="eastAsia" w:ascii="宋体"/>
          <w:color w:val="auto"/>
          <w:szCs w:val="21"/>
          <w:highlight w:val="none"/>
        </w:rPr>
        <w:t>11</w:t>
      </w:r>
      <w:r>
        <w:rPr>
          <w:rFonts w:hint="eastAsia" w:ascii="宋体" w:hAnsi="宋体" w:cs="宋体"/>
          <w:color w:val="auto"/>
          <w:szCs w:val="21"/>
          <w:highlight w:val="none"/>
          <w:lang w:val="zh-TW"/>
        </w:rPr>
        <w:t>、</w:t>
      </w:r>
      <w:r>
        <w:rPr>
          <w:rFonts w:hint="eastAsia" w:ascii="宋体"/>
          <w:color w:val="auto"/>
          <w:szCs w:val="21"/>
          <w:highlight w:val="none"/>
        </w:rPr>
        <w:t>潮气量：20ml—4000ml</w:t>
      </w:r>
    </w:p>
    <w:p>
      <w:pPr>
        <w:spacing w:line="360" w:lineRule="auto"/>
        <w:rPr>
          <w:rFonts w:ascii="宋体"/>
          <w:color w:val="auto"/>
          <w:szCs w:val="21"/>
          <w:highlight w:val="none"/>
        </w:rPr>
      </w:pPr>
      <w:r>
        <w:rPr>
          <w:rFonts w:hint="eastAsia" w:ascii="宋体"/>
          <w:color w:val="auto"/>
          <w:szCs w:val="21"/>
          <w:highlight w:val="none"/>
        </w:rPr>
        <w:t> 压力触发灵敏度：-20 —- 0.5cmH2O，或 OFF</w:t>
      </w:r>
    </w:p>
    <w:p>
      <w:pPr>
        <w:spacing w:line="360" w:lineRule="auto"/>
        <w:rPr>
          <w:rFonts w:ascii="宋体"/>
          <w:color w:val="auto"/>
          <w:szCs w:val="21"/>
          <w:highlight w:val="none"/>
        </w:rPr>
      </w:pPr>
      <w:r>
        <w:rPr>
          <w:rFonts w:hint="eastAsia" w:ascii="宋体"/>
          <w:color w:val="auto"/>
          <w:szCs w:val="21"/>
          <w:highlight w:val="none"/>
        </w:rPr>
        <w:t>流速触发灵敏度：0.5—20L/ min，或 OFF</w:t>
      </w:r>
    </w:p>
    <w:p>
      <w:pPr>
        <w:spacing w:line="360" w:lineRule="auto"/>
        <w:rPr>
          <w:rFonts w:ascii="宋体"/>
          <w:color w:val="auto"/>
          <w:szCs w:val="21"/>
          <w:highlight w:val="none"/>
        </w:rPr>
      </w:pPr>
      <w:r>
        <w:rPr>
          <w:rFonts w:hint="eastAsia" w:ascii="宋体"/>
          <w:color w:val="auto"/>
          <w:szCs w:val="21"/>
          <w:highlight w:val="none"/>
        </w:rPr>
        <w:t>12</w:t>
      </w:r>
      <w:r>
        <w:rPr>
          <w:rFonts w:hint="eastAsia" w:ascii="宋体" w:hAnsi="宋体" w:cs="宋体"/>
          <w:color w:val="auto"/>
          <w:szCs w:val="21"/>
          <w:highlight w:val="none"/>
          <w:lang w:val="zh-TW"/>
        </w:rPr>
        <w:t>、</w:t>
      </w:r>
      <w:r>
        <w:rPr>
          <w:rFonts w:hint="eastAsia" w:ascii="宋体"/>
          <w:color w:val="auto"/>
          <w:szCs w:val="21"/>
          <w:highlight w:val="none"/>
        </w:rPr>
        <w:t>具有智能同步技术，可以将呼气触发灵敏度设置为【Auto】，自动调节至最佳值，提高人机同步。或者在5%~85%范围内手动灵活调节。</w:t>
      </w:r>
    </w:p>
    <w:p>
      <w:pPr>
        <w:spacing w:line="360" w:lineRule="auto"/>
        <w:rPr>
          <w:rFonts w:ascii="宋体"/>
          <w:color w:val="auto"/>
          <w:szCs w:val="21"/>
          <w:highlight w:val="none"/>
        </w:rPr>
      </w:pPr>
      <w:r>
        <w:rPr>
          <w:rFonts w:hint="eastAsia" w:ascii="宋体"/>
          <w:color w:val="auto"/>
          <w:szCs w:val="21"/>
          <w:highlight w:val="none"/>
        </w:rPr>
        <w:t>13</w:t>
      </w:r>
      <w:r>
        <w:rPr>
          <w:rFonts w:hint="eastAsia" w:ascii="宋体" w:hAnsi="宋体" w:cs="宋体"/>
          <w:color w:val="auto"/>
          <w:szCs w:val="21"/>
          <w:highlight w:val="none"/>
          <w:lang w:val="zh-TW"/>
        </w:rPr>
        <w:t>、</w:t>
      </w:r>
      <w:r>
        <w:rPr>
          <w:rFonts w:hint="eastAsia" w:ascii="宋体"/>
          <w:color w:val="auto"/>
          <w:szCs w:val="21"/>
          <w:highlight w:val="none"/>
        </w:rPr>
        <w:t>标配无创模式：CPAP-PSV、P-A/C、 PSV-ST；</w:t>
      </w:r>
    </w:p>
    <w:p>
      <w:pPr>
        <w:spacing w:line="360" w:lineRule="auto"/>
        <w:rPr>
          <w:rFonts w:ascii="宋体"/>
          <w:color w:val="auto"/>
          <w:szCs w:val="21"/>
          <w:highlight w:val="none"/>
        </w:rPr>
      </w:pPr>
      <w:r>
        <w:rPr>
          <w:rFonts w:hint="eastAsia" w:ascii="宋体"/>
          <w:color w:val="auto"/>
          <w:szCs w:val="21"/>
          <w:highlight w:val="none"/>
        </w:rPr>
        <w:t>14</w:t>
      </w:r>
      <w:r>
        <w:rPr>
          <w:rFonts w:hint="eastAsia" w:ascii="宋体" w:hAnsi="宋体" w:cs="宋体"/>
          <w:color w:val="auto"/>
          <w:szCs w:val="21"/>
          <w:highlight w:val="none"/>
          <w:lang w:val="zh-TW"/>
        </w:rPr>
        <w:t>、</w:t>
      </w:r>
      <w:r>
        <w:rPr>
          <w:rFonts w:hint="eastAsia" w:ascii="宋体"/>
          <w:color w:val="auto"/>
          <w:szCs w:val="21"/>
          <w:highlight w:val="none"/>
        </w:rPr>
        <w:t>标配氧疗功能，可以调节氧疗流速（2~60L/min）和氧浓度。</w:t>
      </w:r>
    </w:p>
    <w:p>
      <w:pPr>
        <w:spacing w:line="360" w:lineRule="auto"/>
        <w:rPr>
          <w:rFonts w:ascii="宋体"/>
          <w:color w:val="auto"/>
          <w:szCs w:val="21"/>
          <w:highlight w:val="none"/>
        </w:rPr>
      </w:pPr>
      <w:r>
        <w:rPr>
          <w:rFonts w:hint="eastAsia" w:ascii="宋体"/>
          <w:color w:val="auto"/>
          <w:szCs w:val="21"/>
          <w:highlight w:val="none"/>
        </w:rPr>
        <w:t>15</w:t>
      </w:r>
      <w:r>
        <w:rPr>
          <w:rFonts w:hint="eastAsia" w:ascii="宋体" w:hAnsi="宋体" w:cs="宋体"/>
          <w:color w:val="auto"/>
          <w:szCs w:val="21"/>
          <w:highlight w:val="none"/>
          <w:lang w:val="zh-TW"/>
        </w:rPr>
        <w:t>、</w:t>
      </w:r>
      <w:r>
        <w:rPr>
          <w:rFonts w:hint="eastAsia" w:ascii="宋体"/>
          <w:color w:val="auto"/>
          <w:szCs w:val="21"/>
          <w:highlight w:val="none"/>
        </w:rPr>
        <w:t>配备脱机功能，用户可定制脱机指征，提供信息全面的脱机功能看板，一键启动SBT，规范脱机流程；配备肺复张功能，提供控制性肺膨胀法（SI）进行肺复张。</w:t>
      </w:r>
    </w:p>
    <w:p>
      <w:pPr>
        <w:spacing w:line="360" w:lineRule="auto"/>
        <w:rPr>
          <w:rFonts w:ascii="宋体"/>
          <w:color w:val="auto"/>
          <w:szCs w:val="21"/>
          <w:highlight w:val="none"/>
        </w:rPr>
      </w:pPr>
      <w:r>
        <w:rPr>
          <w:rFonts w:hint="eastAsia" w:ascii="宋体"/>
          <w:color w:val="auto"/>
          <w:szCs w:val="21"/>
          <w:highlight w:val="none"/>
        </w:rPr>
        <w:t>16</w:t>
      </w:r>
      <w:r>
        <w:rPr>
          <w:rFonts w:hint="eastAsia" w:ascii="宋体" w:hAnsi="宋体" w:cs="宋体"/>
          <w:color w:val="auto"/>
          <w:szCs w:val="21"/>
          <w:highlight w:val="none"/>
          <w:lang w:val="zh-TW"/>
        </w:rPr>
        <w:t>、</w:t>
      </w:r>
      <w:r>
        <w:rPr>
          <w:rFonts w:hint="eastAsia" w:ascii="宋体"/>
          <w:color w:val="auto"/>
          <w:szCs w:val="21"/>
          <w:highlight w:val="none"/>
        </w:rPr>
        <w:t>可选波形显示：压力/时间、流速/时间、容量/时间，二氧化碳/时间，脉搏波/时间。</w:t>
      </w:r>
    </w:p>
    <w:p>
      <w:pPr>
        <w:spacing w:line="360" w:lineRule="auto"/>
        <w:rPr>
          <w:rFonts w:ascii="宋体"/>
          <w:color w:val="auto"/>
          <w:szCs w:val="21"/>
          <w:highlight w:val="none"/>
        </w:rPr>
      </w:pPr>
      <w:r>
        <w:rPr>
          <w:rFonts w:hint="eastAsia" w:ascii="宋体"/>
          <w:color w:val="auto"/>
          <w:szCs w:val="21"/>
          <w:highlight w:val="none"/>
        </w:rPr>
        <w:t>17</w:t>
      </w:r>
      <w:r>
        <w:rPr>
          <w:rFonts w:hint="eastAsia" w:ascii="宋体" w:hAnsi="宋体" w:cs="宋体"/>
          <w:color w:val="auto"/>
          <w:szCs w:val="21"/>
          <w:highlight w:val="none"/>
          <w:lang w:val="zh-TW"/>
        </w:rPr>
        <w:t>、</w:t>
      </w:r>
      <w:r>
        <w:rPr>
          <w:rFonts w:hint="eastAsia" w:ascii="宋体"/>
          <w:color w:val="auto"/>
          <w:szCs w:val="21"/>
          <w:highlight w:val="none"/>
        </w:rPr>
        <w:t>监测参数：</w:t>
      </w:r>
    </w:p>
    <w:p>
      <w:pPr>
        <w:spacing w:line="360" w:lineRule="auto"/>
        <w:rPr>
          <w:rFonts w:ascii="宋体"/>
          <w:color w:val="auto"/>
          <w:szCs w:val="21"/>
          <w:highlight w:val="none"/>
        </w:rPr>
      </w:pPr>
      <w:r>
        <w:rPr>
          <w:rFonts w:hint="eastAsia" w:ascii="宋体"/>
          <w:color w:val="auto"/>
          <w:szCs w:val="21"/>
          <w:highlight w:val="none"/>
        </w:rPr>
        <w:t>17.1实时监测 肺的力学：吸气阻力、呼气阻力、静态顺应性、动态顺应性、时间常数、呼吸功的监测；</w:t>
      </w:r>
    </w:p>
    <w:p>
      <w:pPr>
        <w:spacing w:line="360" w:lineRule="auto"/>
        <w:rPr>
          <w:rFonts w:ascii="宋体"/>
          <w:color w:val="auto"/>
          <w:szCs w:val="21"/>
          <w:highlight w:val="none"/>
        </w:rPr>
      </w:pPr>
      <w:r>
        <w:rPr>
          <w:rFonts w:hint="eastAsia" w:ascii="宋体"/>
          <w:color w:val="auto"/>
          <w:szCs w:val="21"/>
          <w:highlight w:val="none"/>
        </w:rPr>
        <w:t>17.2实时监测压力-时间曲线形态，并量化为牵张指数Stress Index以提示肺损伤风险；</w:t>
      </w:r>
    </w:p>
    <w:p>
      <w:pPr>
        <w:spacing w:line="360" w:lineRule="auto"/>
        <w:rPr>
          <w:rFonts w:ascii="宋体"/>
          <w:color w:val="auto"/>
          <w:szCs w:val="21"/>
          <w:highlight w:val="none"/>
        </w:rPr>
      </w:pPr>
      <w:r>
        <w:rPr>
          <w:rFonts w:hint="eastAsia" w:ascii="宋体"/>
          <w:color w:val="auto"/>
          <w:szCs w:val="21"/>
          <w:highlight w:val="none"/>
        </w:rPr>
        <w:t>17.3实时监测压力/容积环形态，并量化为肺过度膨胀系数C20/C以提示肺损伤风险。</w:t>
      </w:r>
    </w:p>
    <w:p>
      <w:pPr>
        <w:spacing w:line="360" w:lineRule="auto"/>
        <w:rPr>
          <w:rFonts w:ascii="宋体"/>
          <w:color w:val="auto"/>
          <w:szCs w:val="21"/>
          <w:highlight w:val="none"/>
        </w:rPr>
      </w:pPr>
      <w:r>
        <w:rPr>
          <w:rFonts w:hint="eastAsia" w:ascii="宋体"/>
          <w:color w:val="auto"/>
          <w:szCs w:val="21"/>
          <w:highlight w:val="none"/>
        </w:rPr>
        <w:t>18</w:t>
      </w:r>
      <w:r>
        <w:rPr>
          <w:rFonts w:hint="eastAsia" w:ascii="宋体" w:hAnsi="宋体" w:cs="宋体"/>
          <w:color w:val="auto"/>
          <w:szCs w:val="21"/>
          <w:highlight w:val="none"/>
          <w:lang w:val="zh-TW"/>
        </w:rPr>
        <w:t>、</w:t>
      </w:r>
      <w:r>
        <w:rPr>
          <w:rFonts w:hint="eastAsia" w:ascii="宋体"/>
          <w:color w:val="auto"/>
          <w:szCs w:val="21"/>
          <w:highlight w:val="none"/>
        </w:rPr>
        <w:t>能够和同一品牌模块化监护仪连接，把呼吸机的监测信息实时显示到监护仪上，满足科室信息化的需求，并且能够通过4G网络联网实现信息互联和呼吸机管理.</w:t>
      </w:r>
    </w:p>
    <w:p>
      <w:pPr>
        <w:spacing w:line="360" w:lineRule="auto"/>
        <w:rPr>
          <w:rFonts w:ascii="宋体"/>
          <w:color w:val="auto"/>
          <w:szCs w:val="21"/>
          <w:highlight w:val="none"/>
        </w:rPr>
      </w:pPr>
      <w:r>
        <w:rPr>
          <w:rFonts w:hint="eastAsia" w:ascii="宋体"/>
          <w:color w:val="auto"/>
          <w:szCs w:val="21"/>
          <w:highlight w:val="none"/>
        </w:rPr>
        <w:t>19</w:t>
      </w:r>
      <w:r>
        <w:rPr>
          <w:rFonts w:hint="eastAsia" w:ascii="宋体" w:hAnsi="宋体" w:cs="宋体"/>
          <w:color w:val="auto"/>
          <w:szCs w:val="21"/>
          <w:highlight w:val="none"/>
          <w:lang w:val="zh-TW"/>
        </w:rPr>
        <w:t>、</w:t>
      </w:r>
      <w:r>
        <w:rPr>
          <w:rFonts w:hint="eastAsia" w:ascii="宋体"/>
          <w:color w:val="auto"/>
          <w:szCs w:val="21"/>
          <w:highlight w:val="none"/>
        </w:rPr>
        <w:t>模式：容量控制通气下的辅助控制通气A/C和同步间歇指令通气SIMV、压力控制通气下的A/C和SIMV、CPAP/PSV、窒息通气模式、双水平气道正压通气模式、自动适应性压力调整容量控制功能（如AUTOFLOW或者PRVC等）；压力释放通气APRV和压力调节容量控制-同步间歇指令模式（PRVC-SIMV）、自适应分钟通气量通气AMV、容量支持通气VS。</w:t>
      </w:r>
    </w:p>
    <w:p>
      <w:pPr>
        <w:spacing w:line="360" w:lineRule="auto"/>
        <w:rPr>
          <w:rFonts w:ascii="宋体"/>
          <w:color w:val="auto"/>
          <w:szCs w:val="21"/>
          <w:highlight w:val="none"/>
        </w:rPr>
      </w:pPr>
      <w:r>
        <w:rPr>
          <w:rFonts w:hint="eastAsia" w:ascii="宋体"/>
          <w:color w:val="auto"/>
          <w:szCs w:val="21"/>
          <w:highlight w:val="none"/>
        </w:rPr>
        <w:t>20</w:t>
      </w:r>
      <w:r>
        <w:rPr>
          <w:rFonts w:hint="eastAsia" w:ascii="宋体" w:hAnsi="宋体" w:cs="宋体"/>
          <w:color w:val="auto"/>
          <w:szCs w:val="21"/>
          <w:highlight w:val="none"/>
          <w:lang w:val="zh-TW"/>
        </w:rPr>
        <w:t>、</w:t>
      </w:r>
      <w:r>
        <w:rPr>
          <w:rFonts w:hint="eastAsia" w:ascii="宋体"/>
          <w:color w:val="auto"/>
          <w:szCs w:val="21"/>
          <w:highlight w:val="none"/>
        </w:rPr>
        <w:t>配心肺复苏通气模式CPRV。</w:t>
      </w:r>
    </w:p>
    <w:p>
      <w:pPr>
        <w:spacing w:line="360" w:lineRule="auto"/>
        <w:rPr>
          <w:rFonts w:ascii="宋体"/>
          <w:color w:val="auto"/>
          <w:szCs w:val="21"/>
          <w:highlight w:val="none"/>
        </w:rPr>
      </w:pPr>
      <w:r>
        <w:rPr>
          <w:rFonts w:hint="eastAsia" w:ascii="宋体"/>
          <w:color w:val="auto"/>
          <w:szCs w:val="21"/>
          <w:highlight w:val="none"/>
        </w:rPr>
        <w:t>21</w:t>
      </w:r>
      <w:r>
        <w:rPr>
          <w:rFonts w:hint="eastAsia" w:ascii="宋体" w:hAnsi="宋体" w:cs="宋体"/>
          <w:color w:val="auto"/>
          <w:szCs w:val="21"/>
          <w:highlight w:val="none"/>
          <w:lang w:val="zh-TW"/>
        </w:rPr>
        <w:t>、</w:t>
      </w:r>
      <w:r>
        <w:rPr>
          <w:rFonts w:hint="eastAsia" w:ascii="宋体"/>
          <w:color w:val="auto"/>
          <w:szCs w:val="21"/>
          <w:highlight w:val="none"/>
        </w:rPr>
        <w:t>具有单位理想体重输送的潮气量 （TVe/IBW）的设置及监测功能，性别和病人类型（成人、小儿、婴幼儿）设置功能。</w:t>
      </w:r>
    </w:p>
    <w:p>
      <w:pPr>
        <w:spacing w:line="360" w:lineRule="auto"/>
        <w:rPr>
          <w:rFonts w:ascii="宋体"/>
          <w:color w:val="auto"/>
          <w:szCs w:val="21"/>
          <w:highlight w:val="none"/>
        </w:rPr>
      </w:pPr>
      <w:r>
        <w:rPr>
          <w:rFonts w:hint="eastAsia" w:ascii="宋体"/>
          <w:color w:val="auto"/>
          <w:szCs w:val="21"/>
          <w:highlight w:val="none"/>
        </w:rPr>
        <w:t>22</w:t>
      </w:r>
      <w:r>
        <w:rPr>
          <w:rFonts w:hint="eastAsia" w:ascii="宋体" w:hAnsi="宋体" w:cs="宋体"/>
          <w:color w:val="auto"/>
          <w:szCs w:val="21"/>
          <w:highlight w:val="none"/>
          <w:lang w:val="zh-TW"/>
        </w:rPr>
        <w:t>、</w:t>
      </w:r>
      <w:r>
        <w:rPr>
          <w:rFonts w:hint="eastAsia" w:ascii="宋体"/>
          <w:color w:val="auto"/>
          <w:szCs w:val="21"/>
          <w:highlight w:val="none"/>
        </w:rPr>
        <w:t>配CPRV模块。</w:t>
      </w:r>
    </w:p>
    <w:p>
      <w:pPr>
        <w:spacing w:after="120"/>
        <w:ind w:firstLine="943" w:firstLineChars="337"/>
        <w:rPr>
          <w:rFonts w:ascii="宋体"/>
          <w:color w:val="auto"/>
          <w:sz w:val="28"/>
          <w:szCs w:val="28"/>
          <w:highlight w:val="none"/>
        </w:rPr>
      </w:pPr>
    </w:p>
    <w:p>
      <w:pPr>
        <w:spacing w:line="360" w:lineRule="auto"/>
        <w:jc w:val="center"/>
        <w:outlineLvl w:val="1"/>
        <w:rPr>
          <w:rFonts w:ascii="宋体"/>
          <w:b/>
          <w:bCs/>
          <w:color w:val="auto"/>
          <w:sz w:val="24"/>
          <w:highlight w:val="none"/>
        </w:rPr>
      </w:pPr>
      <w:r>
        <w:rPr>
          <w:rFonts w:hint="eastAsia" w:ascii="宋体"/>
          <w:b/>
          <w:bCs/>
          <w:color w:val="auto"/>
          <w:sz w:val="24"/>
          <w:highlight w:val="none"/>
        </w:rPr>
        <w:t>第九包</w:t>
      </w:r>
    </w:p>
    <w:p>
      <w:pPr>
        <w:spacing w:line="360" w:lineRule="auto"/>
        <w:jc w:val="center"/>
        <w:rPr>
          <w:rFonts w:ascii="宋体"/>
          <w:b/>
          <w:bCs/>
          <w:color w:val="auto"/>
          <w:sz w:val="24"/>
          <w:highlight w:val="none"/>
        </w:rPr>
      </w:pPr>
      <w:r>
        <w:rPr>
          <w:rFonts w:hint="eastAsia" w:ascii="宋体"/>
          <w:b/>
          <w:bCs/>
          <w:color w:val="auto"/>
          <w:sz w:val="24"/>
          <w:highlight w:val="none"/>
        </w:rPr>
        <w:t>呼吸机</w:t>
      </w:r>
    </w:p>
    <w:p>
      <w:pPr>
        <w:spacing w:line="360" w:lineRule="auto"/>
        <w:rPr>
          <w:rFonts w:ascii="宋体"/>
          <w:color w:val="auto"/>
          <w:szCs w:val="21"/>
          <w:highlight w:val="none"/>
        </w:rPr>
      </w:pPr>
      <w:r>
        <w:rPr>
          <w:rFonts w:hint="eastAsia" w:ascii="宋体"/>
          <w:color w:val="auto"/>
          <w:szCs w:val="21"/>
          <w:highlight w:val="none"/>
        </w:rPr>
        <w:t>★1.1</w:t>
      </w:r>
      <w:r>
        <w:rPr>
          <w:rFonts w:hint="eastAsia" w:ascii="宋体"/>
          <w:color w:val="auto"/>
          <w:szCs w:val="21"/>
          <w:highlight w:val="none"/>
        </w:rPr>
        <w:tab/>
      </w:r>
      <w:r>
        <w:rPr>
          <w:rFonts w:hint="eastAsia" w:ascii="宋体"/>
          <w:color w:val="auto"/>
          <w:szCs w:val="21"/>
          <w:highlight w:val="none"/>
        </w:rPr>
        <w:t>电动电控涡轮驱动供气呼吸机，适用于成人，小儿病人类型，</w:t>
      </w:r>
      <w:r>
        <w:rPr>
          <w:rFonts w:hint="eastAsia" w:ascii="宋体" w:hAnsi="宋体"/>
          <w:color w:val="auto"/>
          <w:sz w:val="24"/>
          <w:highlight w:val="none"/>
        </w:rPr>
        <w:t>支持信息互联，能够和监护仪互联，支持同一品牌监护仪把呼吸机的监测参数和波形显示到监护仪上，继而连接中央站、</w:t>
      </w:r>
      <w:r>
        <w:rPr>
          <w:rFonts w:ascii="宋体" w:hAnsi="宋体"/>
          <w:color w:val="auto"/>
          <w:sz w:val="24"/>
          <w:highlight w:val="none"/>
        </w:rPr>
        <w:t>CIS</w:t>
      </w:r>
      <w:r>
        <w:rPr>
          <w:rFonts w:hint="eastAsia" w:ascii="宋体" w:hAnsi="宋体"/>
          <w:color w:val="auto"/>
          <w:sz w:val="24"/>
          <w:highlight w:val="none"/>
        </w:rPr>
        <w:t>系统，满足信息化需求。支持</w:t>
      </w:r>
      <w:r>
        <w:rPr>
          <w:rFonts w:ascii="宋体" w:hAnsi="宋体"/>
          <w:color w:val="auto"/>
          <w:sz w:val="24"/>
          <w:highlight w:val="none"/>
        </w:rPr>
        <w:t>HL7</w:t>
      </w:r>
      <w:r>
        <w:rPr>
          <w:rFonts w:hint="eastAsia" w:ascii="宋体" w:hAnsi="宋体"/>
          <w:color w:val="auto"/>
          <w:sz w:val="24"/>
          <w:highlight w:val="none"/>
        </w:rPr>
        <w:t>协议。</w:t>
      </w:r>
    </w:p>
    <w:p>
      <w:pPr>
        <w:spacing w:line="360" w:lineRule="auto"/>
        <w:rPr>
          <w:rFonts w:ascii="宋体"/>
          <w:color w:val="auto"/>
          <w:szCs w:val="21"/>
          <w:highlight w:val="none"/>
        </w:rPr>
      </w:pPr>
      <w:r>
        <w:rPr>
          <w:rFonts w:hint="eastAsia" w:ascii="宋体"/>
          <w:color w:val="auto"/>
          <w:szCs w:val="21"/>
          <w:highlight w:val="none"/>
        </w:rPr>
        <w:t>★1.2</w:t>
      </w:r>
      <w:r>
        <w:rPr>
          <w:rFonts w:hint="eastAsia" w:ascii="宋体"/>
          <w:color w:val="auto"/>
          <w:szCs w:val="21"/>
          <w:highlight w:val="none"/>
        </w:rPr>
        <w:tab/>
      </w:r>
      <w:r>
        <w:rPr>
          <w:rFonts w:hint="eastAsia" w:ascii="宋体"/>
          <w:color w:val="auto"/>
          <w:szCs w:val="21"/>
          <w:highlight w:val="none"/>
        </w:rPr>
        <w:t>≥12英寸彩色液晶全触摸屏操作，中文界面; 提供高压氧气气源和低压氧气气源</w:t>
      </w:r>
    </w:p>
    <w:p>
      <w:pPr>
        <w:spacing w:line="360" w:lineRule="auto"/>
        <w:rPr>
          <w:rFonts w:ascii="宋体"/>
          <w:color w:val="auto"/>
          <w:szCs w:val="21"/>
          <w:highlight w:val="none"/>
        </w:rPr>
      </w:pPr>
      <w:r>
        <w:rPr>
          <w:rFonts w:hint="eastAsia" w:ascii="宋体"/>
          <w:color w:val="auto"/>
          <w:szCs w:val="21"/>
          <w:highlight w:val="none"/>
        </w:rPr>
        <w:t xml:space="preserve">  两种方式，</w:t>
      </w:r>
      <w:r>
        <w:rPr>
          <w:rFonts w:hint="eastAsia" w:ascii="宋体" w:hAnsi="宋体"/>
          <w:color w:val="auto"/>
          <w:sz w:val="24"/>
          <w:highlight w:val="none"/>
        </w:rPr>
        <w:t>容量模式流速波形可调方波、</w:t>
      </w:r>
      <w:r>
        <w:rPr>
          <w:rFonts w:ascii="宋体" w:hAnsi="宋体"/>
          <w:color w:val="auto"/>
          <w:sz w:val="24"/>
          <w:highlight w:val="none"/>
        </w:rPr>
        <w:t>50%或100%递减波</w:t>
      </w:r>
    </w:p>
    <w:p>
      <w:pPr>
        <w:spacing w:line="360" w:lineRule="auto"/>
        <w:rPr>
          <w:rFonts w:ascii="宋体"/>
          <w:color w:val="auto"/>
          <w:szCs w:val="21"/>
          <w:highlight w:val="none"/>
        </w:rPr>
      </w:pPr>
      <w:r>
        <w:rPr>
          <w:rFonts w:hint="eastAsia" w:ascii="宋体"/>
          <w:color w:val="auto"/>
          <w:szCs w:val="21"/>
          <w:highlight w:val="none"/>
        </w:rPr>
        <w:t>1.3</w:t>
      </w:r>
      <w:r>
        <w:rPr>
          <w:rFonts w:hint="eastAsia" w:ascii="宋体"/>
          <w:color w:val="auto"/>
          <w:szCs w:val="21"/>
          <w:highlight w:val="none"/>
        </w:rPr>
        <w:tab/>
      </w:r>
      <w:r>
        <w:rPr>
          <w:rFonts w:hint="eastAsia" w:ascii="宋体"/>
          <w:color w:val="auto"/>
          <w:szCs w:val="21"/>
          <w:highlight w:val="none"/>
        </w:rPr>
        <w:t>支持屏幕同屏显示</w:t>
      </w:r>
      <w:r>
        <w:rPr>
          <w:rFonts w:hint="eastAsia" w:ascii="Calibri" w:hAnsi="Calibri"/>
          <w:color w:val="auto"/>
          <w:sz w:val="28"/>
          <w:szCs w:val="32"/>
          <w:highlight w:val="none"/>
        </w:rPr>
        <w:t>≥</w:t>
      </w:r>
      <w:r>
        <w:rPr>
          <w:rFonts w:hint="eastAsia" w:ascii="宋体"/>
          <w:color w:val="auto"/>
          <w:szCs w:val="21"/>
          <w:highlight w:val="none"/>
        </w:rPr>
        <w:t>4道波形</w:t>
      </w:r>
    </w:p>
    <w:p>
      <w:pPr>
        <w:spacing w:line="360" w:lineRule="auto"/>
        <w:rPr>
          <w:rFonts w:ascii="宋体"/>
          <w:color w:val="auto"/>
          <w:szCs w:val="21"/>
          <w:highlight w:val="none"/>
        </w:rPr>
      </w:pPr>
      <w:r>
        <w:rPr>
          <w:rFonts w:hint="eastAsia" w:ascii="宋体"/>
          <w:color w:val="auto"/>
          <w:szCs w:val="21"/>
          <w:highlight w:val="none"/>
        </w:rPr>
        <w:t>1.4</w:t>
      </w:r>
      <w:r>
        <w:rPr>
          <w:rFonts w:hint="eastAsia" w:ascii="宋体"/>
          <w:color w:val="auto"/>
          <w:szCs w:val="21"/>
          <w:highlight w:val="none"/>
        </w:rPr>
        <w:tab/>
      </w:r>
      <w:r>
        <w:rPr>
          <w:rFonts w:hint="eastAsia" w:ascii="宋体"/>
          <w:color w:val="auto"/>
          <w:szCs w:val="21"/>
          <w:highlight w:val="none"/>
        </w:rPr>
        <w:t>内置高能锂电池，2块锂电池情况下供电时间不低于4h</w:t>
      </w:r>
    </w:p>
    <w:p>
      <w:pPr>
        <w:spacing w:line="360" w:lineRule="auto"/>
        <w:rPr>
          <w:rFonts w:ascii="宋体"/>
          <w:color w:val="auto"/>
          <w:szCs w:val="21"/>
          <w:highlight w:val="none"/>
        </w:rPr>
      </w:pPr>
      <w:r>
        <w:rPr>
          <w:rFonts w:hint="eastAsia" w:ascii="宋体"/>
          <w:color w:val="auto"/>
          <w:szCs w:val="21"/>
          <w:highlight w:val="none"/>
        </w:rPr>
        <w:t>1.5</w:t>
      </w:r>
      <w:r>
        <w:rPr>
          <w:rFonts w:hint="eastAsia" w:ascii="宋体"/>
          <w:color w:val="auto"/>
          <w:szCs w:val="21"/>
          <w:highlight w:val="none"/>
        </w:rPr>
        <w:tab/>
      </w:r>
      <w:r>
        <w:rPr>
          <w:rFonts w:hint="eastAsia" w:ascii="宋体"/>
          <w:color w:val="auto"/>
          <w:szCs w:val="21"/>
          <w:highlight w:val="none"/>
        </w:rPr>
        <w:t>漏气自动补偿，管道的顺应性和BTPS补偿功能</w:t>
      </w:r>
    </w:p>
    <w:p>
      <w:pPr>
        <w:spacing w:line="360" w:lineRule="auto"/>
        <w:rPr>
          <w:rFonts w:ascii="宋体"/>
          <w:color w:val="auto"/>
          <w:szCs w:val="21"/>
          <w:highlight w:val="none"/>
        </w:rPr>
      </w:pPr>
      <w:r>
        <w:rPr>
          <w:rFonts w:hint="eastAsia" w:ascii="宋体"/>
          <w:color w:val="auto"/>
          <w:szCs w:val="21"/>
          <w:highlight w:val="none"/>
        </w:rPr>
        <w:t>1.6</w:t>
      </w:r>
      <w:r>
        <w:rPr>
          <w:rFonts w:hint="eastAsia" w:ascii="宋体"/>
          <w:color w:val="auto"/>
          <w:szCs w:val="21"/>
          <w:highlight w:val="none"/>
        </w:rPr>
        <w:tab/>
      </w:r>
      <w:r>
        <w:rPr>
          <w:rFonts w:hint="eastAsia" w:ascii="宋体"/>
          <w:color w:val="auto"/>
          <w:szCs w:val="21"/>
          <w:highlight w:val="none"/>
        </w:rPr>
        <w:t>可升级支持12V直流电供电接口，可支持救护车转运</w:t>
      </w:r>
    </w:p>
    <w:p>
      <w:pPr>
        <w:spacing w:line="360" w:lineRule="auto"/>
        <w:rPr>
          <w:rFonts w:ascii="宋体"/>
          <w:color w:val="auto"/>
          <w:szCs w:val="21"/>
          <w:highlight w:val="none"/>
        </w:rPr>
      </w:pPr>
      <w:r>
        <w:rPr>
          <w:rFonts w:hint="eastAsia" w:ascii="宋体"/>
          <w:color w:val="auto"/>
          <w:szCs w:val="21"/>
          <w:highlight w:val="none"/>
        </w:rPr>
        <w:t>1.7</w:t>
      </w:r>
      <w:r>
        <w:rPr>
          <w:rFonts w:hint="eastAsia" w:ascii="宋体"/>
          <w:color w:val="auto"/>
          <w:szCs w:val="21"/>
          <w:highlight w:val="none"/>
        </w:rPr>
        <w:tab/>
      </w:r>
      <w:r>
        <w:rPr>
          <w:rFonts w:hint="eastAsia" w:ascii="宋体"/>
          <w:color w:val="auto"/>
          <w:szCs w:val="21"/>
          <w:highlight w:val="none"/>
        </w:rPr>
        <w:t>有创通气模式包括：容量控制通气下的辅助控制通气A/C和同步间歇指令通气SIMV、压力控制通气下的A/C和SIMV、CPAP/PSV、窒息通气模式，同时支持升级通气模式：双相气道正压通气（如BIPAP或Bi-vent）；自动适应性压力调整容量控制功能（如AUTOFLOW或者PRVC等）；压力释放通气APRV和压力调节容量控制-同步间歇指令模式（PRVC-SIMV）</w:t>
      </w:r>
    </w:p>
    <w:p>
      <w:pPr>
        <w:spacing w:line="360" w:lineRule="auto"/>
        <w:rPr>
          <w:rFonts w:ascii="宋体"/>
          <w:color w:val="auto"/>
          <w:szCs w:val="21"/>
          <w:highlight w:val="none"/>
        </w:rPr>
      </w:pPr>
      <w:r>
        <w:rPr>
          <w:rFonts w:hint="eastAsia" w:ascii="宋体"/>
          <w:color w:val="auto"/>
          <w:szCs w:val="21"/>
          <w:highlight w:val="none"/>
        </w:rPr>
        <w:t>1.8</w:t>
      </w:r>
      <w:r>
        <w:rPr>
          <w:rFonts w:hint="eastAsia" w:ascii="宋体"/>
          <w:color w:val="auto"/>
          <w:szCs w:val="21"/>
          <w:highlight w:val="none"/>
        </w:rPr>
        <w:tab/>
      </w:r>
      <w:r>
        <w:rPr>
          <w:rFonts w:hint="eastAsia" w:ascii="宋体"/>
          <w:color w:val="auto"/>
          <w:szCs w:val="21"/>
          <w:highlight w:val="none"/>
        </w:rPr>
        <w:t>标配无创通气模式</w:t>
      </w:r>
    </w:p>
    <w:p>
      <w:pPr>
        <w:spacing w:line="360" w:lineRule="auto"/>
        <w:rPr>
          <w:rFonts w:ascii="宋体"/>
          <w:color w:val="auto"/>
          <w:szCs w:val="21"/>
          <w:highlight w:val="none"/>
        </w:rPr>
      </w:pPr>
      <w:r>
        <w:rPr>
          <w:rFonts w:hint="eastAsia" w:ascii="宋体"/>
          <w:color w:val="auto"/>
          <w:szCs w:val="21"/>
          <w:highlight w:val="none"/>
        </w:rPr>
        <w:t>★1.9</w:t>
      </w:r>
      <w:r>
        <w:rPr>
          <w:rFonts w:hint="eastAsia" w:ascii="宋体"/>
          <w:color w:val="auto"/>
          <w:szCs w:val="21"/>
          <w:highlight w:val="none"/>
        </w:rPr>
        <w:tab/>
      </w:r>
      <w:r>
        <w:rPr>
          <w:rFonts w:hint="eastAsia" w:ascii="宋体"/>
          <w:color w:val="auto"/>
          <w:szCs w:val="21"/>
          <w:highlight w:val="none"/>
        </w:rPr>
        <w:t>支持高流量氧疗，</w:t>
      </w:r>
      <w:r>
        <w:rPr>
          <w:rFonts w:hint="eastAsia" w:ascii="宋体" w:hAnsi="宋体"/>
          <w:color w:val="auto"/>
          <w:sz w:val="24"/>
          <w:highlight w:val="none"/>
        </w:rPr>
        <w:t>最大氧流速可达</w:t>
      </w:r>
      <w:r>
        <w:rPr>
          <w:rFonts w:ascii="宋体" w:hAnsi="宋体"/>
          <w:color w:val="auto"/>
          <w:sz w:val="24"/>
          <w:highlight w:val="none"/>
        </w:rPr>
        <w:t>80L/min，最大氧浓度可达100%，并具有氧疗计时功能。提供设备截</w:t>
      </w:r>
      <w:r>
        <w:rPr>
          <w:rFonts w:hint="eastAsia" w:ascii="宋体" w:hAnsi="宋体"/>
          <w:color w:val="auto"/>
          <w:sz w:val="24"/>
          <w:highlight w:val="none"/>
        </w:rPr>
        <w:t>图证明材料。</w:t>
      </w:r>
    </w:p>
    <w:p>
      <w:pPr>
        <w:spacing w:line="360" w:lineRule="auto"/>
        <w:rPr>
          <w:rFonts w:ascii="宋体"/>
          <w:color w:val="auto"/>
          <w:szCs w:val="21"/>
          <w:highlight w:val="none"/>
        </w:rPr>
      </w:pPr>
      <w:r>
        <w:rPr>
          <w:rFonts w:hint="eastAsia" w:ascii="宋体"/>
          <w:color w:val="auto"/>
          <w:szCs w:val="21"/>
          <w:highlight w:val="none"/>
        </w:rPr>
        <w:t>1.10</w:t>
      </w:r>
      <w:r>
        <w:rPr>
          <w:rFonts w:hint="eastAsia" w:ascii="宋体"/>
          <w:color w:val="auto"/>
          <w:szCs w:val="21"/>
          <w:highlight w:val="none"/>
        </w:rPr>
        <w:tab/>
      </w:r>
      <w:r>
        <w:rPr>
          <w:rFonts w:hint="eastAsia" w:ascii="宋体"/>
          <w:color w:val="auto"/>
          <w:szCs w:val="21"/>
          <w:highlight w:val="none"/>
        </w:rPr>
        <w:t>提供鼻导管，和高流量氧疗可重复性使用管路附件</w:t>
      </w:r>
    </w:p>
    <w:p>
      <w:pPr>
        <w:spacing w:line="360" w:lineRule="auto"/>
        <w:rPr>
          <w:rFonts w:ascii="宋体"/>
          <w:color w:val="auto"/>
          <w:szCs w:val="21"/>
          <w:highlight w:val="none"/>
        </w:rPr>
      </w:pPr>
      <w:r>
        <w:rPr>
          <w:rFonts w:hint="eastAsia" w:ascii="宋体"/>
          <w:color w:val="auto"/>
          <w:szCs w:val="21"/>
          <w:highlight w:val="none"/>
        </w:rPr>
        <w:t>1.11</w:t>
      </w:r>
      <w:r>
        <w:rPr>
          <w:rFonts w:hint="eastAsia" w:ascii="宋体"/>
          <w:color w:val="auto"/>
          <w:szCs w:val="21"/>
          <w:highlight w:val="none"/>
        </w:rPr>
        <w:tab/>
      </w:r>
      <w:r>
        <w:rPr>
          <w:rFonts w:hint="eastAsia" w:ascii="宋体"/>
          <w:color w:val="auto"/>
          <w:szCs w:val="21"/>
          <w:highlight w:val="none"/>
        </w:rPr>
        <w:t>支持手动呼吸、吸气保持、呼气保持、雾化、纯氧灌注、智能吸痰程序，NIF、PEEPi及P0.1测定</w:t>
      </w:r>
    </w:p>
    <w:p>
      <w:pPr>
        <w:spacing w:line="360" w:lineRule="auto"/>
        <w:rPr>
          <w:rFonts w:ascii="宋体"/>
          <w:color w:val="auto"/>
          <w:szCs w:val="21"/>
          <w:highlight w:val="none"/>
        </w:rPr>
      </w:pPr>
      <w:r>
        <w:rPr>
          <w:rFonts w:hint="eastAsia" w:ascii="宋体"/>
          <w:color w:val="auto"/>
          <w:szCs w:val="21"/>
          <w:highlight w:val="none"/>
        </w:rPr>
        <w:t>1.12</w:t>
      </w:r>
      <w:r>
        <w:rPr>
          <w:rFonts w:hint="eastAsia" w:ascii="宋体"/>
          <w:color w:val="auto"/>
          <w:szCs w:val="21"/>
          <w:highlight w:val="none"/>
        </w:rPr>
        <w:tab/>
      </w:r>
      <w:r>
        <w:rPr>
          <w:rFonts w:hint="eastAsia" w:ascii="宋体"/>
          <w:color w:val="auto"/>
          <w:szCs w:val="21"/>
          <w:highlight w:val="none"/>
        </w:rPr>
        <w:t>支持监测参数的≥72h的趋势图、表分析</w:t>
      </w:r>
    </w:p>
    <w:p>
      <w:pPr>
        <w:spacing w:line="360" w:lineRule="auto"/>
        <w:rPr>
          <w:rFonts w:ascii="宋体"/>
          <w:color w:val="auto"/>
          <w:szCs w:val="21"/>
          <w:highlight w:val="none"/>
        </w:rPr>
      </w:pPr>
      <w:r>
        <w:rPr>
          <w:rFonts w:hint="eastAsia" w:ascii="宋体"/>
          <w:color w:val="auto"/>
          <w:szCs w:val="21"/>
          <w:highlight w:val="none"/>
        </w:rPr>
        <w:t>1.13</w:t>
      </w:r>
      <w:r>
        <w:rPr>
          <w:rFonts w:hint="eastAsia" w:ascii="宋体"/>
          <w:color w:val="auto"/>
          <w:szCs w:val="21"/>
          <w:highlight w:val="none"/>
        </w:rPr>
        <w:tab/>
      </w:r>
      <w:r>
        <w:rPr>
          <w:rFonts w:hint="eastAsia" w:ascii="宋体"/>
          <w:color w:val="auto"/>
          <w:szCs w:val="21"/>
          <w:highlight w:val="none"/>
        </w:rPr>
        <w:t>病人信息，当前的设置参数、报警限和趋势等数据可导出。</w:t>
      </w:r>
    </w:p>
    <w:p>
      <w:pPr>
        <w:spacing w:line="360" w:lineRule="auto"/>
        <w:rPr>
          <w:rFonts w:ascii="宋体"/>
          <w:color w:val="auto"/>
          <w:szCs w:val="21"/>
          <w:highlight w:val="none"/>
        </w:rPr>
      </w:pPr>
      <w:r>
        <w:rPr>
          <w:rFonts w:hint="eastAsia" w:ascii="宋体"/>
          <w:color w:val="auto"/>
          <w:szCs w:val="21"/>
          <w:highlight w:val="none"/>
        </w:rPr>
        <w:t>1.14</w:t>
      </w:r>
      <w:r>
        <w:rPr>
          <w:rFonts w:hint="eastAsia" w:ascii="宋体"/>
          <w:color w:val="auto"/>
          <w:szCs w:val="21"/>
          <w:highlight w:val="none"/>
        </w:rPr>
        <w:tab/>
      </w:r>
      <w:r>
        <w:rPr>
          <w:rFonts w:hint="eastAsia" w:ascii="宋体"/>
          <w:color w:val="auto"/>
          <w:szCs w:val="21"/>
          <w:highlight w:val="none"/>
        </w:rPr>
        <w:t>提供冻结功能，呼吸波形及呼吸环冻结后，支持通过USB接口导出保存到U盘。</w:t>
      </w:r>
    </w:p>
    <w:p>
      <w:pPr>
        <w:spacing w:line="360" w:lineRule="auto"/>
        <w:rPr>
          <w:rFonts w:ascii="宋体"/>
          <w:color w:val="auto"/>
          <w:szCs w:val="21"/>
          <w:highlight w:val="none"/>
        </w:rPr>
      </w:pPr>
      <w:r>
        <w:rPr>
          <w:rFonts w:hint="eastAsia" w:ascii="宋体"/>
          <w:color w:val="auto"/>
          <w:szCs w:val="21"/>
          <w:highlight w:val="none"/>
        </w:rPr>
        <w:t>1.15</w:t>
      </w:r>
      <w:r>
        <w:rPr>
          <w:rFonts w:hint="eastAsia" w:ascii="宋体"/>
          <w:color w:val="auto"/>
          <w:szCs w:val="21"/>
          <w:highlight w:val="none"/>
        </w:rPr>
        <w:tab/>
      </w:r>
      <w:r>
        <w:rPr>
          <w:rFonts w:hint="eastAsia" w:ascii="宋体"/>
          <w:color w:val="auto"/>
          <w:szCs w:val="21"/>
          <w:highlight w:val="none"/>
        </w:rPr>
        <w:t>配置低流速P-V工具，帮助确定最佳PEEP值</w:t>
      </w:r>
    </w:p>
    <w:p>
      <w:pPr>
        <w:spacing w:line="360" w:lineRule="auto"/>
        <w:rPr>
          <w:rFonts w:ascii="宋体"/>
          <w:color w:val="auto"/>
          <w:szCs w:val="21"/>
          <w:highlight w:val="none"/>
        </w:rPr>
      </w:pPr>
      <w:r>
        <w:rPr>
          <w:rFonts w:hint="eastAsia" w:ascii="宋体"/>
          <w:color w:val="auto"/>
          <w:szCs w:val="21"/>
          <w:highlight w:val="none"/>
        </w:rPr>
        <w:t>1.16</w:t>
      </w:r>
      <w:r>
        <w:rPr>
          <w:rFonts w:hint="eastAsia" w:ascii="宋体"/>
          <w:color w:val="auto"/>
          <w:szCs w:val="21"/>
          <w:highlight w:val="none"/>
        </w:rPr>
        <w:tab/>
      </w:r>
      <w:r>
        <w:rPr>
          <w:rFonts w:hint="eastAsia" w:ascii="宋体"/>
          <w:color w:val="auto"/>
          <w:szCs w:val="21"/>
          <w:highlight w:val="none"/>
        </w:rPr>
        <w:t>配置自动插管阻力补偿（ATRC）功能，选择不同孔径的气管插管，呼吸机可以自动调节送气压力，使插管末端的压力与呼吸机压力设置值保持一致。</w:t>
      </w:r>
    </w:p>
    <w:p>
      <w:pPr>
        <w:spacing w:line="360" w:lineRule="auto"/>
        <w:rPr>
          <w:rFonts w:ascii="宋体"/>
          <w:color w:val="auto"/>
          <w:szCs w:val="21"/>
          <w:highlight w:val="none"/>
        </w:rPr>
      </w:pPr>
      <w:r>
        <w:rPr>
          <w:rFonts w:hint="eastAsia" w:ascii="宋体"/>
          <w:color w:val="auto"/>
          <w:szCs w:val="21"/>
          <w:highlight w:val="none"/>
        </w:rPr>
        <w:t>★1.17</w:t>
      </w:r>
      <w:r>
        <w:rPr>
          <w:rFonts w:hint="eastAsia" w:ascii="宋体"/>
          <w:color w:val="auto"/>
          <w:szCs w:val="21"/>
          <w:highlight w:val="none"/>
        </w:rPr>
        <w:tab/>
      </w:r>
      <w:r>
        <w:rPr>
          <w:rFonts w:hint="eastAsia" w:ascii="宋体"/>
          <w:color w:val="auto"/>
          <w:szCs w:val="21"/>
          <w:highlight w:val="none"/>
        </w:rPr>
        <w:t>具有单位理想体重输送的潮气量 （TVe/IBW）监测功能，</w:t>
      </w:r>
      <w:r>
        <w:rPr>
          <w:rFonts w:hint="eastAsia" w:asciiTheme="minorEastAsia" w:hAnsiTheme="minorEastAsia"/>
          <w:color w:val="auto"/>
          <w:highlight w:val="none"/>
        </w:rPr>
        <w:t>具备智能同步技术，可提高病人自主呼吸时的舒适度和人机同步性，具备吸气触发、压力上升时间、呼气触发自动调节功能，无需医护人员频繁手动调节上述参数。</w:t>
      </w:r>
    </w:p>
    <w:p>
      <w:pPr>
        <w:spacing w:line="360" w:lineRule="auto"/>
        <w:rPr>
          <w:rFonts w:ascii="宋体"/>
          <w:color w:val="auto"/>
          <w:szCs w:val="21"/>
          <w:highlight w:val="none"/>
        </w:rPr>
      </w:pPr>
      <w:r>
        <w:rPr>
          <w:rFonts w:hint="eastAsia" w:ascii="宋体"/>
          <w:color w:val="auto"/>
          <w:szCs w:val="21"/>
          <w:highlight w:val="none"/>
        </w:rPr>
        <w:t>★1.18</w:t>
      </w:r>
      <w:r>
        <w:rPr>
          <w:rFonts w:hint="eastAsia" w:ascii="宋体"/>
          <w:color w:val="auto"/>
          <w:szCs w:val="21"/>
          <w:highlight w:val="none"/>
        </w:rPr>
        <w:tab/>
      </w:r>
      <w:r>
        <w:rPr>
          <w:rFonts w:hint="eastAsia" w:ascii="宋体"/>
          <w:color w:val="auto"/>
          <w:szCs w:val="21"/>
          <w:highlight w:val="none"/>
        </w:rPr>
        <w:t>吸气安全阀组件可拆卸，并能高温高压蒸汽消毒（134℃），以防止交叉感染</w:t>
      </w:r>
      <w:r>
        <w:rPr>
          <w:rFonts w:hint="eastAsia" w:ascii="宋体" w:hAnsi="宋体"/>
          <w:color w:val="auto"/>
          <w:sz w:val="24"/>
          <w:highlight w:val="none"/>
        </w:rPr>
        <w:t>，呼气阀采用内置压差流量传感器，支持高温高压蒸汽消毒（</w:t>
      </w:r>
      <w:r>
        <w:rPr>
          <w:rFonts w:ascii="宋体" w:hAnsi="宋体"/>
          <w:color w:val="auto"/>
          <w:sz w:val="24"/>
          <w:highlight w:val="none"/>
        </w:rPr>
        <w:t>134</w:t>
      </w:r>
      <w:r>
        <w:rPr>
          <w:rFonts w:hint="eastAsia" w:ascii="宋体" w:hAnsi="宋体"/>
          <w:color w:val="auto"/>
          <w:sz w:val="24"/>
          <w:highlight w:val="none"/>
        </w:rPr>
        <w:t>℃）。</w:t>
      </w:r>
    </w:p>
    <w:p>
      <w:pPr>
        <w:spacing w:line="360" w:lineRule="auto"/>
        <w:rPr>
          <w:rFonts w:ascii="宋体"/>
          <w:color w:val="auto"/>
          <w:szCs w:val="21"/>
          <w:highlight w:val="none"/>
        </w:rPr>
      </w:pPr>
      <w:r>
        <w:rPr>
          <w:rFonts w:hint="eastAsia" w:ascii="宋体"/>
          <w:color w:val="auto"/>
          <w:szCs w:val="21"/>
          <w:highlight w:val="none"/>
        </w:rPr>
        <w:t>★1.19</w:t>
      </w:r>
      <w:r>
        <w:rPr>
          <w:rFonts w:hint="eastAsia" w:ascii="宋体"/>
          <w:color w:val="auto"/>
          <w:szCs w:val="21"/>
          <w:highlight w:val="none"/>
        </w:rPr>
        <w:tab/>
      </w:r>
      <w:r>
        <w:rPr>
          <w:rFonts w:hint="eastAsia" w:ascii="宋体" w:hAnsi="宋体"/>
          <w:color w:val="auto"/>
          <w:sz w:val="24"/>
          <w:highlight w:val="none"/>
        </w:rPr>
        <w:t>可升级智能通气模式（如自适应分钟通气</w:t>
      </w:r>
      <w:r>
        <w:rPr>
          <w:rFonts w:ascii="宋体" w:hAnsi="宋体"/>
          <w:color w:val="auto"/>
          <w:sz w:val="24"/>
          <w:highlight w:val="none"/>
        </w:rPr>
        <w:t>AMV，自适应支持通气ASV等）、心肺复苏通气模式（如CPRV，CPR mode等）；可升级动态肺图</w:t>
      </w:r>
      <w:r>
        <w:rPr>
          <w:rFonts w:hint="eastAsia" w:ascii="宋体" w:hAnsi="宋体"/>
          <w:color w:val="auto"/>
          <w:sz w:val="24"/>
          <w:highlight w:val="none"/>
        </w:rPr>
        <w:t>，具备图形化显示阻力、顺应性和自主呼吸等参数变化功能</w:t>
      </w:r>
      <w:r>
        <w:rPr>
          <w:rFonts w:ascii="宋体" w:hAnsi="宋体"/>
          <w:color w:val="auto"/>
          <w:sz w:val="24"/>
          <w:highlight w:val="none"/>
        </w:rPr>
        <w:t>。</w:t>
      </w:r>
    </w:p>
    <w:p>
      <w:pPr>
        <w:spacing w:line="360" w:lineRule="auto"/>
        <w:rPr>
          <w:rFonts w:ascii="宋体"/>
          <w:color w:val="auto"/>
          <w:szCs w:val="21"/>
          <w:highlight w:val="none"/>
        </w:rPr>
      </w:pPr>
      <w:r>
        <w:rPr>
          <w:rFonts w:hint="eastAsia" w:ascii="宋体"/>
          <w:color w:val="auto"/>
          <w:szCs w:val="21"/>
          <w:highlight w:val="none"/>
        </w:rPr>
        <w:t>1.20</w:t>
      </w:r>
      <w:r>
        <w:rPr>
          <w:rFonts w:hint="eastAsia" w:ascii="宋体"/>
          <w:color w:val="auto"/>
          <w:szCs w:val="21"/>
          <w:highlight w:val="none"/>
        </w:rPr>
        <w:tab/>
      </w:r>
      <w:r>
        <w:rPr>
          <w:rFonts w:hint="eastAsia" w:ascii="宋体"/>
          <w:color w:val="auto"/>
          <w:szCs w:val="21"/>
          <w:highlight w:val="none"/>
        </w:rPr>
        <w:t>可选配旁流CO2和主流CO2监测</w:t>
      </w:r>
    </w:p>
    <w:p>
      <w:pPr>
        <w:spacing w:line="360" w:lineRule="auto"/>
        <w:rPr>
          <w:rFonts w:ascii="宋体"/>
          <w:color w:val="auto"/>
          <w:szCs w:val="21"/>
          <w:highlight w:val="none"/>
        </w:rPr>
      </w:pPr>
      <w:r>
        <w:rPr>
          <w:rFonts w:hint="eastAsia" w:ascii="宋体"/>
          <w:color w:val="auto"/>
          <w:szCs w:val="21"/>
          <w:highlight w:val="none"/>
        </w:rPr>
        <w:t>★1.21</w:t>
      </w:r>
      <w:r>
        <w:rPr>
          <w:rFonts w:hint="eastAsia" w:ascii="宋体"/>
          <w:color w:val="auto"/>
          <w:szCs w:val="21"/>
          <w:highlight w:val="none"/>
        </w:rPr>
        <w:tab/>
      </w:r>
      <w:r>
        <w:rPr>
          <w:rFonts w:hint="eastAsia" w:ascii="宋体" w:hAnsi="宋体"/>
          <w:color w:val="auto"/>
          <w:sz w:val="24"/>
          <w:highlight w:val="none"/>
        </w:rPr>
        <w:t>压力触发灵敏度：</w:t>
      </w:r>
      <w:r>
        <w:rPr>
          <w:rFonts w:ascii="宋体" w:hAnsi="宋体"/>
          <w:color w:val="auto"/>
          <w:sz w:val="24"/>
          <w:highlight w:val="none"/>
        </w:rPr>
        <w:t>-20 —- 0.5cmH2O</w:t>
      </w:r>
    </w:p>
    <w:p>
      <w:pPr>
        <w:spacing w:line="360" w:lineRule="auto"/>
        <w:rPr>
          <w:rFonts w:ascii="宋体"/>
          <w:color w:val="auto"/>
          <w:szCs w:val="21"/>
          <w:highlight w:val="none"/>
        </w:rPr>
      </w:pPr>
      <w:r>
        <w:rPr>
          <w:rFonts w:hint="eastAsia" w:ascii="宋体"/>
          <w:color w:val="auto"/>
          <w:szCs w:val="21"/>
          <w:highlight w:val="none"/>
        </w:rPr>
        <w:t>1.22</w:t>
      </w:r>
      <w:r>
        <w:rPr>
          <w:rFonts w:hint="eastAsia" w:ascii="宋体"/>
          <w:color w:val="auto"/>
          <w:szCs w:val="21"/>
          <w:highlight w:val="none"/>
        </w:rPr>
        <w:tab/>
      </w:r>
      <w:r>
        <w:rPr>
          <w:rFonts w:hint="eastAsia" w:ascii="宋体"/>
          <w:color w:val="auto"/>
          <w:szCs w:val="21"/>
          <w:highlight w:val="none"/>
        </w:rPr>
        <w:t>呼吸频率：1-100次/min</w:t>
      </w:r>
    </w:p>
    <w:p>
      <w:pPr>
        <w:spacing w:line="360" w:lineRule="auto"/>
        <w:rPr>
          <w:rFonts w:ascii="宋体"/>
          <w:color w:val="auto"/>
          <w:szCs w:val="21"/>
          <w:highlight w:val="none"/>
        </w:rPr>
      </w:pPr>
      <w:r>
        <w:rPr>
          <w:rFonts w:hint="eastAsia" w:ascii="宋体"/>
          <w:color w:val="auto"/>
          <w:szCs w:val="21"/>
          <w:highlight w:val="none"/>
        </w:rPr>
        <w:t>1.23</w:t>
      </w:r>
      <w:r>
        <w:rPr>
          <w:rFonts w:hint="eastAsia" w:ascii="宋体"/>
          <w:color w:val="auto"/>
          <w:szCs w:val="21"/>
          <w:highlight w:val="none"/>
        </w:rPr>
        <w:tab/>
      </w:r>
      <w:r>
        <w:rPr>
          <w:rFonts w:hint="eastAsia" w:ascii="宋体"/>
          <w:color w:val="auto"/>
          <w:szCs w:val="21"/>
          <w:highlight w:val="none"/>
        </w:rPr>
        <w:t>SIMV频率：1-60次/min</w:t>
      </w:r>
    </w:p>
    <w:p>
      <w:pPr>
        <w:spacing w:line="360" w:lineRule="auto"/>
        <w:rPr>
          <w:rFonts w:ascii="宋体"/>
          <w:color w:val="auto"/>
          <w:szCs w:val="21"/>
          <w:highlight w:val="none"/>
        </w:rPr>
      </w:pPr>
      <w:r>
        <w:rPr>
          <w:rFonts w:hint="eastAsia" w:ascii="宋体"/>
          <w:color w:val="auto"/>
          <w:szCs w:val="21"/>
          <w:highlight w:val="none"/>
        </w:rPr>
        <w:t>1.24</w:t>
      </w:r>
      <w:r>
        <w:rPr>
          <w:rFonts w:hint="eastAsia" w:ascii="宋体"/>
          <w:color w:val="auto"/>
          <w:szCs w:val="21"/>
          <w:highlight w:val="none"/>
        </w:rPr>
        <w:tab/>
      </w:r>
      <w:r>
        <w:rPr>
          <w:rFonts w:hint="eastAsia" w:ascii="宋体"/>
          <w:color w:val="auto"/>
          <w:szCs w:val="21"/>
          <w:highlight w:val="none"/>
        </w:rPr>
        <w:t>吸/呼比：4:1—1:10</w:t>
      </w:r>
    </w:p>
    <w:p>
      <w:pPr>
        <w:spacing w:line="360" w:lineRule="auto"/>
        <w:rPr>
          <w:rFonts w:ascii="宋体"/>
          <w:color w:val="auto"/>
          <w:szCs w:val="21"/>
          <w:highlight w:val="none"/>
        </w:rPr>
      </w:pPr>
      <w:r>
        <w:rPr>
          <w:rFonts w:hint="eastAsia" w:ascii="宋体"/>
          <w:color w:val="auto"/>
          <w:szCs w:val="21"/>
          <w:highlight w:val="none"/>
        </w:rPr>
        <w:t>1.25</w:t>
      </w:r>
      <w:r>
        <w:rPr>
          <w:rFonts w:hint="eastAsia" w:ascii="宋体"/>
          <w:color w:val="auto"/>
          <w:szCs w:val="21"/>
          <w:highlight w:val="none"/>
        </w:rPr>
        <w:tab/>
      </w:r>
      <w:r>
        <w:rPr>
          <w:rFonts w:hint="eastAsia" w:ascii="宋体"/>
          <w:color w:val="auto"/>
          <w:szCs w:val="21"/>
          <w:highlight w:val="none"/>
        </w:rPr>
        <w:t>最大峰值流速：≥210L/min</w:t>
      </w:r>
    </w:p>
    <w:p>
      <w:pPr>
        <w:spacing w:line="360" w:lineRule="auto"/>
        <w:rPr>
          <w:rFonts w:ascii="宋体"/>
          <w:color w:val="auto"/>
          <w:szCs w:val="21"/>
          <w:highlight w:val="none"/>
        </w:rPr>
      </w:pPr>
      <w:r>
        <w:rPr>
          <w:rFonts w:hint="eastAsia" w:ascii="宋体"/>
          <w:color w:val="auto"/>
          <w:szCs w:val="21"/>
          <w:highlight w:val="none"/>
        </w:rPr>
        <w:t>1.26</w:t>
      </w:r>
      <w:r>
        <w:rPr>
          <w:rFonts w:hint="eastAsia" w:ascii="宋体"/>
          <w:color w:val="auto"/>
          <w:szCs w:val="21"/>
          <w:highlight w:val="none"/>
        </w:rPr>
        <w:tab/>
      </w:r>
      <w:r>
        <w:rPr>
          <w:rFonts w:hint="eastAsia" w:ascii="宋体"/>
          <w:color w:val="auto"/>
          <w:szCs w:val="21"/>
          <w:highlight w:val="none"/>
        </w:rPr>
        <w:t>吸气压力：5--80 cmH2O</w:t>
      </w:r>
    </w:p>
    <w:p>
      <w:pPr>
        <w:spacing w:line="360" w:lineRule="auto"/>
        <w:rPr>
          <w:rFonts w:ascii="宋体"/>
          <w:color w:val="auto"/>
          <w:szCs w:val="21"/>
          <w:highlight w:val="none"/>
        </w:rPr>
      </w:pPr>
      <w:r>
        <w:rPr>
          <w:rFonts w:hint="eastAsia" w:ascii="宋体"/>
          <w:color w:val="auto"/>
          <w:szCs w:val="21"/>
          <w:highlight w:val="none"/>
        </w:rPr>
        <w:t>1.27</w:t>
      </w:r>
      <w:r>
        <w:rPr>
          <w:rFonts w:hint="eastAsia" w:ascii="宋体"/>
          <w:color w:val="auto"/>
          <w:szCs w:val="21"/>
          <w:highlight w:val="none"/>
        </w:rPr>
        <w:tab/>
      </w:r>
      <w:r>
        <w:rPr>
          <w:rFonts w:hint="eastAsia" w:ascii="宋体"/>
          <w:color w:val="auto"/>
          <w:szCs w:val="21"/>
          <w:highlight w:val="none"/>
        </w:rPr>
        <w:t>压力支持：0—80cmH2O</w:t>
      </w:r>
    </w:p>
    <w:p>
      <w:pPr>
        <w:spacing w:line="360" w:lineRule="auto"/>
        <w:rPr>
          <w:rFonts w:ascii="宋体"/>
          <w:color w:val="auto"/>
          <w:szCs w:val="21"/>
          <w:highlight w:val="none"/>
        </w:rPr>
      </w:pPr>
      <w:r>
        <w:rPr>
          <w:rFonts w:hint="eastAsia" w:ascii="宋体"/>
          <w:color w:val="auto"/>
          <w:szCs w:val="21"/>
          <w:highlight w:val="none"/>
        </w:rPr>
        <w:t>1.28</w:t>
      </w:r>
      <w:r>
        <w:rPr>
          <w:rFonts w:hint="eastAsia" w:ascii="宋体"/>
          <w:color w:val="auto"/>
          <w:szCs w:val="21"/>
          <w:highlight w:val="none"/>
        </w:rPr>
        <w:tab/>
      </w:r>
      <w:r>
        <w:rPr>
          <w:rFonts w:ascii="宋体" w:hAnsi="宋体"/>
          <w:color w:val="auto"/>
          <w:sz w:val="24"/>
          <w:highlight w:val="none"/>
        </w:rPr>
        <w:t>PEEP：0-50 cmH2O</w:t>
      </w:r>
    </w:p>
    <w:p>
      <w:pPr>
        <w:spacing w:line="360" w:lineRule="auto"/>
        <w:rPr>
          <w:rFonts w:ascii="宋体"/>
          <w:color w:val="auto"/>
          <w:szCs w:val="21"/>
          <w:highlight w:val="none"/>
        </w:rPr>
      </w:pPr>
      <w:r>
        <w:rPr>
          <w:rFonts w:hint="eastAsia" w:ascii="宋体"/>
          <w:color w:val="auto"/>
          <w:szCs w:val="21"/>
          <w:highlight w:val="none"/>
        </w:rPr>
        <w:t>1.29</w:t>
      </w:r>
      <w:r>
        <w:rPr>
          <w:rFonts w:hint="eastAsia" w:ascii="宋体"/>
          <w:color w:val="auto"/>
          <w:szCs w:val="21"/>
          <w:highlight w:val="none"/>
        </w:rPr>
        <w:tab/>
      </w:r>
      <w:r>
        <w:rPr>
          <w:rFonts w:hint="eastAsia" w:ascii="宋体" w:hAnsi="宋体"/>
          <w:color w:val="auto"/>
          <w:sz w:val="24"/>
          <w:highlight w:val="none"/>
        </w:rPr>
        <w:t>潮气量：不小于</w:t>
      </w:r>
      <w:r>
        <w:rPr>
          <w:rFonts w:ascii="宋体" w:hAnsi="宋体"/>
          <w:color w:val="auto"/>
          <w:sz w:val="24"/>
          <w:highlight w:val="none"/>
        </w:rPr>
        <w:t>20ml—2000ml</w:t>
      </w:r>
      <w:r>
        <w:rPr>
          <w:rFonts w:hint="eastAsia" w:ascii="宋体" w:hAnsi="宋体"/>
          <w:color w:val="auto"/>
          <w:sz w:val="24"/>
          <w:highlight w:val="none"/>
        </w:rPr>
        <w:t>范围</w:t>
      </w:r>
    </w:p>
    <w:p>
      <w:pPr>
        <w:spacing w:line="360" w:lineRule="auto"/>
        <w:rPr>
          <w:rFonts w:ascii="宋体"/>
          <w:color w:val="auto"/>
          <w:szCs w:val="21"/>
          <w:highlight w:val="none"/>
        </w:rPr>
      </w:pPr>
      <w:r>
        <w:rPr>
          <w:rFonts w:hint="eastAsia" w:ascii="宋体"/>
          <w:color w:val="auto"/>
          <w:szCs w:val="21"/>
          <w:highlight w:val="none"/>
        </w:rPr>
        <w:t>1.30</w:t>
      </w:r>
      <w:r>
        <w:rPr>
          <w:rFonts w:hint="eastAsia" w:ascii="宋体"/>
          <w:color w:val="auto"/>
          <w:szCs w:val="21"/>
          <w:highlight w:val="none"/>
        </w:rPr>
        <w:tab/>
      </w:r>
      <w:r>
        <w:rPr>
          <w:rFonts w:hint="eastAsia" w:ascii="宋体"/>
          <w:color w:val="auto"/>
          <w:szCs w:val="21"/>
          <w:highlight w:val="none"/>
        </w:rPr>
        <w:t>流速触发灵敏度：</w:t>
      </w:r>
      <w:r>
        <w:rPr>
          <w:rFonts w:ascii="宋体" w:hAnsi="宋体"/>
          <w:color w:val="auto"/>
          <w:sz w:val="24"/>
          <w:highlight w:val="none"/>
        </w:rPr>
        <w:t>0.5—20L/ min</w:t>
      </w:r>
    </w:p>
    <w:p>
      <w:pPr>
        <w:spacing w:line="360" w:lineRule="auto"/>
        <w:rPr>
          <w:rFonts w:ascii="宋体"/>
          <w:color w:val="auto"/>
          <w:szCs w:val="21"/>
          <w:highlight w:val="none"/>
        </w:rPr>
      </w:pPr>
      <w:r>
        <w:rPr>
          <w:rFonts w:hint="eastAsia" w:ascii="宋体"/>
          <w:color w:val="auto"/>
          <w:szCs w:val="21"/>
          <w:highlight w:val="none"/>
        </w:rPr>
        <w:t>1.31</w:t>
      </w:r>
      <w:r>
        <w:rPr>
          <w:rFonts w:hint="eastAsia" w:ascii="宋体"/>
          <w:color w:val="auto"/>
          <w:szCs w:val="21"/>
          <w:highlight w:val="none"/>
        </w:rPr>
        <w:tab/>
      </w:r>
      <w:r>
        <w:rPr>
          <w:rFonts w:hint="eastAsia" w:ascii="宋体"/>
          <w:color w:val="auto"/>
          <w:szCs w:val="21"/>
          <w:highlight w:val="none"/>
        </w:rPr>
        <w:t>氧浓度：21—100%</w:t>
      </w:r>
    </w:p>
    <w:p>
      <w:pPr>
        <w:spacing w:line="360" w:lineRule="auto"/>
        <w:rPr>
          <w:rFonts w:ascii="宋体"/>
          <w:color w:val="auto"/>
          <w:szCs w:val="21"/>
          <w:highlight w:val="none"/>
        </w:rPr>
      </w:pPr>
      <w:r>
        <w:rPr>
          <w:rFonts w:hint="eastAsia" w:ascii="宋体"/>
          <w:color w:val="auto"/>
          <w:szCs w:val="21"/>
          <w:highlight w:val="none"/>
        </w:rPr>
        <w:t>1.32</w:t>
      </w:r>
      <w:r>
        <w:rPr>
          <w:rFonts w:hint="eastAsia" w:ascii="宋体"/>
          <w:color w:val="auto"/>
          <w:szCs w:val="21"/>
          <w:highlight w:val="none"/>
        </w:rPr>
        <w:tab/>
      </w:r>
      <w:r>
        <w:rPr>
          <w:rFonts w:hint="eastAsia" w:ascii="宋体"/>
          <w:color w:val="auto"/>
          <w:szCs w:val="21"/>
          <w:highlight w:val="none"/>
        </w:rPr>
        <w:t>监测气道压力参数：PEEP、气道峰压、平台压、平均压等监测</w:t>
      </w:r>
    </w:p>
    <w:p>
      <w:pPr>
        <w:spacing w:line="360" w:lineRule="auto"/>
        <w:rPr>
          <w:rFonts w:ascii="宋体"/>
          <w:color w:val="auto"/>
          <w:szCs w:val="21"/>
          <w:highlight w:val="none"/>
        </w:rPr>
      </w:pPr>
      <w:r>
        <w:rPr>
          <w:rFonts w:hint="eastAsia" w:ascii="宋体"/>
          <w:color w:val="auto"/>
          <w:szCs w:val="21"/>
          <w:highlight w:val="none"/>
        </w:rPr>
        <w:t>1.33</w:t>
      </w:r>
      <w:r>
        <w:rPr>
          <w:rFonts w:hint="eastAsia" w:ascii="宋体"/>
          <w:color w:val="auto"/>
          <w:szCs w:val="21"/>
          <w:highlight w:val="none"/>
        </w:rPr>
        <w:tab/>
      </w:r>
      <w:r>
        <w:rPr>
          <w:rFonts w:hint="eastAsia" w:ascii="宋体"/>
          <w:color w:val="auto"/>
          <w:szCs w:val="21"/>
          <w:highlight w:val="none"/>
        </w:rPr>
        <w:t>每分钟呼出通气量：总的分钟通气量、自主呼吸的分钟通气量、泄漏的分钟通气量的监测</w:t>
      </w:r>
    </w:p>
    <w:p>
      <w:pPr>
        <w:spacing w:line="360" w:lineRule="auto"/>
        <w:rPr>
          <w:rFonts w:ascii="宋体"/>
          <w:color w:val="auto"/>
          <w:szCs w:val="21"/>
          <w:highlight w:val="none"/>
        </w:rPr>
      </w:pPr>
      <w:r>
        <w:rPr>
          <w:rFonts w:hint="eastAsia" w:ascii="宋体"/>
          <w:color w:val="auto"/>
          <w:szCs w:val="21"/>
          <w:highlight w:val="none"/>
        </w:rPr>
        <w:t>1.34</w:t>
      </w:r>
      <w:r>
        <w:rPr>
          <w:rFonts w:hint="eastAsia" w:ascii="宋体"/>
          <w:color w:val="auto"/>
          <w:szCs w:val="21"/>
          <w:highlight w:val="none"/>
        </w:rPr>
        <w:tab/>
      </w:r>
      <w:r>
        <w:rPr>
          <w:rFonts w:hint="eastAsia" w:ascii="宋体"/>
          <w:color w:val="auto"/>
          <w:szCs w:val="21"/>
          <w:highlight w:val="none"/>
        </w:rPr>
        <w:t>潮气量的监测：吸入潮气量、呼出潮气量的监测</w:t>
      </w:r>
    </w:p>
    <w:p>
      <w:pPr>
        <w:spacing w:line="360" w:lineRule="auto"/>
        <w:rPr>
          <w:rFonts w:ascii="宋体"/>
          <w:color w:val="auto"/>
          <w:szCs w:val="21"/>
          <w:highlight w:val="none"/>
        </w:rPr>
      </w:pPr>
      <w:r>
        <w:rPr>
          <w:rFonts w:hint="eastAsia" w:ascii="宋体"/>
          <w:color w:val="auto"/>
          <w:szCs w:val="21"/>
          <w:highlight w:val="none"/>
        </w:rPr>
        <w:t>1.35</w:t>
      </w:r>
      <w:r>
        <w:rPr>
          <w:rFonts w:hint="eastAsia" w:ascii="宋体"/>
          <w:color w:val="auto"/>
          <w:szCs w:val="21"/>
          <w:highlight w:val="none"/>
        </w:rPr>
        <w:tab/>
      </w:r>
      <w:r>
        <w:rPr>
          <w:rFonts w:hint="eastAsia" w:ascii="宋体"/>
          <w:color w:val="auto"/>
          <w:szCs w:val="21"/>
          <w:highlight w:val="none"/>
        </w:rPr>
        <w:t>呼吸频率监测：总的呼吸频率、自主呼吸频率、机控呼吸频率的监测</w:t>
      </w:r>
    </w:p>
    <w:p>
      <w:pPr>
        <w:spacing w:line="360" w:lineRule="auto"/>
        <w:rPr>
          <w:rFonts w:ascii="宋体"/>
          <w:color w:val="auto"/>
          <w:szCs w:val="21"/>
          <w:highlight w:val="none"/>
        </w:rPr>
      </w:pPr>
      <w:r>
        <w:rPr>
          <w:rFonts w:hint="eastAsia" w:ascii="宋体"/>
          <w:color w:val="auto"/>
          <w:szCs w:val="21"/>
          <w:highlight w:val="none"/>
        </w:rPr>
        <w:t>1.36</w:t>
      </w:r>
      <w:r>
        <w:rPr>
          <w:rFonts w:hint="eastAsia" w:ascii="宋体"/>
          <w:color w:val="auto"/>
          <w:szCs w:val="21"/>
          <w:highlight w:val="none"/>
        </w:rPr>
        <w:tab/>
      </w:r>
      <w:r>
        <w:rPr>
          <w:rFonts w:hint="eastAsia" w:ascii="宋体"/>
          <w:color w:val="auto"/>
          <w:szCs w:val="21"/>
          <w:highlight w:val="none"/>
        </w:rPr>
        <w:t>波形显示：压力/时间、流速/时间、容量/时间</w:t>
      </w:r>
    </w:p>
    <w:p>
      <w:pPr>
        <w:spacing w:line="360" w:lineRule="auto"/>
        <w:rPr>
          <w:rFonts w:ascii="宋体"/>
          <w:color w:val="auto"/>
          <w:szCs w:val="21"/>
          <w:highlight w:val="none"/>
        </w:rPr>
      </w:pPr>
      <w:r>
        <w:rPr>
          <w:rFonts w:hint="eastAsia" w:ascii="宋体"/>
          <w:color w:val="auto"/>
          <w:szCs w:val="21"/>
          <w:highlight w:val="none"/>
        </w:rPr>
        <w:t>1.37</w:t>
      </w:r>
      <w:r>
        <w:rPr>
          <w:rFonts w:hint="eastAsia" w:ascii="宋体"/>
          <w:color w:val="auto"/>
          <w:szCs w:val="21"/>
          <w:highlight w:val="none"/>
        </w:rPr>
        <w:tab/>
      </w:r>
      <w:r>
        <w:rPr>
          <w:rFonts w:hint="eastAsia" w:ascii="宋体"/>
          <w:color w:val="auto"/>
          <w:szCs w:val="21"/>
          <w:highlight w:val="none"/>
        </w:rPr>
        <w:t>吸入的氧浓度的监测</w:t>
      </w:r>
    </w:p>
    <w:p>
      <w:pPr>
        <w:spacing w:line="360" w:lineRule="auto"/>
        <w:rPr>
          <w:rFonts w:ascii="宋体"/>
          <w:color w:val="auto"/>
          <w:szCs w:val="21"/>
          <w:highlight w:val="none"/>
        </w:rPr>
      </w:pPr>
      <w:r>
        <w:rPr>
          <w:rFonts w:hint="eastAsia" w:ascii="宋体"/>
          <w:color w:val="auto"/>
          <w:szCs w:val="21"/>
          <w:highlight w:val="none"/>
        </w:rPr>
        <w:t>1.38</w:t>
      </w:r>
      <w:r>
        <w:rPr>
          <w:rFonts w:hint="eastAsia" w:ascii="宋体"/>
          <w:color w:val="auto"/>
          <w:szCs w:val="21"/>
          <w:highlight w:val="none"/>
        </w:rPr>
        <w:tab/>
      </w:r>
      <w:r>
        <w:rPr>
          <w:rFonts w:hint="eastAsia" w:ascii="宋体"/>
          <w:color w:val="auto"/>
          <w:szCs w:val="21"/>
          <w:highlight w:val="none"/>
        </w:rPr>
        <w:t>具有压力/容积、流速/容积、流速/压力环3种呼吸环监测。</w:t>
      </w:r>
    </w:p>
    <w:p>
      <w:pPr>
        <w:spacing w:line="360" w:lineRule="auto"/>
        <w:rPr>
          <w:rFonts w:ascii="宋体"/>
          <w:color w:val="auto"/>
          <w:szCs w:val="21"/>
          <w:highlight w:val="none"/>
        </w:rPr>
      </w:pPr>
      <w:r>
        <w:rPr>
          <w:rFonts w:hint="eastAsia" w:ascii="宋体"/>
          <w:color w:val="auto"/>
          <w:szCs w:val="21"/>
          <w:highlight w:val="none"/>
        </w:rPr>
        <w:t>1.39</w:t>
      </w:r>
      <w:r>
        <w:rPr>
          <w:rFonts w:hint="eastAsia" w:ascii="宋体"/>
          <w:color w:val="auto"/>
          <w:szCs w:val="21"/>
          <w:highlight w:val="none"/>
        </w:rPr>
        <w:tab/>
      </w:r>
      <w:r>
        <w:rPr>
          <w:rFonts w:hint="eastAsia" w:ascii="宋体"/>
          <w:color w:val="auto"/>
          <w:szCs w:val="21"/>
          <w:highlight w:val="none"/>
        </w:rPr>
        <w:t>肺的力学：吸气阻力、呼气阻力、静态顺应性、动态顺应性和时间常数的监测</w:t>
      </w:r>
    </w:p>
    <w:p>
      <w:pPr>
        <w:spacing w:line="360" w:lineRule="auto"/>
        <w:jc w:val="center"/>
        <w:rPr>
          <w:rFonts w:ascii="宋体"/>
          <w:b/>
          <w:bCs/>
          <w:color w:val="auto"/>
          <w:sz w:val="24"/>
          <w:highlight w:val="none"/>
        </w:rPr>
      </w:pPr>
    </w:p>
    <w:p>
      <w:pPr>
        <w:spacing w:line="360" w:lineRule="auto"/>
        <w:jc w:val="center"/>
        <w:outlineLvl w:val="1"/>
        <w:rPr>
          <w:rFonts w:ascii="宋体"/>
          <w:b/>
          <w:bCs/>
          <w:color w:val="auto"/>
          <w:sz w:val="24"/>
          <w:highlight w:val="none"/>
        </w:rPr>
      </w:pPr>
      <w:r>
        <w:rPr>
          <w:rFonts w:hint="eastAsia" w:ascii="宋体"/>
          <w:b/>
          <w:bCs/>
          <w:color w:val="auto"/>
          <w:sz w:val="24"/>
          <w:highlight w:val="none"/>
        </w:rPr>
        <w:t>第十包</w:t>
      </w:r>
    </w:p>
    <w:p>
      <w:pPr>
        <w:spacing w:line="360" w:lineRule="auto"/>
        <w:jc w:val="center"/>
        <w:rPr>
          <w:rFonts w:ascii="宋体"/>
          <w:b/>
          <w:bCs/>
          <w:color w:val="auto"/>
          <w:sz w:val="24"/>
          <w:highlight w:val="none"/>
        </w:rPr>
      </w:pPr>
      <w:r>
        <w:rPr>
          <w:rFonts w:hint="eastAsia" w:ascii="宋体"/>
          <w:b/>
          <w:bCs/>
          <w:color w:val="auto"/>
          <w:sz w:val="24"/>
          <w:highlight w:val="none"/>
        </w:rPr>
        <w:t>10-1 空气波压力治疗仪-1</w:t>
      </w:r>
    </w:p>
    <w:p>
      <w:pPr>
        <w:rPr>
          <w:rFonts w:ascii="宋体"/>
          <w:color w:val="auto"/>
          <w:szCs w:val="21"/>
          <w:highlight w:val="none"/>
        </w:rPr>
      </w:pPr>
      <w:r>
        <w:rPr>
          <w:rFonts w:hint="eastAsia" w:ascii="宋体"/>
          <w:color w:val="auto"/>
          <w:szCs w:val="21"/>
          <w:highlight w:val="none"/>
        </w:rPr>
        <w:t>1、至少4腔套筒，套筒材质透气性好，超强抗压。</w:t>
      </w:r>
    </w:p>
    <w:p>
      <w:pPr>
        <w:spacing w:line="360" w:lineRule="auto"/>
        <w:rPr>
          <w:rFonts w:ascii="宋体"/>
          <w:color w:val="auto"/>
          <w:szCs w:val="21"/>
          <w:highlight w:val="none"/>
        </w:rPr>
      </w:pPr>
      <w:r>
        <w:rPr>
          <w:rFonts w:hint="eastAsia" w:ascii="宋体"/>
          <w:color w:val="auto"/>
          <w:szCs w:val="21"/>
          <w:highlight w:val="none"/>
        </w:rPr>
        <w:t>2、LED显示，按键操作，实时显示套筒气囊运行状态。</w:t>
      </w:r>
    </w:p>
    <w:p>
      <w:pPr>
        <w:spacing w:line="360" w:lineRule="auto"/>
        <w:rPr>
          <w:rFonts w:ascii="宋体"/>
          <w:color w:val="auto"/>
          <w:szCs w:val="21"/>
          <w:highlight w:val="none"/>
        </w:rPr>
      </w:pPr>
      <w:r>
        <w:rPr>
          <w:rFonts w:hint="eastAsia" w:ascii="宋体"/>
          <w:color w:val="auto"/>
          <w:szCs w:val="21"/>
          <w:highlight w:val="none"/>
        </w:rPr>
        <w:t>3、床边式挂钩设计便于移动和床边治疗。</w:t>
      </w:r>
    </w:p>
    <w:p>
      <w:pPr>
        <w:spacing w:line="360" w:lineRule="auto"/>
        <w:rPr>
          <w:rFonts w:ascii="宋体"/>
          <w:color w:val="auto"/>
          <w:szCs w:val="21"/>
          <w:highlight w:val="none"/>
        </w:rPr>
      </w:pPr>
      <w:r>
        <w:rPr>
          <w:rFonts w:hint="eastAsia" w:ascii="宋体"/>
          <w:color w:val="auto"/>
          <w:szCs w:val="21"/>
          <w:highlight w:val="none"/>
        </w:rPr>
        <w:t>4、机器至少有2种运行模式，蠕动加压和序贯加压模式。</w:t>
      </w:r>
    </w:p>
    <w:p>
      <w:pPr>
        <w:spacing w:line="360" w:lineRule="auto"/>
        <w:rPr>
          <w:rFonts w:ascii="宋体"/>
          <w:color w:val="auto"/>
          <w:szCs w:val="21"/>
          <w:highlight w:val="none"/>
        </w:rPr>
      </w:pPr>
      <w:r>
        <w:rPr>
          <w:rFonts w:hint="eastAsia" w:ascii="宋体"/>
          <w:color w:val="auto"/>
          <w:szCs w:val="21"/>
          <w:highlight w:val="none"/>
        </w:rPr>
        <w:t>5、运行时间0-99min可调。</w:t>
      </w:r>
    </w:p>
    <w:p>
      <w:pPr>
        <w:spacing w:line="360" w:lineRule="auto"/>
        <w:rPr>
          <w:rFonts w:ascii="宋体"/>
          <w:color w:val="auto"/>
          <w:szCs w:val="21"/>
          <w:highlight w:val="none"/>
        </w:rPr>
      </w:pPr>
      <w:r>
        <w:rPr>
          <w:rFonts w:hint="eastAsia" w:ascii="宋体"/>
          <w:color w:val="auto"/>
          <w:szCs w:val="21"/>
          <w:highlight w:val="none"/>
        </w:rPr>
        <w:t>★6、压力保持时间蠕动加压模式为0-60s可调,序贯加压模式为0-30s可调。</w:t>
      </w:r>
    </w:p>
    <w:p>
      <w:pPr>
        <w:spacing w:line="360" w:lineRule="auto"/>
        <w:rPr>
          <w:rFonts w:ascii="宋体"/>
          <w:color w:val="auto"/>
          <w:szCs w:val="21"/>
          <w:highlight w:val="none"/>
        </w:rPr>
      </w:pPr>
      <w:r>
        <w:rPr>
          <w:rFonts w:hint="eastAsia" w:ascii="宋体"/>
          <w:color w:val="auto"/>
          <w:szCs w:val="21"/>
          <w:highlight w:val="none"/>
        </w:rPr>
        <w:t>7、压力输出范围20-200mmHg可调。</w:t>
      </w:r>
    </w:p>
    <w:p>
      <w:pPr>
        <w:spacing w:line="360" w:lineRule="auto"/>
        <w:rPr>
          <w:rFonts w:ascii="宋体"/>
          <w:color w:val="auto"/>
          <w:szCs w:val="21"/>
          <w:highlight w:val="none"/>
        </w:rPr>
      </w:pPr>
      <w:r>
        <w:rPr>
          <w:rFonts w:hint="eastAsia" w:ascii="宋体"/>
          <w:color w:val="auto"/>
          <w:szCs w:val="21"/>
          <w:highlight w:val="none"/>
        </w:rPr>
        <w:t>8、有超压报警和内部电池电量不足报警。</w:t>
      </w:r>
    </w:p>
    <w:p>
      <w:pPr>
        <w:spacing w:line="360" w:lineRule="auto"/>
        <w:rPr>
          <w:rFonts w:ascii="宋体"/>
          <w:color w:val="auto"/>
          <w:szCs w:val="21"/>
          <w:highlight w:val="none"/>
        </w:rPr>
      </w:pPr>
      <w:r>
        <w:rPr>
          <w:rFonts w:hint="eastAsia" w:ascii="宋体"/>
          <w:color w:val="auto"/>
          <w:szCs w:val="21"/>
          <w:highlight w:val="none"/>
        </w:rPr>
        <w:t>9、具有开机自检功能，自检项目包含气泵、气阀和压力传感器是否可以正常工作。</w:t>
      </w:r>
    </w:p>
    <w:p>
      <w:pPr>
        <w:spacing w:line="360" w:lineRule="auto"/>
        <w:rPr>
          <w:rFonts w:ascii="宋体"/>
          <w:color w:val="auto"/>
          <w:szCs w:val="21"/>
          <w:highlight w:val="none"/>
        </w:rPr>
      </w:pPr>
      <w:r>
        <w:rPr>
          <w:rFonts w:hint="eastAsia" w:ascii="宋体"/>
          <w:color w:val="auto"/>
          <w:szCs w:val="21"/>
          <w:highlight w:val="none"/>
        </w:rPr>
        <w:t>10、记忆功能：历史记录存储不少于 10000 条，该记录可以输出。</w:t>
      </w:r>
    </w:p>
    <w:p>
      <w:pPr>
        <w:spacing w:line="360" w:lineRule="auto"/>
        <w:rPr>
          <w:rFonts w:ascii="宋体"/>
          <w:color w:val="auto"/>
          <w:szCs w:val="21"/>
          <w:highlight w:val="none"/>
        </w:rPr>
      </w:pPr>
      <w:r>
        <w:rPr>
          <w:rFonts w:hint="eastAsia" w:ascii="宋体"/>
          <w:color w:val="auto"/>
          <w:szCs w:val="21"/>
          <w:highlight w:val="none"/>
        </w:rPr>
        <w:t>★11、具有紧急停止功能，通过外接停止开关可随时停止治疗。</w:t>
      </w:r>
    </w:p>
    <w:p>
      <w:pPr>
        <w:spacing w:line="360" w:lineRule="auto"/>
        <w:rPr>
          <w:rFonts w:ascii="宋体"/>
          <w:color w:val="auto"/>
          <w:szCs w:val="21"/>
          <w:highlight w:val="none"/>
        </w:rPr>
      </w:pPr>
      <w:r>
        <w:rPr>
          <w:rFonts w:hint="eastAsia" w:ascii="宋体"/>
          <w:color w:val="auto"/>
          <w:szCs w:val="21"/>
          <w:highlight w:val="none"/>
        </w:rPr>
        <w:t>12、使用过程中噪音小，超低静音。</w:t>
      </w:r>
    </w:p>
    <w:p>
      <w:pPr>
        <w:spacing w:line="360" w:lineRule="auto"/>
        <w:rPr>
          <w:rFonts w:ascii="宋体"/>
          <w:color w:val="auto"/>
          <w:szCs w:val="21"/>
          <w:highlight w:val="none"/>
        </w:rPr>
      </w:pPr>
      <w:r>
        <w:rPr>
          <w:rFonts w:hint="eastAsia" w:ascii="宋体"/>
          <w:color w:val="auto"/>
          <w:szCs w:val="21"/>
          <w:highlight w:val="none"/>
        </w:rPr>
        <w:t>13、运行过程中可以随时调节剩余工作时间、保持时间、间隔时间。</w:t>
      </w:r>
    </w:p>
    <w:p>
      <w:pPr>
        <w:spacing w:line="360" w:lineRule="auto"/>
        <w:rPr>
          <w:rFonts w:ascii="宋体"/>
          <w:color w:val="auto"/>
          <w:szCs w:val="21"/>
          <w:highlight w:val="none"/>
        </w:rPr>
      </w:pPr>
      <w:r>
        <w:rPr>
          <w:rFonts w:hint="eastAsia" w:ascii="宋体"/>
          <w:color w:val="auto"/>
          <w:szCs w:val="21"/>
          <w:highlight w:val="none"/>
        </w:rPr>
        <w:t>14、人体防生智能操作系统，适时显示输出压力，剩余时间。</w:t>
      </w:r>
    </w:p>
    <w:p>
      <w:pPr>
        <w:spacing w:line="360" w:lineRule="auto"/>
        <w:rPr>
          <w:rFonts w:ascii="宋体"/>
          <w:color w:val="auto"/>
          <w:szCs w:val="21"/>
          <w:highlight w:val="none"/>
        </w:rPr>
      </w:pPr>
      <w:r>
        <w:rPr>
          <w:rFonts w:hint="eastAsia" w:ascii="宋体"/>
          <w:color w:val="auto"/>
          <w:szCs w:val="21"/>
          <w:highlight w:val="none"/>
        </w:rPr>
        <w:t>15、断电保护功能。仪器在突然断电时，自动泄压保护，避免在特殊情况下无法快速终止治疗的情况。</w:t>
      </w:r>
    </w:p>
    <w:p>
      <w:pPr>
        <w:spacing w:line="360" w:lineRule="auto"/>
        <w:rPr>
          <w:rFonts w:ascii="宋体"/>
          <w:color w:val="auto"/>
          <w:szCs w:val="21"/>
          <w:highlight w:val="none"/>
        </w:rPr>
      </w:pPr>
      <w:r>
        <w:rPr>
          <w:rFonts w:hint="eastAsia" w:ascii="宋体"/>
          <w:color w:val="auto"/>
          <w:szCs w:val="21"/>
          <w:highlight w:val="none"/>
        </w:rPr>
        <w:t>16、梯度压力治疗模式。梯度压力模式是指：由远心端向近心端的不同气囊压力递减，以保障静脉功能不全者的静脉瓣膜的功能修复、使治疗感觉更舒适。</w:t>
      </w:r>
    </w:p>
    <w:p>
      <w:pPr>
        <w:spacing w:line="360" w:lineRule="auto"/>
        <w:rPr>
          <w:rFonts w:ascii="宋体"/>
          <w:color w:val="auto"/>
          <w:szCs w:val="21"/>
          <w:highlight w:val="none"/>
        </w:rPr>
      </w:pPr>
      <w:r>
        <w:rPr>
          <w:rFonts w:hint="eastAsia" w:ascii="宋体"/>
          <w:color w:val="auto"/>
          <w:szCs w:val="21"/>
          <w:highlight w:val="none"/>
        </w:rPr>
        <w:t>★17、单腔压力可调可关闭大部分患者使用时，下肢有渗出可能性，单腔压力关闭（把压力设置为10mmHg）功能可针对创面位置气囊采取零压力设置，确保使用安全。</w:t>
      </w:r>
    </w:p>
    <w:p>
      <w:pPr>
        <w:spacing w:line="360" w:lineRule="auto"/>
        <w:rPr>
          <w:rFonts w:ascii="宋体"/>
          <w:color w:val="auto"/>
          <w:szCs w:val="21"/>
          <w:highlight w:val="none"/>
        </w:rPr>
      </w:pPr>
    </w:p>
    <w:p>
      <w:pPr>
        <w:spacing w:line="360" w:lineRule="auto"/>
        <w:jc w:val="center"/>
        <w:rPr>
          <w:rFonts w:ascii="宋体"/>
          <w:b/>
          <w:bCs/>
          <w:color w:val="auto"/>
          <w:sz w:val="24"/>
          <w:highlight w:val="none"/>
        </w:rPr>
      </w:pPr>
      <w:r>
        <w:rPr>
          <w:rFonts w:hint="eastAsia" w:ascii="宋体"/>
          <w:b/>
          <w:bCs/>
          <w:color w:val="auto"/>
          <w:sz w:val="24"/>
          <w:highlight w:val="none"/>
        </w:rPr>
        <w:t>10-2 空气波压力治疗仪-2</w:t>
      </w:r>
    </w:p>
    <w:p>
      <w:pPr>
        <w:spacing w:line="360" w:lineRule="auto"/>
        <w:rPr>
          <w:rFonts w:ascii="宋体"/>
          <w:color w:val="auto"/>
          <w:szCs w:val="21"/>
          <w:highlight w:val="none"/>
        </w:rPr>
      </w:pPr>
      <w:r>
        <w:rPr>
          <w:rFonts w:hint="eastAsia" w:ascii="宋体"/>
          <w:color w:val="auto"/>
          <w:szCs w:val="21"/>
          <w:highlight w:val="none"/>
        </w:rPr>
        <w:t>1、操作方式</w:t>
      </w:r>
    </w:p>
    <w:p>
      <w:pPr>
        <w:spacing w:line="360" w:lineRule="auto"/>
        <w:rPr>
          <w:rFonts w:ascii="宋体"/>
          <w:color w:val="auto"/>
          <w:szCs w:val="21"/>
          <w:highlight w:val="none"/>
        </w:rPr>
      </w:pPr>
      <w:r>
        <w:rPr>
          <w:rFonts w:hint="eastAsia" w:ascii="宋体"/>
          <w:color w:val="auto"/>
          <w:szCs w:val="21"/>
          <w:highlight w:val="none"/>
        </w:rPr>
        <w:t>彩色液晶人体仿生触摸屏操作</w:t>
      </w:r>
    </w:p>
    <w:p>
      <w:pPr>
        <w:spacing w:line="360" w:lineRule="auto"/>
        <w:rPr>
          <w:rFonts w:ascii="宋体"/>
          <w:color w:val="auto"/>
          <w:szCs w:val="21"/>
          <w:highlight w:val="none"/>
        </w:rPr>
      </w:pPr>
      <w:r>
        <w:rPr>
          <w:rFonts w:hint="eastAsia" w:ascii="宋体"/>
          <w:color w:val="auto"/>
          <w:szCs w:val="21"/>
          <w:highlight w:val="none"/>
        </w:rPr>
        <w:t>★2、血液回盈侦测功能</w:t>
      </w:r>
    </w:p>
    <w:p>
      <w:pPr>
        <w:spacing w:line="360" w:lineRule="auto"/>
        <w:rPr>
          <w:rFonts w:ascii="宋体"/>
          <w:color w:val="auto"/>
          <w:szCs w:val="21"/>
          <w:highlight w:val="none"/>
        </w:rPr>
      </w:pPr>
      <w:r>
        <w:rPr>
          <w:rFonts w:hint="eastAsia" w:ascii="宋体"/>
          <w:color w:val="auto"/>
          <w:szCs w:val="21"/>
          <w:highlight w:val="none"/>
        </w:rPr>
        <w:t>2.1具备血液回盈侦测功能</w:t>
      </w:r>
    </w:p>
    <w:p>
      <w:pPr>
        <w:spacing w:line="360" w:lineRule="auto"/>
        <w:rPr>
          <w:rFonts w:ascii="宋体"/>
          <w:color w:val="auto"/>
          <w:szCs w:val="21"/>
          <w:highlight w:val="none"/>
        </w:rPr>
      </w:pPr>
      <w:r>
        <w:rPr>
          <w:rFonts w:hint="eastAsia" w:ascii="宋体"/>
          <w:color w:val="auto"/>
          <w:szCs w:val="21"/>
          <w:highlight w:val="none"/>
        </w:rPr>
        <w:t>3、通道数</w:t>
      </w:r>
    </w:p>
    <w:p>
      <w:pPr>
        <w:spacing w:line="360" w:lineRule="auto"/>
        <w:rPr>
          <w:rFonts w:ascii="宋体"/>
          <w:color w:val="auto"/>
          <w:szCs w:val="21"/>
          <w:highlight w:val="none"/>
        </w:rPr>
      </w:pPr>
      <w:r>
        <w:rPr>
          <w:rFonts w:hint="eastAsia" w:ascii="宋体"/>
          <w:color w:val="auto"/>
          <w:szCs w:val="21"/>
          <w:highlight w:val="none"/>
        </w:rPr>
        <w:t>3.1两路物理通道</w:t>
      </w:r>
    </w:p>
    <w:p>
      <w:pPr>
        <w:spacing w:line="360" w:lineRule="auto"/>
        <w:rPr>
          <w:rFonts w:ascii="宋体"/>
          <w:color w:val="auto"/>
          <w:szCs w:val="21"/>
          <w:highlight w:val="none"/>
        </w:rPr>
      </w:pPr>
      <w:r>
        <w:rPr>
          <w:rFonts w:hint="eastAsia" w:ascii="宋体"/>
          <w:color w:val="auto"/>
          <w:szCs w:val="21"/>
          <w:highlight w:val="none"/>
        </w:rPr>
        <w:t>3.2两路物理通道可实现同时、间歇、按顺序充放气</w:t>
      </w:r>
    </w:p>
    <w:p>
      <w:pPr>
        <w:spacing w:line="360" w:lineRule="auto"/>
        <w:rPr>
          <w:rFonts w:ascii="宋体"/>
          <w:color w:val="auto"/>
          <w:szCs w:val="21"/>
          <w:highlight w:val="none"/>
        </w:rPr>
      </w:pPr>
      <w:r>
        <w:rPr>
          <w:rFonts w:hint="eastAsia" w:ascii="宋体"/>
          <w:color w:val="auto"/>
          <w:szCs w:val="21"/>
          <w:highlight w:val="none"/>
        </w:rPr>
        <w:t>4、压力范围</w:t>
      </w:r>
    </w:p>
    <w:p>
      <w:pPr>
        <w:spacing w:line="360" w:lineRule="auto"/>
        <w:rPr>
          <w:rFonts w:ascii="宋体"/>
          <w:color w:val="auto"/>
          <w:szCs w:val="21"/>
          <w:highlight w:val="none"/>
        </w:rPr>
      </w:pPr>
      <w:r>
        <w:rPr>
          <w:rFonts w:hint="eastAsia" w:ascii="宋体"/>
          <w:color w:val="auto"/>
          <w:szCs w:val="21"/>
          <w:highlight w:val="none"/>
        </w:rPr>
        <w:t>4.1压力范围0-240mmHg</w:t>
      </w:r>
    </w:p>
    <w:p>
      <w:pPr>
        <w:spacing w:line="360" w:lineRule="auto"/>
        <w:rPr>
          <w:rFonts w:ascii="宋体"/>
          <w:color w:val="auto"/>
          <w:szCs w:val="21"/>
          <w:highlight w:val="none"/>
        </w:rPr>
      </w:pPr>
      <w:r>
        <w:rPr>
          <w:rFonts w:hint="eastAsia" w:ascii="宋体"/>
          <w:color w:val="auto"/>
          <w:szCs w:val="21"/>
          <w:highlight w:val="none"/>
        </w:rPr>
        <w:t>5、充气速度</w:t>
      </w:r>
    </w:p>
    <w:p>
      <w:pPr>
        <w:spacing w:line="360" w:lineRule="auto"/>
        <w:rPr>
          <w:rFonts w:ascii="宋体"/>
          <w:color w:val="auto"/>
          <w:szCs w:val="21"/>
          <w:highlight w:val="none"/>
        </w:rPr>
      </w:pPr>
      <w:r>
        <w:rPr>
          <w:rFonts w:hint="eastAsia" w:ascii="宋体"/>
          <w:color w:val="auto"/>
          <w:szCs w:val="21"/>
          <w:highlight w:val="none"/>
        </w:rPr>
        <w:t>5.1充气速度1-6级可调</w:t>
      </w:r>
    </w:p>
    <w:p>
      <w:pPr>
        <w:spacing w:line="360" w:lineRule="auto"/>
        <w:rPr>
          <w:rFonts w:ascii="宋体"/>
          <w:color w:val="auto"/>
          <w:szCs w:val="21"/>
          <w:highlight w:val="none"/>
        </w:rPr>
      </w:pPr>
      <w:r>
        <w:rPr>
          <w:rFonts w:hint="eastAsia" w:ascii="宋体"/>
          <w:color w:val="auto"/>
          <w:szCs w:val="21"/>
          <w:highlight w:val="none"/>
        </w:rPr>
        <w:t>5.2充满单腔的时间5s以内</w:t>
      </w:r>
    </w:p>
    <w:p>
      <w:pPr>
        <w:spacing w:line="360" w:lineRule="auto"/>
        <w:rPr>
          <w:rFonts w:ascii="宋体"/>
          <w:color w:val="auto"/>
          <w:szCs w:val="21"/>
          <w:highlight w:val="none"/>
        </w:rPr>
      </w:pPr>
      <w:r>
        <w:rPr>
          <w:rFonts w:hint="eastAsia" w:ascii="宋体"/>
          <w:color w:val="auto"/>
          <w:szCs w:val="21"/>
          <w:highlight w:val="none"/>
        </w:rPr>
        <w:t>★6、零压跳过功能</w:t>
      </w:r>
    </w:p>
    <w:p>
      <w:pPr>
        <w:spacing w:line="360" w:lineRule="auto"/>
        <w:rPr>
          <w:rFonts w:ascii="宋体"/>
          <w:color w:val="auto"/>
          <w:szCs w:val="21"/>
          <w:highlight w:val="none"/>
        </w:rPr>
      </w:pPr>
      <w:r>
        <w:rPr>
          <w:rFonts w:hint="eastAsia" w:ascii="宋体"/>
          <w:color w:val="auto"/>
          <w:szCs w:val="21"/>
          <w:highlight w:val="none"/>
        </w:rPr>
        <w:t>具备单腔零压跳过功能，通过一键式设定实现</w:t>
      </w:r>
    </w:p>
    <w:p>
      <w:pPr>
        <w:spacing w:line="360" w:lineRule="auto"/>
        <w:rPr>
          <w:rFonts w:ascii="宋体"/>
          <w:color w:val="auto"/>
          <w:szCs w:val="21"/>
          <w:highlight w:val="none"/>
        </w:rPr>
      </w:pPr>
      <w:r>
        <w:rPr>
          <w:rFonts w:hint="eastAsia" w:ascii="宋体"/>
          <w:color w:val="auto"/>
          <w:szCs w:val="21"/>
          <w:highlight w:val="none"/>
        </w:rPr>
        <w:t>7、治疗时间</w:t>
      </w:r>
    </w:p>
    <w:p>
      <w:pPr>
        <w:spacing w:line="360" w:lineRule="auto"/>
        <w:rPr>
          <w:rFonts w:ascii="宋体"/>
          <w:color w:val="auto"/>
          <w:szCs w:val="21"/>
          <w:highlight w:val="none"/>
        </w:rPr>
      </w:pPr>
      <w:r>
        <w:rPr>
          <w:rFonts w:hint="eastAsia" w:ascii="宋体"/>
          <w:color w:val="auto"/>
          <w:szCs w:val="21"/>
          <w:highlight w:val="none"/>
        </w:rPr>
        <w:t>7.1治疗时间1-600min可调</w:t>
      </w:r>
    </w:p>
    <w:p>
      <w:pPr>
        <w:spacing w:line="360" w:lineRule="auto"/>
        <w:rPr>
          <w:rFonts w:ascii="宋体"/>
          <w:color w:val="auto"/>
          <w:szCs w:val="21"/>
          <w:highlight w:val="none"/>
        </w:rPr>
      </w:pPr>
      <w:r>
        <w:rPr>
          <w:rFonts w:hint="eastAsia" w:ascii="宋体"/>
          <w:color w:val="auto"/>
          <w:szCs w:val="21"/>
          <w:highlight w:val="none"/>
        </w:rPr>
        <w:t>7.2支持不间断治疗</w:t>
      </w:r>
    </w:p>
    <w:p>
      <w:pPr>
        <w:spacing w:line="360" w:lineRule="auto"/>
        <w:rPr>
          <w:rFonts w:ascii="宋体"/>
          <w:color w:val="auto"/>
          <w:szCs w:val="21"/>
          <w:highlight w:val="none"/>
        </w:rPr>
      </w:pPr>
      <w:r>
        <w:rPr>
          <w:rFonts w:hint="eastAsia" w:ascii="宋体"/>
          <w:color w:val="auto"/>
          <w:szCs w:val="21"/>
          <w:highlight w:val="none"/>
        </w:rPr>
        <w:t>8、治疗模式</w:t>
      </w:r>
    </w:p>
    <w:p>
      <w:pPr>
        <w:spacing w:line="360" w:lineRule="auto"/>
        <w:rPr>
          <w:rFonts w:ascii="宋体"/>
          <w:color w:val="auto"/>
          <w:szCs w:val="21"/>
          <w:highlight w:val="none"/>
        </w:rPr>
      </w:pPr>
      <w:r>
        <w:rPr>
          <w:rFonts w:hint="eastAsia" w:ascii="宋体"/>
          <w:color w:val="auto"/>
          <w:szCs w:val="21"/>
          <w:highlight w:val="none"/>
        </w:rPr>
        <w:t>支持标准治疗、梯度治疗、逆序挤压模式以及高级治疗模式，可连接8腔手部气囊，实现手部气压治疗</w:t>
      </w:r>
    </w:p>
    <w:p>
      <w:pPr>
        <w:spacing w:line="360" w:lineRule="auto"/>
        <w:rPr>
          <w:rFonts w:ascii="宋体"/>
          <w:color w:val="auto"/>
          <w:szCs w:val="21"/>
          <w:highlight w:val="none"/>
        </w:rPr>
      </w:pPr>
      <w:r>
        <w:rPr>
          <w:rFonts w:hint="eastAsia" w:ascii="宋体"/>
          <w:color w:val="auto"/>
          <w:szCs w:val="21"/>
          <w:highlight w:val="none"/>
        </w:rPr>
        <w:t>9、提示及报警功能</w:t>
      </w:r>
    </w:p>
    <w:p>
      <w:pPr>
        <w:spacing w:line="360" w:lineRule="auto"/>
        <w:rPr>
          <w:rFonts w:ascii="宋体"/>
          <w:color w:val="auto"/>
          <w:szCs w:val="21"/>
          <w:highlight w:val="none"/>
        </w:rPr>
      </w:pPr>
      <w:r>
        <w:rPr>
          <w:rFonts w:hint="eastAsia" w:ascii="宋体"/>
          <w:color w:val="auto"/>
          <w:szCs w:val="21"/>
          <w:highlight w:val="none"/>
        </w:rPr>
        <w:t>具有超压、欠压、脱落等安全提示功能，同时具有语音及屏幕双重报警功能</w:t>
      </w:r>
    </w:p>
    <w:p>
      <w:pPr>
        <w:spacing w:line="360" w:lineRule="auto"/>
        <w:rPr>
          <w:rFonts w:ascii="宋体"/>
          <w:color w:val="auto"/>
          <w:szCs w:val="21"/>
          <w:highlight w:val="none"/>
        </w:rPr>
      </w:pPr>
      <w:r>
        <w:rPr>
          <w:rFonts w:hint="eastAsia" w:ascii="宋体"/>
          <w:color w:val="auto"/>
          <w:szCs w:val="21"/>
          <w:highlight w:val="none"/>
        </w:rPr>
        <w:t>★10、患者信息储存</w:t>
      </w:r>
    </w:p>
    <w:p>
      <w:pPr>
        <w:spacing w:line="360" w:lineRule="auto"/>
        <w:rPr>
          <w:rFonts w:ascii="宋体"/>
          <w:color w:val="auto"/>
          <w:szCs w:val="21"/>
          <w:highlight w:val="none"/>
        </w:rPr>
      </w:pPr>
      <w:r>
        <w:rPr>
          <w:rFonts w:hint="eastAsia" w:ascii="宋体"/>
          <w:color w:val="auto"/>
          <w:szCs w:val="21"/>
          <w:highlight w:val="none"/>
        </w:rPr>
        <w:t>具备无限存储扩展功能，实现患者信息及治疗记录无限量储存</w:t>
      </w:r>
    </w:p>
    <w:p>
      <w:pPr>
        <w:spacing w:line="360" w:lineRule="auto"/>
        <w:rPr>
          <w:rFonts w:ascii="宋体"/>
          <w:color w:val="auto"/>
          <w:szCs w:val="21"/>
          <w:highlight w:val="none"/>
        </w:rPr>
      </w:pPr>
      <w:r>
        <w:rPr>
          <w:rFonts w:hint="eastAsia" w:ascii="宋体"/>
          <w:color w:val="auto"/>
          <w:szCs w:val="21"/>
          <w:highlight w:val="none"/>
        </w:rPr>
        <w:t>11、安全防护功能</w:t>
      </w:r>
    </w:p>
    <w:p>
      <w:pPr>
        <w:spacing w:line="360" w:lineRule="auto"/>
        <w:rPr>
          <w:rFonts w:ascii="宋体"/>
          <w:color w:val="auto"/>
          <w:szCs w:val="21"/>
          <w:highlight w:val="none"/>
        </w:rPr>
      </w:pPr>
      <w:r>
        <w:rPr>
          <w:rFonts w:hint="eastAsia" w:ascii="宋体"/>
          <w:color w:val="auto"/>
          <w:szCs w:val="21"/>
          <w:highlight w:val="none"/>
        </w:rPr>
        <w:t>达到阈值时、突然断电或中断治疗时，可自动泄压，避免对病人意外伤害</w:t>
      </w:r>
    </w:p>
    <w:p>
      <w:pPr>
        <w:spacing w:after="120"/>
        <w:ind w:firstLine="707" w:firstLineChars="337"/>
        <w:rPr>
          <w:rFonts w:ascii="宋体"/>
          <w:color w:val="auto"/>
          <w:szCs w:val="21"/>
          <w:highlight w:val="none"/>
        </w:rPr>
      </w:pPr>
    </w:p>
    <w:p>
      <w:pPr>
        <w:spacing w:line="360" w:lineRule="auto"/>
        <w:jc w:val="center"/>
        <w:rPr>
          <w:rFonts w:ascii="宋体"/>
          <w:b/>
          <w:bCs/>
          <w:color w:val="auto"/>
          <w:sz w:val="24"/>
          <w:highlight w:val="none"/>
        </w:rPr>
      </w:pPr>
      <w:r>
        <w:rPr>
          <w:rFonts w:hint="eastAsia" w:ascii="宋体"/>
          <w:b/>
          <w:bCs/>
          <w:color w:val="auto"/>
          <w:sz w:val="24"/>
          <w:highlight w:val="none"/>
        </w:rPr>
        <w:t>10-3  空氧混合仪</w:t>
      </w:r>
    </w:p>
    <w:p>
      <w:pPr>
        <w:spacing w:line="360" w:lineRule="auto"/>
        <w:rPr>
          <w:rFonts w:ascii="宋体"/>
          <w:color w:val="auto"/>
          <w:szCs w:val="21"/>
          <w:highlight w:val="none"/>
        </w:rPr>
      </w:pPr>
      <w:r>
        <w:rPr>
          <w:rFonts w:hint="eastAsia" w:ascii="宋体"/>
          <w:color w:val="auto"/>
          <w:szCs w:val="21"/>
          <w:highlight w:val="none"/>
        </w:rPr>
        <w:t>1、氧浓度和流量分开调节互不影响，氧浓度连续可调,直接设置参数，无需计算或者参照对照表。</w:t>
      </w:r>
    </w:p>
    <w:p>
      <w:pPr>
        <w:spacing w:line="360" w:lineRule="auto"/>
        <w:rPr>
          <w:rFonts w:ascii="宋体"/>
          <w:color w:val="auto"/>
          <w:szCs w:val="21"/>
          <w:highlight w:val="none"/>
        </w:rPr>
      </w:pPr>
      <w:r>
        <w:rPr>
          <w:rFonts w:hint="eastAsia" w:ascii="宋体"/>
          <w:color w:val="auto"/>
          <w:szCs w:val="21"/>
          <w:highlight w:val="none"/>
        </w:rPr>
        <w:t>★2、采用特殊合金材料精制而成，表面经过阳极氧化处理，无需氧电池，无需电源，内部二级平衡稳压装置。</w:t>
      </w:r>
    </w:p>
    <w:p>
      <w:pPr>
        <w:spacing w:line="360" w:lineRule="auto"/>
        <w:rPr>
          <w:rFonts w:ascii="宋体"/>
          <w:color w:val="auto"/>
          <w:szCs w:val="21"/>
          <w:highlight w:val="none"/>
        </w:rPr>
      </w:pPr>
      <w:r>
        <w:rPr>
          <w:rFonts w:hint="eastAsia" w:ascii="宋体"/>
          <w:color w:val="auto"/>
          <w:szCs w:val="21"/>
          <w:highlight w:val="none"/>
        </w:rPr>
        <w:t>3、气源压力：0.28MPa ～ 0.6MPa。</w:t>
      </w:r>
    </w:p>
    <w:p>
      <w:pPr>
        <w:spacing w:line="360" w:lineRule="auto"/>
        <w:rPr>
          <w:rFonts w:ascii="宋体"/>
          <w:color w:val="auto"/>
          <w:szCs w:val="21"/>
          <w:highlight w:val="none"/>
        </w:rPr>
      </w:pPr>
      <w:r>
        <w:rPr>
          <w:rFonts w:hint="eastAsia" w:ascii="宋体"/>
          <w:color w:val="auto"/>
          <w:szCs w:val="21"/>
          <w:highlight w:val="none"/>
        </w:rPr>
        <w:t>4、氧浓度调节范围：21%～100%，精度：&lt;±2%。</w:t>
      </w:r>
    </w:p>
    <w:p>
      <w:pPr>
        <w:spacing w:line="360" w:lineRule="auto"/>
        <w:rPr>
          <w:rFonts w:ascii="宋体"/>
          <w:color w:val="auto"/>
          <w:szCs w:val="21"/>
          <w:highlight w:val="none"/>
        </w:rPr>
      </w:pPr>
      <w:r>
        <w:rPr>
          <w:rFonts w:hint="eastAsia" w:ascii="宋体"/>
          <w:color w:val="auto"/>
          <w:szCs w:val="21"/>
          <w:highlight w:val="none"/>
        </w:rPr>
        <w:t>★5、流量计： 0～15LPM标配，0-30LPM选配，可选配双管流量计0-3LPM， 0-15LPM</w:t>
      </w:r>
    </w:p>
    <w:p>
      <w:pPr>
        <w:spacing w:line="360" w:lineRule="auto"/>
        <w:rPr>
          <w:rFonts w:ascii="宋体"/>
          <w:color w:val="auto"/>
          <w:szCs w:val="21"/>
          <w:highlight w:val="none"/>
        </w:rPr>
      </w:pPr>
      <w:r>
        <w:rPr>
          <w:rFonts w:hint="eastAsia" w:ascii="宋体"/>
          <w:color w:val="auto"/>
          <w:szCs w:val="21"/>
          <w:highlight w:val="none"/>
        </w:rPr>
        <w:t>6、过滤器：烧结铜。</w:t>
      </w:r>
    </w:p>
    <w:p>
      <w:pPr>
        <w:spacing w:line="360" w:lineRule="auto"/>
        <w:rPr>
          <w:rFonts w:ascii="宋体"/>
          <w:color w:val="auto"/>
          <w:szCs w:val="21"/>
          <w:highlight w:val="none"/>
        </w:rPr>
      </w:pPr>
      <w:r>
        <w:rPr>
          <w:rFonts w:hint="eastAsia" w:ascii="宋体"/>
          <w:color w:val="auto"/>
          <w:szCs w:val="21"/>
          <w:highlight w:val="none"/>
        </w:rPr>
        <w:t>7、过滤器孔径：75um±0.5um。</w:t>
      </w:r>
    </w:p>
    <w:p>
      <w:pPr>
        <w:spacing w:line="360" w:lineRule="auto"/>
        <w:rPr>
          <w:rFonts w:ascii="宋体"/>
          <w:color w:val="auto"/>
          <w:szCs w:val="21"/>
          <w:highlight w:val="none"/>
        </w:rPr>
      </w:pPr>
      <w:r>
        <w:rPr>
          <w:rFonts w:hint="eastAsia" w:ascii="宋体"/>
          <w:color w:val="auto"/>
          <w:szCs w:val="21"/>
          <w:highlight w:val="none"/>
        </w:rPr>
        <w:t>8、气源故障报警：供气气源压力差为＞1.41bar±10%时报警，报警声压级＞57dB (A)[大于等于65db，可选配置稳压阀。</w:t>
      </w:r>
    </w:p>
    <w:p>
      <w:pPr>
        <w:spacing w:line="360" w:lineRule="auto"/>
        <w:rPr>
          <w:rFonts w:ascii="宋体"/>
          <w:color w:val="auto"/>
          <w:szCs w:val="21"/>
          <w:highlight w:val="none"/>
        </w:rPr>
      </w:pPr>
      <w:r>
        <w:rPr>
          <w:rFonts w:hint="eastAsia" w:ascii="宋体"/>
          <w:color w:val="auto"/>
          <w:szCs w:val="21"/>
          <w:highlight w:val="none"/>
        </w:rPr>
        <w:t>9、流量计调节范围：混合器流量计调节范围：0L/min -18L/min和0L/min-3.5L/min。</w:t>
      </w:r>
    </w:p>
    <w:p>
      <w:pPr>
        <w:spacing w:line="360" w:lineRule="auto"/>
        <w:rPr>
          <w:rFonts w:ascii="宋体"/>
          <w:color w:val="auto"/>
          <w:szCs w:val="21"/>
          <w:highlight w:val="none"/>
        </w:rPr>
      </w:pPr>
      <w:r>
        <w:rPr>
          <w:rFonts w:hint="eastAsia" w:ascii="宋体"/>
          <w:color w:val="auto"/>
          <w:szCs w:val="21"/>
          <w:highlight w:val="none"/>
        </w:rPr>
        <w:t>★10、可选配湿化器、呼吸回路、压力发生装置、鼻塞等,使该机同时具备CPAP及HFNC功能。</w:t>
      </w:r>
    </w:p>
    <w:p>
      <w:pPr>
        <w:spacing w:after="120"/>
        <w:ind w:firstLine="707" w:firstLineChars="337"/>
        <w:rPr>
          <w:color w:val="auto"/>
          <w:highlight w:val="none"/>
        </w:rPr>
      </w:pPr>
    </w:p>
    <w:p>
      <w:pPr>
        <w:spacing w:line="360" w:lineRule="auto"/>
        <w:jc w:val="center"/>
        <w:rPr>
          <w:rFonts w:ascii="宋体"/>
          <w:b/>
          <w:bCs/>
          <w:color w:val="auto"/>
          <w:sz w:val="24"/>
          <w:highlight w:val="none"/>
        </w:rPr>
      </w:pPr>
      <w:r>
        <w:rPr>
          <w:rFonts w:hint="eastAsia" w:ascii="宋体"/>
          <w:b/>
          <w:bCs/>
          <w:color w:val="auto"/>
          <w:sz w:val="24"/>
          <w:highlight w:val="none"/>
        </w:rPr>
        <w:t>10-4 体外振动排痰机-1</w:t>
      </w:r>
    </w:p>
    <w:p>
      <w:pPr>
        <w:spacing w:line="360" w:lineRule="auto"/>
        <w:rPr>
          <w:rFonts w:ascii="宋体"/>
          <w:color w:val="auto"/>
          <w:szCs w:val="21"/>
          <w:highlight w:val="none"/>
        </w:rPr>
      </w:pPr>
      <w:r>
        <w:rPr>
          <w:rFonts w:hint="eastAsia" w:ascii="宋体"/>
          <w:color w:val="auto"/>
          <w:szCs w:val="21"/>
          <w:highlight w:val="none"/>
        </w:rPr>
        <w:t>1.适用范围：协助术后、体弱患者增强排除呼吸系统痰液等分泌物的能力，改善淤滞的肺部血液循环状况，预防、减少呼吸系统并发症的发生。</w:t>
      </w:r>
    </w:p>
    <w:p>
      <w:pPr>
        <w:spacing w:line="360" w:lineRule="auto"/>
        <w:rPr>
          <w:rFonts w:ascii="宋体"/>
          <w:color w:val="auto"/>
          <w:szCs w:val="21"/>
          <w:highlight w:val="none"/>
        </w:rPr>
      </w:pPr>
      <w:r>
        <w:rPr>
          <w:rFonts w:hint="eastAsia" w:ascii="宋体"/>
          <w:color w:val="auto"/>
          <w:szCs w:val="21"/>
          <w:highlight w:val="none"/>
        </w:rPr>
        <w:t>2.主要构成：由一台主机、二套传动系统和二套动力输出装置（即治疗头）组成。</w:t>
      </w:r>
    </w:p>
    <w:p>
      <w:pPr>
        <w:spacing w:line="360" w:lineRule="auto"/>
        <w:rPr>
          <w:rFonts w:ascii="宋体"/>
          <w:color w:val="auto"/>
          <w:szCs w:val="21"/>
          <w:highlight w:val="none"/>
        </w:rPr>
      </w:pPr>
      <w:r>
        <w:rPr>
          <w:rFonts w:hint="eastAsia" w:ascii="宋体"/>
          <w:color w:val="auto"/>
          <w:szCs w:val="21"/>
          <w:highlight w:val="none"/>
        </w:rPr>
        <w:t>3.结构形式：不可分拆的柜机推车式。</w:t>
      </w:r>
    </w:p>
    <w:p>
      <w:pPr>
        <w:spacing w:line="360" w:lineRule="auto"/>
        <w:rPr>
          <w:rFonts w:ascii="宋体"/>
          <w:color w:val="auto"/>
          <w:szCs w:val="21"/>
          <w:highlight w:val="none"/>
        </w:rPr>
      </w:pPr>
      <w:r>
        <w:rPr>
          <w:rFonts w:hint="eastAsia" w:ascii="宋体"/>
          <w:color w:val="auto"/>
          <w:szCs w:val="21"/>
          <w:highlight w:val="none"/>
        </w:rPr>
        <w:t>4.显示方式：液晶显示界面。</w:t>
      </w:r>
    </w:p>
    <w:p>
      <w:pPr>
        <w:spacing w:line="360" w:lineRule="auto"/>
        <w:rPr>
          <w:rFonts w:ascii="宋体"/>
          <w:color w:val="auto"/>
          <w:szCs w:val="21"/>
          <w:highlight w:val="none"/>
        </w:rPr>
      </w:pPr>
      <w:r>
        <w:rPr>
          <w:rFonts w:hint="eastAsia" w:ascii="宋体"/>
          <w:color w:val="auto"/>
          <w:szCs w:val="21"/>
          <w:highlight w:val="none"/>
        </w:rPr>
        <w:t>★5.操作方式：一键飞梭的操作方式，所有功能的调节仅需通过对一个键施以旋转及按压动作即可全部完成（提供证明材料）。</w:t>
      </w:r>
    </w:p>
    <w:p>
      <w:pPr>
        <w:spacing w:line="360" w:lineRule="auto"/>
        <w:rPr>
          <w:rFonts w:ascii="宋体"/>
          <w:color w:val="auto"/>
          <w:szCs w:val="21"/>
          <w:highlight w:val="none"/>
        </w:rPr>
      </w:pPr>
      <w:r>
        <w:rPr>
          <w:rFonts w:hint="eastAsia" w:ascii="宋体"/>
          <w:color w:val="auto"/>
          <w:szCs w:val="21"/>
          <w:highlight w:val="none"/>
        </w:rPr>
        <w:t>6.输出路数：一路C型标准传动形式，一路X型轻便传动形式。</w:t>
      </w:r>
    </w:p>
    <w:p>
      <w:pPr>
        <w:spacing w:line="360" w:lineRule="auto"/>
        <w:rPr>
          <w:rFonts w:ascii="宋体"/>
          <w:color w:val="auto"/>
          <w:szCs w:val="21"/>
          <w:highlight w:val="none"/>
        </w:rPr>
      </w:pPr>
      <w:r>
        <w:rPr>
          <w:rFonts w:hint="eastAsia" w:ascii="宋体"/>
          <w:color w:val="auto"/>
          <w:szCs w:val="21"/>
          <w:highlight w:val="none"/>
        </w:rPr>
        <w:t>7、标准传动形式：动力头外径尺寸90mm±0.5mm，至少配备6种不同型号的治疗头。</w:t>
      </w:r>
    </w:p>
    <w:p>
      <w:pPr>
        <w:spacing w:line="360" w:lineRule="auto"/>
        <w:rPr>
          <w:rFonts w:ascii="宋体"/>
          <w:color w:val="auto"/>
          <w:szCs w:val="21"/>
          <w:highlight w:val="none"/>
        </w:rPr>
      </w:pPr>
      <w:r>
        <w:rPr>
          <w:rFonts w:hint="eastAsia" w:ascii="宋体"/>
          <w:color w:val="auto"/>
          <w:szCs w:val="21"/>
          <w:highlight w:val="none"/>
        </w:rPr>
        <w:t>8、轻便传动形式：动力头外径尺寸50mm±0.5mm，至少配备5种不同型号的治疗头。</w:t>
      </w:r>
    </w:p>
    <w:p>
      <w:pPr>
        <w:spacing w:line="360" w:lineRule="auto"/>
        <w:rPr>
          <w:rFonts w:ascii="宋体"/>
          <w:color w:val="auto"/>
          <w:szCs w:val="21"/>
          <w:highlight w:val="none"/>
        </w:rPr>
      </w:pPr>
      <w:r>
        <w:rPr>
          <w:rFonts w:hint="eastAsia" w:ascii="宋体"/>
          <w:color w:val="auto"/>
          <w:szCs w:val="21"/>
          <w:highlight w:val="none"/>
        </w:rPr>
        <w:t>9、传动动力头偏心距：轻便型1.7mm±1mm；标准型3mm±0.5mm。</w:t>
      </w:r>
    </w:p>
    <w:p>
      <w:pPr>
        <w:spacing w:line="360" w:lineRule="auto"/>
        <w:rPr>
          <w:rFonts w:ascii="宋体"/>
          <w:color w:val="auto"/>
          <w:szCs w:val="21"/>
          <w:highlight w:val="none"/>
        </w:rPr>
      </w:pPr>
      <w:r>
        <w:rPr>
          <w:rFonts w:hint="eastAsia" w:ascii="宋体"/>
          <w:color w:val="auto"/>
          <w:szCs w:val="21"/>
          <w:highlight w:val="none"/>
        </w:rPr>
        <w:t>★10、伺服系统：具有动力补偿特性，动力补偿能力≥3Hz。</w:t>
      </w:r>
    </w:p>
    <w:p>
      <w:pPr>
        <w:spacing w:line="360" w:lineRule="auto"/>
        <w:rPr>
          <w:rFonts w:ascii="宋体"/>
          <w:color w:val="auto"/>
          <w:szCs w:val="21"/>
          <w:highlight w:val="none"/>
        </w:rPr>
      </w:pPr>
      <w:r>
        <w:rPr>
          <w:rFonts w:hint="eastAsia" w:ascii="宋体"/>
          <w:color w:val="auto"/>
          <w:szCs w:val="21"/>
          <w:highlight w:val="none"/>
        </w:rPr>
        <w:t>11、工作模式：手动模式和自动程序模式。</w:t>
      </w:r>
    </w:p>
    <w:p>
      <w:pPr>
        <w:spacing w:line="360" w:lineRule="auto"/>
        <w:rPr>
          <w:rFonts w:ascii="宋体"/>
          <w:color w:val="auto"/>
          <w:szCs w:val="21"/>
          <w:highlight w:val="none"/>
        </w:rPr>
      </w:pPr>
      <w:r>
        <w:rPr>
          <w:rFonts w:hint="eastAsia" w:ascii="宋体"/>
          <w:color w:val="auto"/>
          <w:szCs w:val="21"/>
          <w:highlight w:val="none"/>
        </w:rPr>
        <w:t>12、手动模式频率范围：标准型传动型式为10Hz～60Hz，频率连续可调，步距为1Hz。</w:t>
      </w:r>
    </w:p>
    <w:p>
      <w:pPr>
        <w:spacing w:line="360" w:lineRule="auto"/>
        <w:rPr>
          <w:rFonts w:ascii="宋体"/>
          <w:color w:val="auto"/>
          <w:szCs w:val="21"/>
          <w:highlight w:val="none"/>
        </w:rPr>
      </w:pPr>
      <w:r>
        <w:rPr>
          <w:rFonts w:hint="eastAsia" w:ascii="宋体"/>
          <w:color w:val="auto"/>
          <w:szCs w:val="21"/>
          <w:highlight w:val="none"/>
        </w:rPr>
        <w:t>轻便型传动型式为10Hz～30Hz，频率连续可调，步距为1Hz。</w:t>
      </w:r>
    </w:p>
    <w:p>
      <w:pPr>
        <w:spacing w:line="360" w:lineRule="auto"/>
        <w:rPr>
          <w:rFonts w:ascii="宋体"/>
          <w:color w:val="auto"/>
          <w:szCs w:val="21"/>
          <w:highlight w:val="none"/>
        </w:rPr>
      </w:pPr>
      <w:r>
        <w:rPr>
          <w:rFonts w:hint="eastAsia" w:ascii="宋体"/>
          <w:color w:val="auto"/>
          <w:szCs w:val="21"/>
          <w:highlight w:val="none"/>
        </w:rPr>
        <w:t>13、手动模式定时范围：1min-60min，连续可调，步距1min。</w:t>
      </w:r>
    </w:p>
    <w:p>
      <w:pPr>
        <w:spacing w:line="360" w:lineRule="auto"/>
        <w:rPr>
          <w:rFonts w:ascii="宋体"/>
          <w:color w:val="auto"/>
          <w:szCs w:val="21"/>
          <w:highlight w:val="none"/>
        </w:rPr>
      </w:pPr>
      <w:r>
        <w:rPr>
          <w:rFonts w:hint="eastAsia" w:ascii="宋体"/>
          <w:color w:val="auto"/>
          <w:szCs w:val="21"/>
          <w:highlight w:val="none"/>
        </w:rPr>
        <w:t>14、自动程序模式：</w:t>
      </w:r>
      <w:r>
        <w:rPr>
          <w:rFonts w:hint="eastAsia" w:ascii="Calibri" w:hAnsi="Calibri"/>
          <w:color w:val="auto"/>
          <w:sz w:val="28"/>
          <w:szCs w:val="32"/>
          <w:highlight w:val="none"/>
        </w:rPr>
        <w:t>≥</w:t>
      </w:r>
      <w:r>
        <w:rPr>
          <w:rFonts w:hint="eastAsia" w:ascii="宋体"/>
          <w:color w:val="auto"/>
          <w:szCs w:val="21"/>
          <w:highlight w:val="none"/>
        </w:rPr>
        <w:t>有四种自动程序模式。</w:t>
      </w:r>
    </w:p>
    <w:p>
      <w:pPr>
        <w:spacing w:line="360" w:lineRule="auto"/>
        <w:rPr>
          <w:rFonts w:ascii="宋体"/>
          <w:color w:val="auto"/>
          <w:szCs w:val="21"/>
          <w:highlight w:val="none"/>
        </w:rPr>
      </w:pPr>
      <w:r>
        <w:rPr>
          <w:rFonts w:hint="eastAsia" w:ascii="宋体"/>
          <w:color w:val="auto"/>
          <w:szCs w:val="21"/>
          <w:highlight w:val="none"/>
        </w:rPr>
        <w:t>15、自动模式定时范围：5min、10min、15min、20min。</w:t>
      </w:r>
    </w:p>
    <w:p>
      <w:pPr>
        <w:spacing w:line="360" w:lineRule="auto"/>
        <w:rPr>
          <w:rFonts w:ascii="宋体"/>
          <w:color w:val="auto"/>
          <w:szCs w:val="21"/>
          <w:highlight w:val="none"/>
        </w:rPr>
      </w:pPr>
      <w:r>
        <w:rPr>
          <w:rFonts w:hint="eastAsia" w:ascii="宋体"/>
          <w:color w:val="auto"/>
          <w:szCs w:val="21"/>
          <w:highlight w:val="none"/>
        </w:rPr>
        <w:t>★16、电磁兼容性：治疗仪电磁兼容性能应符合YY0505-2012 的相关要求。</w:t>
      </w:r>
    </w:p>
    <w:p>
      <w:pPr>
        <w:spacing w:line="360" w:lineRule="auto"/>
        <w:rPr>
          <w:rFonts w:ascii="宋体"/>
          <w:color w:val="auto"/>
          <w:szCs w:val="21"/>
          <w:highlight w:val="none"/>
        </w:rPr>
      </w:pPr>
    </w:p>
    <w:p>
      <w:pPr>
        <w:spacing w:after="156" w:afterLines="50"/>
        <w:jc w:val="center"/>
        <w:rPr>
          <w:b/>
          <w:bCs/>
          <w:color w:val="auto"/>
          <w:sz w:val="30"/>
          <w:highlight w:val="none"/>
        </w:rPr>
      </w:pPr>
      <w:r>
        <w:rPr>
          <w:rFonts w:hint="eastAsia" w:ascii="宋体"/>
          <w:b/>
          <w:bCs/>
          <w:color w:val="auto"/>
          <w:sz w:val="24"/>
          <w:highlight w:val="none"/>
        </w:rPr>
        <w:t xml:space="preserve">10-5  体外振动排痰机-2 </w:t>
      </w:r>
      <w:r>
        <w:rPr>
          <w:rFonts w:hint="eastAsia"/>
          <w:b/>
          <w:bCs/>
          <w:color w:val="auto"/>
          <w:sz w:val="30"/>
          <w:highlight w:val="none"/>
        </w:rPr>
        <w:t xml:space="preserve">                                                                                                                                                                                                                                                                                                                                                                                                                                                                                                                                                                                                                                                                                                                                                                                                                                                                                                                                                                                                                                                                                                                                                                                                                                                                                                                                                                                                                     </w:t>
      </w:r>
    </w:p>
    <w:p>
      <w:pPr>
        <w:spacing w:line="360" w:lineRule="auto"/>
        <w:rPr>
          <w:rFonts w:ascii="宋体"/>
          <w:color w:val="auto"/>
          <w:szCs w:val="21"/>
          <w:highlight w:val="none"/>
        </w:rPr>
      </w:pPr>
      <w:r>
        <w:rPr>
          <w:rFonts w:hint="eastAsia" w:ascii="宋体"/>
          <w:color w:val="auto"/>
          <w:szCs w:val="21"/>
          <w:highlight w:val="none"/>
        </w:rPr>
        <w:t>1.适用范围：协助术后、体弱患者增强排除呼吸系统痰液等分泌物的能力，改善淤滞的肺部血液循环状况，预防、减少呼吸系统并发症的发生。</w:t>
      </w:r>
    </w:p>
    <w:p>
      <w:pPr>
        <w:spacing w:line="360" w:lineRule="auto"/>
        <w:rPr>
          <w:rFonts w:ascii="宋体"/>
          <w:color w:val="auto"/>
          <w:szCs w:val="21"/>
          <w:highlight w:val="none"/>
        </w:rPr>
      </w:pPr>
      <w:r>
        <w:rPr>
          <w:rFonts w:hint="eastAsia" w:ascii="宋体"/>
          <w:color w:val="auto"/>
          <w:szCs w:val="21"/>
          <w:highlight w:val="none"/>
        </w:rPr>
        <w:t>2.主要构成：由一台主机、二套传动系统和二套动力输出装置（即治疗头）组成。</w:t>
      </w:r>
    </w:p>
    <w:p>
      <w:pPr>
        <w:spacing w:line="360" w:lineRule="auto"/>
        <w:rPr>
          <w:rFonts w:ascii="宋体"/>
          <w:color w:val="auto"/>
          <w:szCs w:val="21"/>
          <w:highlight w:val="none"/>
        </w:rPr>
      </w:pPr>
      <w:r>
        <w:rPr>
          <w:rFonts w:hint="eastAsia" w:ascii="宋体"/>
          <w:color w:val="auto"/>
          <w:szCs w:val="21"/>
          <w:highlight w:val="none"/>
        </w:rPr>
        <w:t>3.结构形式：不可分拆的柜机推车式。</w:t>
      </w:r>
    </w:p>
    <w:p>
      <w:pPr>
        <w:spacing w:line="360" w:lineRule="auto"/>
        <w:rPr>
          <w:rFonts w:ascii="宋体"/>
          <w:color w:val="auto"/>
          <w:szCs w:val="21"/>
          <w:highlight w:val="none"/>
        </w:rPr>
      </w:pPr>
      <w:r>
        <w:rPr>
          <w:rFonts w:hint="eastAsia" w:ascii="宋体"/>
          <w:color w:val="auto"/>
          <w:szCs w:val="21"/>
          <w:highlight w:val="none"/>
        </w:rPr>
        <w:t>4.显示方式：液晶显示界面。</w:t>
      </w:r>
    </w:p>
    <w:p>
      <w:pPr>
        <w:spacing w:line="360" w:lineRule="auto"/>
        <w:rPr>
          <w:rFonts w:ascii="宋体"/>
          <w:color w:val="auto"/>
          <w:szCs w:val="21"/>
          <w:highlight w:val="none"/>
        </w:rPr>
      </w:pPr>
      <w:r>
        <w:rPr>
          <w:rFonts w:hint="eastAsia" w:ascii="宋体"/>
          <w:color w:val="auto"/>
          <w:szCs w:val="21"/>
          <w:highlight w:val="none"/>
        </w:rPr>
        <w:t>★5.操作方式：一键飞梭的操作方式，所有功能的调节仅需通过对一个键施以旋转及按压动作即可全部完成（提供证明材料）。</w:t>
      </w:r>
    </w:p>
    <w:p>
      <w:pPr>
        <w:spacing w:line="360" w:lineRule="auto"/>
        <w:rPr>
          <w:rFonts w:ascii="宋体"/>
          <w:color w:val="auto"/>
          <w:szCs w:val="21"/>
          <w:highlight w:val="none"/>
        </w:rPr>
      </w:pPr>
      <w:r>
        <w:rPr>
          <w:rFonts w:hint="eastAsia" w:ascii="宋体"/>
          <w:color w:val="auto"/>
          <w:szCs w:val="21"/>
          <w:highlight w:val="none"/>
        </w:rPr>
        <w:t>6.输出路数：至少两路X型轻便传动形式。</w:t>
      </w:r>
    </w:p>
    <w:p>
      <w:pPr>
        <w:spacing w:line="360" w:lineRule="auto"/>
        <w:rPr>
          <w:rFonts w:ascii="宋体"/>
          <w:color w:val="auto"/>
          <w:szCs w:val="21"/>
          <w:highlight w:val="none"/>
        </w:rPr>
      </w:pPr>
      <w:r>
        <w:rPr>
          <w:rFonts w:hint="eastAsia" w:ascii="宋体"/>
          <w:color w:val="auto"/>
          <w:szCs w:val="21"/>
          <w:highlight w:val="none"/>
        </w:rPr>
        <w:t>7.轻便传动形式：动力头外径尺寸50mm±0.5mm，至少配备10种不同型号的治疗头。</w:t>
      </w:r>
    </w:p>
    <w:p>
      <w:pPr>
        <w:spacing w:line="360" w:lineRule="auto"/>
        <w:rPr>
          <w:rFonts w:ascii="宋体"/>
          <w:color w:val="auto"/>
          <w:szCs w:val="21"/>
          <w:highlight w:val="none"/>
        </w:rPr>
      </w:pPr>
      <w:r>
        <w:rPr>
          <w:rFonts w:hint="eastAsia" w:ascii="宋体"/>
          <w:color w:val="auto"/>
          <w:szCs w:val="21"/>
          <w:highlight w:val="none"/>
        </w:rPr>
        <w:t>8传动动力头偏心距：1.7mm±1mm。</w:t>
      </w:r>
    </w:p>
    <w:p>
      <w:pPr>
        <w:spacing w:line="360" w:lineRule="auto"/>
        <w:rPr>
          <w:rFonts w:ascii="宋体"/>
          <w:color w:val="auto"/>
          <w:szCs w:val="21"/>
          <w:highlight w:val="none"/>
        </w:rPr>
      </w:pPr>
      <w:r>
        <w:rPr>
          <w:rFonts w:hint="eastAsia" w:ascii="宋体"/>
          <w:color w:val="auto"/>
          <w:szCs w:val="21"/>
          <w:highlight w:val="none"/>
        </w:rPr>
        <w:t>9、伺服系统：具有动力补偿特性，动力补偿能力≥3Hz。</w:t>
      </w:r>
    </w:p>
    <w:p>
      <w:pPr>
        <w:spacing w:line="360" w:lineRule="auto"/>
        <w:rPr>
          <w:rFonts w:ascii="宋体"/>
          <w:color w:val="auto"/>
          <w:szCs w:val="21"/>
          <w:highlight w:val="none"/>
        </w:rPr>
      </w:pPr>
      <w:r>
        <w:rPr>
          <w:rFonts w:hint="eastAsia" w:ascii="宋体"/>
          <w:color w:val="auto"/>
          <w:szCs w:val="21"/>
          <w:highlight w:val="none"/>
        </w:rPr>
        <w:t>10、工作模式：手动模式和自动程序模式。</w:t>
      </w:r>
    </w:p>
    <w:p>
      <w:pPr>
        <w:spacing w:line="360" w:lineRule="auto"/>
        <w:rPr>
          <w:rFonts w:ascii="宋体"/>
          <w:color w:val="auto"/>
          <w:szCs w:val="21"/>
          <w:highlight w:val="none"/>
        </w:rPr>
      </w:pPr>
      <w:r>
        <w:rPr>
          <w:rFonts w:hint="eastAsia" w:ascii="宋体"/>
          <w:color w:val="auto"/>
          <w:szCs w:val="21"/>
          <w:highlight w:val="none"/>
        </w:rPr>
        <w:t>11、手动模式频率范围：10Hz～30Hz，频率连续可调，步距为1Hz。</w:t>
      </w:r>
    </w:p>
    <w:p>
      <w:pPr>
        <w:spacing w:line="360" w:lineRule="auto"/>
        <w:rPr>
          <w:rFonts w:ascii="宋体"/>
          <w:color w:val="auto"/>
          <w:szCs w:val="21"/>
          <w:highlight w:val="none"/>
        </w:rPr>
      </w:pPr>
      <w:r>
        <w:rPr>
          <w:rFonts w:hint="eastAsia" w:ascii="宋体"/>
          <w:color w:val="auto"/>
          <w:szCs w:val="21"/>
          <w:highlight w:val="none"/>
        </w:rPr>
        <w:t>12、手动模式定时范围：1min-60min，连续可调，步距1min。</w:t>
      </w:r>
    </w:p>
    <w:p>
      <w:pPr>
        <w:spacing w:line="360" w:lineRule="auto"/>
        <w:rPr>
          <w:rFonts w:ascii="宋体"/>
          <w:color w:val="auto"/>
          <w:szCs w:val="21"/>
          <w:highlight w:val="none"/>
        </w:rPr>
      </w:pPr>
      <w:r>
        <w:rPr>
          <w:rFonts w:hint="eastAsia" w:ascii="宋体"/>
          <w:color w:val="auto"/>
          <w:szCs w:val="21"/>
          <w:highlight w:val="none"/>
        </w:rPr>
        <w:t>13、自动程序模式：至少有四种自动程序模式。</w:t>
      </w:r>
    </w:p>
    <w:p>
      <w:pPr>
        <w:spacing w:line="360" w:lineRule="auto"/>
        <w:rPr>
          <w:rFonts w:ascii="宋体"/>
          <w:color w:val="auto"/>
          <w:szCs w:val="21"/>
          <w:highlight w:val="none"/>
        </w:rPr>
      </w:pPr>
      <w:r>
        <w:rPr>
          <w:rFonts w:hint="eastAsia" w:ascii="宋体"/>
          <w:color w:val="auto"/>
          <w:szCs w:val="21"/>
          <w:highlight w:val="none"/>
        </w:rPr>
        <w:t>14、自动模式定时范围：5min、10min、15min、20min。</w:t>
      </w:r>
    </w:p>
    <w:p>
      <w:pPr>
        <w:spacing w:line="360" w:lineRule="auto"/>
        <w:rPr>
          <w:rFonts w:ascii="宋体"/>
          <w:color w:val="auto"/>
          <w:szCs w:val="21"/>
          <w:highlight w:val="none"/>
        </w:rPr>
      </w:pPr>
      <w:r>
        <w:rPr>
          <w:rFonts w:hint="eastAsia" w:ascii="宋体"/>
          <w:color w:val="auto"/>
          <w:szCs w:val="21"/>
          <w:highlight w:val="none"/>
        </w:rPr>
        <w:t>★15、电磁兼容性：治疗仪电磁兼容性能应符合YY0505-2012 的相关要求。</w:t>
      </w:r>
    </w:p>
    <w:p>
      <w:pPr>
        <w:spacing w:line="360" w:lineRule="auto"/>
        <w:rPr>
          <w:rFonts w:ascii="宋体"/>
          <w:color w:val="auto"/>
          <w:szCs w:val="21"/>
          <w:highlight w:val="none"/>
        </w:rPr>
      </w:pPr>
      <w:r>
        <w:rPr>
          <w:rFonts w:hint="eastAsia" w:ascii="宋体" w:hAnsi="宋体"/>
          <w:color w:val="auto"/>
          <w:szCs w:val="21"/>
          <w:highlight w:val="none"/>
        </w:rPr>
        <w:t xml:space="preserve"> </w:t>
      </w:r>
    </w:p>
    <w:p>
      <w:pPr>
        <w:spacing w:after="156" w:afterLines="50"/>
        <w:jc w:val="center"/>
        <w:rPr>
          <w:rFonts w:ascii="宋体"/>
          <w:b/>
          <w:bCs/>
          <w:color w:val="auto"/>
          <w:sz w:val="24"/>
          <w:highlight w:val="none"/>
        </w:rPr>
      </w:pPr>
      <w:r>
        <w:rPr>
          <w:rFonts w:hint="eastAsia" w:ascii="宋体"/>
          <w:b/>
          <w:bCs/>
          <w:color w:val="auto"/>
          <w:sz w:val="24"/>
          <w:highlight w:val="none"/>
        </w:rPr>
        <w:t>10-6震动排痰背心</w:t>
      </w:r>
    </w:p>
    <w:p>
      <w:pPr>
        <w:spacing w:line="360" w:lineRule="auto"/>
        <w:rPr>
          <w:rFonts w:ascii="宋体"/>
          <w:color w:val="auto"/>
          <w:szCs w:val="21"/>
          <w:highlight w:val="none"/>
        </w:rPr>
      </w:pPr>
      <w:r>
        <w:rPr>
          <w:rFonts w:hint="eastAsia" w:ascii="宋体"/>
          <w:color w:val="auto"/>
          <w:szCs w:val="21"/>
          <w:highlight w:val="none"/>
        </w:rPr>
        <w:t>1、适应范围：适用于多种原因引起的呼吸道分泌物增多、排出不畅的患者，辅助患者痰液的排出。预防、减少呼吸系统并发症的发生。</w:t>
      </w:r>
    </w:p>
    <w:p>
      <w:pPr>
        <w:spacing w:line="360" w:lineRule="auto"/>
        <w:rPr>
          <w:rFonts w:ascii="宋体"/>
          <w:color w:val="auto"/>
          <w:szCs w:val="21"/>
          <w:highlight w:val="none"/>
        </w:rPr>
      </w:pPr>
      <w:r>
        <w:rPr>
          <w:rFonts w:hint="eastAsia" w:ascii="宋体"/>
          <w:color w:val="auto"/>
          <w:szCs w:val="21"/>
          <w:highlight w:val="none"/>
        </w:rPr>
        <w:t>2、产品组成：主机、双空气导管、背心式气囊、线控器</w:t>
      </w:r>
    </w:p>
    <w:p>
      <w:pPr>
        <w:spacing w:line="360" w:lineRule="auto"/>
        <w:rPr>
          <w:rFonts w:ascii="宋体"/>
          <w:color w:val="auto"/>
          <w:szCs w:val="21"/>
          <w:highlight w:val="none"/>
        </w:rPr>
      </w:pPr>
      <w:r>
        <w:rPr>
          <w:rFonts w:hint="eastAsia" w:ascii="宋体"/>
          <w:color w:val="auto"/>
          <w:szCs w:val="21"/>
          <w:highlight w:val="none"/>
        </w:rPr>
        <w:t>3、压力范围：3-30mmHg，步进1mmHg，压力27及可调</w:t>
      </w:r>
    </w:p>
    <w:p>
      <w:pPr>
        <w:spacing w:line="360" w:lineRule="auto"/>
        <w:rPr>
          <w:rFonts w:ascii="宋体"/>
          <w:color w:val="auto"/>
          <w:szCs w:val="21"/>
          <w:highlight w:val="none"/>
        </w:rPr>
      </w:pPr>
      <w:r>
        <w:rPr>
          <w:rFonts w:hint="eastAsia" w:ascii="宋体"/>
          <w:color w:val="auto"/>
          <w:szCs w:val="21"/>
          <w:highlight w:val="none"/>
        </w:rPr>
        <w:t>4、工作频率：1-20Hz</w:t>
      </w:r>
    </w:p>
    <w:p>
      <w:pPr>
        <w:spacing w:line="360" w:lineRule="auto"/>
        <w:rPr>
          <w:rFonts w:ascii="宋体"/>
          <w:color w:val="auto"/>
          <w:szCs w:val="21"/>
          <w:highlight w:val="none"/>
        </w:rPr>
      </w:pPr>
      <w:r>
        <w:rPr>
          <w:rFonts w:hint="eastAsia" w:ascii="宋体"/>
          <w:color w:val="auto"/>
          <w:szCs w:val="21"/>
          <w:highlight w:val="none"/>
        </w:rPr>
        <w:t>5、工作噪声：正常工作≤65dB(A)；最大功率工作≤75dB(A)</w:t>
      </w:r>
    </w:p>
    <w:p>
      <w:pPr>
        <w:spacing w:line="360" w:lineRule="auto"/>
        <w:rPr>
          <w:rFonts w:ascii="宋体"/>
          <w:color w:val="auto"/>
          <w:szCs w:val="21"/>
          <w:highlight w:val="none"/>
        </w:rPr>
      </w:pPr>
      <w:r>
        <w:rPr>
          <w:rFonts w:hint="eastAsia" w:ascii="宋体"/>
          <w:color w:val="auto"/>
          <w:szCs w:val="21"/>
          <w:highlight w:val="none"/>
        </w:rPr>
        <w:t>6、时间调节：1-99min</w:t>
      </w:r>
    </w:p>
    <w:p>
      <w:pPr>
        <w:spacing w:line="360" w:lineRule="auto"/>
        <w:rPr>
          <w:rFonts w:ascii="宋体"/>
          <w:color w:val="auto"/>
          <w:szCs w:val="21"/>
          <w:highlight w:val="none"/>
        </w:rPr>
      </w:pPr>
      <w:r>
        <w:rPr>
          <w:rFonts w:hint="eastAsia" w:ascii="宋体"/>
          <w:color w:val="auto"/>
          <w:szCs w:val="21"/>
          <w:highlight w:val="none"/>
        </w:rPr>
        <w:t>7、操作模式：</w:t>
      </w:r>
      <w:r>
        <w:rPr>
          <w:rFonts w:hint="eastAsia" w:ascii="Calibri" w:hAnsi="Calibri"/>
          <w:color w:val="auto"/>
          <w:sz w:val="28"/>
          <w:szCs w:val="32"/>
          <w:highlight w:val="none"/>
        </w:rPr>
        <w:t>≥</w:t>
      </w:r>
      <w:r>
        <w:rPr>
          <w:rFonts w:hint="eastAsia" w:ascii="宋体"/>
          <w:color w:val="auto"/>
          <w:szCs w:val="21"/>
          <w:highlight w:val="none"/>
        </w:rPr>
        <w:t>8英寸液晶触摸屏和参数设置旋钮同步操作，同时具有紧急机械停止按键</w:t>
      </w:r>
    </w:p>
    <w:p>
      <w:pPr>
        <w:spacing w:line="360" w:lineRule="auto"/>
        <w:rPr>
          <w:rFonts w:ascii="宋体"/>
          <w:color w:val="auto"/>
          <w:szCs w:val="21"/>
          <w:highlight w:val="none"/>
        </w:rPr>
      </w:pPr>
      <w:r>
        <w:rPr>
          <w:rFonts w:hint="eastAsia" w:ascii="宋体"/>
          <w:color w:val="auto"/>
          <w:szCs w:val="21"/>
          <w:highlight w:val="none"/>
        </w:rPr>
        <w:t>8、工作模式：</w:t>
      </w:r>
    </w:p>
    <w:p>
      <w:pPr>
        <w:spacing w:line="360" w:lineRule="auto"/>
        <w:rPr>
          <w:rFonts w:ascii="宋体"/>
          <w:color w:val="auto"/>
          <w:szCs w:val="21"/>
          <w:highlight w:val="none"/>
        </w:rPr>
      </w:pPr>
      <w:r>
        <w:rPr>
          <w:rFonts w:hint="eastAsia" w:ascii="宋体"/>
          <w:color w:val="auto"/>
          <w:szCs w:val="21"/>
          <w:highlight w:val="none"/>
        </w:rPr>
        <w:t>8.1常规模式，自动保存上次治疗参数，下次直接使用</w:t>
      </w:r>
    </w:p>
    <w:p>
      <w:pPr>
        <w:spacing w:line="360" w:lineRule="auto"/>
        <w:rPr>
          <w:rFonts w:ascii="宋体"/>
          <w:color w:val="auto"/>
          <w:szCs w:val="21"/>
          <w:highlight w:val="none"/>
        </w:rPr>
      </w:pPr>
      <w:r>
        <w:rPr>
          <w:rFonts w:hint="eastAsia" w:ascii="宋体"/>
          <w:color w:val="auto"/>
          <w:szCs w:val="21"/>
          <w:highlight w:val="none"/>
        </w:rPr>
        <w:t>8.2循环模式，有根据不同体型设置的三种循环模式</w:t>
      </w:r>
    </w:p>
    <w:p>
      <w:pPr>
        <w:spacing w:line="360" w:lineRule="auto"/>
        <w:rPr>
          <w:rFonts w:ascii="宋体"/>
          <w:color w:val="auto"/>
          <w:szCs w:val="21"/>
          <w:highlight w:val="none"/>
        </w:rPr>
      </w:pPr>
      <w:r>
        <w:rPr>
          <w:rFonts w:hint="eastAsia" w:ascii="宋体"/>
          <w:color w:val="auto"/>
          <w:szCs w:val="21"/>
          <w:highlight w:val="none"/>
        </w:rPr>
        <w:t>8.3梯度模式，有根据不同体型设置的三种梯度模式</w:t>
      </w:r>
    </w:p>
    <w:p>
      <w:pPr>
        <w:spacing w:line="360" w:lineRule="auto"/>
        <w:rPr>
          <w:rFonts w:ascii="宋体"/>
          <w:color w:val="auto"/>
          <w:szCs w:val="21"/>
          <w:highlight w:val="none"/>
        </w:rPr>
      </w:pPr>
      <w:r>
        <w:rPr>
          <w:rFonts w:hint="eastAsia" w:ascii="宋体"/>
          <w:color w:val="auto"/>
          <w:szCs w:val="21"/>
          <w:highlight w:val="none"/>
        </w:rPr>
        <w:t>8.4自定义模式，可根据治疗具体差别，自定义更改治疗模式</w:t>
      </w:r>
    </w:p>
    <w:p>
      <w:pPr>
        <w:spacing w:line="360" w:lineRule="auto"/>
        <w:rPr>
          <w:rFonts w:ascii="宋体"/>
          <w:color w:val="auto"/>
          <w:szCs w:val="21"/>
          <w:highlight w:val="none"/>
        </w:rPr>
      </w:pPr>
      <w:r>
        <w:rPr>
          <w:rFonts w:hint="eastAsia" w:ascii="宋体"/>
          <w:color w:val="auto"/>
          <w:szCs w:val="21"/>
          <w:highlight w:val="none"/>
        </w:rPr>
        <w:t>9、线控手柄功能：可通过线控手柄中断或恢复振动排痰</w:t>
      </w:r>
    </w:p>
    <w:p>
      <w:pPr>
        <w:spacing w:line="360" w:lineRule="auto"/>
        <w:rPr>
          <w:rFonts w:ascii="宋体"/>
          <w:color w:val="auto"/>
          <w:szCs w:val="21"/>
          <w:highlight w:val="none"/>
        </w:rPr>
      </w:pPr>
      <w:r>
        <w:rPr>
          <w:rFonts w:hint="eastAsia" w:ascii="宋体"/>
          <w:color w:val="auto"/>
          <w:szCs w:val="21"/>
          <w:highlight w:val="none"/>
        </w:rPr>
        <w:t xml:space="preserve">★10、压力与频率自动调节功能：可实现治疗压力和治疗频率自动检测、反馈、和调节功能 </w:t>
      </w:r>
    </w:p>
    <w:p>
      <w:pPr>
        <w:spacing w:line="360" w:lineRule="auto"/>
        <w:rPr>
          <w:rFonts w:ascii="宋体"/>
          <w:color w:val="auto"/>
          <w:szCs w:val="21"/>
          <w:highlight w:val="none"/>
        </w:rPr>
      </w:pPr>
      <w:r>
        <w:rPr>
          <w:rFonts w:hint="eastAsia" w:ascii="宋体"/>
          <w:color w:val="auto"/>
          <w:szCs w:val="21"/>
          <w:highlight w:val="none"/>
        </w:rPr>
        <w:t>★11、治疗信息存储查询功能：具有存储和查询患者历史治疗信息的功能</w:t>
      </w:r>
    </w:p>
    <w:p>
      <w:pPr>
        <w:spacing w:line="360" w:lineRule="auto"/>
        <w:rPr>
          <w:rFonts w:ascii="宋体"/>
          <w:color w:val="auto"/>
          <w:szCs w:val="21"/>
          <w:highlight w:val="none"/>
        </w:rPr>
      </w:pPr>
      <w:r>
        <w:rPr>
          <w:rFonts w:hint="eastAsia" w:ascii="宋体"/>
          <w:color w:val="auto"/>
          <w:szCs w:val="21"/>
          <w:highlight w:val="none"/>
        </w:rPr>
        <w:t>12、空气导管配置：双空气导管，可自动锁定</w:t>
      </w:r>
    </w:p>
    <w:p>
      <w:pPr>
        <w:spacing w:line="360" w:lineRule="auto"/>
        <w:rPr>
          <w:rFonts w:ascii="宋体"/>
          <w:color w:val="auto"/>
          <w:szCs w:val="21"/>
          <w:highlight w:val="none"/>
        </w:rPr>
      </w:pPr>
      <w:r>
        <w:rPr>
          <w:rFonts w:hint="eastAsia" w:ascii="宋体"/>
          <w:color w:val="auto"/>
          <w:szCs w:val="21"/>
          <w:highlight w:val="none"/>
        </w:rPr>
        <w:t>13、背心气囊类型：背心式或胸带式气囊，各种规格型号可选，可选配型号：XXS（超小号）,XSS（加加小号）,XS（加小号）,S（小号）,M（中号）,L（大号）,XL（加大号）</w:t>
      </w:r>
    </w:p>
    <w:p>
      <w:pPr>
        <w:spacing w:line="360" w:lineRule="auto"/>
        <w:rPr>
          <w:rFonts w:ascii="宋体"/>
          <w:color w:val="auto"/>
          <w:szCs w:val="21"/>
          <w:highlight w:val="none"/>
        </w:rPr>
      </w:pPr>
      <w:r>
        <w:rPr>
          <w:rFonts w:hint="eastAsia" w:ascii="宋体"/>
          <w:color w:val="auto"/>
          <w:szCs w:val="21"/>
          <w:highlight w:val="none"/>
        </w:rPr>
        <w:t>14、背心气囊设计：背心气囊可拆卸式设计，外层可干洗和机洗，洗后可与内层气囊重新组装</w:t>
      </w:r>
    </w:p>
    <w:p>
      <w:pPr>
        <w:spacing w:line="360" w:lineRule="auto"/>
        <w:rPr>
          <w:rFonts w:ascii="宋体"/>
          <w:color w:val="auto"/>
          <w:szCs w:val="21"/>
          <w:highlight w:val="none"/>
        </w:rPr>
      </w:pPr>
      <w:r>
        <w:rPr>
          <w:rFonts w:hint="eastAsia" w:ascii="宋体"/>
          <w:color w:val="auto"/>
          <w:szCs w:val="21"/>
          <w:highlight w:val="none"/>
        </w:rPr>
        <w:t>15、背心气囊内衬：可选用一次性使用气囊内衬，避免交叉感染</w:t>
      </w:r>
    </w:p>
    <w:p>
      <w:pPr>
        <w:spacing w:after="120"/>
        <w:ind w:firstLine="707" w:firstLineChars="337"/>
        <w:rPr>
          <w:color w:val="auto"/>
          <w:highlight w:val="none"/>
        </w:rPr>
      </w:pPr>
    </w:p>
    <w:p>
      <w:pPr>
        <w:spacing w:after="156" w:afterLines="50"/>
        <w:jc w:val="center"/>
        <w:rPr>
          <w:rFonts w:ascii="宋体"/>
          <w:b/>
          <w:bCs/>
          <w:color w:val="auto"/>
          <w:sz w:val="24"/>
          <w:highlight w:val="none"/>
        </w:rPr>
      </w:pPr>
      <w:r>
        <w:rPr>
          <w:rFonts w:hint="eastAsia" w:ascii="宋体"/>
          <w:b/>
          <w:bCs/>
          <w:color w:val="auto"/>
          <w:sz w:val="24"/>
          <w:highlight w:val="none"/>
        </w:rPr>
        <w:t>10-7  电子阴道镜</w:t>
      </w:r>
    </w:p>
    <w:p>
      <w:pPr>
        <w:spacing w:line="360" w:lineRule="auto"/>
        <w:rPr>
          <w:rFonts w:ascii="宋体"/>
          <w:color w:val="auto"/>
          <w:szCs w:val="21"/>
          <w:highlight w:val="none"/>
        </w:rPr>
      </w:pPr>
      <w:r>
        <w:rPr>
          <w:rFonts w:hint="eastAsia" w:ascii="宋体"/>
          <w:color w:val="auto"/>
          <w:szCs w:val="21"/>
          <w:highlight w:val="none"/>
        </w:rPr>
        <w:t>1.阴道镜镜头参数</w:t>
      </w:r>
    </w:p>
    <w:p>
      <w:pPr>
        <w:spacing w:line="360" w:lineRule="auto"/>
        <w:rPr>
          <w:rFonts w:ascii="宋体"/>
          <w:color w:val="auto"/>
          <w:szCs w:val="21"/>
          <w:highlight w:val="none"/>
        </w:rPr>
      </w:pPr>
      <w:r>
        <w:rPr>
          <w:rFonts w:hint="eastAsia" w:ascii="宋体"/>
          <w:color w:val="auto"/>
          <w:szCs w:val="21"/>
          <w:highlight w:val="none"/>
        </w:rPr>
        <w:t>1.1镜头具有连续变焦、自动聚焦和高清CMOS成像功能，输出FULL  HD 1080P信号。</w:t>
      </w:r>
    </w:p>
    <w:p>
      <w:pPr>
        <w:spacing w:line="360" w:lineRule="auto"/>
        <w:rPr>
          <w:rFonts w:ascii="宋体"/>
          <w:color w:val="auto"/>
          <w:szCs w:val="21"/>
          <w:highlight w:val="none"/>
        </w:rPr>
      </w:pPr>
      <w:r>
        <w:rPr>
          <w:rFonts w:hint="eastAsia" w:ascii="宋体"/>
          <w:color w:val="auto"/>
          <w:szCs w:val="21"/>
          <w:highlight w:val="none"/>
        </w:rPr>
        <w:t>1.2像素不低于200万。</w:t>
      </w:r>
    </w:p>
    <w:p>
      <w:pPr>
        <w:spacing w:line="360" w:lineRule="auto"/>
        <w:rPr>
          <w:rFonts w:ascii="宋体"/>
          <w:color w:val="auto"/>
          <w:szCs w:val="21"/>
          <w:highlight w:val="none"/>
        </w:rPr>
      </w:pPr>
      <w:r>
        <w:rPr>
          <w:rFonts w:hint="eastAsia" w:ascii="宋体"/>
          <w:color w:val="auto"/>
          <w:szCs w:val="21"/>
          <w:highlight w:val="none"/>
        </w:rPr>
        <w:t>★1.3成像系统水平分辨率不低于1000TVL。</w:t>
      </w:r>
    </w:p>
    <w:p>
      <w:pPr>
        <w:spacing w:line="360" w:lineRule="auto"/>
        <w:rPr>
          <w:rFonts w:ascii="宋体"/>
          <w:color w:val="auto"/>
          <w:szCs w:val="21"/>
          <w:highlight w:val="none"/>
        </w:rPr>
      </w:pPr>
      <w:r>
        <w:rPr>
          <w:rFonts w:hint="eastAsia" w:ascii="宋体"/>
          <w:color w:val="auto"/>
          <w:szCs w:val="21"/>
          <w:highlight w:val="none"/>
        </w:rPr>
        <w:t>1.4放大倍数支持：1～36倍</w:t>
      </w:r>
    </w:p>
    <w:p>
      <w:pPr>
        <w:spacing w:line="360" w:lineRule="auto"/>
        <w:rPr>
          <w:rFonts w:ascii="宋体"/>
          <w:color w:val="auto"/>
          <w:szCs w:val="21"/>
          <w:highlight w:val="none"/>
        </w:rPr>
      </w:pPr>
      <w:r>
        <w:rPr>
          <w:rFonts w:hint="eastAsia" w:ascii="宋体"/>
          <w:color w:val="auto"/>
          <w:szCs w:val="21"/>
          <w:highlight w:val="none"/>
        </w:rPr>
        <w:t>1.5有效操作距离：150mm～350mm。</w:t>
      </w:r>
    </w:p>
    <w:p>
      <w:pPr>
        <w:spacing w:line="360" w:lineRule="auto"/>
        <w:rPr>
          <w:rFonts w:ascii="宋体"/>
          <w:color w:val="auto"/>
          <w:szCs w:val="21"/>
          <w:highlight w:val="none"/>
        </w:rPr>
      </w:pPr>
      <w:r>
        <w:rPr>
          <w:rFonts w:hint="eastAsia" w:ascii="宋体"/>
          <w:color w:val="auto"/>
          <w:szCs w:val="21"/>
          <w:highlight w:val="none"/>
        </w:rPr>
        <w:t>1.6视场范围：≥100mm(3X),≥15mm(18X)。</w:t>
      </w:r>
    </w:p>
    <w:p>
      <w:pPr>
        <w:spacing w:line="360" w:lineRule="auto"/>
        <w:rPr>
          <w:rFonts w:ascii="宋体"/>
          <w:color w:val="auto"/>
          <w:szCs w:val="21"/>
          <w:highlight w:val="none"/>
        </w:rPr>
      </w:pPr>
      <w:r>
        <w:rPr>
          <w:rFonts w:hint="eastAsia" w:ascii="宋体"/>
          <w:color w:val="auto"/>
          <w:szCs w:val="21"/>
          <w:highlight w:val="none"/>
        </w:rPr>
        <w:t>1.7景深：≥150mm(3X),≥50mm(18X)。</w:t>
      </w:r>
    </w:p>
    <w:p>
      <w:pPr>
        <w:spacing w:line="360" w:lineRule="auto"/>
        <w:rPr>
          <w:rFonts w:ascii="宋体"/>
          <w:color w:val="auto"/>
          <w:szCs w:val="21"/>
          <w:highlight w:val="none"/>
        </w:rPr>
      </w:pPr>
      <w:r>
        <w:rPr>
          <w:rFonts w:hint="eastAsia" w:ascii="宋体"/>
          <w:color w:val="auto"/>
          <w:szCs w:val="21"/>
          <w:highlight w:val="none"/>
        </w:rPr>
        <w:t>1.8空间分辨率：≥14 lp/mm。</w:t>
      </w:r>
    </w:p>
    <w:p>
      <w:pPr>
        <w:spacing w:line="360" w:lineRule="auto"/>
        <w:rPr>
          <w:rFonts w:ascii="宋体"/>
          <w:color w:val="auto"/>
          <w:szCs w:val="21"/>
          <w:highlight w:val="none"/>
        </w:rPr>
      </w:pPr>
      <w:r>
        <w:rPr>
          <w:rFonts w:hint="eastAsia" w:ascii="宋体"/>
          <w:color w:val="auto"/>
          <w:szCs w:val="21"/>
          <w:highlight w:val="none"/>
        </w:rPr>
        <w:t>1.9图像几何失真度≤1%。</w:t>
      </w:r>
    </w:p>
    <w:p>
      <w:pPr>
        <w:spacing w:line="360" w:lineRule="auto"/>
        <w:rPr>
          <w:rFonts w:ascii="宋体"/>
          <w:color w:val="auto"/>
          <w:szCs w:val="21"/>
          <w:highlight w:val="none"/>
        </w:rPr>
      </w:pPr>
      <w:r>
        <w:rPr>
          <w:rFonts w:hint="eastAsia"/>
          <w:color w:val="auto"/>
          <w:szCs w:val="21"/>
          <w:highlight w:val="none"/>
        </w:rPr>
        <w:t>1.10亮度可调的高显色性贴片LED光源，与镜头集成一体，30cm处光源照度≥3000Lx</w:t>
      </w:r>
      <w:r>
        <w:rPr>
          <w:color w:val="auto"/>
          <w:szCs w:val="21"/>
          <w:highlight w:val="none"/>
        </w:rPr>
        <w:t>,</w:t>
      </w:r>
      <w:r>
        <w:rPr>
          <w:rFonts w:hint="eastAsia"/>
          <w:color w:val="auto"/>
          <w:szCs w:val="21"/>
          <w:highlight w:val="none"/>
        </w:rPr>
        <w:t xml:space="preserve"> 光源色温：3200K～7000</w:t>
      </w:r>
      <w:r>
        <w:rPr>
          <w:rFonts w:hint="eastAsia" w:ascii="宋体"/>
          <w:color w:val="auto"/>
          <w:szCs w:val="21"/>
          <w:highlight w:val="none"/>
        </w:rPr>
        <w:t>K。</w:t>
      </w:r>
    </w:p>
    <w:p>
      <w:pPr>
        <w:spacing w:line="360" w:lineRule="auto"/>
        <w:rPr>
          <w:rFonts w:ascii="宋体"/>
          <w:color w:val="auto"/>
          <w:szCs w:val="21"/>
          <w:highlight w:val="none"/>
        </w:rPr>
      </w:pPr>
      <w:r>
        <w:rPr>
          <w:rFonts w:hint="eastAsia" w:ascii="宋体"/>
          <w:color w:val="auto"/>
          <w:szCs w:val="21"/>
          <w:highlight w:val="none"/>
        </w:rPr>
        <w:t>★1.11光斑直径≥ 70mm ,照度均匀性≥80%,显色指数Ra≥90。</w:t>
      </w:r>
    </w:p>
    <w:p>
      <w:pPr>
        <w:spacing w:line="360" w:lineRule="auto"/>
        <w:rPr>
          <w:rFonts w:ascii="宋体"/>
          <w:color w:val="auto"/>
          <w:szCs w:val="21"/>
          <w:highlight w:val="none"/>
        </w:rPr>
      </w:pPr>
      <w:r>
        <w:rPr>
          <w:rFonts w:hint="eastAsia" w:ascii="宋体"/>
          <w:color w:val="auto"/>
          <w:szCs w:val="21"/>
          <w:highlight w:val="none"/>
        </w:rPr>
        <w:t>1.12色彩还原最大误差≤30NBS，平均色彩还原误差≤20NBS，饱和度值95%~120%。</w:t>
      </w:r>
    </w:p>
    <w:p>
      <w:pPr>
        <w:spacing w:line="360" w:lineRule="auto"/>
        <w:rPr>
          <w:color w:val="auto"/>
          <w:szCs w:val="21"/>
          <w:highlight w:val="none"/>
        </w:rPr>
      </w:pPr>
      <w:r>
        <w:rPr>
          <w:rFonts w:hint="eastAsia" w:ascii="宋体"/>
          <w:color w:val="auto"/>
          <w:szCs w:val="21"/>
          <w:highlight w:val="none"/>
        </w:rPr>
        <w:t>1.13最大照度时辐射照度≤350 W/</w:t>
      </w:r>
      <w:r>
        <w:rPr>
          <w:rFonts w:ascii="Calibri" w:hAnsi="宋体"/>
          <w:color w:val="auto"/>
          <w:szCs w:val="21"/>
          <w:highlight w:val="none"/>
          <w:lang w:bidi="ar"/>
        </w:rPr>
        <w:t>m</w:t>
      </w:r>
      <w:r>
        <w:rPr>
          <w:rFonts w:ascii="Calibri" w:hAnsi="宋体"/>
          <w:color w:val="auto"/>
          <w:szCs w:val="21"/>
          <w:highlight w:val="none"/>
          <w:vertAlign w:val="superscript"/>
          <w:lang w:bidi="ar"/>
        </w:rPr>
        <w:t>2</w:t>
      </w:r>
      <w:r>
        <w:rPr>
          <w:rFonts w:hint="eastAsia" w:ascii="Calibri" w:hAnsi="宋体" w:cs="宋体"/>
          <w:color w:val="auto"/>
          <w:szCs w:val="21"/>
          <w:highlight w:val="none"/>
          <w:lang w:bidi="ar"/>
        </w:rPr>
        <w:t>。</w:t>
      </w:r>
    </w:p>
    <w:p>
      <w:pPr>
        <w:widowControl/>
        <w:spacing w:line="360" w:lineRule="auto"/>
        <w:jc w:val="left"/>
        <w:rPr>
          <w:color w:val="auto"/>
          <w:szCs w:val="21"/>
          <w:highlight w:val="none"/>
        </w:rPr>
      </w:pPr>
      <w:r>
        <w:rPr>
          <w:rFonts w:hint="eastAsia"/>
          <w:color w:val="auto"/>
          <w:szCs w:val="21"/>
          <w:highlight w:val="none"/>
        </w:rPr>
        <w:t>1.14光源在2</w:t>
      </w:r>
      <w:r>
        <w:rPr>
          <w:color w:val="auto"/>
          <w:szCs w:val="21"/>
          <w:highlight w:val="none"/>
        </w:rPr>
        <w:t>00nm~400nm</w:t>
      </w:r>
      <w:r>
        <w:rPr>
          <w:rFonts w:hint="eastAsia"/>
          <w:color w:val="auto"/>
          <w:szCs w:val="21"/>
          <w:highlight w:val="none"/>
        </w:rPr>
        <w:t>光谱范围内，</w:t>
      </w:r>
      <w:r>
        <w:rPr>
          <w:rFonts w:hint="eastAsia" w:ascii="Calibri" w:hAnsi="宋体" w:cs="宋体"/>
          <w:color w:val="auto"/>
          <w:szCs w:val="21"/>
          <w:highlight w:val="none"/>
          <w:lang w:bidi="ar"/>
        </w:rPr>
        <w:t>最大照度时的有效紫外辐射照度</w:t>
      </w:r>
      <w:r>
        <w:rPr>
          <w:rFonts w:hint="eastAsia"/>
          <w:color w:val="auto"/>
          <w:szCs w:val="21"/>
          <w:highlight w:val="none"/>
        </w:rPr>
        <w:t>≤</w:t>
      </w:r>
      <w:r>
        <w:rPr>
          <w:rFonts w:ascii="Calibri" w:hAnsi="宋体"/>
          <w:color w:val="auto"/>
          <w:szCs w:val="21"/>
          <w:highlight w:val="none"/>
          <w:lang w:bidi="ar"/>
        </w:rPr>
        <w:t>0.008 W/m</w:t>
      </w:r>
      <w:r>
        <w:rPr>
          <w:rFonts w:ascii="Calibri" w:hAnsi="宋体"/>
          <w:color w:val="auto"/>
          <w:szCs w:val="21"/>
          <w:highlight w:val="none"/>
          <w:vertAlign w:val="superscript"/>
          <w:lang w:bidi="ar"/>
        </w:rPr>
        <w:t>2</w:t>
      </w:r>
      <w:r>
        <w:rPr>
          <w:rFonts w:hint="eastAsia" w:ascii="Calibri" w:hAnsi="宋体" w:cs="宋体"/>
          <w:color w:val="auto"/>
          <w:szCs w:val="21"/>
          <w:highlight w:val="none"/>
          <w:lang w:bidi="ar"/>
        </w:rPr>
        <w:t>。</w:t>
      </w:r>
    </w:p>
    <w:p>
      <w:pPr>
        <w:spacing w:line="360" w:lineRule="auto"/>
        <w:rPr>
          <w:color w:val="auto"/>
          <w:szCs w:val="21"/>
          <w:highlight w:val="none"/>
        </w:rPr>
      </w:pPr>
      <w:r>
        <w:rPr>
          <w:rFonts w:hint="eastAsia"/>
          <w:color w:val="auto"/>
          <w:szCs w:val="21"/>
          <w:highlight w:val="none"/>
        </w:rPr>
        <w:t>1.15有快速自动聚焦和手动聚焦功能，手动聚焦支持独立按键控制的微距调节功能。</w:t>
      </w:r>
    </w:p>
    <w:p>
      <w:pPr>
        <w:spacing w:line="360" w:lineRule="auto"/>
        <w:rPr>
          <w:color w:val="auto"/>
          <w:szCs w:val="21"/>
          <w:highlight w:val="none"/>
        </w:rPr>
      </w:pPr>
      <w:r>
        <w:rPr>
          <w:rFonts w:hint="eastAsia"/>
          <w:color w:val="auto"/>
          <w:szCs w:val="21"/>
          <w:highlight w:val="none"/>
        </w:rPr>
        <w:t>1.16镜头9按键扇形布局，可正常消毒清理，单手操作按键即可实现对图像观察的视野变换（放大/缩小）、可视焦距调节（手动定位聚焦+/-）、白光变色温成像（三级，包括自然光成像、暗光成像模式以及曝光补偿模式）、电子绿色滤镜成像（三级）、计时显示和图像冻结功能控制，并支持镜头手柄按键控制图像采集。</w:t>
      </w:r>
    </w:p>
    <w:p>
      <w:pPr>
        <w:spacing w:line="360" w:lineRule="auto"/>
        <w:rPr>
          <w:color w:val="auto"/>
          <w:szCs w:val="21"/>
          <w:highlight w:val="none"/>
        </w:rPr>
      </w:pPr>
      <w:r>
        <w:rPr>
          <w:rFonts w:hint="eastAsia"/>
          <w:color w:val="auto"/>
          <w:szCs w:val="21"/>
          <w:highlight w:val="none"/>
        </w:rPr>
        <w:t>1.17可通过镜头操作按键独立控制醋酸试验计时标记显示和关闭功能，醋酸计时时长可自定义设置，并可在打印报告中显示图像的醋酸反映时间标记，为检查过程提供量化评估依据，放大倍数和计时时间分布在图像一侧，减少对图像观察的影响。</w:t>
      </w:r>
    </w:p>
    <w:p>
      <w:pPr>
        <w:spacing w:line="360" w:lineRule="auto"/>
        <w:rPr>
          <w:color w:val="auto"/>
          <w:szCs w:val="21"/>
          <w:highlight w:val="none"/>
        </w:rPr>
      </w:pPr>
      <w:r>
        <w:rPr>
          <w:rFonts w:hint="eastAsia"/>
          <w:color w:val="auto"/>
          <w:szCs w:val="21"/>
          <w:highlight w:val="none"/>
        </w:rPr>
        <w:t>1.18镜头手柄后方按键有定位宫颈口与采集图像两种功能，便于快速确定病变部位的位置。</w:t>
      </w:r>
    </w:p>
    <w:p>
      <w:pPr>
        <w:spacing w:line="360" w:lineRule="auto"/>
        <w:rPr>
          <w:color w:val="auto"/>
          <w:szCs w:val="21"/>
          <w:highlight w:val="none"/>
        </w:rPr>
      </w:pPr>
      <w:r>
        <w:rPr>
          <w:rFonts w:hint="eastAsia"/>
          <w:color w:val="auto"/>
          <w:szCs w:val="21"/>
          <w:highlight w:val="none"/>
        </w:rPr>
        <w:t>1.19图像采集单元提供HDMI视频输出接口。</w:t>
      </w:r>
    </w:p>
    <w:p>
      <w:pPr>
        <w:spacing w:line="360" w:lineRule="auto"/>
        <w:rPr>
          <w:color w:val="auto"/>
          <w:szCs w:val="21"/>
          <w:highlight w:val="none"/>
        </w:rPr>
      </w:pPr>
      <w:r>
        <w:rPr>
          <w:rFonts w:hint="eastAsia"/>
          <w:color w:val="auto"/>
          <w:szCs w:val="21"/>
          <w:highlight w:val="none"/>
        </w:rPr>
        <w:t>1.20采用全金属模具结构可升降直立式支架，镜头可调，确保其使用的稳定性，升降固定的可靠性及操作的灵敏性。</w:t>
      </w:r>
    </w:p>
    <w:p>
      <w:pPr>
        <w:spacing w:line="360" w:lineRule="auto"/>
        <w:rPr>
          <w:color w:val="auto"/>
          <w:szCs w:val="21"/>
          <w:highlight w:val="none"/>
        </w:rPr>
      </w:pPr>
      <w:r>
        <w:rPr>
          <w:rFonts w:hint="eastAsia"/>
          <w:color w:val="auto"/>
          <w:szCs w:val="21"/>
          <w:highlight w:val="none"/>
        </w:rPr>
        <w:t>2.阴道镜工作站性能参数</w:t>
      </w:r>
    </w:p>
    <w:p>
      <w:pPr>
        <w:spacing w:line="360" w:lineRule="auto"/>
        <w:rPr>
          <w:color w:val="auto"/>
          <w:szCs w:val="21"/>
          <w:highlight w:val="none"/>
        </w:rPr>
      </w:pPr>
      <w:r>
        <w:rPr>
          <w:rFonts w:hint="eastAsia"/>
          <w:color w:val="auto"/>
          <w:szCs w:val="21"/>
          <w:highlight w:val="none"/>
        </w:rPr>
        <w:t>2.1系统性能</w:t>
      </w:r>
    </w:p>
    <w:p>
      <w:pPr>
        <w:widowControl/>
        <w:spacing w:line="360" w:lineRule="auto"/>
        <w:rPr>
          <w:color w:val="auto"/>
          <w:szCs w:val="21"/>
          <w:highlight w:val="none"/>
        </w:rPr>
      </w:pPr>
      <w:r>
        <w:rPr>
          <w:rFonts w:hint="eastAsia"/>
          <w:color w:val="auto"/>
          <w:szCs w:val="21"/>
          <w:highlight w:val="none"/>
        </w:rPr>
        <w:t>2.1.1工作站性能</w:t>
      </w:r>
      <w:r>
        <w:rPr>
          <w:rFonts w:hint="eastAsia" w:ascii="宋体" w:hAnsi="宋体" w:cs="宋体"/>
          <w:color w:val="auto"/>
          <w:szCs w:val="21"/>
          <w:highlight w:val="none"/>
        </w:rPr>
        <w:t>≥</w:t>
      </w:r>
      <w:r>
        <w:rPr>
          <w:rFonts w:hint="eastAsia" w:ascii="宋体" w:hAnsi="宋体" w:cs="宋体"/>
          <w:color w:val="auto"/>
          <w:kern w:val="0"/>
          <w:szCs w:val="21"/>
          <w:highlight w:val="none"/>
        </w:rPr>
        <w:t>3G Hz</w:t>
      </w:r>
      <w:r>
        <w:rPr>
          <w:rFonts w:hint="eastAsia"/>
          <w:color w:val="auto"/>
          <w:szCs w:val="21"/>
          <w:highlight w:val="none"/>
        </w:rPr>
        <w:t>，内存：≥4GB；硬盘：≥1T；（可选配USB光驱）。</w:t>
      </w:r>
    </w:p>
    <w:p>
      <w:pPr>
        <w:widowControl/>
        <w:spacing w:line="360" w:lineRule="auto"/>
        <w:rPr>
          <w:color w:val="auto"/>
          <w:szCs w:val="21"/>
          <w:highlight w:val="none"/>
        </w:rPr>
      </w:pPr>
      <w:r>
        <w:rPr>
          <w:rFonts w:hint="eastAsia"/>
          <w:color w:val="auto"/>
          <w:szCs w:val="21"/>
          <w:highlight w:val="none"/>
        </w:rPr>
        <w:t>2.1.2屏幕尺寸</w:t>
      </w:r>
      <w:r>
        <w:rPr>
          <w:rFonts w:hint="eastAsia" w:ascii="Calibri" w:hAnsi="Calibri"/>
          <w:color w:val="auto"/>
          <w:szCs w:val="21"/>
          <w:highlight w:val="none"/>
          <w:lang w:bidi="ar"/>
        </w:rPr>
        <w:t>≥21.5英寸</w:t>
      </w:r>
      <w:r>
        <w:rPr>
          <w:rFonts w:hint="eastAsia"/>
          <w:color w:val="auto"/>
          <w:szCs w:val="21"/>
          <w:highlight w:val="none"/>
          <w:lang w:bidi="ar"/>
        </w:rPr>
        <w:t>。</w:t>
      </w:r>
    </w:p>
    <w:p>
      <w:pPr>
        <w:widowControl/>
        <w:spacing w:line="360" w:lineRule="auto"/>
        <w:rPr>
          <w:color w:val="auto"/>
          <w:szCs w:val="21"/>
          <w:highlight w:val="none"/>
        </w:rPr>
      </w:pPr>
      <w:r>
        <w:rPr>
          <w:rFonts w:hint="eastAsia"/>
          <w:color w:val="auto"/>
          <w:szCs w:val="21"/>
          <w:highlight w:val="none"/>
        </w:rPr>
        <w:t>2.1.3系统分辨率不低于1920*1080。</w:t>
      </w:r>
    </w:p>
    <w:p>
      <w:pPr>
        <w:widowControl/>
        <w:spacing w:line="360" w:lineRule="auto"/>
        <w:rPr>
          <w:color w:val="auto"/>
          <w:szCs w:val="21"/>
          <w:highlight w:val="none"/>
        </w:rPr>
      </w:pPr>
      <w:r>
        <w:rPr>
          <w:rFonts w:hint="eastAsia"/>
          <w:color w:val="auto"/>
          <w:szCs w:val="21"/>
          <w:highlight w:val="none"/>
        </w:rPr>
        <w:t>2.2工作站功能</w:t>
      </w:r>
    </w:p>
    <w:p>
      <w:pPr>
        <w:widowControl/>
        <w:spacing w:line="360" w:lineRule="auto"/>
        <w:rPr>
          <w:color w:val="auto"/>
          <w:szCs w:val="21"/>
          <w:highlight w:val="none"/>
        </w:rPr>
      </w:pPr>
      <w:r>
        <w:rPr>
          <w:rFonts w:hint="eastAsia"/>
          <w:color w:val="auto"/>
          <w:szCs w:val="21"/>
          <w:highlight w:val="none"/>
        </w:rPr>
        <w:t>2.2.1具有自动提示患者随访管理功能，医护人员可根据患者需求转入预约，让医院对高危患者进行有效的系统管理，同时患者信息的集中录入，可有效提高医生阴道镜检查的效率。</w:t>
      </w:r>
    </w:p>
    <w:p>
      <w:pPr>
        <w:widowControl/>
        <w:spacing w:line="360" w:lineRule="auto"/>
        <w:rPr>
          <w:color w:val="auto"/>
          <w:szCs w:val="21"/>
          <w:highlight w:val="none"/>
        </w:rPr>
      </w:pPr>
      <w:r>
        <w:rPr>
          <w:rFonts w:hint="eastAsia"/>
          <w:color w:val="auto"/>
          <w:szCs w:val="21"/>
          <w:highlight w:val="none"/>
        </w:rPr>
        <w:t>2.2.2可以提供不少于4种病人信息获取方式。</w:t>
      </w:r>
    </w:p>
    <w:p>
      <w:pPr>
        <w:widowControl/>
        <w:spacing w:line="360" w:lineRule="auto"/>
        <w:rPr>
          <w:color w:val="auto"/>
          <w:szCs w:val="21"/>
          <w:highlight w:val="none"/>
        </w:rPr>
      </w:pPr>
      <w:r>
        <w:rPr>
          <w:rFonts w:hint="eastAsia"/>
          <w:color w:val="auto"/>
          <w:szCs w:val="21"/>
          <w:highlight w:val="none"/>
        </w:rPr>
        <w:t>2.2.3具有病例重点关注功能，医生可根据醒目的颜色和标记快速发现需要重点关注的患者，同时提供查询功能，便于医生快速查找患者信息。</w:t>
      </w:r>
    </w:p>
    <w:p>
      <w:pPr>
        <w:widowControl/>
        <w:spacing w:line="360" w:lineRule="auto"/>
        <w:rPr>
          <w:color w:val="auto"/>
          <w:szCs w:val="21"/>
          <w:highlight w:val="none"/>
        </w:rPr>
      </w:pPr>
      <w:r>
        <w:rPr>
          <w:rFonts w:hint="eastAsia" w:ascii="宋体" w:hAnsi="宋体"/>
          <w:color w:val="auto"/>
          <w:szCs w:val="21"/>
          <w:highlight w:val="none"/>
        </w:rPr>
        <w:t>★2.2.4</w:t>
      </w:r>
      <w:r>
        <w:rPr>
          <w:rFonts w:hint="eastAsia"/>
          <w:color w:val="auto"/>
          <w:szCs w:val="21"/>
          <w:highlight w:val="none"/>
        </w:rPr>
        <w:t>能将阴道镜检查过程中所采集的图像按时间顺序同屏显示（图像数量≥12幅），并且可以通过镜头扣手按键一键操作多幅图片同屏显示，方便医生对比分析患者病变部位醋白变化和碘染色的关联。</w:t>
      </w:r>
    </w:p>
    <w:p>
      <w:pPr>
        <w:widowControl/>
        <w:spacing w:line="360" w:lineRule="auto"/>
        <w:rPr>
          <w:color w:val="auto"/>
          <w:szCs w:val="21"/>
          <w:highlight w:val="none"/>
        </w:rPr>
      </w:pPr>
      <w:r>
        <w:rPr>
          <w:rFonts w:hint="eastAsia"/>
          <w:color w:val="auto"/>
          <w:szCs w:val="21"/>
          <w:highlight w:val="none"/>
        </w:rPr>
        <w:t>2.2.5可以自定义设置粗醋白计时时间，自定义时间范围。</w:t>
      </w:r>
    </w:p>
    <w:p>
      <w:pPr>
        <w:widowControl/>
        <w:spacing w:line="360" w:lineRule="auto"/>
        <w:rPr>
          <w:color w:val="auto"/>
          <w:szCs w:val="21"/>
          <w:highlight w:val="none"/>
        </w:rPr>
      </w:pPr>
      <w:r>
        <w:rPr>
          <w:rFonts w:hint="eastAsia"/>
          <w:color w:val="auto"/>
          <w:szCs w:val="21"/>
          <w:highlight w:val="none"/>
        </w:rPr>
        <w:t>2.2.6支持不少于4种采图方式。具有脚踏板控制、鼠标控制或镜头扣手按键控制采图、定时自动采图、视频采集过程中采图、视频回放过程中采图的功能；</w:t>
      </w:r>
    </w:p>
    <w:p>
      <w:pPr>
        <w:widowControl/>
        <w:spacing w:line="360" w:lineRule="auto"/>
        <w:rPr>
          <w:color w:val="auto"/>
          <w:szCs w:val="21"/>
          <w:highlight w:val="none"/>
        </w:rPr>
      </w:pPr>
      <w:r>
        <w:rPr>
          <w:rFonts w:hint="eastAsia"/>
          <w:color w:val="auto"/>
          <w:szCs w:val="21"/>
          <w:highlight w:val="none"/>
        </w:rPr>
        <w:t>2.2.7采图后可支持图像镜像观察。</w:t>
      </w:r>
    </w:p>
    <w:p>
      <w:pPr>
        <w:widowControl/>
        <w:spacing w:line="360" w:lineRule="auto"/>
        <w:rPr>
          <w:color w:val="auto"/>
          <w:szCs w:val="21"/>
          <w:highlight w:val="none"/>
        </w:rPr>
      </w:pPr>
      <w:r>
        <w:rPr>
          <w:rFonts w:hint="eastAsia"/>
          <w:color w:val="auto"/>
          <w:szCs w:val="21"/>
          <w:highlight w:val="none"/>
        </w:rPr>
        <w:t>2.2.8自动采图时具备声音提醒功能。</w:t>
      </w:r>
    </w:p>
    <w:p>
      <w:pPr>
        <w:widowControl/>
        <w:spacing w:line="360" w:lineRule="auto"/>
        <w:rPr>
          <w:color w:val="auto"/>
          <w:szCs w:val="21"/>
          <w:highlight w:val="none"/>
        </w:rPr>
      </w:pPr>
      <w:r>
        <w:rPr>
          <w:rFonts w:hint="eastAsia"/>
          <w:color w:val="auto"/>
          <w:szCs w:val="21"/>
          <w:highlight w:val="none"/>
        </w:rPr>
        <w:t>2.2.9提供不少于2种方式开启计时功能。</w:t>
      </w:r>
    </w:p>
    <w:p>
      <w:pPr>
        <w:widowControl/>
        <w:spacing w:line="360" w:lineRule="auto"/>
        <w:jc w:val="left"/>
        <w:rPr>
          <w:color w:val="auto"/>
          <w:szCs w:val="21"/>
          <w:highlight w:val="none"/>
        </w:rPr>
      </w:pPr>
      <w:r>
        <w:rPr>
          <w:rFonts w:hint="eastAsia" w:ascii="Calibri" w:hAnsi="Calibri"/>
          <w:color w:val="auto"/>
          <w:szCs w:val="21"/>
          <w:highlight w:val="none"/>
          <w:lang w:bidi="ar"/>
        </w:rPr>
        <w:t>2.2.10支持</w:t>
      </w:r>
      <w:r>
        <w:rPr>
          <w:rFonts w:hint="eastAsia"/>
          <w:color w:val="auto"/>
          <w:szCs w:val="21"/>
          <w:highlight w:val="none"/>
          <w:lang w:bidi="ar"/>
        </w:rPr>
        <w:t>观察检查界面两种以上显示方式，</w:t>
      </w:r>
      <w:r>
        <w:rPr>
          <w:rFonts w:hint="eastAsia" w:ascii="Calibri" w:hAnsi="Calibri"/>
          <w:color w:val="auto"/>
          <w:szCs w:val="21"/>
          <w:highlight w:val="none"/>
          <w:lang w:bidi="ar"/>
        </w:rPr>
        <w:t>图像采集时进行全屏观察</w:t>
      </w:r>
      <w:r>
        <w:rPr>
          <w:rFonts w:hint="eastAsia"/>
          <w:color w:val="auto"/>
          <w:szCs w:val="21"/>
          <w:highlight w:val="none"/>
          <w:lang w:bidi="ar"/>
        </w:rPr>
        <w:t>。</w:t>
      </w:r>
    </w:p>
    <w:p>
      <w:pPr>
        <w:widowControl/>
        <w:spacing w:line="360" w:lineRule="auto"/>
        <w:rPr>
          <w:color w:val="auto"/>
          <w:szCs w:val="21"/>
          <w:highlight w:val="none"/>
        </w:rPr>
      </w:pPr>
      <w:r>
        <w:rPr>
          <w:rFonts w:hint="eastAsia"/>
          <w:color w:val="auto"/>
          <w:szCs w:val="21"/>
          <w:highlight w:val="none"/>
        </w:rPr>
        <w:t>2.2.11提供符合IFCPC2011和A</w:t>
      </w:r>
      <w:r>
        <w:rPr>
          <w:color w:val="auto"/>
          <w:szCs w:val="21"/>
          <w:highlight w:val="none"/>
        </w:rPr>
        <w:t>SCCP2017</w:t>
      </w:r>
      <w:r>
        <w:rPr>
          <w:rFonts w:hint="eastAsia"/>
          <w:color w:val="auto"/>
          <w:szCs w:val="21"/>
          <w:highlight w:val="none"/>
        </w:rPr>
        <w:t>的阴道镜术语和检查规范，提供阴道镜诊断术语及参考图谱，并可与当前检查患者检查图像对比显示在同一界面，方便对比参考，辅助检查医生做出准确判断。</w:t>
      </w:r>
    </w:p>
    <w:p>
      <w:pPr>
        <w:widowControl/>
        <w:spacing w:line="360" w:lineRule="auto"/>
        <w:rPr>
          <w:color w:val="auto"/>
          <w:szCs w:val="21"/>
          <w:highlight w:val="none"/>
        </w:rPr>
      </w:pPr>
      <w:r>
        <w:rPr>
          <w:rFonts w:hint="eastAsia"/>
          <w:color w:val="auto"/>
          <w:szCs w:val="21"/>
          <w:highlight w:val="none"/>
        </w:rPr>
        <w:t>2.2.12系统图像采集方式可以支持保存bmp,jpg 2种图像格式</w:t>
      </w:r>
    </w:p>
    <w:p>
      <w:pPr>
        <w:widowControl/>
        <w:spacing w:line="360" w:lineRule="auto"/>
        <w:rPr>
          <w:color w:val="auto"/>
          <w:szCs w:val="21"/>
          <w:highlight w:val="none"/>
        </w:rPr>
      </w:pPr>
      <w:r>
        <w:rPr>
          <w:rFonts w:hint="eastAsia"/>
          <w:color w:val="auto"/>
          <w:szCs w:val="21"/>
          <w:highlight w:val="none"/>
        </w:rPr>
        <w:t>2.2.13在观察检查界面中可快速查找患者历史资料，便于医生对比分析、追溯患者的检查与治疗过程。</w:t>
      </w:r>
    </w:p>
    <w:p>
      <w:pPr>
        <w:widowControl/>
        <w:spacing w:line="360" w:lineRule="auto"/>
        <w:rPr>
          <w:color w:val="auto"/>
          <w:szCs w:val="21"/>
          <w:highlight w:val="none"/>
        </w:rPr>
      </w:pPr>
      <w:r>
        <w:rPr>
          <w:rFonts w:hint="eastAsia"/>
          <w:color w:val="auto"/>
          <w:szCs w:val="21"/>
          <w:highlight w:val="none"/>
        </w:rPr>
        <w:t>2.2.14具有定时自动采图功能，给出临床检查流自动提示信息。</w:t>
      </w:r>
    </w:p>
    <w:p>
      <w:pPr>
        <w:widowControl/>
        <w:spacing w:line="360" w:lineRule="auto"/>
        <w:rPr>
          <w:color w:val="auto"/>
          <w:szCs w:val="21"/>
          <w:highlight w:val="none"/>
        </w:rPr>
      </w:pPr>
      <w:r>
        <w:rPr>
          <w:rFonts w:hint="eastAsia"/>
          <w:color w:val="auto"/>
          <w:szCs w:val="21"/>
          <w:highlight w:val="none"/>
        </w:rPr>
        <w:t>2.2.15具有视频采集功能，能够在检查或手术过程中进行录像，并且对视频进行回放，回放过程中支持再次采集图像。</w:t>
      </w:r>
    </w:p>
    <w:p>
      <w:pPr>
        <w:widowControl/>
        <w:spacing w:line="360" w:lineRule="auto"/>
        <w:rPr>
          <w:color w:val="auto"/>
          <w:szCs w:val="21"/>
          <w:highlight w:val="none"/>
        </w:rPr>
      </w:pPr>
      <w:r>
        <w:rPr>
          <w:rFonts w:hint="eastAsia"/>
          <w:color w:val="auto"/>
          <w:szCs w:val="21"/>
          <w:highlight w:val="none"/>
        </w:rPr>
        <w:t>2.2.16图像处理功能：可以对图像进行注释、标注，图像亮度、对比度可调；可对病变部位的面积、长度进行测量、标注到病例中。</w:t>
      </w:r>
    </w:p>
    <w:p>
      <w:pPr>
        <w:widowControl/>
        <w:spacing w:line="360" w:lineRule="auto"/>
        <w:rPr>
          <w:color w:val="auto"/>
          <w:szCs w:val="21"/>
          <w:highlight w:val="none"/>
        </w:rPr>
      </w:pPr>
      <w:r>
        <w:rPr>
          <w:rFonts w:hint="eastAsia"/>
          <w:color w:val="auto"/>
          <w:szCs w:val="21"/>
          <w:highlight w:val="none"/>
        </w:rPr>
        <w:t>2.2.17提供RCI及Swede评估方法,可通过病变边界、范围、表面轮廓、醋白上皮颜色、醋酸变化、血管形态及碘染色等维度做评分，用于评估宫颈病变的程度，并提供参考图谱，为基层医院学习掌握提供辅助。</w:t>
      </w:r>
    </w:p>
    <w:p>
      <w:pPr>
        <w:widowControl/>
        <w:spacing w:line="360" w:lineRule="auto"/>
        <w:rPr>
          <w:color w:val="auto"/>
          <w:szCs w:val="21"/>
          <w:highlight w:val="none"/>
        </w:rPr>
      </w:pPr>
      <w:r>
        <w:rPr>
          <w:rFonts w:hint="eastAsia" w:ascii="宋体" w:hAnsi="宋体"/>
          <w:color w:val="auto"/>
          <w:szCs w:val="21"/>
          <w:highlight w:val="none"/>
        </w:rPr>
        <w:t>★2.2.18</w:t>
      </w:r>
      <w:r>
        <w:rPr>
          <w:rFonts w:hint="eastAsia"/>
          <w:color w:val="auto"/>
          <w:szCs w:val="21"/>
          <w:highlight w:val="none"/>
        </w:rPr>
        <w:t>提供R-way阴道镜诊断评估方法，具有阴道镜操作提醒及自动采图功能，量化检查流程，提供基于三种不同溶液实验结果关联“特征”的智能评估和报告系统，便于医生规范阴道镜检查流程和拟诊结果，同时简化了阴道镜检查技术的培训难度，更适合基层医院使用，提供不少于50例病理确诊的病例资料供操作练习，能够提供进修培训其临床应用功能的教学医院。</w:t>
      </w:r>
    </w:p>
    <w:p>
      <w:pPr>
        <w:widowControl/>
        <w:spacing w:line="360" w:lineRule="auto"/>
        <w:rPr>
          <w:color w:val="auto"/>
          <w:szCs w:val="21"/>
          <w:highlight w:val="none"/>
        </w:rPr>
      </w:pPr>
      <w:r>
        <w:rPr>
          <w:rFonts w:hint="eastAsia"/>
          <w:color w:val="auto"/>
          <w:szCs w:val="21"/>
          <w:highlight w:val="none"/>
        </w:rPr>
        <w:t>2.2.19具有图片导出导入功能。</w:t>
      </w:r>
    </w:p>
    <w:p>
      <w:pPr>
        <w:widowControl/>
        <w:spacing w:line="360" w:lineRule="auto"/>
        <w:rPr>
          <w:color w:val="auto"/>
          <w:szCs w:val="21"/>
          <w:highlight w:val="none"/>
        </w:rPr>
      </w:pPr>
      <w:r>
        <w:rPr>
          <w:rFonts w:hint="eastAsia"/>
          <w:color w:val="auto"/>
          <w:szCs w:val="21"/>
          <w:highlight w:val="none"/>
        </w:rPr>
        <w:t>2.2.20提供临床检查过程的帮助文件。</w:t>
      </w:r>
    </w:p>
    <w:p>
      <w:pPr>
        <w:widowControl/>
        <w:spacing w:line="360" w:lineRule="auto"/>
        <w:rPr>
          <w:color w:val="auto"/>
          <w:szCs w:val="21"/>
          <w:highlight w:val="none"/>
        </w:rPr>
      </w:pPr>
      <w:r>
        <w:rPr>
          <w:rFonts w:hint="eastAsia"/>
          <w:color w:val="auto"/>
          <w:szCs w:val="21"/>
          <w:highlight w:val="none"/>
        </w:rPr>
        <w:t>★2.2.21可对阴道镜检查、手术治疗进行针对性的记录和随访管理，提供不少于6种打印报告模版，提交患者打印报告后系统自动生成PDF文件备份,提供邮件、DICOM等选择报告发送模式，便于医疗纠纷的追述。</w:t>
      </w:r>
    </w:p>
    <w:p>
      <w:pPr>
        <w:widowControl/>
        <w:spacing w:line="360" w:lineRule="auto"/>
        <w:rPr>
          <w:color w:val="auto"/>
          <w:szCs w:val="21"/>
          <w:highlight w:val="none"/>
        </w:rPr>
      </w:pPr>
      <w:r>
        <w:rPr>
          <w:rFonts w:hint="eastAsia"/>
          <w:color w:val="auto"/>
          <w:szCs w:val="21"/>
          <w:highlight w:val="none"/>
        </w:rPr>
        <w:t>2.2.22生成报告后，在报告页面可以直接编辑报告，便于医生操作。</w:t>
      </w:r>
    </w:p>
    <w:p>
      <w:pPr>
        <w:widowControl/>
        <w:spacing w:line="360" w:lineRule="auto"/>
        <w:rPr>
          <w:color w:val="auto"/>
          <w:szCs w:val="21"/>
          <w:highlight w:val="none"/>
        </w:rPr>
      </w:pPr>
      <w:r>
        <w:rPr>
          <w:rFonts w:hint="eastAsia"/>
          <w:color w:val="auto"/>
          <w:szCs w:val="21"/>
          <w:highlight w:val="none"/>
        </w:rPr>
        <w:t>2.2.23打印方式：A4/B5纸打印，方便临床应用。</w:t>
      </w:r>
    </w:p>
    <w:p>
      <w:pPr>
        <w:widowControl/>
        <w:spacing w:line="360" w:lineRule="auto"/>
        <w:rPr>
          <w:color w:val="auto"/>
          <w:szCs w:val="21"/>
          <w:highlight w:val="none"/>
        </w:rPr>
      </w:pPr>
      <w:r>
        <w:rPr>
          <w:rFonts w:hint="eastAsia"/>
          <w:color w:val="auto"/>
          <w:szCs w:val="21"/>
          <w:highlight w:val="none"/>
        </w:rPr>
        <w:t>2.2.24病例存储≥50000份，支持病例查找，编辑，删除，导入，导出等功能。</w:t>
      </w:r>
    </w:p>
    <w:p>
      <w:pPr>
        <w:widowControl/>
        <w:spacing w:line="360" w:lineRule="auto"/>
        <w:rPr>
          <w:color w:val="auto"/>
          <w:szCs w:val="21"/>
          <w:highlight w:val="none"/>
        </w:rPr>
      </w:pPr>
      <w:r>
        <w:rPr>
          <w:rFonts w:hint="eastAsia"/>
          <w:color w:val="auto"/>
          <w:szCs w:val="21"/>
          <w:highlight w:val="none"/>
        </w:rPr>
        <w:t>2.2.25可对拟诊结果、病理结果、实验室检查结果、检查医生和开单医生的工作量等进行统计分析，统计结果可以拼图、直方图和折线图形式进行显示，并可输出到Excel表。</w:t>
      </w:r>
    </w:p>
    <w:p>
      <w:pPr>
        <w:widowControl/>
        <w:spacing w:line="360" w:lineRule="auto"/>
        <w:rPr>
          <w:color w:val="auto"/>
          <w:szCs w:val="21"/>
          <w:highlight w:val="none"/>
        </w:rPr>
      </w:pPr>
      <w:r>
        <w:rPr>
          <w:rFonts w:hint="eastAsia" w:ascii="Calibri" w:hAnsi="Calibri"/>
          <w:color w:val="auto"/>
          <w:szCs w:val="21"/>
          <w:highlight w:val="none"/>
          <w:lang w:bidi="ar"/>
        </w:rPr>
        <w:t>2.3工作站可扩展信息化应用</w:t>
      </w:r>
      <w:r>
        <w:rPr>
          <w:rFonts w:hint="eastAsia" w:ascii="Calibri" w:hAnsi="Calibri"/>
          <w:color w:val="auto"/>
          <w:szCs w:val="21"/>
          <w:highlight w:val="none"/>
        </w:rPr>
        <w:t xml:space="preserve"> </w:t>
      </w:r>
    </w:p>
    <w:p>
      <w:pPr>
        <w:widowControl/>
        <w:spacing w:line="360" w:lineRule="auto"/>
        <w:rPr>
          <w:color w:val="auto"/>
          <w:szCs w:val="21"/>
          <w:highlight w:val="none"/>
          <w:lang w:bidi="ar"/>
        </w:rPr>
      </w:pPr>
      <w:r>
        <w:rPr>
          <w:rFonts w:hint="eastAsia"/>
          <w:color w:val="auto"/>
          <w:szCs w:val="21"/>
          <w:highlight w:val="none"/>
          <w:lang w:bidi="ar"/>
        </w:rPr>
        <w:t>2.3.1可以识别不少于2种编码格式的扫描枪。</w:t>
      </w:r>
    </w:p>
    <w:p>
      <w:pPr>
        <w:widowControl/>
        <w:spacing w:line="360" w:lineRule="auto"/>
        <w:rPr>
          <w:color w:val="auto"/>
          <w:szCs w:val="21"/>
          <w:highlight w:val="none"/>
          <w:lang w:bidi="ar"/>
        </w:rPr>
      </w:pPr>
      <w:r>
        <w:rPr>
          <w:rFonts w:hint="eastAsia"/>
          <w:color w:val="auto"/>
          <w:szCs w:val="21"/>
          <w:highlight w:val="none"/>
          <w:lang w:bidi="ar"/>
        </w:rPr>
        <w:t>2.3.2具有外接身份证读取设备功能，刷身份证可以直接导入病人姓名及身份证号码功能。</w:t>
      </w:r>
    </w:p>
    <w:p>
      <w:pPr>
        <w:widowControl/>
        <w:spacing w:line="360" w:lineRule="auto"/>
        <w:rPr>
          <w:color w:val="auto"/>
          <w:szCs w:val="21"/>
          <w:highlight w:val="none"/>
          <w:lang w:bidi="ar"/>
        </w:rPr>
      </w:pPr>
      <w:r>
        <w:rPr>
          <w:rFonts w:hint="eastAsia" w:ascii="Calibri" w:hAnsi="Calibri"/>
          <w:color w:val="auto"/>
          <w:szCs w:val="21"/>
          <w:highlight w:val="none"/>
          <w:lang w:bidi="ar"/>
        </w:rPr>
        <w:t>2.3.3可以支持标准HL7协议，可以方便对接HIS系统。</w:t>
      </w:r>
    </w:p>
    <w:p>
      <w:pPr>
        <w:widowControl/>
        <w:spacing w:line="360" w:lineRule="auto"/>
        <w:rPr>
          <w:color w:val="auto"/>
          <w:szCs w:val="21"/>
          <w:highlight w:val="none"/>
          <w:lang w:bidi="ar"/>
        </w:rPr>
      </w:pPr>
      <w:r>
        <w:rPr>
          <w:rFonts w:hint="eastAsia"/>
          <w:color w:val="auto"/>
          <w:szCs w:val="21"/>
          <w:highlight w:val="none"/>
          <w:lang w:bidi="ar"/>
        </w:rPr>
        <w:t>2.3.4支持LDPA集成登陆，方便医院账号管理。</w:t>
      </w:r>
    </w:p>
    <w:p>
      <w:pPr>
        <w:widowControl/>
        <w:spacing w:line="360" w:lineRule="auto"/>
        <w:rPr>
          <w:color w:val="auto"/>
          <w:szCs w:val="21"/>
          <w:highlight w:val="none"/>
          <w:lang w:bidi="ar"/>
        </w:rPr>
      </w:pPr>
      <w:r>
        <w:rPr>
          <w:rFonts w:hint="eastAsia" w:ascii="Calibri" w:hAnsi="Calibri"/>
          <w:color w:val="auto"/>
          <w:szCs w:val="21"/>
          <w:highlight w:val="none"/>
          <w:lang w:bidi="ar"/>
        </w:rPr>
        <w:t>2.3.5支持PDF报告发送至邮箱。</w:t>
      </w:r>
    </w:p>
    <w:p>
      <w:pPr>
        <w:widowControl/>
        <w:spacing w:line="360" w:lineRule="auto"/>
        <w:rPr>
          <w:color w:val="auto"/>
          <w:szCs w:val="21"/>
          <w:highlight w:val="none"/>
          <w:lang w:bidi="ar"/>
        </w:rPr>
      </w:pPr>
      <w:r>
        <w:rPr>
          <w:rFonts w:hint="eastAsia"/>
          <w:color w:val="auto"/>
          <w:szCs w:val="21"/>
          <w:highlight w:val="none"/>
          <w:lang w:bidi="ar"/>
        </w:rPr>
        <w:t>2.3.6提供DICOM3.0数据交换接口，可方便与医院PACS系统互联，提供的服务包括：DICOM worklist, DICOM verify, DICOM storage。</w:t>
      </w:r>
    </w:p>
    <w:p>
      <w:pPr>
        <w:widowControl/>
        <w:spacing w:line="360" w:lineRule="auto"/>
        <w:rPr>
          <w:color w:val="auto"/>
          <w:szCs w:val="21"/>
          <w:highlight w:val="none"/>
          <w:lang w:bidi="ar"/>
        </w:rPr>
      </w:pPr>
      <w:r>
        <w:rPr>
          <w:rFonts w:hint="eastAsia"/>
          <w:color w:val="auto"/>
          <w:szCs w:val="21"/>
          <w:highlight w:val="none"/>
        </w:rPr>
        <w:t>2.3.7具有功能模块自定义功能：医生可以根据操作习惯，自定义软件操作工作流。</w:t>
      </w:r>
    </w:p>
    <w:p>
      <w:pPr>
        <w:spacing w:line="360" w:lineRule="auto"/>
        <w:rPr>
          <w:rFonts w:ascii="宋体" w:hAnsi="宋体" w:cs="宋体"/>
          <w:color w:val="auto"/>
          <w:szCs w:val="21"/>
          <w:highlight w:val="none"/>
        </w:rPr>
      </w:pPr>
      <w:r>
        <w:rPr>
          <w:rFonts w:hint="eastAsia" w:ascii="宋体" w:hAnsi="宋体" w:cs="宋体"/>
          <w:color w:val="auto"/>
          <w:szCs w:val="21"/>
          <w:highlight w:val="none"/>
        </w:rPr>
        <w:t>3.工作站数据库</w:t>
      </w:r>
    </w:p>
    <w:p>
      <w:pPr>
        <w:widowControl/>
        <w:spacing w:line="360" w:lineRule="auto"/>
        <w:rPr>
          <w:color w:val="auto"/>
          <w:szCs w:val="21"/>
          <w:highlight w:val="none"/>
        </w:rPr>
      </w:pPr>
      <w:r>
        <w:rPr>
          <w:rFonts w:hint="eastAsia"/>
          <w:color w:val="auto"/>
          <w:szCs w:val="21"/>
          <w:highlight w:val="none"/>
        </w:rPr>
        <w:t>3.1提供不少于两类国际专业术语数据库。</w:t>
      </w:r>
    </w:p>
    <w:p>
      <w:pPr>
        <w:widowControl/>
        <w:spacing w:line="360" w:lineRule="auto"/>
        <w:rPr>
          <w:color w:val="auto"/>
          <w:szCs w:val="21"/>
          <w:highlight w:val="none"/>
        </w:rPr>
      </w:pPr>
      <w:r>
        <w:rPr>
          <w:rFonts w:hint="eastAsia"/>
          <w:color w:val="auto"/>
          <w:szCs w:val="21"/>
          <w:highlight w:val="none"/>
        </w:rPr>
        <w:t>3.2提供临床病理参考图谱,数据库包括数十种临床病症现象的标准参考图谱。</w:t>
      </w:r>
    </w:p>
    <w:p>
      <w:pPr>
        <w:widowControl/>
        <w:spacing w:line="360" w:lineRule="auto"/>
        <w:rPr>
          <w:color w:val="auto"/>
          <w:szCs w:val="21"/>
          <w:highlight w:val="none"/>
        </w:rPr>
      </w:pPr>
      <w:r>
        <w:rPr>
          <w:rFonts w:hint="eastAsia"/>
          <w:color w:val="auto"/>
          <w:szCs w:val="21"/>
          <w:highlight w:val="none"/>
        </w:rPr>
        <w:t>3.3提供数百张张病理确诊的病例资料数据图库。</w:t>
      </w:r>
    </w:p>
    <w:p>
      <w:pPr>
        <w:widowControl/>
        <w:spacing w:line="360" w:lineRule="auto"/>
        <w:rPr>
          <w:color w:val="auto"/>
          <w:szCs w:val="21"/>
          <w:highlight w:val="none"/>
        </w:rPr>
      </w:pPr>
      <w:r>
        <w:rPr>
          <w:rFonts w:hint="eastAsia"/>
          <w:color w:val="auto"/>
          <w:szCs w:val="21"/>
          <w:highlight w:val="none"/>
        </w:rPr>
        <w:t>3.4提供不少于70例病理确诊的病例资料供操作练习，可提供进修培训其临床应用功能的教学医院；</w:t>
      </w:r>
    </w:p>
    <w:p>
      <w:pPr>
        <w:widowControl/>
        <w:spacing w:line="360" w:lineRule="auto"/>
        <w:rPr>
          <w:color w:val="auto"/>
          <w:szCs w:val="21"/>
          <w:highlight w:val="none"/>
        </w:rPr>
      </w:pPr>
      <w:r>
        <w:rPr>
          <w:rFonts w:hint="eastAsia"/>
          <w:color w:val="auto"/>
          <w:szCs w:val="21"/>
          <w:highlight w:val="none"/>
        </w:rPr>
        <w:t>3.5提供不少于3种的评估方法。</w:t>
      </w:r>
    </w:p>
    <w:p>
      <w:pPr>
        <w:spacing w:line="360" w:lineRule="auto"/>
        <w:rPr>
          <w:rFonts w:ascii="宋体" w:hAnsi="宋体" w:cs="宋体"/>
          <w:color w:val="auto"/>
          <w:szCs w:val="21"/>
          <w:highlight w:val="none"/>
        </w:rPr>
      </w:pPr>
      <w:r>
        <w:rPr>
          <w:rFonts w:hint="eastAsia" w:ascii="宋体" w:hAnsi="宋体" w:cs="宋体"/>
          <w:color w:val="auto"/>
          <w:szCs w:val="21"/>
          <w:highlight w:val="none"/>
        </w:rPr>
        <w:t>4.工作站网络应用功能</w:t>
      </w:r>
      <w:r>
        <w:rPr>
          <w:rFonts w:hint="eastAsia" w:ascii="宋体" w:hAnsi="宋体" w:cs="宋体"/>
          <w:color w:val="auto"/>
          <w:szCs w:val="21"/>
          <w:highlight w:val="none"/>
        </w:rPr>
        <w:tab/>
      </w:r>
    </w:p>
    <w:p>
      <w:pPr>
        <w:widowControl/>
        <w:spacing w:line="360" w:lineRule="auto"/>
        <w:rPr>
          <w:color w:val="auto"/>
          <w:szCs w:val="21"/>
          <w:highlight w:val="none"/>
        </w:rPr>
      </w:pPr>
      <w:r>
        <w:rPr>
          <w:rFonts w:hint="eastAsia"/>
          <w:color w:val="auto"/>
          <w:szCs w:val="21"/>
          <w:highlight w:val="none"/>
        </w:rPr>
        <w:t>4.1支持局网和广域网两种组网方式</w:t>
      </w:r>
    </w:p>
    <w:p>
      <w:pPr>
        <w:widowControl/>
        <w:spacing w:line="360" w:lineRule="auto"/>
        <w:rPr>
          <w:color w:val="auto"/>
          <w:szCs w:val="21"/>
          <w:highlight w:val="none"/>
        </w:rPr>
      </w:pPr>
      <w:r>
        <w:rPr>
          <w:rFonts w:hint="eastAsia"/>
          <w:color w:val="auto"/>
          <w:szCs w:val="21"/>
          <w:highlight w:val="none"/>
        </w:rPr>
        <w:t>4.2基于患者为中心的网络数据库系统，对不同阴道镜检查的数据进行统一管理。对患者的阴道镜转诊检查指征、所有的历史病例、诊断术语等进行规范化管理，保证患者数据的一致性。</w:t>
      </w:r>
    </w:p>
    <w:p>
      <w:pPr>
        <w:widowControl/>
        <w:spacing w:line="360" w:lineRule="auto"/>
        <w:rPr>
          <w:color w:val="auto"/>
          <w:szCs w:val="21"/>
          <w:highlight w:val="none"/>
        </w:rPr>
      </w:pPr>
      <w:r>
        <w:rPr>
          <w:rFonts w:hint="eastAsia"/>
          <w:color w:val="auto"/>
          <w:szCs w:val="21"/>
          <w:highlight w:val="none"/>
        </w:rPr>
        <w:t>4.3支持护士工作站、医生工作站和阴道镜工作站互联构成门诊应用网络，提供四级用户权限管理（主任、医生、护士及系统管理者）。</w:t>
      </w:r>
    </w:p>
    <w:p>
      <w:pPr>
        <w:widowControl/>
        <w:spacing w:line="360" w:lineRule="auto"/>
        <w:rPr>
          <w:color w:val="auto"/>
          <w:szCs w:val="21"/>
          <w:highlight w:val="none"/>
        </w:rPr>
      </w:pPr>
      <w:r>
        <w:rPr>
          <w:rFonts w:hint="eastAsia"/>
          <w:color w:val="auto"/>
          <w:szCs w:val="21"/>
          <w:highlight w:val="none"/>
        </w:rPr>
        <w:t>4.4具有广域网连接功能，能够与电子阴道镜数据管理系统联网，便于宫颈门诊中心或区域性子宫颈癌早诊早治质控中心更好的开展网络化应用和质控管理，提高管理效率，提升临床诊疗与随访管理的服务质量。</w:t>
      </w:r>
    </w:p>
    <w:p>
      <w:pPr>
        <w:widowControl/>
        <w:spacing w:line="360" w:lineRule="auto"/>
        <w:rPr>
          <w:color w:val="auto"/>
          <w:szCs w:val="21"/>
          <w:highlight w:val="none"/>
        </w:rPr>
      </w:pPr>
      <w:r>
        <w:rPr>
          <w:rFonts w:hint="eastAsia"/>
          <w:color w:val="auto"/>
          <w:szCs w:val="21"/>
          <w:highlight w:val="none"/>
        </w:rPr>
        <w:t>4.5转诊信息和病理结果信息综合管理网络化应用，方便门诊业务的统计分析。</w:t>
      </w:r>
    </w:p>
    <w:p>
      <w:pPr>
        <w:widowControl/>
        <w:spacing w:line="360" w:lineRule="auto"/>
        <w:rPr>
          <w:color w:val="auto"/>
          <w:szCs w:val="21"/>
          <w:highlight w:val="none"/>
        </w:rPr>
      </w:pPr>
      <w:r>
        <w:rPr>
          <w:rFonts w:hint="eastAsia"/>
          <w:color w:val="auto"/>
          <w:szCs w:val="21"/>
          <w:highlight w:val="none"/>
        </w:rPr>
        <w:t>4.6阴道镜病人信息、图片信息不管是局域网还是广域网连接方式，都支持实时上传。</w:t>
      </w:r>
    </w:p>
    <w:p>
      <w:pPr>
        <w:widowControl/>
        <w:spacing w:line="360" w:lineRule="auto"/>
        <w:rPr>
          <w:color w:val="auto"/>
          <w:szCs w:val="21"/>
          <w:highlight w:val="none"/>
        </w:rPr>
      </w:pPr>
      <w:r>
        <w:rPr>
          <w:rFonts w:hint="eastAsia"/>
          <w:color w:val="auto"/>
          <w:szCs w:val="21"/>
          <w:highlight w:val="none"/>
        </w:rPr>
        <w:t>4.7为确保网络阴道镜系统使用的安全性及可靠性，在断网情况下，阴道镜也能支持单机运行，网络连通后单机阴道镜能自动恢复与服务器数据同步。</w:t>
      </w:r>
    </w:p>
    <w:p>
      <w:pPr>
        <w:widowControl/>
        <w:spacing w:line="360" w:lineRule="auto"/>
        <w:rPr>
          <w:color w:val="auto"/>
          <w:szCs w:val="21"/>
          <w:highlight w:val="none"/>
        </w:rPr>
      </w:pPr>
      <w:r>
        <w:rPr>
          <w:rFonts w:hint="eastAsia"/>
          <w:color w:val="auto"/>
          <w:szCs w:val="21"/>
          <w:highlight w:val="none"/>
        </w:rPr>
        <w:t>4.8提供数据信息的自动备份与恢复功能。</w:t>
      </w:r>
    </w:p>
    <w:p>
      <w:pPr>
        <w:widowControl/>
        <w:spacing w:line="360" w:lineRule="auto"/>
        <w:rPr>
          <w:color w:val="auto"/>
          <w:szCs w:val="21"/>
          <w:highlight w:val="none"/>
        </w:rPr>
      </w:pPr>
      <w:r>
        <w:rPr>
          <w:rFonts w:hint="eastAsia"/>
          <w:color w:val="auto"/>
          <w:szCs w:val="21"/>
          <w:highlight w:val="none"/>
        </w:rPr>
        <w:t>4.9支持联网叫号系统，便于对阴道镜检查患者的分流处理，提高工作效率。</w:t>
      </w:r>
    </w:p>
    <w:p>
      <w:pPr>
        <w:spacing w:line="360" w:lineRule="auto"/>
        <w:rPr>
          <w:b/>
          <w:bCs/>
          <w:color w:val="auto"/>
          <w:szCs w:val="21"/>
          <w:highlight w:val="none"/>
        </w:rPr>
      </w:pPr>
      <w:r>
        <w:rPr>
          <w:rFonts w:hint="eastAsia"/>
          <w:b/>
          <w:bCs/>
          <w:color w:val="auto"/>
          <w:szCs w:val="21"/>
          <w:highlight w:val="none"/>
        </w:rPr>
        <w:t>5、配置要求</w:t>
      </w:r>
    </w:p>
    <w:tbl>
      <w:tblPr>
        <w:tblStyle w:val="35"/>
        <w:tblW w:w="8723" w:type="dxa"/>
        <w:tblInd w:w="213"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786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57" w:type="dxa"/>
            <w:vAlign w:val="center"/>
          </w:tcPr>
          <w:p>
            <w:pPr>
              <w:spacing w:line="360" w:lineRule="auto"/>
              <w:ind w:firstLine="105" w:firstLineChars="50"/>
              <w:rPr>
                <w:rFonts w:ascii="宋体" w:hAnsi="宋体"/>
                <w:bCs/>
                <w:color w:val="auto"/>
                <w:szCs w:val="21"/>
                <w:highlight w:val="none"/>
              </w:rPr>
            </w:pPr>
            <w:r>
              <w:rPr>
                <w:rFonts w:hint="eastAsia" w:ascii="宋体" w:hAnsi="宋体"/>
                <w:bCs/>
                <w:color w:val="auto"/>
                <w:szCs w:val="21"/>
                <w:highlight w:val="none"/>
              </w:rPr>
              <w:t>序号</w:t>
            </w:r>
          </w:p>
        </w:tc>
        <w:tc>
          <w:tcPr>
            <w:tcW w:w="7866" w:type="dxa"/>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项目名称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7" w:type="dxa"/>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1</w:t>
            </w:r>
          </w:p>
        </w:tc>
        <w:tc>
          <w:tcPr>
            <w:tcW w:w="7866" w:type="dxa"/>
            <w:vAlign w:val="center"/>
          </w:tcPr>
          <w:p>
            <w:pPr>
              <w:spacing w:line="360" w:lineRule="auto"/>
              <w:rPr>
                <w:rFonts w:ascii="宋体" w:hAnsi="宋体"/>
                <w:bCs/>
                <w:color w:val="auto"/>
                <w:szCs w:val="21"/>
                <w:highlight w:val="none"/>
              </w:rPr>
            </w:pPr>
            <w:r>
              <w:rPr>
                <w:rFonts w:hint="eastAsia" w:ascii="宋体" w:hAnsi="宋体"/>
                <w:bCs/>
                <w:color w:val="auto"/>
                <w:szCs w:val="21"/>
                <w:highlight w:val="none"/>
              </w:rPr>
              <w:t>电子阴道镜镜头（高清）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2</w:t>
            </w:r>
          </w:p>
        </w:tc>
        <w:tc>
          <w:tcPr>
            <w:tcW w:w="7866" w:type="dxa"/>
            <w:vAlign w:val="center"/>
          </w:tcPr>
          <w:p>
            <w:pPr>
              <w:spacing w:line="360" w:lineRule="auto"/>
              <w:rPr>
                <w:rFonts w:ascii="宋体" w:hAnsi="宋体"/>
                <w:bCs/>
                <w:color w:val="auto"/>
                <w:szCs w:val="21"/>
                <w:highlight w:val="none"/>
              </w:rPr>
            </w:pPr>
            <w:r>
              <w:rPr>
                <w:rFonts w:hint="eastAsia" w:ascii="宋体" w:hAnsi="宋体"/>
                <w:bCs/>
                <w:color w:val="auto"/>
                <w:szCs w:val="21"/>
                <w:highlight w:val="none"/>
              </w:rPr>
              <w:t>直立支架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3</w:t>
            </w:r>
          </w:p>
        </w:tc>
        <w:tc>
          <w:tcPr>
            <w:tcW w:w="7866" w:type="dxa"/>
            <w:vAlign w:val="center"/>
          </w:tcPr>
          <w:p>
            <w:pPr>
              <w:spacing w:line="360" w:lineRule="auto"/>
              <w:rPr>
                <w:rFonts w:ascii="宋体" w:hAnsi="宋体"/>
                <w:bCs/>
                <w:color w:val="auto"/>
                <w:szCs w:val="21"/>
                <w:highlight w:val="none"/>
              </w:rPr>
            </w:pPr>
            <w:r>
              <w:rPr>
                <w:rFonts w:hint="eastAsia" w:ascii="宋体" w:hAnsi="宋体"/>
                <w:bCs/>
                <w:color w:val="auto"/>
                <w:szCs w:val="21"/>
                <w:highlight w:val="none"/>
              </w:rPr>
              <w:t>阴道镜工作站（包含台车、电脑主机、显示屏、Win10系统和阴道镜专业软件等）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4</w:t>
            </w:r>
          </w:p>
        </w:tc>
        <w:tc>
          <w:tcPr>
            <w:tcW w:w="7866" w:type="dxa"/>
            <w:vAlign w:val="center"/>
          </w:tcPr>
          <w:p>
            <w:pPr>
              <w:spacing w:line="360" w:lineRule="auto"/>
              <w:rPr>
                <w:rFonts w:ascii="宋体" w:hAnsi="宋体"/>
                <w:bCs/>
                <w:color w:val="auto"/>
                <w:szCs w:val="21"/>
                <w:highlight w:val="none"/>
              </w:rPr>
            </w:pPr>
            <w:r>
              <w:rPr>
                <w:rFonts w:hint="eastAsia" w:ascii="宋体" w:hAnsi="宋体"/>
                <w:bCs/>
                <w:color w:val="auto"/>
                <w:szCs w:val="21"/>
                <w:highlight w:val="none"/>
              </w:rPr>
              <w:t>脚踏开关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5</w:t>
            </w:r>
          </w:p>
        </w:tc>
        <w:tc>
          <w:tcPr>
            <w:tcW w:w="7866" w:type="dxa"/>
            <w:vAlign w:val="center"/>
          </w:tcPr>
          <w:p>
            <w:pPr>
              <w:spacing w:line="360" w:lineRule="auto"/>
              <w:rPr>
                <w:rFonts w:ascii="宋体" w:hAnsi="宋体"/>
                <w:bCs/>
                <w:color w:val="auto"/>
                <w:szCs w:val="21"/>
                <w:highlight w:val="none"/>
              </w:rPr>
            </w:pPr>
            <w:r>
              <w:rPr>
                <w:rFonts w:hint="eastAsia" w:ascii="宋体" w:hAnsi="宋体"/>
                <w:bCs/>
                <w:color w:val="auto"/>
                <w:szCs w:val="21"/>
                <w:highlight w:val="none"/>
              </w:rPr>
              <w:t>打印机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6</w:t>
            </w:r>
          </w:p>
        </w:tc>
        <w:tc>
          <w:tcPr>
            <w:tcW w:w="7866" w:type="dxa"/>
            <w:vAlign w:val="center"/>
          </w:tcPr>
          <w:p>
            <w:pPr>
              <w:spacing w:line="360" w:lineRule="auto"/>
              <w:rPr>
                <w:rFonts w:ascii="宋体" w:hAnsi="宋体"/>
                <w:bCs/>
                <w:color w:val="auto"/>
                <w:szCs w:val="21"/>
                <w:highlight w:val="none"/>
              </w:rPr>
            </w:pPr>
            <w:r>
              <w:rPr>
                <w:rFonts w:hint="eastAsia" w:ascii="宋体" w:hAnsi="宋体"/>
                <w:bCs/>
                <w:color w:val="auto"/>
                <w:szCs w:val="21"/>
                <w:highlight w:val="none"/>
              </w:rPr>
              <w:t>打印纸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7</w:t>
            </w:r>
          </w:p>
        </w:tc>
        <w:tc>
          <w:tcPr>
            <w:tcW w:w="7866" w:type="dxa"/>
            <w:vAlign w:val="center"/>
          </w:tcPr>
          <w:p>
            <w:pPr>
              <w:spacing w:line="360" w:lineRule="auto"/>
              <w:rPr>
                <w:rFonts w:ascii="宋体" w:hAnsi="宋体"/>
                <w:bCs/>
                <w:color w:val="auto"/>
                <w:szCs w:val="21"/>
                <w:highlight w:val="none"/>
              </w:rPr>
            </w:pPr>
            <w:r>
              <w:rPr>
                <w:rFonts w:hint="eastAsia" w:ascii="宋体" w:hAnsi="宋体"/>
                <w:bCs/>
                <w:color w:val="auto"/>
                <w:szCs w:val="21"/>
                <w:highlight w:val="none"/>
              </w:rPr>
              <w:t>电源线</w:t>
            </w:r>
          </w:p>
        </w:tc>
      </w:tr>
    </w:tbl>
    <w:p>
      <w:pPr>
        <w:spacing w:line="360" w:lineRule="auto"/>
        <w:ind w:left="315" w:leftChars="150" w:firstLine="5145" w:firstLineChars="2450"/>
        <w:rPr>
          <w:rFonts w:ascii="宋体" w:hAnsi="宋体"/>
          <w:color w:val="auto"/>
          <w:szCs w:val="21"/>
          <w:highlight w:val="none"/>
        </w:rPr>
      </w:pPr>
    </w:p>
    <w:p>
      <w:pPr>
        <w:spacing w:line="360" w:lineRule="auto"/>
        <w:ind w:firstLine="241" w:firstLineChars="100"/>
        <w:jc w:val="center"/>
        <w:rPr>
          <w:rFonts w:ascii="宋体" w:hAnsi="宋体" w:cs="宋体"/>
          <w:b/>
          <w:bCs/>
          <w:color w:val="auto"/>
          <w:kern w:val="0"/>
          <w:sz w:val="24"/>
          <w:highlight w:val="none"/>
          <w:lang w:bidi="ar"/>
        </w:rPr>
      </w:pPr>
      <w:r>
        <w:rPr>
          <w:rFonts w:hint="eastAsia" w:ascii="宋体" w:hAnsi="宋体"/>
          <w:b/>
          <w:bCs/>
          <w:color w:val="auto"/>
          <w:sz w:val="24"/>
          <w:highlight w:val="none"/>
        </w:rPr>
        <w:t xml:space="preserve">10-8  </w:t>
      </w:r>
      <w:r>
        <w:rPr>
          <w:rFonts w:hint="eastAsia" w:ascii="宋体" w:hAnsi="宋体" w:cs="宋体"/>
          <w:b/>
          <w:bCs/>
          <w:color w:val="auto"/>
          <w:kern w:val="0"/>
          <w:sz w:val="24"/>
          <w:highlight w:val="none"/>
          <w:lang w:bidi="ar"/>
        </w:rPr>
        <w:t>利普刀（高频电刀）</w:t>
      </w:r>
    </w:p>
    <w:p>
      <w:pPr>
        <w:spacing w:line="360" w:lineRule="auto"/>
        <w:rPr>
          <w:rFonts w:ascii="宋体" w:hAnsi="宋体"/>
          <w:color w:val="auto"/>
          <w:szCs w:val="21"/>
          <w:highlight w:val="none"/>
        </w:rPr>
      </w:pPr>
      <w:r>
        <w:rPr>
          <w:rFonts w:hint="eastAsia" w:ascii="宋体" w:hAnsi="宋体"/>
          <w:color w:val="auto"/>
          <w:szCs w:val="21"/>
          <w:highlight w:val="none"/>
        </w:rPr>
        <w:t>1、电源：220V±22 V,50Hz±1Hz,最大电流≤3.5A</w:t>
      </w:r>
    </w:p>
    <w:p>
      <w:pPr>
        <w:spacing w:line="360" w:lineRule="auto"/>
        <w:rPr>
          <w:rFonts w:ascii="宋体" w:hAnsi="宋体"/>
          <w:color w:val="auto"/>
          <w:szCs w:val="21"/>
          <w:highlight w:val="none"/>
        </w:rPr>
      </w:pPr>
      <w:r>
        <w:rPr>
          <w:rFonts w:hint="eastAsia" w:ascii="宋体" w:hAnsi="宋体"/>
          <w:color w:val="auto"/>
          <w:szCs w:val="21"/>
          <w:highlight w:val="none"/>
        </w:rPr>
        <w:t>2、I类CF型防除颤普通设备</w:t>
      </w:r>
    </w:p>
    <w:p>
      <w:pPr>
        <w:spacing w:line="360" w:lineRule="auto"/>
        <w:rPr>
          <w:rFonts w:ascii="宋体" w:hAnsi="宋体"/>
          <w:color w:val="auto"/>
          <w:szCs w:val="21"/>
          <w:highlight w:val="none"/>
        </w:rPr>
      </w:pPr>
      <w:r>
        <w:rPr>
          <w:rFonts w:hint="eastAsia" w:ascii="宋体" w:hAnsi="宋体"/>
          <w:color w:val="auto"/>
          <w:szCs w:val="21"/>
          <w:highlight w:val="none"/>
        </w:rPr>
        <w:t>3、工作方式：间歇加载连续运行，暂载率10S/30S。</w:t>
      </w:r>
    </w:p>
    <w:p>
      <w:pPr>
        <w:spacing w:line="360" w:lineRule="auto"/>
        <w:rPr>
          <w:rFonts w:ascii="宋体" w:hAnsi="宋体"/>
          <w:color w:val="auto"/>
          <w:szCs w:val="21"/>
          <w:highlight w:val="none"/>
        </w:rPr>
      </w:pPr>
      <w:r>
        <w:rPr>
          <w:rFonts w:hint="eastAsia" w:ascii="宋体" w:hAnsi="宋体"/>
          <w:color w:val="auto"/>
          <w:szCs w:val="21"/>
          <w:highlight w:val="none"/>
        </w:rPr>
        <w:t>4、输出功率：</w:t>
      </w:r>
    </w:p>
    <w:p>
      <w:pPr>
        <w:spacing w:line="360" w:lineRule="auto"/>
        <w:ind w:left="315" w:leftChars="150"/>
        <w:rPr>
          <w:rFonts w:ascii="宋体" w:hAnsi="宋体"/>
          <w:color w:val="auto"/>
          <w:szCs w:val="21"/>
          <w:highlight w:val="none"/>
        </w:rPr>
      </w:pPr>
      <w:r>
        <w:rPr>
          <w:rFonts w:hint="eastAsia" w:ascii="宋体" w:hAnsi="宋体"/>
          <w:color w:val="auto"/>
          <w:szCs w:val="21"/>
          <w:highlight w:val="none"/>
        </w:rPr>
        <w:t>单极纯切     0～350W（500Ω非电抗性负载）</w:t>
      </w:r>
    </w:p>
    <w:p>
      <w:pPr>
        <w:spacing w:line="360" w:lineRule="auto"/>
        <w:ind w:left="315" w:leftChars="150"/>
        <w:rPr>
          <w:rFonts w:ascii="宋体" w:hAnsi="宋体"/>
          <w:color w:val="auto"/>
          <w:szCs w:val="21"/>
          <w:highlight w:val="none"/>
        </w:rPr>
      </w:pPr>
      <w:r>
        <w:rPr>
          <w:rFonts w:hint="eastAsia" w:ascii="宋体" w:hAnsi="宋体"/>
          <w:color w:val="auto"/>
          <w:szCs w:val="21"/>
          <w:highlight w:val="none"/>
        </w:rPr>
        <w:t>单极混切1    0～250W（500Ω非电抗性负载）</w:t>
      </w:r>
    </w:p>
    <w:p>
      <w:pPr>
        <w:spacing w:line="360" w:lineRule="auto"/>
        <w:ind w:left="315" w:leftChars="150"/>
        <w:rPr>
          <w:rFonts w:ascii="宋体" w:hAnsi="宋体"/>
          <w:color w:val="auto"/>
          <w:szCs w:val="21"/>
          <w:highlight w:val="none"/>
        </w:rPr>
      </w:pPr>
      <w:r>
        <w:rPr>
          <w:rFonts w:hint="eastAsia" w:ascii="宋体" w:hAnsi="宋体"/>
          <w:color w:val="auto"/>
          <w:szCs w:val="21"/>
          <w:highlight w:val="none"/>
        </w:rPr>
        <w:t>单极混切2    0～200W（500Ω非电抗性负载）</w:t>
      </w:r>
    </w:p>
    <w:p>
      <w:pPr>
        <w:spacing w:line="360" w:lineRule="auto"/>
        <w:ind w:left="315" w:leftChars="150"/>
        <w:rPr>
          <w:rFonts w:ascii="宋体" w:hAnsi="宋体"/>
          <w:color w:val="auto"/>
          <w:szCs w:val="21"/>
          <w:highlight w:val="none"/>
        </w:rPr>
      </w:pPr>
      <w:r>
        <w:rPr>
          <w:rFonts w:hint="eastAsia" w:ascii="宋体" w:hAnsi="宋体"/>
          <w:color w:val="auto"/>
          <w:szCs w:val="21"/>
          <w:highlight w:val="none"/>
        </w:rPr>
        <w:t>单极混切3    0～120W（500Ω非电抗性负载）</w:t>
      </w:r>
    </w:p>
    <w:p>
      <w:pPr>
        <w:spacing w:line="360" w:lineRule="auto"/>
        <w:ind w:left="315" w:leftChars="150"/>
        <w:rPr>
          <w:rFonts w:ascii="宋体" w:hAnsi="宋体"/>
          <w:color w:val="auto"/>
          <w:szCs w:val="21"/>
          <w:highlight w:val="none"/>
        </w:rPr>
      </w:pPr>
      <w:r>
        <w:rPr>
          <w:rFonts w:hint="eastAsia" w:ascii="宋体" w:hAnsi="宋体"/>
          <w:color w:val="auto"/>
          <w:szCs w:val="21"/>
          <w:highlight w:val="none"/>
        </w:rPr>
        <w:t>单极电凝      0～120W（500Ω非电抗性负载）</w:t>
      </w:r>
    </w:p>
    <w:p>
      <w:pPr>
        <w:spacing w:line="360" w:lineRule="auto"/>
        <w:ind w:left="315" w:leftChars="150"/>
        <w:rPr>
          <w:rFonts w:ascii="宋体" w:hAnsi="宋体"/>
          <w:color w:val="auto"/>
          <w:szCs w:val="21"/>
          <w:highlight w:val="none"/>
        </w:rPr>
      </w:pPr>
      <w:r>
        <w:rPr>
          <w:rFonts w:hint="eastAsia" w:ascii="宋体" w:hAnsi="宋体"/>
          <w:color w:val="auto"/>
          <w:szCs w:val="21"/>
          <w:highlight w:val="none"/>
        </w:rPr>
        <w:t>双极电凝      0～50W（100Ω非电抗性负载）</w:t>
      </w:r>
    </w:p>
    <w:p>
      <w:pPr>
        <w:spacing w:line="360" w:lineRule="auto"/>
        <w:rPr>
          <w:rFonts w:ascii="宋体" w:hAnsi="宋体"/>
          <w:color w:val="auto"/>
          <w:szCs w:val="21"/>
          <w:highlight w:val="none"/>
        </w:rPr>
      </w:pPr>
      <w:r>
        <w:rPr>
          <w:rFonts w:hint="eastAsia" w:ascii="宋体" w:hAnsi="宋体"/>
          <w:color w:val="auto"/>
          <w:szCs w:val="21"/>
          <w:highlight w:val="none"/>
        </w:rPr>
        <w:t>5、电极细微、切割精确、无侧热量传导、无侧组织灼伤。</w:t>
      </w:r>
    </w:p>
    <w:p>
      <w:pPr>
        <w:spacing w:line="360" w:lineRule="auto"/>
        <w:rPr>
          <w:rFonts w:ascii="宋体" w:hAnsi="宋体"/>
          <w:color w:val="auto"/>
          <w:szCs w:val="21"/>
          <w:highlight w:val="none"/>
        </w:rPr>
      </w:pPr>
      <w:r>
        <w:rPr>
          <w:rFonts w:hint="eastAsia" w:ascii="宋体" w:hAnsi="宋体"/>
          <w:color w:val="auto"/>
          <w:szCs w:val="21"/>
          <w:highlight w:val="none"/>
        </w:rPr>
        <w:t>6、操作快速、简便、安全、妇科门诊可完成手术。</w:t>
      </w:r>
    </w:p>
    <w:p>
      <w:pPr>
        <w:spacing w:line="360" w:lineRule="auto"/>
        <w:rPr>
          <w:rFonts w:ascii="宋体" w:hAnsi="宋体"/>
          <w:color w:val="auto"/>
          <w:szCs w:val="21"/>
          <w:highlight w:val="none"/>
        </w:rPr>
      </w:pPr>
      <w:r>
        <w:rPr>
          <w:rFonts w:hint="eastAsia" w:ascii="宋体" w:hAnsi="宋体"/>
          <w:color w:val="auto"/>
          <w:szCs w:val="21"/>
          <w:highlight w:val="none"/>
        </w:rPr>
        <w:t>7、标准配置10支专用妇科LEEP刀头。</w:t>
      </w:r>
    </w:p>
    <w:p>
      <w:pPr>
        <w:spacing w:line="360" w:lineRule="auto"/>
        <w:rPr>
          <w:rFonts w:ascii="宋体" w:hAnsi="宋体"/>
          <w:color w:val="auto"/>
          <w:szCs w:val="21"/>
          <w:highlight w:val="none"/>
        </w:rPr>
      </w:pPr>
      <w:r>
        <w:rPr>
          <w:rFonts w:hint="eastAsia" w:ascii="宋体" w:hAnsi="宋体"/>
          <w:color w:val="auto"/>
          <w:szCs w:val="21"/>
          <w:highlight w:val="none"/>
        </w:rPr>
        <w:t>8、工作噪声：Max 40dB(a)。</w:t>
      </w:r>
    </w:p>
    <w:p>
      <w:pPr>
        <w:spacing w:line="360" w:lineRule="auto"/>
        <w:rPr>
          <w:rFonts w:ascii="宋体" w:hAnsi="宋体"/>
          <w:color w:val="auto"/>
          <w:szCs w:val="21"/>
          <w:highlight w:val="none"/>
        </w:rPr>
      </w:pPr>
      <w:r>
        <w:rPr>
          <w:rFonts w:hint="eastAsia" w:ascii="宋体" w:hAnsi="宋体"/>
          <w:color w:val="auto"/>
          <w:szCs w:val="21"/>
          <w:highlight w:val="none"/>
        </w:rPr>
        <w:t>9、主载频率：512KHz</w:t>
      </w:r>
    </w:p>
    <w:p>
      <w:pPr>
        <w:spacing w:line="360" w:lineRule="auto"/>
        <w:rPr>
          <w:rFonts w:ascii="宋体" w:hAnsi="宋体"/>
          <w:color w:val="auto"/>
          <w:szCs w:val="21"/>
          <w:highlight w:val="none"/>
        </w:rPr>
      </w:pPr>
      <w:r>
        <w:rPr>
          <w:rFonts w:hint="eastAsia" w:ascii="宋体" w:hAnsi="宋体"/>
          <w:color w:val="auto"/>
          <w:szCs w:val="21"/>
          <w:highlight w:val="none"/>
        </w:rPr>
        <w:t>10、整机性能符合IEC60601-1；IEC60601-2-2医用电气安全标准及IEC60601-1-2电磁兼容的要求。</w:t>
      </w:r>
    </w:p>
    <w:p>
      <w:pPr>
        <w:spacing w:line="360" w:lineRule="auto"/>
        <w:rPr>
          <w:rFonts w:ascii="宋体" w:hAnsi="宋体"/>
          <w:color w:val="auto"/>
          <w:szCs w:val="21"/>
          <w:highlight w:val="none"/>
        </w:rPr>
      </w:pPr>
      <w:r>
        <w:rPr>
          <w:rFonts w:hint="eastAsia" w:ascii="宋体" w:hAnsi="宋体"/>
          <w:color w:val="auto"/>
          <w:szCs w:val="21"/>
          <w:highlight w:val="none"/>
        </w:rPr>
        <w:t>11、功能齐全，单双极俱备，适应范围广，配备先进的功率密度反馈技术，切割顺畅、利索，不必在手术过程中进行频繁的功率设定调整。</w:t>
      </w:r>
    </w:p>
    <w:p>
      <w:pPr>
        <w:spacing w:line="360" w:lineRule="auto"/>
        <w:rPr>
          <w:rFonts w:ascii="宋体" w:hAnsi="宋体"/>
          <w:color w:val="auto"/>
          <w:szCs w:val="21"/>
          <w:highlight w:val="none"/>
        </w:rPr>
      </w:pPr>
      <w:r>
        <w:rPr>
          <w:rFonts w:hint="eastAsia" w:ascii="宋体" w:hAnsi="宋体"/>
          <w:color w:val="auto"/>
          <w:szCs w:val="21"/>
          <w:highlight w:val="none"/>
        </w:rPr>
        <w:t>★12、手术过程中不必进行单极、双极模式转换。对一台手术中同时会用到单极切、凝和双极凝功能，提供了便捷的功能。</w:t>
      </w:r>
    </w:p>
    <w:p>
      <w:pPr>
        <w:spacing w:line="360" w:lineRule="auto"/>
        <w:rPr>
          <w:rFonts w:ascii="宋体" w:hAnsi="宋体"/>
          <w:color w:val="auto"/>
          <w:szCs w:val="21"/>
          <w:highlight w:val="none"/>
        </w:rPr>
      </w:pPr>
      <w:r>
        <w:rPr>
          <w:rFonts w:hint="eastAsia" w:ascii="宋体" w:hAnsi="宋体"/>
          <w:color w:val="auto"/>
          <w:szCs w:val="21"/>
          <w:highlight w:val="none"/>
        </w:rPr>
        <w:t>★13、安全装置：两种负极板（单极，双极）质量型监控系统,LED数值显示。杜绝患者与中性极板接触不良而引起的烫伤，并增加了功率的双闭环控制，即使在机器发生单一故障时，仍然可以保证输出的功率在设定范围之内。</w:t>
      </w:r>
    </w:p>
    <w:p>
      <w:pPr>
        <w:spacing w:line="360" w:lineRule="auto"/>
        <w:rPr>
          <w:rFonts w:ascii="宋体" w:hAnsi="宋体"/>
          <w:color w:val="auto"/>
          <w:szCs w:val="21"/>
          <w:highlight w:val="none"/>
        </w:rPr>
      </w:pPr>
      <w:r>
        <w:rPr>
          <w:rFonts w:hint="eastAsia" w:ascii="宋体" w:hAnsi="宋体"/>
          <w:color w:val="auto"/>
          <w:szCs w:val="21"/>
          <w:highlight w:val="none"/>
        </w:rPr>
        <w:t>14、主电路采用开关电源及射频输出双重绝缘，充分保障医患人员的安全性。</w:t>
      </w:r>
    </w:p>
    <w:p>
      <w:pPr>
        <w:spacing w:line="360" w:lineRule="auto"/>
        <w:rPr>
          <w:rFonts w:ascii="宋体" w:hAnsi="宋体"/>
          <w:color w:val="auto"/>
          <w:szCs w:val="21"/>
          <w:highlight w:val="none"/>
        </w:rPr>
      </w:pPr>
      <w:r>
        <w:rPr>
          <w:rFonts w:hint="eastAsia" w:ascii="宋体" w:hAnsi="宋体"/>
          <w:color w:val="auto"/>
          <w:szCs w:val="21"/>
          <w:highlight w:val="none"/>
        </w:rPr>
        <w:t>15、使用条件：环境温度5℃～40℃，湿度≤80％RH,大气压力860hpa～1060hpa。</w:t>
      </w:r>
    </w:p>
    <w:p>
      <w:pPr>
        <w:spacing w:line="360" w:lineRule="auto"/>
        <w:rPr>
          <w:rFonts w:ascii="宋体" w:hAnsi="宋体"/>
          <w:color w:val="auto"/>
          <w:szCs w:val="21"/>
          <w:highlight w:val="none"/>
        </w:rPr>
      </w:pPr>
      <w:r>
        <w:rPr>
          <w:rFonts w:hint="eastAsia" w:ascii="宋体" w:hAnsi="宋体"/>
          <w:color w:val="auto"/>
          <w:szCs w:val="21"/>
          <w:highlight w:val="none"/>
        </w:rPr>
        <w:t>★16、四级高效烟雾过滤器，</w:t>
      </w:r>
      <w:r>
        <w:rPr>
          <w:rFonts w:ascii="宋体" w:hAnsi="宋体"/>
          <w:color w:val="auto"/>
          <w:szCs w:val="21"/>
          <w:highlight w:val="none"/>
        </w:rPr>
        <w:t>过滤</w:t>
      </w:r>
      <w:r>
        <w:rPr>
          <w:rFonts w:hint="eastAsia" w:ascii="宋体" w:hAnsi="宋体"/>
          <w:color w:val="auto"/>
          <w:szCs w:val="21"/>
          <w:highlight w:val="none"/>
        </w:rPr>
        <w:t>等级99</w:t>
      </w:r>
      <w:r>
        <w:rPr>
          <w:rFonts w:ascii="宋体" w:hAnsi="宋体"/>
          <w:color w:val="auto"/>
          <w:szCs w:val="21"/>
          <w:highlight w:val="none"/>
        </w:rPr>
        <w:t>.999%</w:t>
      </w:r>
    </w:p>
    <w:p>
      <w:pPr>
        <w:spacing w:line="360" w:lineRule="auto"/>
        <w:rPr>
          <w:rFonts w:ascii="宋体" w:hAnsi="宋体"/>
          <w:color w:val="auto"/>
          <w:szCs w:val="21"/>
          <w:highlight w:val="none"/>
        </w:rPr>
      </w:pPr>
      <w:r>
        <w:rPr>
          <w:rFonts w:hint="eastAsia" w:ascii="宋体" w:hAnsi="宋体"/>
          <w:color w:val="auto"/>
          <w:szCs w:val="21"/>
          <w:highlight w:val="none"/>
        </w:rPr>
        <w:t>17、吸烟器无级变速调节流量</w:t>
      </w:r>
    </w:p>
    <w:p>
      <w:pPr>
        <w:spacing w:line="360" w:lineRule="auto"/>
        <w:rPr>
          <w:rFonts w:ascii="宋体" w:hAnsi="宋体"/>
          <w:color w:val="auto"/>
          <w:szCs w:val="21"/>
          <w:highlight w:val="none"/>
        </w:rPr>
      </w:pPr>
      <w:r>
        <w:rPr>
          <w:rFonts w:hint="eastAsia" w:ascii="宋体" w:hAnsi="宋体"/>
          <w:color w:val="auto"/>
          <w:szCs w:val="21"/>
          <w:highlight w:val="none"/>
        </w:rPr>
        <w:t>18、配置清单</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4"/>
        <w:gridCol w:w="2597"/>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084" w:type="dxa"/>
          </w:tcPr>
          <w:p>
            <w:pPr>
              <w:spacing w:line="360" w:lineRule="auto"/>
              <w:ind w:left="315" w:leftChars="150"/>
              <w:rPr>
                <w:rFonts w:ascii="宋体" w:hAnsi="宋体"/>
                <w:color w:val="auto"/>
                <w:szCs w:val="21"/>
                <w:highlight w:val="none"/>
              </w:rPr>
            </w:pPr>
            <w:r>
              <w:rPr>
                <w:rFonts w:hint="eastAsia" w:ascii="宋体" w:hAnsi="宋体"/>
                <w:color w:val="auto"/>
                <w:szCs w:val="21"/>
                <w:highlight w:val="none"/>
              </w:rPr>
              <w:t>名称</w:t>
            </w:r>
          </w:p>
        </w:tc>
        <w:tc>
          <w:tcPr>
            <w:tcW w:w="2597" w:type="dxa"/>
          </w:tcPr>
          <w:p>
            <w:pPr>
              <w:spacing w:line="360" w:lineRule="auto"/>
              <w:ind w:left="315" w:leftChars="150"/>
              <w:rPr>
                <w:rFonts w:ascii="宋体" w:hAnsi="宋体"/>
                <w:color w:val="auto"/>
                <w:szCs w:val="21"/>
                <w:highlight w:val="none"/>
              </w:rPr>
            </w:pPr>
            <w:r>
              <w:rPr>
                <w:rFonts w:hint="eastAsia" w:ascii="宋体" w:hAnsi="宋体"/>
                <w:color w:val="auto"/>
                <w:szCs w:val="21"/>
                <w:highlight w:val="none"/>
              </w:rPr>
              <w:t>数量</w:t>
            </w:r>
          </w:p>
        </w:tc>
        <w:tc>
          <w:tcPr>
            <w:tcW w:w="2841" w:type="dxa"/>
          </w:tcPr>
          <w:p>
            <w:pPr>
              <w:spacing w:line="360" w:lineRule="auto"/>
              <w:ind w:left="315" w:leftChars="150"/>
              <w:rPr>
                <w:rFonts w:ascii="宋体" w:hAnsi="宋体"/>
                <w:color w:val="auto"/>
                <w:szCs w:val="21"/>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084" w:type="dxa"/>
          </w:tcPr>
          <w:p>
            <w:pPr>
              <w:spacing w:line="360" w:lineRule="auto"/>
              <w:ind w:left="315" w:leftChars="150"/>
              <w:rPr>
                <w:rFonts w:ascii="宋体" w:hAnsi="宋体"/>
                <w:color w:val="auto"/>
                <w:szCs w:val="21"/>
                <w:highlight w:val="none"/>
              </w:rPr>
            </w:pPr>
            <w:r>
              <w:rPr>
                <w:rFonts w:hint="eastAsia" w:ascii="宋体" w:hAnsi="宋体"/>
                <w:color w:val="auto"/>
                <w:szCs w:val="21"/>
                <w:highlight w:val="none"/>
              </w:rPr>
              <w:t>高频主机</w:t>
            </w:r>
          </w:p>
        </w:tc>
        <w:tc>
          <w:tcPr>
            <w:tcW w:w="2597" w:type="dxa"/>
          </w:tcPr>
          <w:p>
            <w:pPr>
              <w:spacing w:line="360" w:lineRule="auto"/>
              <w:ind w:left="315" w:leftChars="150"/>
              <w:rPr>
                <w:rFonts w:ascii="宋体" w:hAnsi="宋体"/>
                <w:color w:val="auto"/>
                <w:szCs w:val="21"/>
                <w:highlight w:val="none"/>
              </w:rPr>
            </w:pPr>
            <w:r>
              <w:rPr>
                <w:rFonts w:hint="eastAsia" w:ascii="宋体" w:hAnsi="宋体"/>
                <w:color w:val="auto"/>
                <w:szCs w:val="21"/>
                <w:highlight w:val="none"/>
              </w:rPr>
              <w:t>1台</w:t>
            </w:r>
          </w:p>
        </w:tc>
        <w:tc>
          <w:tcPr>
            <w:tcW w:w="2841" w:type="dxa"/>
          </w:tcPr>
          <w:p>
            <w:pPr>
              <w:spacing w:line="360" w:lineRule="auto"/>
              <w:ind w:left="315" w:leftChars="1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084" w:type="dxa"/>
          </w:tcPr>
          <w:p>
            <w:pPr>
              <w:spacing w:line="360" w:lineRule="auto"/>
              <w:ind w:left="315" w:leftChars="150"/>
              <w:rPr>
                <w:rFonts w:ascii="宋体" w:hAnsi="宋体"/>
                <w:color w:val="auto"/>
                <w:szCs w:val="21"/>
                <w:highlight w:val="none"/>
              </w:rPr>
            </w:pPr>
            <w:r>
              <w:rPr>
                <w:rFonts w:hint="eastAsia" w:ascii="宋体" w:hAnsi="宋体"/>
                <w:color w:val="auto"/>
                <w:szCs w:val="21"/>
                <w:highlight w:val="none"/>
              </w:rPr>
              <w:t>电源线</w:t>
            </w:r>
          </w:p>
        </w:tc>
        <w:tc>
          <w:tcPr>
            <w:tcW w:w="2597" w:type="dxa"/>
          </w:tcPr>
          <w:p>
            <w:pPr>
              <w:spacing w:line="360" w:lineRule="auto"/>
              <w:ind w:left="315" w:leftChars="150"/>
              <w:rPr>
                <w:rFonts w:ascii="宋体" w:hAnsi="宋体"/>
                <w:color w:val="auto"/>
                <w:szCs w:val="21"/>
                <w:highlight w:val="none"/>
              </w:rPr>
            </w:pPr>
            <w:r>
              <w:rPr>
                <w:rFonts w:hint="eastAsia" w:ascii="宋体" w:hAnsi="宋体"/>
                <w:color w:val="auto"/>
                <w:szCs w:val="21"/>
                <w:highlight w:val="none"/>
              </w:rPr>
              <w:t>1条</w:t>
            </w:r>
          </w:p>
        </w:tc>
        <w:tc>
          <w:tcPr>
            <w:tcW w:w="2841" w:type="dxa"/>
          </w:tcPr>
          <w:p>
            <w:pPr>
              <w:spacing w:line="360" w:lineRule="auto"/>
              <w:ind w:left="315" w:leftChars="1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084" w:type="dxa"/>
          </w:tcPr>
          <w:p>
            <w:pPr>
              <w:spacing w:line="360" w:lineRule="auto"/>
              <w:ind w:left="315" w:leftChars="150"/>
              <w:rPr>
                <w:rFonts w:ascii="宋体" w:hAnsi="宋体"/>
                <w:color w:val="auto"/>
                <w:szCs w:val="21"/>
                <w:highlight w:val="none"/>
              </w:rPr>
            </w:pPr>
            <w:r>
              <w:rPr>
                <w:rFonts w:hint="eastAsia" w:ascii="宋体" w:hAnsi="宋体"/>
                <w:color w:val="auto"/>
                <w:szCs w:val="21"/>
                <w:highlight w:val="none"/>
              </w:rPr>
              <w:t>一次性使用高频电刀笔</w:t>
            </w:r>
          </w:p>
        </w:tc>
        <w:tc>
          <w:tcPr>
            <w:tcW w:w="2597" w:type="dxa"/>
          </w:tcPr>
          <w:p>
            <w:pPr>
              <w:spacing w:line="360" w:lineRule="auto"/>
              <w:ind w:left="315" w:leftChars="150"/>
              <w:rPr>
                <w:rFonts w:ascii="宋体" w:hAnsi="宋体"/>
                <w:color w:val="auto"/>
                <w:szCs w:val="21"/>
                <w:highlight w:val="none"/>
              </w:rPr>
            </w:pPr>
            <w:r>
              <w:rPr>
                <w:rFonts w:hint="eastAsia" w:ascii="宋体" w:hAnsi="宋体"/>
                <w:color w:val="auto"/>
                <w:szCs w:val="21"/>
                <w:highlight w:val="none"/>
              </w:rPr>
              <w:t>5把</w:t>
            </w:r>
          </w:p>
        </w:tc>
        <w:tc>
          <w:tcPr>
            <w:tcW w:w="2841" w:type="dxa"/>
          </w:tcPr>
          <w:p>
            <w:pPr>
              <w:spacing w:line="360" w:lineRule="auto"/>
              <w:ind w:left="315" w:leftChars="1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084" w:type="dxa"/>
          </w:tcPr>
          <w:p>
            <w:pPr>
              <w:spacing w:line="360" w:lineRule="auto"/>
              <w:ind w:left="315" w:leftChars="150"/>
              <w:rPr>
                <w:rFonts w:ascii="宋体" w:hAnsi="宋体"/>
                <w:color w:val="auto"/>
                <w:szCs w:val="21"/>
                <w:highlight w:val="none"/>
              </w:rPr>
            </w:pPr>
            <w:r>
              <w:rPr>
                <w:rFonts w:hint="eastAsia" w:ascii="宋体" w:hAnsi="宋体"/>
                <w:color w:val="auto"/>
                <w:szCs w:val="21"/>
                <w:highlight w:val="none"/>
              </w:rPr>
              <w:t>一次性使用高频电刀笔</w:t>
            </w:r>
          </w:p>
        </w:tc>
        <w:tc>
          <w:tcPr>
            <w:tcW w:w="2597" w:type="dxa"/>
          </w:tcPr>
          <w:p>
            <w:pPr>
              <w:spacing w:line="360" w:lineRule="auto"/>
              <w:ind w:left="315" w:leftChars="150"/>
              <w:rPr>
                <w:rFonts w:ascii="宋体" w:hAnsi="宋体"/>
                <w:color w:val="auto"/>
                <w:szCs w:val="21"/>
                <w:highlight w:val="none"/>
              </w:rPr>
            </w:pPr>
            <w:r>
              <w:rPr>
                <w:rFonts w:hint="eastAsia" w:ascii="宋体" w:hAnsi="宋体"/>
                <w:color w:val="auto"/>
                <w:szCs w:val="21"/>
                <w:highlight w:val="none"/>
              </w:rPr>
              <w:t>2把</w:t>
            </w:r>
          </w:p>
        </w:tc>
        <w:tc>
          <w:tcPr>
            <w:tcW w:w="2841" w:type="dxa"/>
          </w:tcPr>
          <w:p>
            <w:pPr>
              <w:spacing w:line="360" w:lineRule="auto"/>
              <w:ind w:left="315" w:leftChars="1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084" w:type="dxa"/>
          </w:tcPr>
          <w:p>
            <w:pPr>
              <w:spacing w:line="360" w:lineRule="auto"/>
              <w:ind w:left="315" w:leftChars="150"/>
              <w:rPr>
                <w:rFonts w:ascii="宋体" w:hAnsi="宋体"/>
                <w:color w:val="auto"/>
                <w:szCs w:val="21"/>
                <w:highlight w:val="none"/>
              </w:rPr>
            </w:pPr>
            <w:r>
              <w:rPr>
                <w:rFonts w:hint="eastAsia" w:ascii="宋体" w:hAnsi="宋体"/>
                <w:color w:val="auto"/>
                <w:szCs w:val="21"/>
                <w:highlight w:val="none"/>
              </w:rPr>
              <w:t>一次性使用高频电极</w:t>
            </w:r>
          </w:p>
        </w:tc>
        <w:tc>
          <w:tcPr>
            <w:tcW w:w="2597" w:type="dxa"/>
          </w:tcPr>
          <w:p>
            <w:pPr>
              <w:spacing w:line="360" w:lineRule="auto"/>
              <w:ind w:left="315" w:leftChars="150"/>
              <w:rPr>
                <w:rFonts w:ascii="宋体" w:hAnsi="宋体"/>
                <w:color w:val="auto"/>
                <w:szCs w:val="21"/>
                <w:highlight w:val="none"/>
              </w:rPr>
            </w:pPr>
            <w:r>
              <w:rPr>
                <w:rFonts w:hint="eastAsia" w:ascii="宋体" w:hAnsi="宋体"/>
                <w:color w:val="auto"/>
                <w:szCs w:val="21"/>
                <w:highlight w:val="none"/>
              </w:rPr>
              <w:t>10支</w:t>
            </w:r>
          </w:p>
        </w:tc>
        <w:tc>
          <w:tcPr>
            <w:tcW w:w="2841" w:type="dxa"/>
          </w:tcPr>
          <w:p>
            <w:pPr>
              <w:spacing w:line="360" w:lineRule="auto"/>
              <w:ind w:left="315" w:leftChars="1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084" w:type="dxa"/>
          </w:tcPr>
          <w:p>
            <w:pPr>
              <w:spacing w:line="360" w:lineRule="auto"/>
              <w:ind w:left="315" w:leftChars="150"/>
              <w:rPr>
                <w:rFonts w:ascii="宋体" w:hAnsi="宋体"/>
                <w:color w:val="auto"/>
                <w:szCs w:val="21"/>
                <w:highlight w:val="none"/>
              </w:rPr>
            </w:pPr>
            <w:r>
              <w:rPr>
                <w:rFonts w:hint="eastAsia" w:ascii="宋体" w:hAnsi="宋体"/>
                <w:color w:val="auto"/>
                <w:szCs w:val="21"/>
                <w:highlight w:val="none"/>
              </w:rPr>
              <w:t>双极镊子</w:t>
            </w:r>
          </w:p>
        </w:tc>
        <w:tc>
          <w:tcPr>
            <w:tcW w:w="2597" w:type="dxa"/>
          </w:tcPr>
          <w:p>
            <w:pPr>
              <w:spacing w:line="360" w:lineRule="auto"/>
              <w:ind w:left="315" w:leftChars="150"/>
              <w:rPr>
                <w:rFonts w:ascii="宋体" w:hAnsi="宋体"/>
                <w:color w:val="auto"/>
                <w:szCs w:val="21"/>
                <w:highlight w:val="none"/>
              </w:rPr>
            </w:pPr>
            <w:r>
              <w:rPr>
                <w:rFonts w:hint="eastAsia" w:ascii="宋体" w:hAnsi="宋体"/>
                <w:color w:val="auto"/>
                <w:szCs w:val="21"/>
                <w:highlight w:val="none"/>
              </w:rPr>
              <w:t>1套</w:t>
            </w:r>
          </w:p>
        </w:tc>
        <w:tc>
          <w:tcPr>
            <w:tcW w:w="2841" w:type="dxa"/>
          </w:tcPr>
          <w:p>
            <w:pPr>
              <w:spacing w:line="360" w:lineRule="auto"/>
              <w:ind w:left="315" w:leftChars="1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084" w:type="dxa"/>
          </w:tcPr>
          <w:p>
            <w:pPr>
              <w:spacing w:line="360" w:lineRule="auto"/>
              <w:ind w:left="315" w:leftChars="150"/>
              <w:rPr>
                <w:rFonts w:ascii="宋体" w:hAnsi="宋体"/>
                <w:color w:val="auto"/>
                <w:szCs w:val="21"/>
                <w:highlight w:val="none"/>
              </w:rPr>
            </w:pPr>
            <w:r>
              <w:rPr>
                <w:rFonts w:hint="eastAsia" w:ascii="宋体" w:hAnsi="宋体"/>
                <w:color w:val="auto"/>
                <w:szCs w:val="21"/>
                <w:highlight w:val="none"/>
              </w:rPr>
              <w:t>脚踏开关</w:t>
            </w:r>
          </w:p>
        </w:tc>
        <w:tc>
          <w:tcPr>
            <w:tcW w:w="2597" w:type="dxa"/>
          </w:tcPr>
          <w:p>
            <w:pPr>
              <w:spacing w:line="360" w:lineRule="auto"/>
              <w:ind w:left="315" w:leftChars="150"/>
              <w:rPr>
                <w:rFonts w:ascii="宋体" w:hAnsi="宋体"/>
                <w:color w:val="auto"/>
                <w:szCs w:val="21"/>
                <w:highlight w:val="none"/>
              </w:rPr>
            </w:pPr>
            <w:r>
              <w:rPr>
                <w:rFonts w:hint="eastAsia" w:ascii="宋体" w:hAnsi="宋体"/>
                <w:color w:val="auto"/>
                <w:szCs w:val="21"/>
                <w:highlight w:val="none"/>
              </w:rPr>
              <w:t>1套</w:t>
            </w:r>
          </w:p>
        </w:tc>
        <w:tc>
          <w:tcPr>
            <w:tcW w:w="2841" w:type="dxa"/>
          </w:tcPr>
          <w:p>
            <w:pPr>
              <w:spacing w:line="360" w:lineRule="auto"/>
              <w:ind w:left="315" w:leftChars="150"/>
              <w:rPr>
                <w:rFonts w:ascii="宋体" w:hAnsi="宋体"/>
                <w:color w:val="auto"/>
                <w:szCs w:val="21"/>
                <w:highlight w:val="none"/>
              </w:rPr>
            </w:pPr>
            <w:r>
              <w:rPr>
                <w:rFonts w:hint="eastAsia" w:ascii="宋体" w:hAnsi="宋体"/>
                <w:color w:val="auto"/>
                <w:szCs w:val="21"/>
                <w:highlight w:val="none"/>
              </w:rPr>
              <w:t>单脚踏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084" w:type="dxa"/>
          </w:tcPr>
          <w:p>
            <w:pPr>
              <w:spacing w:line="360" w:lineRule="auto"/>
              <w:ind w:left="315" w:leftChars="150"/>
              <w:rPr>
                <w:rFonts w:ascii="宋体" w:hAnsi="宋体"/>
                <w:color w:val="auto"/>
                <w:szCs w:val="21"/>
                <w:highlight w:val="none"/>
              </w:rPr>
            </w:pPr>
            <w:r>
              <w:rPr>
                <w:rFonts w:hint="eastAsia" w:ascii="宋体" w:hAnsi="宋体"/>
                <w:color w:val="auto"/>
                <w:szCs w:val="21"/>
                <w:highlight w:val="none"/>
              </w:rPr>
              <w:t>脚踏开关</w:t>
            </w:r>
          </w:p>
        </w:tc>
        <w:tc>
          <w:tcPr>
            <w:tcW w:w="2597" w:type="dxa"/>
          </w:tcPr>
          <w:p>
            <w:pPr>
              <w:spacing w:line="360" w:lineRule="auto"/>
              <w:ind w:left="315" w:leftChars="150"/>
              <w:rPr>
                <w:rFonts w:ascii="宋体" w:hAnsi="宋体"/>
                <w:color w:val="auto"/>
                <w:szCs w:val="21"/>
                <w:highlight w:val="none"/>
              </w:rPr>
            </w:pPr>
            <w:r>
              <w:rPr>
                <w:rFonts w:hint="eastAsia" w:ascii="宋体" w:hAnsi="宋体"/>
                <w:color w:val="auto"/>
                <w:szCs w:val="21"/>
                <w:highlight w:val="none"/>
              </w:rPr>
              <w:t>1套</w:t>
            </w:r>
          </w:p>
        </w:tc>
        <w:tc>
          <w:tcPr>
            <w:tcW w:w="2841" w:type="dxa"/>
          </w:tcPr>
          <w:p>
            <w:pPr>
              <w:spacing w:line="360" w:lineRule="auto"/>
              <w:ind w:left="315" w:leftChars="150"/>
              <w:rPr>
                <w:rFonts w:ascii="宋体" w:hAnsi="宋体"/>
                <w:color w:val="auto"/>
                <w:szCs w:val="21"/>
                <w:highlight w:val="none"/>
              </w:rPr>
            </w:pPr>
            <w:r>
              <w:rPr>
                <w:rFonts w:hint="eastAsia" w:ascii="宋体" w:hAnsi="宋体"/>
                <w:color w:val="auto"/>
                <w:szCs w:val="21"/>
                <w:highlight w:val="none"/>
              </w:rPr>
              <w:t>双脚踏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084" w:type="dxa"/>
          </w:tcPr>
          <w:p>
            <w:pPr>
              <w:spacing w:line="360" w:lineRule="auto"/>
              <w:ind w:left="315" w:leftChars="150"/>
              <w:rPr>
                <w:rFonts w:ascii="宋体" w:hAnsi="宋体"/>
                <w:color w:val="auto"/>
                <w:szCs w:val="21"/>
                <w:highlight w:val="none"/>
              </w:rPr>
            </w:pPr>
            <w:r>
              <w:rPr>
                <w:rFonts w:hint="eastAsia" w:ascii="宋体" w:hAnsi="宋体"/>
                <w:color w:val="auto"/>
                <w:szCs w:val="21"/>
                <w:highlight w:val="none"/>
              </w:rPr>
              <w:t>极板夹头</w:t>
            </w:r>
          </w:p>
        </w:tc>
        <w:tc>
          <w:tcPr>
            <w:tcW w:w="2597" w:type="dxa"/>
          </w:tcPr>
          <w:p>
            <w:pPr>
              <w:spacing w:line="360" w:lineRule="auto"/>
              <w:ind w:left="315" w:leftChars="150"/>
              <w:rPr>
                <w:rFonts w:ascii="宋体" w:hAnsi="宋体"/>
                <w:color w:val="auto"/>
                <w:szCs w:val="21"/>
                <w:highlight w:val="none"/>
              </w:rPr>
            </w:pPr>
            <w:r>
              <w:rPr>
                <w:rFonts w:hint="eastAsia" w:ascii="宋体" w:hAnsi="宋体"/>
                <w:color w:val="auto"/>
                <w:szCs w:val="21"/>
                <w:highlight w:val="none"/>
              </w:rPr>
              <w:t>2条</w:t>
            </w:r>
          </w:p>
        </w:tc>
        <w:tc>
          <w:tcPr>
            <w:tcW w:w="2841" w:type="dxa"/>
          </w:tcPr>
          <w:p>
            <w:pPr>
              <w:spacing w:line="360" w:lineRule="auto"/>
              <w:ind w:left="315" w:leftChars="1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084" w:type="dxa"/>
          </w:tcPr>
          <w:p>
            <w:pPr>
              <w:spacing w:line="360" w:lineRule="auto"/>
              <w:ind w:left="315" w:leftChars="150"/>
              <w:rPr>
                <w:rFonts w:ascii="宋体" w:hAnsi="宋体"/>
                <w:color w:val="auto"/>
                <w:szCs w:val="21"/>
                <w:highlight w:val="none"/>
              </w:rPr>
            </w:pPr>
            <w:r>
              <w:rPr>
                <w:rFonts w:hint="eastAsia" w:ascii="宋体" w:hAnsi="宋体"/>
                <w:color w:val="auto"/>
                <w:szCs w:val="21"/>
                <w:highlight w:val="none"/>
              </w:rPr>
              <w:t>随弃式黏胶导电极板</w:t>
            </w:r>
          </w:p>
        </w:tc>
        <w:tc>
          <w:tcPr>
            <w:tcW w:w="2597" w:type="dxa"/>
          </w:tcPr>
          <w:p>
            <w:pPr>
              <w:spacing w:line="360" w:lineRule="auto"/>
              <w:ind w:left="315" w:leftChars="150"/>
              <w:rPr>
                <w:rFonts w:ascii="宋体" w:hAnsi="宋体"/>
                <w:color w:val="auto"/>
                <w:szCs w:val="21"/>
                <w:highlight w:val="none"/>
              </w:rPr>
            </w:pPr>
            <w:r>
              <w:rPr>
                <w:rFonts w:hint="eastAsia" w:ascii="宋体" w:hAnsi="宋体"/>
                <w:color w:val="auto"/>
                <w:szCs w:val="21"/>
                <w:highlight w:val="none"/>
              </w:rPr>
              <w:t>10片</w:t>
            </w:r>
          </w:p>
        </w:tc>
        <w:tc>
          <w:tcPr>
            <w:tcW w:w="2841" w:type="dxa"/>
          </w:tcPr>
          <w:p>
            <w:pPr>
              <w:spacing w:line="360" w:lineRule="auto"/>
              <w:ind w:left="315" w:leftChars="150"/>
              <w:rPr>
                <w:rFonts w:ascii="宋体" w:hAnsi="宋体"/>
                <w:color w:val="auto"/>
                <w:szCs w:val="21"/>
                <w:highlight w:val="none"/>
              </w:rPr>
            </w:pPr>
            <w:r>
              <w:rPr>
                <w:rFonts w:hint="eastAsia" w:ascii="宋体" w:hAnsi="宋体"/>
                <w:color w:val="auto"/>
                <w:szCs w:val="21"/>
                <w:highlight w:val="none"/>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084" w:type="dxa"/>
          </w:tcPr>
          <w:p>
            <w:pPr>
              <w:spacing w:line="360" w:lineRule="auto"/>
              <w:ind w:left="315" w:leftChars="150"/>
              <w:rPr>
                <w:rFonts w:ascii="宋体" w:hAnsi="宋体"/>
                <w:color w:val="auto"/>
                <w:szCs w:val="21"/>
                <w:highlight w:val="none"/>
              </w:rPr>
            </w:pPr>
            <w:r>
              <w:rPr>
                <w:rFonts w:hint="eastAsia" w:ascii="宋体" w:hAnsi="宋体"/>
                <w:color w:val="auto"/>
                <w:szCs w:val="21"/>
                <w:highlight w:val="none"/>
              </w:rPr>
              <w:t>合格证</w:t>
            </w:r>
          </w:p>
        </w:tc>
        <w:tc>
          <w:tcPr>
            <w:tcW w:w="2597" w:type="dxa"/>
          </w:tcPr>
          <w:p>
            <w:pPr>
              <w:spacing w:line="360" w:lineRule="auto"/>
              <w:ind w:left="315" w:leftChars="150"/>
              <w:rPr>
                <w:rFonts w:ascii="宋体" w:hAnsi="宋体"/>
                <w:color w:val="auto"/>
                <w:szCs w:val="21"/>
                <w:highlight w:val="none"/>
              </w:rPr>
            </w:pPr>
            <w:r>
              <w:rPr>
                <w:rFonts w:hint="eastAsia" w:ascii="宋体" w:hAnsi="宋体"/>
                <w:color w:val="auto"/>
                <w:szCs w:val="21"/>
                <w:highlight w:val="none"/>
              </w:rPr>
              <w:t>1份</w:t>
            </w:r>
          </w:p>
        </w:tc>
        <w:tc>
          <w:tcPr>
            <w:tcW w:w="2841" w:type="dxa"/>
          </w:tcPr>
          <w:p>
            <w:pPr>
              <w:spacing w:line="360" w:lineRule="auto"/>
              <w:ind w:left="315" w:leftChars="1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084" w:type="dxa"/>
          </w:tcPr>
          <w:p>
            <w:pPr>
              <w:spacing w:line="360" w:lineRule="auto"/>
              <w:ind w:left="315" w:leftChars="150"/>
              <w:rPr>
                <w:rFonts w:ascii="宋体" w:hAnsi="宋体"/>
                <w:color w:val="auto"/>
                <w:szCs w:val="21"/>
                <w:highlight w:val="none"/>
              </w:rPr>
            </w:pPr>
            <w:r>
              <w:rPr>
                <w:rFonts w:hint="eastAsia" w:ascii="宋体" w:hAnsi="宋体"/>
                <w:color w:val="auto"/>
                <w:szCs w:val="21"/>
                <w:highlight w:val="none"/>
              </w:rPr>
              <w:t>使用说明书</w:t>
            </w:r>
          </w:p>
        </w:tc>
        <w:tc>
          <w:tcPr>
            <w:tcW w:w="2597" w:type="dxa"/>
          </w:tcPr>
          <w:p>
            <w:pPr>
              <w:spacing w:line="360" w:lineRule="auto"/>
              <w:ind w:left="315" w:leftChars="150"/>
              <w:rPr>
                <w:rFonts w:ascii="宋体" w:hAnsi="宋体"/>
                <w:color w:val="auto"/>
                <w:szCs w:val="21"/>
                <w:highlight w:val="none"/>
              </w:rPr>
            </w:pPr>
            <w:r>
              <w:rPr>
                <w:rFonts w:hint="eastAsia" w:ascii="宋体" w:hAnsi="宋体"/>
                <w:color w:val="auto"/>
                <w:szCs w:val="21"/>
                <w:highlight w:val="none"/>
              </w:rPr>
              <w:t>1份</w:t>
            </w:r>
          </w:p>
        </w:tc>
        <w:tc>
          <w:tcPr>
            <w:tcW w:w="2841" w:type="dxa"/>
          </w:tcPr>
          <w:p>
            <w:pPr>
              <w:spacing w:line="360" w:lineRule="auto"/>
              <w:ind w:left="315" w:leftChars="1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084" w:type="dxa"/>
          </w:tcPr>
          <w:p>
            <w:pPr>
              <w:spacing w:line="360" w:lineRule="auto"/>
              <w:ind w:left="315" w:leftChars="150"/>
              <w:rPr>
                <w:rFonts w:ascii="宋体" w:hAnsi="宋体"/>
                <w:color w:val="auto"/>
                <w:szCs w:val="21"/>
                <w:highlight w:val="none"/>
              </w:rPr>
            </w:pPr>
            <w:r>
              <w:rPr>
                <w:rFonts w:hint="eastAsia" w:ascii="宋体" w:hAnsi="宋体"/>
                <w:color w:val="auto"/>
                <w:szCs w:val="21"/>
                <w:highlight w:val="none"/>
              </w:rPr>
              <w:t>保修卡</w:t>
            </w:r>
          </w:p>
        </w:tc>
        <w:tc>
          <w:tcPr>
            <w:tcW w:w="2597" w:type="dxa"/>
          </w:tcPr>
          <w:p>
            <w:pPr>
              <w:spacing w:line="360" w:lineRule="auto"/>
              <w:ind w:left="315" w:leftChars="150"/>
              <w:rPr>
                <w:rFonts w:ascii="宋体" w:hAnsi="宋体"/>
                <w:color w:val="auto"/>
                <w:szCs w:val="21"/>
                <w:highlight w:val="none"/>
              </w:rPr>
            </w:pPr>
            <w:r>
              <w:rPr>
                <w:rFonts w:hint="eastAsia" w:ascii="宋体" w:hAnsi="宋体"/>
                <w:color w:val="auto"/>
                <w:szCs w:val="21"/>
                <w:highlight w:val="none"/>
              </w:rPr>
              <w:t>1份</w:t>
            </w:r>
          </w:p>
        </w:tc>
        <w:tc>
          <w:tcPr>
            <w:tcW w:w="2841" w:type="dxa"/>
          </w:tcPr>
          <w:p>
            <w:pPr>
              <w:spacing w:line="360" w:lineRule="auto"/>
              <w:ind w:left="315" w:leftChars="1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084" w:type="dxa"/>
          </w:tcPr>
          <w:p>
            <w:pPr>
              <w:spacing w:line="360" w:lineRule="auto"/>
              <w:ind w:left="315" w:leftChars="150"/>
              <w:rPr>
                <w:rFonts w:ascii="宋体" w:hAnsi="宋体"/>
                <w:color w:val="auto"/>
                <w:szCs w:val="21"/>
                <w:highlight w:val="none"/>
              </w:rPr>
            </w:pPr>
            <w:r>
              <w:rPr>
                <w:rFonts w:hint="eastAsia" w:ascii="宋体" w:hAnsi="宋体"/>
                <w:color w:val="auto"/>
                <w:szCs w:val="21"/>
                <w:highlight w:val="none"/>
              </w:rPr>
              <w:t>安装调试单</w:t>
            </w:r>
          </w:p>
        </w:tc>
        <w:tc>
          <w:tcPr>
            <w:tcW w:w="2597" w:type="dxa"/>
          </w:tcPr>
          <w:p>
            <w:pPr>
              <w:spacing w:line="360" w:lineRule="auto"/>
              <w:ind w:left="315" w:leftChars="150"/>
              <w:rPr>
                <w:rFonts w:ascii="宋体" w:hAnsi="宋体"/>
                <w:color w:val="auto"/>
                <w:szCs w:val="21"/>
                <w:highlight w:val="none"/>
              </w:rPr>
            </w:pPr>
            <w:r>
              <w:rPr>
                <w:rFonts w:hint="eastAsia" w:ascii="宋体" w:hAnsi="宋体"/>
                <w:color w:val="auto"/>
                <w:szCs w:val="21"/>
                <w:highlight w:val="none"/>
              </w:rPr>
              <w:t>1份</w:t>
            </w:r>
          </w:p>
        </w:tc>
        <w:tc>
          <w:tcPr>
            <w:tcW w:w="2841" w:type="dxa"/>
          </w:tcPr>
          <w:p>
            <w:pPr>
              <w:spacing w:line="360" w:lineRule="auto"/>
              <w:ind w:left="315" w:leftChars="150"/>
              <w:rPr>
                <w:rFonts w:ascii="宋体" w:hAnsi="宋体"/>
                <w:color w:val="auto"/>
                <w:szCs w:val="21"/>
                <w:highlight w:val="none"/>
              </w:rPr>
            </w:pPr>
          </w:p>
        </w:tc>
      </w:tr>
    </w:tbl>
    <w:p>
      <w:pPr>
        <w:spacing w:line="360" w:lineRule="auto"/>
        <w:rPr>
          <w:rFonts w:ascii="宋体" w:hAnsi="宋体"/>
          <w:color w:val="auto"/>
          <w:szCs w:val="21"/>
          <w:highlight w:val="none"/>
        </w:rPr>
      </w:pPr>
      <w:r>
        <w:rPr>
          <w:rFonts w:hint="eastAsia" w:ascii="宋体" w:hAnsi="宋体"/>
          <w:color w:val="auto"/>
          <w:szCs w:val="21"/>
          <w:highlight w:val="none"/>
        </w:rPr>
        <w:t>19、吸烟净化器配置清单</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840" w:type="dxa"/>
          </w:tcPr>
          <w:p>
            <w:pPr>
              <w:spacing w:line="360" w:lineRule="auto"/>
              <w:ind w:left="315" w:leftChars="150"/>
              <w:rPr>
                <w:rFonts w:ascii="宋体" w:hAnsi="宋体"/>
                <w:color w:val="auto"/>
                <w:szCs w:val="21"/>
                <w:highlight w:val="none"/>
              </w:rPr>
            </w:pPr>
            <w:r>
              <w:rPr>
                <w:rFonts w:hint="eastAsia" w:ascii="宋体" w:hAnsi="宋体"/>
                <w:color w:val="auto"/>
                <w:szCs w:val="21"/>
                <w:highlight w:val="none"/>
              </w:rPr>
              <w:t>名称</w:t>
            </w:r>
          </w:p>
        </w:tc>
        <w:tc>
          <w:tcPr>
            <w:tcW w:w="2841" w:type="dxa"/>
          </w:tcPr>
          <w:p>
            <w:pPr>
              <w:spacing w:line="360" w:lineRule="auto"/>
              <w:ind w:left="315" w:leftChars="150"/>
              <w:rPr>
                <w:rFonts w:ascii="宋体" w:hAnsi="宋体"/>
                <w:color w:val="auto"/>
                <w:szCs w:val="21"/>
                <w:highlight w:val="none"/>
              </w:rPr>
            </w:pPr>
            <w:r>
              <w:rPr>
                <w:rFonts w:hint="eastAsia" w:ascii="宋体" w:hAnsi="宋体"/>
                <w:color w:val="auto"/>
                <w:szCs w:val="21"/>
                <w:highlight w:val="none"/>
              </w:rPr>
              <w:t>数量</w:t>
            </w:r>
          </w:p>
        </w:tc>
        <w:tc>
          <w:tcPr>
            <w:tcW w:w="2841" w:type="dxa"/>
          </w:tcPr>
          <w:p>
            <w:pPr>
              <w:spacing w:line="360" w:lineRule="auto"/>
              <w:ind w:left="315" w:leftChars="150"/>
              <w:rPr>
                <w:rFonts w:ascii="宋体" w:hAnsi="宋体"/>
                <w:color w:val="auto"/>
                <w:szCs w:val="21"/>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840" w:type="dxa"/>
          </w:tcPr>
          <w:p>
            <w:pPr>
              <w:spacing w:line="360" w:lineRule="auto"/>
              <w:ind w:left="315" w:leftChars="150"/>
              <w:rPr>
                <w:rFonts w:ascii="宋体" w:hAnsi="宋体"/>
                <w:color w:val="auto"/>
                <w:szCs w:val="21"/>
                <w:highlight w:val="none"/>
              </w:rPr>
            </w:pPr>
            <w:r>
              <w:rPr>
                <w:rFonts w:hint="eastAsia" w:ascii="宋体" w:hAnsi="宋体"/>
                <w:color w:val="auto"/>
                <w:szCs w:val="21"/>
                <w:highlight w:val="none"/>
              </w:rPr>
              <w:t>主机</w:t>
            </w:r>
          </w:p>
        </w:tc>
        <w:tc>
          <w:tcPr>
            <w:tcW w:w="2841" w:type="dxa"/>
          </w:tcPr>
          <w:p>
            <w:pPr>
              <w:spacing w:line="360" w:lineRule="auto"/>
              <w:ind w:left="315" w:leftChars="150"/>
              <w:rPr>
                <w:rFonts w:ascii="宋体" w:hAnsi="宋体"/>
                <w:color w:val="auto"/>
                <w:szCs w:val="21"/>
                <w:highlight w:val="none"/>
              </w:rPr>
            </w:pPr>
            <w:r>
              <w:rPr>
                <w:rFonts w:hint="eastAsia" w:ascii="宋体" w:hAnsi="宋体"/>
                <w:color w:val="auto"/>
                <w:szCs w:val="21"/>
                <w:highlight w:val="none"/>
              </w:rPr>
              <w:t>1台</w:t>
            </w:r>
          </w:p>
        </w:tc>
        <w:tc>
          <w:tcPr>
            <w:tcW w:w="2841" w:type="dxa"/>
          </w:tcPr>
          <w:p>
            <w:pPr>
              <w:spacing w:line="360" w:lineRule="auto"/>
              <w:ind w:left="315" w:leftChars="1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840" w:type="dxa"/>
          </w:tcPr>
          <w:p>
            <w:pPr>
              <w:spacing w:line="360" w:lineRule="auto"/>
              <w:ind w:left="315" w:leftChars="150"/>
              <w:rPr>
                <w:rFonts w:ascii="宋体" w:hAnsi="宋体"/>
                <w:color w:val="auto"/>
                <w:szCs w:val="21"/>
                <w:highlight w:val="none"/>
              </w:rPr>
            </w:pPr>
            <w:r>
              <w:rPr>
                <w:rFonts w:hint="eastAsia" w:ascii="宋体" w:hAnsi="宋体"/>
                <w:color w:val="auto"/>
                <w:szCs w:val="21"/>
                <w:highlight w:val="none"/>
              </w:rPr>
              <w:t>绝缘窥器</w:t>
            </w:r>
          </w:p>
        </w:tc>
        <w:tc>
          <w:tcPr>
            <w:tcW w:w="2841" w:type="dxa"/>
          </w:tcPr>
          <w:p>
            <w:pPr>
              <w:spacing w:line="360" w:lineRule="auto"/>
              <w:ind w:left="315" w:leftChars="150"/>
              <w:rPr>
                <w:rFonts w:ascii="宋体" w:hAnsi="宋体"/>
                <w:color w:val="auto"/>
                <w:szCs w:val="21"/>
                <w:highlight w:val="none"/>
              </w:rPr>
            </w:pPr>
            <w:r>
              <w:rPr>
                <w:rFonts w:hint="eastAsia" w:ascii="宋体" w:hAnsi="宋体"/>
                <w:color w:val="auto"/>
                <w:szCs w:val="21"/>
                <w:highlight w:val="none"/>
              </w:rPr>
              <w:t>1个</w:t>
            </w:r>
          </w:p>
        </w:tc>
        <w:tc>
          <w:tcPr>
            <w:tcW w:w="2841" w:type="dxa"/>
          </w:tcPr>
          <w:p>
            <w:pPr>
              <w:spacing w:line="360" w:lineRule="auto"/>
              <w:ind w:left="315" w:leftChars="1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840" w:type="dxa"/>
          </w:tcPr>
          <w:p>
            <w:pPr>
              <w:spacing w:line="360" w:lineRule="auto"/>
              <w:ind w:left="315" w:leftChars="150"/>
              <w:rPr>
                <w:rFonts w:ascii="宋体" w:hAnsi="宋体"/>
                <w:color w:val="auto"/>
                <w:szCs w:val="21"/>
                <w:highlight w:val="none"/>
              </w:rPr>
            </w:pPr>
            <w:r>
              <w:rPr>
                <w:rFonts w:hint="eastAsia" w:ascii="宋体" w:hAnsi="宋体"/>
                <w:color w:val="auto"/>
                <w:szCs w:val="21"/>
                <w:highlight w:val="none"/>
              </w:rPr>
              <w:t>电源线</w:t>
            </w:r>
          </w:p>
        </w:tc>
        <w:tc>
          <w:tcPr>
            <w:tcW w:w="2841" w:type="dxa"/>
          </w:tcPr>
          <w:p>
            <w:pPr>
              <w:spacing w:line="360" w:lineRule="auto"/>
              <w:ind w:left="315" w:leftChars="150"/>
              <w:rPr>
                <w:rFonts w:ascii="宋体" w:hAnsi="宋体"/>
                <w:color w:val="auto"/>
                <w:szCs w:val="21"/>
                <w:highlight w:val="none"/>
              </w:rPr>
            </w:pPr>
            <w:r>
              <w:rPr>
                <w:rFonts w:hint="eastAsia" w:ascii="宋体" w:hAnsi="宋体"/>
                <w:color w:val="auto"/>
                <w:szCs w:val="21"/>
                <w:highlight w:val="none"/>
              </w:rPr>
              <w:t>1条</w:t>
            </w:r>
          </w:p>
        </w:tc>
        <w:tc>
          <w:tcPr>
            <w:tcW w:w="2841" w:type="dxa"/>
          </w:tcPr>
          <w:p>
            <w:pPr>
              <w:spacing w:line="360" w:lineRule="auto"/>
              <w:ind w:left="315" w:leftChars="1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840" w:type="dxa"/>
          </w:tcPr>
          <w:p>
            <w:pPr>
              <w:spacing w:line="360" w:lineRule="auto"/>
              <w:ind w:left="315" w:leftChars="150"/>
              <w:rPr>
                <w:rFonts w:ascii="宋体" w:hAnsi="宋体"/>
                <w:color w:val="auto"/>
                <w:szCs w:val="21"/>
                <w:highlight w:val="none"/>
              </w:rPr>
            </w:pPr>
            <w:r>
              <w:rPr>
                <w:rFonts w:hint="eastAsia" w:ascii="宋体" w:hAnsi="宋体"/>
                <w:color w:val="auto"/>
                <w:szCs w:val="21"/>
                <w:highlight w:val="none"/>
              </w:rPr>
              <w:t>初级滤芯</w:t>
            </w:r>
          </w:p>
        </w:tc>
        <w:tc>
          <w:tcPr>
            <w:tcW w:w="2841" w:type="dxa"/>
          </w:tcPr>
          <w:p>
            <w:pPr>
              <w:spacing w:line="360" w:lineRule="auto"/>
              <w:ind w:left="315" w:leftChars="150"/>
              <w:rPr>
                <w:rFonts w:ascii="宋体" w:hAnsi="宋体"/>
                <w:color w:val="auto"/>
                <w:szCs w:val="21"/>
                <w:highlight w:val="none"/>
              </w:rPr>
            </w:pPr>
            <w:r>
              <w:rPr>
                <w:rFonts w:hint="eastAsia" w:ascii="宋体" w:hAnsi="宋体"/>
                <w:color w:val="auto"/>
                <w:szCs w:val="21"/>
                <w:highlight w:val="none"/>
              </w:rPr>
              <w:t>2只</w:t>
            </w:r>
          </w:p>
        </w:tc>
        <w:tc>
          <w:tcPr>
            <w:tcW w:w="2841" w:type="dxa"/>
          </w:tcPr>
          <w:p>
            <w:pPr>
              <w:spacing w:line="360" w:lineRule="auto"/>
              <w:ind w:left="315" w:leftChars="1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840" w:type="dxa"/>
          </w:tcPr>
          <w:p>
            <w:pPr>
              <w:spacing w:line="360" w:lineRule="auto"/>
              <w:ind w:left="315" w:leftChars="150"/>
              <w:rPr>
                <w:rFonts w:ascii="宋体" w:hAnsi="宋体"/>
                <w:color w:val="auto"/>
                <w:szCs w:val="21"/>
                <w:highlight w:val="none"/>
              </w:rPr>
            </w:pPr>
            <w:r>
              <w:rPr>
                <w:rFonts w:hint="eastAsia" w:ascii="宋体" w:hAnsi="宋体"/>
                <w:color w:val="auto"/>
                <w:szCs w:val="21"/>
                <w:highlight w:val="none"/>
              </w:rPr>
              <w:t>活性炭盒</w:t>
            </w:r>
          </w:p>
        </w:tc>
        <w:tc>
          <w:tcPr>
            <w:tcW w:w="2841" w:type="dxa"/>
          </w:tcPr>
          <w:p>
            <w:pPr>
              <w:spacing w:line="360" w:lineRule="auto"/>
              <w:ind w:left="315" w:leftChars="150"/>
              <w:rPr>
                <w:rFonts w:ascii="宋体" w:hAnsi="宋体"/>
                <w:color w:val="auto"/>
                <w:szCs w:val="21"/>
                <w:highlight w:val="none"/>
              </w:rPr>
            </w:pPr>
            <w:r>
              <w:rPr>
                <w:rFonts w:hint="eastAsia" w:ascii="宋体" w:hAnsi="宋体"/>
                <w:color w:val="auto"/>
                <w:szCs w:val="21"/>
                <w:highlight w:val="none"/>
              </w:rPr>
              <w:t>1只</w:t>
            </w:r>
          </w:p>
        </w:tc>
        <w:tc>
          <w:tcPr>
            <w:tcW w:w="2841" w:type="dxa"/>
          </w:tcPr>
          <w:p>
            <w:pPr>
              <w:spacing w:line="360" w:lineRule="auto"/>
              <w:ind w:left="315" w:leftChars="1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840" w:type="dxa"/>
          </w:tcPr>
          <w:p>
            <w:pPr>
              <w:spacing w:line="360" w:lineRule="auto"/>
              <w:ind w:left="315" w:leftChars="150"/>
              <w:rPr>
                <w:rFonts w:ascii="宋体" w:hAnsi="宋体"/>
                <w:color w:val="auto"/>
                <w:szCs w:val="21"/>
                <w:highlight w:val="none"/>
              </w:rPr>
            </w:pPr>
            <w:r>
              <w:rPr>
                <w:rFonts w:hint="eastAsia" w:ascii="宋体" w:hAnsi="宋体"/>
                <w:color w:val="auto"/>
                <w:szCs w:val="21"/>
                <w:highlight w:val="none"/>
              </w:rPr>
              <w:t>连接管</w:t>
            </w:r>
          </w:p>
        </w:tc>
        <w:tc>
          <w:tcPr>
            <w:tcW w:w="2841" w:type="dxa"/>
          </w:tcPr>
          <w:p>
            <w:pPr>
              <w:spacing w:line="360" w:lineRule="auto"/>
              <w:ind w:left="315" w:leftChars="150"/>
              <w:rPr>
                <w:rFonts w:ascii="宋体" w:hAnsi="宋体"/>
                <w:color w:val="auto"/>
                <w:szCs w:val="21"/>
                <w:highlight w:val="none"/>
              </w:rPr>
            </w:pPr>
            <w:r>
              <w:rPr>
                <w:rFonts w:hint="eastAsia" w:ascii="宋体" w:hAnsi="宋体"/>
                <w:color w:val="auto"/>
                <w:szCs w:val="21"/>
                <w:highlight w:val="none"/>
              </w:rPr>
              <w:t>1条</w:t>
            </w:r>
          </w:p>
        </w:tc>
        <w:tc>
          <w:tcPr>
            <w:tcW w:w="2841" w:type="dxa"/>
          </w:tcPr>
          <w:p>
            <w:pPr>
              <w:spacing w:line="360" w:lineRule="auto"/>
              <w:ind w:left="315" w:leftChars="1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840" w:type="dxa"/>
          </w:tcPr>
          <w:p>
            <w:pPr>
              <w:spacing w:line="360" w:lineRule="auto"/>
              <w:ind w:left="315" w:leftChars="150"/>
              <w:rPr>
                <w:rFonts w:ascii="宋体" w:hAnsi="宋体"/>
                <w:color w:val="auto"/>
                <w:szCs w:val="21"/>
                <w:highlight w:val="none"/>
              </w:rPr>
            </w:pPr>
            <w:r>
              <w:rPr>
                <w:rFonts w:hint="eastAsia" w:ascii="宋体" w:hAnsi="宋体"/>
                <w:color w:val="auto"/>
                <w:szCs w:val="21"/>
                <w:highlight w:val="none"/>
              </w:rPr>
              <w:t>接地线</w:t>
            </w:r>
          </w:p>
        </w:tc>
        <w:tc>
          <w:tcPr>
            <w:tcW w:w="2841" w:type="dxa"/>
          </w:tcPr>
          <w:p>
            <w:pPr>
              <w:spacing w:line="360" w:lineRule="auto"/>
              <w:ind w:left="315" w:leftChars="150"/>
              <w:rPr>
                <w:rFonts w:ascii="宋体" w:hAnsi="宋体"/>
                <w:color w:val="auto"/>
                <w:szCs w:val="21"/>
                <w:highlight w:val="none"/>
              </w:rPr>
            </w:pPr>
            <w:r>
              <w:rPr>
                <w:rFonts w:hint="eastAsia" w:ascii="宋体" w:hAnsi="宋体"/>
                <w:color w:val="auto"/>
                <w:szCs w:val="21"/>
                <w:highlight w:val="none"/>
              </w:rPr>
              <w:t>1条</w:t>
            </w:r>
          </w:p>
        </w:tc>
        <w:tc>
          <w:tcPr>
            <w:tcW w:w="2841" w:type="dxa"/>
          </w:tcPr>
          <w:p>
            <w:pPr>
              <w:spacing w:line="360" w:lineRule="auto"/>
              <w:ind w:left="315" w:leftChars="1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840" w:type="dxa"/>
          </w:tcPr>
          <w:p>
            <w:pPr>
              <w:spacing w:line="360" w:lineRule="auto"/>
              <w:ind w:left="315" w:leftChars="150"/>
              <w:rPr>
                <w:rFonts w:ascii="宋体" w:hAnsi="宋体"/>
                <w:color w:val="auto"/>
                <w:szCs w:val="21"/>
                <w:highlight w:val="none"/>
              </w:rPr>
            </w:pPr>
            <w:r>
              <w:rPr>
                <w:rFonts w:hint="eastAsia" w:ascii="宋体" w:hAnsi="宋体"/>
                <w:color w:val="auto"/>
                <w:szCs w:val="21"/>
                <w:highlight w:val="none"/>
              </w:rPr>
              <w:t>合格证</w:t>
            </w:r>
          </w:p>
        </w:tc>
        <w:tc>
          <w:tcPr>
            <w:tcW w:w="2841" w:type="dxa"/>
          </w:tcPr>
          <w:p>
            <w:pPr>
              <w:spacing w:line="360" w:lineRule="auto"/>
              <w:ind w:left="315" w:leftChars="150"/>
              <w:rPr>
                <w:rFonts w:ascii="宋体" w:hAnsi="宋体"/>
                <w:color w:val="auto"/>
                <w:szCs w:val="21"/>
                <w:highlight w:val="none"/>
              </w:rPr>
            </w:pPr>
            <w:r>
              <w:rPr>
                <w:rFonts w:hint="eastAsia" w:ascii="宋体" w:hAnsi="宋体"/>
                <w:color w:val="auto"/>
                <w:szCs w:val="21"/>
                <w:highlight w:val="none"/>
              </w:rPr>
              <w:t>1份</w:t>
            </w:r>
          </w:p>
        </w:tc>
        <w:tc>
          <w:tcPr>
            <w:tcW w:w="2841" w:type="dxa"/>
          </w:tcPr>
          <w:p>
            <w:pPr>
              <w:spacing w:line="360" w:lineRule="auto"/>
              <w:ind w:left="315" w:leftChars="1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840" w:type="dxa"/>
          </w:tcPr>
          <w:p>
            <w:pPr>
              <w:spacing w:line="360" w:lineRule="auto"/>
              <w:ind w:left="315" w:leftChars="150"/>
              <w:rPr>
                <w:rFonts w:ascii="宋体" w:hAnsi="宋体"/>
                <w:color w:val="auto"/>
                <w:szCs w:val="21"/>
                <w:highlight w:val="none"/>
              </w:rPr>
            </w:pPr>
            <w:r>
              <w:rPr>
                <w:rFonts w:hint="eastAsia" w:ascii="宋体" w:hAnsi="宋体"/>
                <w:color w:val="auto"/>
                <w:szCs w:val="21"/>
                <w:highlight w:val="none"/>
              </w:rPr>
              <w:t>使用说明书</w:t>
            </w:r>
          </w:p>
        </w:tc>
        <w:tc>
          <w:tcPr>
            <w:tcW w:w="2841" w:type="dxa"/>
          </w:tcPr>
          <w:p>
            <w:pPr>
              <w:spacing w:line="360" w:lineRule="auto"/>
              <w:ind w:left="315" w:leftChars="150"/>
              <w:rPr>
                <w:rFonts w:ascii="宋体" w:hAnsi="宋体"/>
                <w:color w:val="auto"/>
                <w:szCs w:val="21"/>
                <w:highlight w:val="none"/>
              </w:rPr>
            </w:pPr>
            <w:r>
              <w:rPr>
                <w:rFonts w:hint="eastAsia" w:ascii="宋体" w:hAnsi="宋体"/>
                <w:color w:val="auto"/>
                <w:szCs w:val="21"/>
                <w:highlight w:val="none"/>
              </w:rPr>
              <w:t>1份</w:t>
            </w:r>
          </w:p>
        </w:tc>
        <w:tc>
          <w:tcPr>
            <w:tcW w:w="2841" w:type="dxa"/>
          </w:tcPr>
          <w:p>
            <w:pPr>
              <w:spacing w:line="360" w:lineRule="auto"/>
              <w:ind w:left="315" w:leftChars="150"/>
              <w:rPr>
                <w:rFonts w:ascii="宋体" w:hAnsi="宋体"/>
                <w:color w:val="auto"/>
                <w:szCs w:val="21"/>
                <w:highlight w:val="none"/>
              </w:rPr>
            </w:pPr>
          </w:p>
        </w:tc>
      </w:tr>
    </w:tbl>
    <w:p>
      <w:pPr>
        <w:spacing w:line="360" w:lineRule="auto"/>
        <w:ind w:left="315" w:leftChars="150"/>
        <w:jc w:val="center"/>
        <w:rPr>
          <w:rFonts w:ascii="宋体" w:hAnsi="宋体"/>
          <w:color w:val="auto"/>
          <w:sz w:val="22"/>
          <w:highlight w:val="none"/>
        </w:rPr>
      </w:pPr>
    </w:p>
    <w:p>
      <w:pPr>
        <w:spacing w:line="360" w:lineRule="auto"/>
        <w:jc w:val="center"/>
        <w:outlineLvl w:val="1"/>
        <w:rPr>
          <w:rFonts w:ascii="宋体"/>
          <w:b/>
          <w:bCs/>
          <w:color w:val="auto"/>
          <w:sz w:val="24"/>
          <w:highlight w:val="none"/>
        </w:rPr>
      </w:pPr>
      <w:r>
        <w:rPr>
          <w:rFonts w:hint="eastAsia" w:ascii="宋体"/>
          <w:b/>
          <w:bCs/>
          <w:color w:val="auto"/>
          <w:sz w:val="24"/>
          <w:highlight w:val="none"/>
        </w:rPr>
        <w:t>第十一包</w:t>
      </w:r>
    </w:p>
    <w:p>
      <w:pPr>
        <w:widowControl/>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11-1  盆底筛查仪（盆底功能检查仪）</w:t>
      </w:r>
    </w:p>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1.内置云模块，与其他同厂筛查评估设备以及治疗设备云共享诊疗数据。</w:t>
      </w:r>
    </w:p>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2.通频带：20Hz～520Hz (-3dB)。</w:t>
      </w:r>
    </w:p>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★3.肌电采集范围：至少在2-2500μV（r.m.s）可调。（提供国家认可的相关部门检测报告或软件功能截图证明）</w:t>
      </w:r>
    </w:p>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★4.分辨率：≤0.5μV（r.m.s）（提供国家认可的相关部门检测报告或软件功能截图证明）</w:t>
      </w:r>
    </w:p>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5.内置快速筛查、标准筛查、标准评估三种模式。</w:t>
      </w:r>
    </w:p>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6.盆底表面肌电标准评估（Glazer评估），对盆底肌肉进行全面且标准化的评估，耗时小于6min30s。评估指标包括：前静息平均值，前静息变异性，快速收缩上升时间，快速收缩最大值，快速收缩下降时间，持续收缩最大值，持续收缩平均值，持续收缩变异性，慢肌收缩上升时间，慢肌收缩下降时间，耐久收缩平均值、耐久收缩变异性、耐久收缩后前10s比值、后静息平均值，后静息变异性。（提供国家认可的相关部门检测报告或软件功能截图证明）</w:t>
      </w:r>
    </w:p>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★7.系统自动对筛查、评估的每个阶段进行百分制打分，并计算出整个过程的最终得分。（提供国家认可的相关部门检测报告或软件功能截图证明）</w:t>
      </w:r>
    </w:p>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8.实时监测腹肌肌电信号，量化腹肌参与度，以百分比形式进行体现，提高报告的精确程度。具有完整的专科病例记录系统，包括妇科检查、会阴神经反射、POP-Q分级、手检肌力等专科检查及诊断结果、治疗建议。其中，诊断结果和治疗建议均可自定义添加内容选项。（提供国家认可的相关部门检测报告或软件功能截图证明）</w:t>
      </w:r>
    </w:p>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9.可对报告的模板进行设置，包括自定义报告的背景图片、标题图片、报告解读、诊断结果、治疗建议、医生签名、保存格式等。系统可对模板宽度、模板颜色、曲线宽度、曲线颜色、一屏显示时间、热身时长、治疗时间间隔等参数进行设置。数据管理：可以对所有筛查、评估数据进行管理，回顾数据结果、波形。</w:t>
      </w:r>
    </w:p>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★10.系统可将训练方案（包括电刺激、触发电刺激、生物反馈训练、多媒体游戏训练）通过无线方式传输至</w:t>
      </w:r>
      <w:r>
        <w:rPr>
          <w:rFonts w:ascii="宋体" w:hAnsi="宋体" w:cs="宋体"/>
          <w:color w:val="auto"/>
          <w:kern w:val="0"/>
          <w:szCs w:val="21"/>
          <w:highlight w:val="none"/>
        </w:rPr>
        <w:t>盆底生物刺激反馈类设备</w:t>
      </w:r>
      <w:r>
        <w:rPr>
          <w:rFonts w:hint="eastAsia" w:ascii="宋体" w:hAnsi="宋体" w:cs="宋体"/>
          <w:color w:val="auto"/>
          <w:kern w:val="0"/>
          <w:szCs w:val="21"/>
          <w:highlight w:val="none"/>
        </w:rPr>
        <w:t>（由主机和手机APP软件等组成），医生可通过手机APP查看患者的训练数据，提高患者依从性，安卓和IOS系统均支持该APP。（提供国家认可的相关部门检测报告或软件功能截图证明）</w:t>
      </w:r>
    </w:p>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11.系统可自动统计任意时间段内的工作量，包括新增病例人数、筛查评估人数、产康复人数等，可导出全部或特定的病例的筛查、评估数据，导出格式为excel，方便统计分析。</w:t>
      </w:r>
    </w:p>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12.数据管理：可以对所有筛查、评估数据进行管理，回顾数据结果、波形。</w:t>
      </w:r>
    </w:p>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13.系统可对接相关信息平台，包括在线医学教育平台、医生交流平台、医患沟通平台等。</w:t>
      </w:r>
    </w:p>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14.患者可通过手机APP实时进行医院的诊疗预约，医生可通过预约软件对患者预约信息进行管理。医生可对诊疗预约进行个性化设置，包括：最大预约次数、允许预约时间、预约设备管理和预约时间段管理等。</w:t>
      </w:r>
    </w:p>
    <w:p>
      <w:pPr>
        <w:spacing w:line="360" w:lineRule="auto"/>
        <w:jc w:val="left"/>
        <w:rPr>
          <w:rFonts w:ascii="宋体" w:hAnsi="宋体" w:cs="宋体"/>
          <w:color w:val="auto"/>
          <w:sz w:val="24"/>
          <w:highlight w:val="none"/>
          <w:lang w:val="zh-TW"/>
        </w:rPr>
      </w:pPr>
      <w:r>
        <w:rPr>
          <w:rFonts w:hint="eastAsia" w:ascii="宋体" w:hAnsi="宋体" w:cs="宋体"/>
          <w:color w:val="auto"/>
          <w:kern w:val="0"/>
          <w:szCs w:val="21"/>
          <w:highlight w:val="none"/>
        </w:rPr>
        <w:t>15.盆底疾病分级诊疗信息软件支持与盆底表面肌电分析系统的数据同步，实现医联体组建、分级共享、科研协作、双向转诊、患者预约等功能。（提供国家认可的相关部门检测报告或软件功能截图证明）</w:t>
      </w:r>
    </w:p>
    <w:p>
      <w:pPr>
        <w:spacing w:after="120"/>
        <w:rPr>
          <w:color w:val="auto"/>
          <w:highlight w:val="none"/>
        </w:rPr>
      </w:pPr>
      <w:r>
        <w:rPr>
          <w:rFonts w:hint="eastAsia" w:ascii="宋体" w:hAnsi="宋体" w:cs="宋体"/>
          <w:color w:val="auto"/>
          <w:kern w:val="0"/>
          <w:szCs w:val="21"/>
          <w:highlight w:val="none"/>
        </w:rPr>
        <w:t>16、配置清单</w:t>
      </w:r>
    </w:p>
    <w:tbl>
      <w:tblPr>
        <w:tblStyle w:val="35"/>
        <w:tblW w:w="9076" w:type="dxa"/>
        <w:tblInd w:w="0" w:type="dxa"/>
        <w:tblLayout w:type="fixed"/>
        <w:tblCellMar>
          <w:top w:w="0" w:type="dxa"/>
          <w:left w:w="108" w:type="dxa"/>
          <w:bottom w:w="0" w:type="dxa"/>
          <w:right w:w="108" w:type="dxa"/>
        </w:tblCellMar>
      </w:tblPr>
      <w:tblGrid>
        <w:gridCol w:w="909"/>
        <w:gridCol w:w="722"/>
        <w:gridCol w:w="723"/>
        <w:gridCol w:w="3433"/>
        <w:gridCol w:w="867"/>
        <w:gridCol w:w="867"/>
        <w:gridCol w:w="888"/>
        <w:gridCol w:w="667"/>
      </w:tblGrid>
      <w:tr>
        <w:tblPrEx>
          <w:tblCellMar>
            <w:top w:w="0" w:type="dxa"/>
            <w:left w:w="108" w:type="dxa"/>
            <w:bottom w:w="0" w:type="dxa"/>
            <w:right w:w="108" w:type="dxa"/>
          </w:tblCellMar>
        </w:tblPrEx>
        <w:trPr>
          <w:trHeight w:val="300" w:hRule="atLeast"/>
        </w:trPr>
        <w:tc>
          <w:tcPr>
            <w:tcW w:w="909"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项目</w:t>
            </w:r>
          </w:p>
        </w:tc>
        <w:tc>
          <w:tcPr>
            <w:tcW w:w="7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序号</w:t>
            </w:r>
          </w:p>
        </w:tc>
        <w:tc>
          <w:tcPr>
            <w:tcW w:w="7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货号</w:t>
            </w:r>
          </w:p>
        </w:tc>
        <w:tc>
          <w:tcPr>
            <w:tcW w:w="34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配置</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单位</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数量</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总单位</w:t>
            </w:r>
          </w:p>
        </w:tc>
        <w:tc>
          <w:tcPr>
            <w:tcW w:w="667" w:type="dxa"/>
            <w:tcBorders>
              <w:top w:val="single" w:color="000000" w:sz="4" w:space="0"/>
              <w:left w:val="single" w:color="000000" w:sz="4" w:space="0"/>
              <w:bottom w:val="single" w:color="000000" w:sz="4" w:space="0"/>
              <w:right w:val="single" w:color="000000" w:sz="8" w:space="0"/>
            </w:tcBorders>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数量</w:t>
            </w:r>
          </w:p>
        </w:tc>
      </w:tr>
      <w:tr>
        <w:tblPrEx>
          <w:tblCellMar>
            <w:top w:w="0" w:type="dxa"/>
            <w:left w:w="108" w:type="dxa"/>
            <w:bottom w:w="0" w:type="dxa"/>
            <w:right w:w="108" w:type="dxa"/>
          </w:tblCellMar>
        </w:tblPrEx>
        <w:trPr>
          <w:trHeight w:val="300" w:hRule="atLeast"/>
        </w:trPr>
        <w:tc>
          <w:tcPr>
            <w:tcW w:w="909" w:type="dxa"/>
            <w:vMerge w:val="restart"/>
            <w:tcBorders>
              <w:top w:val="single" w:color="000000" w:sz="4" w:space="0"/>
              <w:left w:val="single" w:color="000000" w:sz="8" w:space="0"/>
              <w:bottom w:val="single" w:color="000000" w:sz="4" w:space="0"/>
              <w:right w:val="single" w:color="000000" w:sz="4" w:space="0"/>
            </w:tcBorders>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主机</w:t>
            </w:r>
          </w:p>
        </w:tc>
        <w:tc>
          <w:tcPr>
            <w:tcW w:w="7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1</w:t>
            </w:r>
          </w:p>
        </w:tc>
        <w:tc>
          <w:tcPr>
            <w:tcW w:w="7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bCs/>
                <w:color w:val="auto"/>
                <w:szCs w:val="21"/>
                <w:highlight w:val="none"/>
              </w:rPr>
            </w:pPr>
          </w:p>
        </w:tc>
        <w:tc>
          <w:tcPr>
            <w:tcW w:w="343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2通道信号采集放大信号器</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88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套</w:t>
            </w:r>
          </w:p>
        </w:tc>
        <w:tc>
          <w:tcPr>
            <w:tcW w:w="667" w:type="dxa"/>
            <w:vMerge w:val="restart"/>
            <w:tcBorders>
              <w:top w:val="single" w:color="000000" w:sz="4" w:space="0"/>
              <w:left w:val="single" w:color="000000" w:sz="4" w:space="0"/>
              <w:bottom w:val="single" w:color="000000" w:sz="4" w:space="0"/>
              <w:right w:val="single" w:color="000000" w:sz="8" w:space="0"/>
            </w:tcBorders>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r>
      <w:tr>
        <w:tblPrEx>
          <w:tblCellMar>
            <w:top w:w="0" w:type="dxa"/>
            <w:left w:w="108" w:type="dxa"/>
            <w:bottom w:w="0" w:type="dxa"/>
            <w:right w:w="108" w:type="dxa"/>
          </w:tblCellMar>
        </w:tblPrEx>
        <w:trPr>
          <w:trHeight w:val="300" w:hRule="atLeast"/>
        </w:trPr>
        <w:tc>
          <w:tcPr>
            <w:tcW w:w="909"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宋体" w:hAnsi="宋体" w:cs="宋体"/>
                <w:b/>
                <w:bCs/>
                <w:color w:val="auto"/>
                <w:szCs w:val="21"/>
                <w:highlight w:val="none"/>
              </w:rPr>
            </w:pPr>
          </w:p>
        </w:tc>
        <w:tc>
          <w:tcPr>
            <w:tcW w:w="7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2</w:t>
            </w:r>
          </w:p>
        </w:tc>
        <w:tc>
          <w:tcPr>
            <w:tcW w:w="7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bCs/>
                <w:color w:val="auto"/>
                <w:szCs w:val="21"/>
                <w:highlight w:val="none"/>
              </w:rPr>
            </w:pPr>
          </w:p>
        </w:tc>
        <w:tc>
          <w:tcPr>
            <w:tcW w:w="343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显示器</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块</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88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Cs w:val="21"/>
                <w:highlight w:val="none"/>
              </w:rPr>
            </w:pPr>
          </w:p>
        </w:tc>
        <w:tc>
          <w:tcPr>
            <w:tcW w:w="667" w:type="dxa"/>
            <w:vMerge w:val="continue"/>
            <w:tcBorders>
              <w:top w:val="single" w:color="000000" w:sz="4" w:space="0"/>
              <w:left w:val="single" w:color="000000" w:sz="4" w:space="0"/>
              <w:bottom w:val="single" w:color="000000" w:sz="4" w:space="0"/>
              <w:right w:val="single" w:color="000000" w:sz="8" w:space="0"/>
            </w:tcBorders>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300" w:hRule="atLeast"/>
        </w:trPr>
        <w:tc>
          <w:tcPr>
            <w:tcW w:w="909"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宋体" w:hAnsi="宋体" w:cs="宋体"/>
                <w:b/>
                <w:bCs/>
                <w:color w:val="auto"/>
                <w:szCs w:val="21"/>
                <w:highlight w:val="none"/>
              </w:rPr>
            </w:pPr>
          </w:p>
        </w:tc>
        <w:tc>
          <w:tcPr>
            <w:tcW w:w="7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3</w:t>
            </w:r>
          </w:p>
        </w:tc>
        <w:tc>
          <w:tcPr>
            <w:tcW w:w="7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bCs/>
                <w:color w:val="auto"/>
                <w:szCs w:val="21"/>
                <w:highlight w:val="none"/>
              </w:rPr>
            </w:pPr>
          </w:p>
        </w:tc>
        <w:tc>
          <w:tcPr>
            <w:tcW w:w="343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工业级计算机（内置）</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88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Cs w:val="21"/>
                <w:highlight w:val="none"/>
              </w:rPr>
            </w:pPr>
          </w:p>
        </w:tc>
        <w:tc>
          <w:tcPr>
            <w:tcW w:w="667" w:type="dxa"/>
            <w:vMerge w:val="continue"/>
            <w:tcBorders>
              <w:top w:val="single" w:color="000000" w:sz="4" w:space="0"/>
              <w:left w:val="single" w:color="000000" w:sz="4" w:space="0"/>
              <w:bottom w:val="single" w:color="000000" w:sz="4" w:space="0"/>
              <w:right w:val="single" w:color="000000" w:sz="8" w:space="0"/>
            </w:tcBorders>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360" w:hRule="atLeast"/>
        </w:trPr>
        <w:tc>
          <w:tcPr>
            <w:tcW w:w="909" w:type="dxa"/>
            <w:tcBorders>
              <w:top w:val="single" w:color="000000" w:sz="4" w:space="0"/>
              <w:left w:val="single" w:color="000000" w:sz="8" w:space="0"/>
              <w:bottom w:val="single" w:color="000000" w:sz="4" w:space="0"/>
              <w:right w:val="single" w:color="000000" w:sz="4" w:space="0"/>
            </w:tcBorders>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软件</w:t>
            </w:r>
          </w:p>
        </w:tc>
        <w:tc>
          <w:tcPr>
            <w:tcW w:w="7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4</w:t>
            </w:r>
          </w:p>
        </w:tc>
        <w:tc>
          <w:tcPr>
            <w:tcW w:w="7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bCs/>
                <w:color w:val="auto"/>
                <w:szCs w:val="21"/>
                <w:highlight w:val="none"/>
              </w:rPr>
            </w:pPr>
          </w:p>
        </w:tc>
        <w:tc>
          <w:tcPr>
            <w:tcW w:w="34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盆底表面肌电分析软件</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套</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套</w:t>
            </w:r>
          </w:p>
        </w:tc>
        <w:tc>
          <w:tcPr>
            <w:tcW w:w="667" w:type="dxa"/>
            <w:tcBorders>
              <w:top w:val="single" w:color="000000" w:sz="4" w:space="0"/>
              <w:left w:val="single" w:color="000000" w:sz="4" w:space="0"/>
              <w:bottom w:val="single" w:color="000000" w:sz="4" w:space="0"/>
              <w:right w:val="single" w:color="000000" w:sz="8" w:space="0"/>
            </w:tcBorders>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r>
      <w:tr>
        <w:tblPrEx>
          <w:tblCellMar>
            <w:top w:w="0" w:type="dxa"/>
            <w:left w:w="108" w:type="dxa"/>
            <w:bottom w:w="0" w:type="dxa"/>
            <w:right w:w="108" w:type="dxa"/>
          </w:tblCellMar>
        </w:tblPrEx>
        <w:trPr>
          <w:trHeight w:val="300" w:hRule="atLeast"/>
        </w:trPr>
        <w:tc>
          <w:tcPr>
            <w:tcW w:w="909" w:type="dxa"/>
            <w:vMerge w:val="restart"/>
            <w:tcBorders>
              <w:top w:val="single" w:color="000000" w:sz="4" w:space="0"/>
              <w:left w:val="single" w:color="000000" w:sz="8" w:space="0"/>
              <w:bottom w:val="single" w:color="000000" w:sz="4" w:space="0"/>
              <w:right w:val="single" w:color="000000" w:sz="4" w:space="0"/>
            </w:tcBorders>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附件</w:t>
            </w:r>
          </w:p>
        </w:tc>
        <w:tc>
          <w:tcPr>
            <w:tcW w:w="7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5</w:t>
            </w:r>
          </w:p>
        </w:tc>
        <w:tc>
          <w:tcPr>
            <w:tcW w:w="7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bCs/>
                <w:color w:val="auto"/>
                <w:szCs w:val="21"/>
                <w:highlight w:val="none"/>
              </w:rPr>
            </w:pPr>
          </w:p>
        </w:tc>
        <w:tc>
          <w:tcPr>
            <w:tcW w:w="343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电源线</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根</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88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套</w:t>
            </w:r>
          </w:p>
        </w:tc>
        <w:tc>
          <w:tcPr>
            <w:tcW w:w="667" w:type="dxa"/>
            <w:vMerge w:val="restart"/>
            <w:tcBorders>
              <w:top w:val="single" w:color="000000" w:sz="4" w:space="0"/>
              <w:left w:val="single" w:color="000000" w:sz="4" w:space="0"/>
              <w:bottom w:val="single" w:color="000000" w:sz="4" w:space="0"/>
              <w:right w:val="single" w:color="000000" w:sz="8" w:space="0"/>
            </w:tcBorders>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r>
      <w:tr>
        <w:tblPrEx>
          <w:tblCellMar>
            <w:top w:w="0" w:type="dxa"/>
            <w:left w:w="108" w:type="dxa"/>
            <w:bottom w:w="0" w:type="dxa"/>
            <w:right w:w="108" w:type="dxa"/>
          </w:tblCellMar>
        </w:tblPrEx>
        <w:trPr>
          <w:trHeight w:val="300" w:hRule="atLeast"/>
        </w:trPr>
        <w:tc>
          <w:tcPr>
            <w:tcW w:w="909"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宋体" w:hAnsi="宋体" w:cs="宋体"/>
                <w:b/>
                <w:bCs/>
                <w:color w:val="auto"/>
                <w:szCs w:val="21"/>
                <w:highlight w:val="none"/>
              </w:rPr>
            </w:pPr>
          </w:p>
        </w:tc>
        <w:tc>
          <w:tcPr>
            <w:tcW w:w="7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6</w:t>
            </w:r>
          </w:p>
        </w:tc>
        <w:tc>
          <w:tcPr>
            <w:tcW w:w="7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bCs/>
                <w:color w:val="auto"/>
                <w:szCs w:val="21"/>
                <w:highlight w:val="none"/>
              </w:rPr>
            </w:pPr>
          </w:p>
        </w:tc>
        <w:tc>
          <w:tcPr>
            <w:tcW w:w="343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网电源线</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根</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88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Cs w:val="21"/>
                <w:highlight w:val="none"/>
              </w:rPr>
            </w:pPr>
          </w:p>
        </w:tc>
        <w:tc>
          <w:tcPr>
            <w:tcW w:w="667" w:type="dxa"/>
            <w:vMerge w:val="continue"/>
            <w:tcBorders>
              <w:top w:val="single" w:color="000000" w:sz="4" w:space="0"/>
              <w:left w:val="single" w:color="000000" w:sz="4" w:space="0"/>
              <w:bottom w:val="single" w:color="000000" w:sz="4" w:space="0"/>
              <w:right w:val="single" w:color="000000" w:sz="8" w:space="0"/>
            </w:tcBorders>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300" w:hRule="atLeast"/>
        </w:trPr>
        <w:tc>
          <w:tcPr>
            <w:tcW w:w="909"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宋体" w:hAnsi="宋体" w:cs="宋体"/>
                <w:b/>
                <w:bCs/>
                <w:color w:val="auto"/>
                <w:szCs w:val="21"/>
                <w:highlight w:val="none"/>
              </w:rPr>
            </w:pPr>
          </w:p>
        </w:tc>
        <w:tc>
          <w:tcPr>
            <w:tcW w:w="7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7</w:t>
            </w:r>
          </w:p>
        </w:tc>
        <w:tc>
          <w:tcPr>
            <w:tcW w:w="7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bCs/>
                <w:color w:val="auto"/>
                <w:szCs w:val="21"/>
                <w:highlight w:val="none"/>
              </w:rPr>
            </w:pPr>
          </w:p>
        </w:tc>
        <w:tc>
          <w:tcPr>
            <w:tcW w:w="343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一次性阴道电极线</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根</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88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Cs w:val="21"/>
                <w:highlight w:val="none"/>
              </w:rPr>
            </w:pPr>
          </w:p>
        </w:tc>
        <w:tc>
          <w:tcPr>
            <w:tcW w:w="667" w:type="dxa"/>
            <w:vMerge w:val="continue"/>
            <w:tcBorders>
              <w:top w:val="single" w:color="000000" w:sz="4" w:space="0"/>
              <w:left w:val="single" w:color="000000" w:sz="4" w:space="0"/>
              <w:bottom w:val="single" w:color="000000" w:sz="4" w:space="0"/>
              <w:right w:val="single" w:color="000000" w:sz="8" w:space="0"/>
            </w:tcBorders>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300" w:hRule="atLeast"/>
        </w:trPr>
        <w:tc>
          <w:tcPr>
            <w:tcW w:w="909"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宋体" w:hAnsi="宋体" w:cs="宋体"/>
                <w:b/>
                <w:bCs/>
                <w:color w:val="auto"/>
                <w:szCs w:val="21"/>
                <w:highlight w:val="none"/>
              </w:rPr>
            </w:pPr>
          </w:p>
        </w:tc>
        <w:tc>
          <w:tcPr>
            <w:tcW w:w="7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8</w:t>
            </w:r>
          </w:p>
        </w:tc>
        <w:tc>
          <w:tcPr>
            <w:tcW w:w="723"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auto"/>
                <w:szCs w:val="21"/>
                <w:highlight w:val="none"/>
              </w:rPr>
            </w:pPr>
          </w:p>
        </w:tc>
        <w:tc>
          <w:tcPr>
            <w:tcW w:w="343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电刺激电极线</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根</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88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Cs w:val="21"/>
                <w:highlight w:val="none"/>
              </w:rPr>
            </w:pPr>
          </w:p>
        </w:tc>
        <w:tc>
          <w:tcPr>
            <w:tcW w:w="667" w:type="dxa"/>
            <w:vMerge w:val="continue"/>
            <w:tcBorders>
              <w:top w:val="single" w:color="000000" w:sz="4" w:space="0"/>
              <w:left w:val="single" w:color="000000" w:sz="4" w:space="0"/>
              <w:bottom w:val="single" w:color="000000" w:sz="4" w:space="0"/>
              <w:right w:val="single" w:color="000000" w:sz="8" w:space="0"/>
            </w:tcBorders>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300" w:hRule="atLeast"/>
        </w:trPr>
        <w:tc>
          <w:tcPr>
            <w:tcW w:w="909"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宋体" w:hAnsi="宋体" w:cs="宋体"/>
                <w:b/>
                <w:bCs/>
                <w:color w:val="auto"/>
                <w:szCs w:val="21"/>
                <w:highlight w:val="none"/>
              </w:rPr>
            </w:pPr>
          </w:p>
        </w:tc>
        <w:tc>
          <w:tcPr>
            <w:tcW w:w="7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9</w:t>
            </w:r>
          </w:p>
        </w:tc>
        <w:tc>
          <w:tcPr>
            <w:tcW w:w="723"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auto"/>
                <w:szCs w:val="21"/>
                <w:highlight w:val="none"/>
              </w:rPr>
            </w:pPr>
          </w:p>
        </w:tc>
        <w:tc>
          <w:tcPr>
            <w:tcW w:w="343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一次性使用阴道电极（含隔棉）</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w:t>
            </w:r>
          </w:p>
        </w:tc>
        <w:tc>
          <w:tcPr>
            <w:tcW w:w="88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Cs w:val="21"/>
                <w:highlight w:val="none"/>
              </w:rPr>
            </w:pPr>
          </w:p>
        </w:tc>
        <w:tc>
          <w:tcPr>
            <w:tcW w:w="667" w:type="dxa"/>
            <w:vMerge w:val="continue"/>
            <w:tcBorders>
              <w:top w:val="single" w:color="000000" w:sz="4" w:space="0"/>
              <w:left w:val="single" w:color="000000" w:sz="4" w:space="0"/>
              <w:bottom w:val="single" w:color="000000" w:sz="4" w:space="0"/>
              <w:right w:val="single" w:color="000000" w:sz="8" w:space="0"/>
            </w:tcBorders>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300" w:hRule="atLeast"/>
        </w:trPr>
        <w:tc>
          <w:tcPr>
            <w:tcW w:w="909"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宋体" w:hAnsi="宋体" w:cs="宋体"/>
                <w:b/>
                <w:bCs/>
                <w:color w:val="auto"/>
                <w:szCs w:val="21"/>
                <w:highlight w:val="none"/>
              </w:rPr>
            </w:pPr>
          </w:p>
        </w:tc>
        <w:tc>
          <w:tcPr>
            <w:tcW w:w="7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10</w:t>
            </w:r>
          </w:p>
        </w:tc>
        <w:tc>
          <w:tcPr>
            <w:tcW w:w="723"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auto"/>
                <w:szCs w:val="21"/>
                <w:highlight w:val="none"/>
              </w:rPr>
            </w:pPr>
          </w:p>
        </w:tc>
        <w:tc>
          <w:tcPr>
            <w:tcW w:w="343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直肠电极(R1)</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88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Cs w:val="21"/>
                <w:highlight w:val="none"/>
              </w:rPr>
            </w:pPr>
          </w:p>
        </w:tc>
        <w:tc>
          <w:tcPr>
            <w:tcW w:w="667" w:type="dxa"/>
            <w:vMerge w:val="continue"/>
            <w:tcBorders>
              <w:top w:val="single" w:color="000000" w:sz="4" w:space="0"/>
              <w:left w:val="single" w:color="000000" w:sz="4" w:space="0"/>
              <w:bottom w:val="single" w:color="000000" w:sz="4" w:space="0"/>
              <w:right w:val="single" w:color="000000" w:sz="8" w:space="0"/>
            </w:tcBorders>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300" w:hRule="atLeast"/>
        </w:trPr>
        <w:tc>
          <w:tcPr>
            <w:tcW w:w="909"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宋体" w:hAnsi="宋体" w:cs="宋体"/>
                <w:b/>
                <w:bCs/>
                <w:color w:val="auto"/>
                <w:szCs w:val="21"/>
                <w:highlight w:val="none"/>
              </w:rPr>
            </w:pPr>
          </w:p>
        </w:tc>
        <w:tc>
          <w:tcPr>
            <w:tcW w:w="7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11</w:t>
            </w:r>
          </w:p>
        </w:tc>
        <w:tc>
          <w:tcPr>
            <w:tcW w:w="723"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auto"/>
                <w:szCs w:val="21"/>
                <w:highlight w:val="none"/>
              </w:rPr>
            </w:pPr>
          </w:p>
        </w:tc>
        <w:tc>
          <w:tcPr>
            <w:tcW w:w="343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粘胶电极片（方形50*50mm）</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对</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88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Cs w:val="21"/>
                <w:highlight w:val="none"/>
              </w:rPr>
            </w:pPr>
          </w:p>
        </w:tc>
        <w:tc>
          <w:tcPr>
            <w:tcW w:w="667" w:type="dxa"/>
            <w:vMerge w:val="continue"/>
            <w:tcBorders>
              <w:top w:val="single" w:color="000000" w:sz="4" w:space="0"/>
              <w:left w:val="single" w:color="000000" w:sz="4" w:space="0"/>
              <w:bottom w:val="single" w:color="000000" w:sz="4" w:space="0"/>
              <w:right w:val="single" w:color="000000" w:sz="8" w:space="0"/>
            </w:tcBorders>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300" w:hRule="atLeast"/>
        </w:trPr>
        <w:tc>
          <w:tcPr>
            <w:tcW w:w="909"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宋体" w:hAnsi="宋体" w:cs="宋体"/>
                <w:b/>
                <w:bCs/>
                <w:color w:val="auto"/>
                <w:szCs w:val="21"/>
                <w:highlight w:val="none"/>
              </w:rPr>
            </w:pPr>
          </w:p>
        </w:tc>
        <w:tc>
          <w:tcPr>
            <w:tcW w:w="7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12</w:t>
            </w:r>
          </w:p>
        </w:tc>
        <w:tc>
          <w:tcPr>
            <w:tcW w:w="723"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auto"/>
                <w:szCs w:val="21"/>
                <w:highlight w:val="none"/>
              </w:rPr>
            </w:pPr>
          </w:p>
        </w:tc>
        <w:tc>
          <w:tcPr>
            <w:tcW w:w="343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用户手册</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本</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88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Cs w:val="21"/>
                <w:highlight w:val="none"/>
              </w:rPr>
            </w:pPr>
          </w:p>
        </w:tc>
        <w:tc>
          <w:tcPr>
            <w:tcW w:w="667" w:type="dxa"/>
            <w:vMerge w:val="continue"/>
            <w:tcBorders>
              <w:top w:val="single" w:color="000000" w:sz="4" w:space="0"/>
              <w:left w:val="single" w:color="000000" w:sz="4" w:space="0"/>
              <w:bottom w:val="single" w:color="000000" w:sz="4" w:space="0"/>
              <w:right w:val="single" w:color="000000" w:sz="8" w:space="0"/>
            </w:tcBorders>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300" w:hRule="atLeast"/>
        </w:trPr>
        <w:tc>
          <w:tcPr>
            <w:tcW w:w="909"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宋体" w:hAnsi="宋体" w:cs="宋体"/>
                <w:b/>
                <w:bCs/>
                <w:color w:val="auto"/>
                <w:szCs w:val="21"/>
                <w:highlight w:val="none"/>
              </w:rPr>
            </w:pPr>
          </w:p>
        </w:tc>
        <w:tc>
          <w:tcPr>
            <w:tcW w:w="7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13</w:t>
            </w:r>
          </w:p>
        </w:tc>
        <w:tc>
          <w:tcPr>
            <w:tcW w:w="723"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auto"/>
                <w:szCs w:val="21"/>
                <w:highlight w:val="none"/>
              </w:rPr>
            </w:pPr>
          </w:p>
        </w:tc>
        <w:tc>
          <w:tcPr>
            <w:tcW w:w="343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合格证</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张</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88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Cs w:val="21"/>
                <w:highlight w:val="none"/>
              </w:rPr>
            </w:pPr>
          </w:p>
        </w:tc>
        <w:tc>
          <w:tcPr>
            <w:tcW w:w="667" w:type="dxa"/>
            <w:vMerge w:val="continue"/>
            <w:tcBorders>
              <w:top w:val="single" w:color="000000" w:sz="4" w:space="0"/>
              <w:left w:val="single" w:color="000000" w:sz="4" w:space="0"/>
              <w:bottom w:val="single" w:color="000000" w:sz="4" w:space="0"/>
              <w:right w:val="single" w:color="000000" w:sz="8" w:space="0"/>
            </w:tcBorders>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300" w:hRule="atLeast"/>
        </w:trPr>
        <w:tc>
          <w:tcPr>
            <w:tcW w:w="909"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宋体" w:hAnsi="宋体" w:cs="宋体"/>
                <w:b/>
                <w:bCs/>
                <w:color w:val="auto"/>
                <w:szCs w:val="21"/>
                <w:highlight w:val="none"/>
              </w:rPr>
            </w:pPr>
          </w:p>
        </w:tc>
        <w:tc>
          <w:tcPr>
            <w:tcW w:w="7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14</w:t>
            </w:r>
          </w:p>
        </w:tc>
        <w:tc>
          <w:tcPr>
            <w:tcW w:w="723"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auto"/>
                <w:szCs w:val="21"/>
                <w:highlight w:val="none"/>
              </w:rPr>
            </w:pPr>
          </w:p>
        </w:tc>
        <w:tc>
          <w:tcPr>
            <w:tcW w:w="343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保修卡</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张</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88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Cs w:val="21"/>
                <w:highlight w:val="none"/>
              </w:rPr>
            </w:pPr>
          </w:p>
        </w:tc>
        <w:tc>
          <w:tcPr>
            <w:tcW w:w="667" w:type="dxa"/>
            <w:vMerge w:val="continue"/>
            <w:tcBorders>
              <w:top w:val="single" w:color="000000" w:sz="4" w:space="0"/>
              <w:left w:val="single" w:color="000000" w:sz="4" w:space="0"/>
              <w:bottom w:val="single" w:color="000000" w:sz="4" w:space="0"/>
              <w:right w:val="single" w:color="000000" w:sz="8" w:space="0"/>
            </w:tcBorders>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300" w:hRule="atLeast"/>
        </w:trPr>
        <w:tc>
          <w:tcPr>
            <w:tcW w:w="909"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宋体" w:hAnsi="宋体" w:cs="宋体"/>
                <w:b/>
                <w:bCs/>
                <w:color w:val="auto"/>
                <w:szCs w:val="21"/>
                <w:highlight w:val="none"/>
              </w:rPr>
            </w:pPr>
          </w:p>
        </w:tc>
        <w:tc>
          <w:tcPr>
            <w:tcW w:w="7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15</w:t>
            </w:r>
          </w:p>
        </w:tc>
        <w:tc>
          <w:tcPr>
            <w:tcW w:w="723"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auto"/>
                <w:szCs w:val="21"/>
                <w:highlight w:val="none"/>
              </w:rPr>
            </w:pPr>
          </w:p>
        </w:tc>
        <w:tc>
          <w:tcPr>
            <w:tcW w:w="343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短柄十字起（安装用）</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把</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88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Cs w:val="21"/>
                <w:highlight w:val="none"/>
              </w:rPr>
            </w:pPr>
          </w:p>
        </w:tc>
        <w:tc>
          <w:tcPr>
            <w:tcW w:w="667" w:type="dxa"/>
            <w:vMerge w:val="continue"/>
            <w:tcBorders>
              <w:top w:val="single" w:color="000000" w:sz="4" w:space="0"/>
              <w:left w:val="single" w:color="000000" w:sz="4" w:space="0"/>
              <w:bottom w:val="single" w:color="000000" w:sz="4" w:space="0"/>
              <w:right w:val="single" w:color="000000" w:sz="8" w:space="0"/>
            </w:tcBorders>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300" w:hRule="atLeast"/>
        </w:trPr>
        <w:tc>
          <w:tcPr>
            <w:tcW w:w="909"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宋体" w:hAnsi="宋体" w:cs="宋体"/>
                <w:b/>
                <w:bCs/>
                <w:color w:val="auto"/>
                <w:szCs w:val="21"/>
                <w:highlight w:val="none"/>
              </w:rPr>
            </w:pPr>
          </w:p>
        </w:tc>
        <w:tc>
          <w:tcPr>
            <w:tcW w:w="7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16</w:t>
            </w:r>
          </w:p>
        </w:tc>
        <w:tc>
          <w:tcPr>
            <w:tcW w:w="723"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auto"/>
                <w:szCs w:val="21"/>
                <w:highlight w:val="none"/>
              </w:rPr>
            </w:pPr>
          </w:p>
        </w:tc>
        <w:tc>
          <w:tcPr>
            <w:tcW w:w="343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地线（5米）</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根</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88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Cs w:val="21"/>
                <w:highlight w:val="none"/>
              </w:rPr>
            </w:pPr>
          </w:p>
        </w:tc>
        <w:tc>
          <w:tcPr>
            <w:tcW w:w="667" w:type="dxa"/>
            <w:vMerge w:val="continue"/>
            <w:tcBorders>
              <w:top w:val="single" w:color="000000" w:sz="4" w:space="0"/>
              <w:left w:val="single" w:color="000000" w:sz="4" w:space="0"/>
              <w:bottom w:val="single" w:color="000000" w:sz="4" w:space="0"/>
              <w:right w:val="single" w:color="000000" w:sz="8" w:space="0"/>
            </w:tcBorders>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300" w:hRule="atLeast"/>
        </w:trPr>
        <w:tc>
          <w:tcPr>
            <w:tcW w:w="909"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宋体" w:hAnsi="宋体" w:cs="宋体"/>
                <w:b/>
                <w:bCs/>
                <w:color w:val="auto"/>
                <w:szCs w:val="21"/>
                <w:highlight w:val="none"/>
              </w:rPr>
            </w:pPr>
          </w:p>
        </w:tc>
        <w:tc>
          <w:tcPr>
            <w:tcW w:w="7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17</w:t>
            </w:r>
          </w:p>
        </w:tc>
        <w:tc>
          <w:tcPr>
            <w:tcW w:w="723"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auto"/>
                <w:szCs w:val="21"/>
                <w:highlight w:val="none"/>
              </w:rPr>
            </w:pPr>
          </w:p>
        </w:tc>
        <w:tc>
          <w:tcPr>
            <w:tcW w:w="343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三节支架（A2豪华用）</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套</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88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Cs w:val="21"/>
                <w:highlight w:val="none"/>
              </w:rPr>
            </w:pPr>
          </w:p>
        </w:tc>
        <w:tc>
          <w:tcPr>
            <w:tcW w:w="667" w:type="dxa"/>
            <w:vMerge w:val="continue"/>
            <w:tcBorders>
              <w:top w:val="single" w:color="000000" w:sz="4" w:space="0"/>
              <w:left w:val="single" w:color="000000" w:sz="4" w:space="0"/>
              <w:bottom w:val="single" w:color="000000" w:sz="4" w:space="0"/>
              <w:right w:val="single" w:color="000000" w:sz="8" w:space="0"/>
            </w:tcBorders>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300" w:hRule="atLeast"/>
        </w:trPr>
        <w:tc>
          <w:tcPr>
            <w:tcW w:w="909"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宋体" w:hAnsi="宋体" w:cs="宋体"/>
                <w:b/>
                <w:bCs/>
                <w:color w:val="auto"/>
                <w:szCs w:val="21"/>
                <w:highlight w:val="none"/>
              </w:rPr>
            </w:pPr>
          </w:p>
        </w:tc>
        <w:tc>
          <w:tcPr>
            <w:tcW w:w="7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18</w:t>
            </w:r>
          </w:p>
        </w:tc>
        <w:tc>
          <w:tcPr>
            <w:tcW w:w="723"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auto"/>
                <w:szCs w:val="21"/>
                <w:highlight w:val="none"/>
              </w:rPr>
            </w:pPr>
          </w:p>
        </w:tc>
        <w:tc>
          <w:tcPr>
            <w:tcW w:w="343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显示器支架转接件（含螺钉）</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套</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88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Cs w:val="21"/>
                <w:highlight w:val="none"/>
              </w:rPr>
            </w:pPr>
          </w:p>
        </w:tc>
        <w:tc>
          <w:tcPr>
            <w:tcW w:w="667" w:type="dxa"/>
            <w:vMerge w:val="continue"/>
            <w:tcBorders>
              <w:top w:val="single" w:color="000000" w:sz="4" w:space="0"/>
              <w:left w:val="single" w:color="000000" w:sz="4" w:space="0"/>
              <w:bottom w:val="single" w:color="000000" w:sz="4" w:space="0"/>
              <w:right w:val="single" w:color="000000" w:sz="8" w:space="0"/>
            </w:tcBorders>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300" w:hRule="atLeast"/>
        </w:trPr>
        <w:tc>
          <w:tcPr>
            <w:tcW w:w="909"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宋体" w:hAnsi="宋体" w:cs="宋体"/>
                <w:b/>
                <w:bCs/>
                <w:color w:val="auto"/>
                <w:szCs w:val="21"/>
                <w:highlight w:val="none"/>
              </w:rPr>
            </w:pPr>
          </w:p>
        </w:tc>
        <w:tc>
          <w:tcPr>
            <w:tcW w:w="7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19</w:t>
            </w:r>
          </w:p>
        </w:tc>
        <w:tc>
          <w:tcPr>
            <w:tcW w:w="723"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auto"/>
                <w:szCs w:val="21"/>
                <w:highlight w:val="none"/>
              </w:rPr>
            </w:pPr>
          </w:p>
        </w:tc>
        <w:tc>
          <w:tcPr>
            <w:tcW w:w="343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迷你键盘</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88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Cs w:val="21"/>
                <w:highlight w:val="none"/>
              </w:rPr>
            </w:pPr>
          </w:p>
        </w:tc>
        <w:tc>
          <w:tcPr>
            <w:tcW w:w="667" w:type="dxa"/>
            <w:vMerge w:val="continue"/>
            <w:tcBorders>
              <w:top w:val="single" w:color="000000" w:sz="4" w:space="0"/>
              <w:left w:val="single" w:color="000000" w:sz="4" w:space="0"/>
              <w:bottom w:val="single" w:color="000000" w:sz="4" w:space="0"/>
              <w:right w:val="single" w:color="000000" w:sz="8" w:space="0"/>
            </w:tcBorders>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300" w:hRule="atLeast"/>
        </w:trPr>
        <w:tc>
          <w:tcPr>
            <w:tcW w:w="909"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宋体" w:hAnsi="宋体" w:cs="宋体"/>
                <w:b/>
                <w:bCs/>
                <w:color w:val="auto"/>
                <w:szCs w:val="21"/>
                <w:highlight w:val="none"/>
              </w:rPr>
            </w:pPr>
          </w:p>
        </w:tc>
        <w:tc>
          <w:tcPr>
            <w:tcW w:w="7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20</w:t>
            </w:r>
          </w:p>
        </w:tc>
        <w:tc>
          <w:tcPr>
            <w:tcW w:w="723"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auto"/>
                <w:szCs w:val="21"/>
                <w:highlight w:val="none"/>
              </w:rPr>
            </w:pPr>
          </w:p>
        </w:tc>
        <w:tc>
          <w:tcPr>
            <w:tcW w:w="343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小音箱</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88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Cs w:val="21"/>
                <w:highlight w:val="none"/>
              </w:rPr>
            </w:pPr>
          </w:p>
        </w:tc>
        <w:tc>
          <w:tcPr>
            <w:tcW w:w="667" w:type="dxa"/>
            <w:vMerge w:val="continue"/>
            <w:tcBorders>
              <w:top w:val="single" w:color="000000" w:sz="4" w:space="0"/>
              <w:left w:val="single" w:color="000000" w:sz="4" w:space="0"/>
              <w:bottom w:val="single" w:color="000000" w:sz="4" w:space="0"/>
              <w:right w:val="single" w:color="000000" w:sz="8" w:space="0"/>
            </w:tcBorders>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300" w:hRule="atLeast"/>
        </w:trPr>
        <w:tc>
          <w:tcPr>
            <w:tcW w:w="909"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宋体" w:hAnsi="宋体" w:cs="宋体"/>
                <w:b/>
                <w:bCs/>
                <w:color w:val="auto"/>
                <w:szCs w:val="21"/>
                <w:highlight w:val="none"/>
              </w:rPr>
            </w:pPr>
          </w:p>
        </w:tc>
        <w:tc>
          <w:tcPr>
            <w:tcW w:w="7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21</w:t>
            </w:r>
          </w:p>
        </w:tc>
        <w:tc>
          <w:tcPr>
            <w:tcW w:w="723"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auto"/>
                <w:szCs w:val="21"/>
                <w:highlight w:val="none"/>
              </w:rPr>
            </w:pPr>
          </w:p>
        </w:tc>
        <w:tc>
          <w:tcPr>
            <w:tcW w:w="343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鼠标</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只</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88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Cs w:val="21"/>
                <w:highlight w:val="none"/>
              </w:rPr>
            </w:pPr>
          </w:p>
        </w:tc>
        <w:tc>
          <w:tcPr>
            <w:tcW w:w="667" w:type="dxa"/>
            <w:vMerge w:val="continue"/>
            <w:tcBorders>
              <w:top w:val="single" w:color="000000" w:sz="4" w:space="0"/>
              <w:left w:val="single" w:color="000000" w:sz="4" w:space="0"/>
              <w:bottom w:val="single" w:color="000000" w:sz="4" w:space="0"/>
              <w:right w:val="single" w:color="000000" w:sz="8" w:space="0"/>
            </w:tcBorders>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300" w:hRule="atLeast"/>
        </w:trPr>
        <w:tc>
          <w:tcPr>
            <w:tcW w:w="909"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宋体" w:hAnsi="宋体" w:cs="宋体"/>
                <w:b/>
                <w:bCs/>
                <w:color w:val="auto"/>
                <w:szCs w:val="21"/>
                <w:highlight w:val="none"/>
              </w:rPr>
            </w:pPr>
          </w:p>
        </w:tc>
        <w:tc>
          <w:tcPr>
            <w:tcW w:w="7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22</w:t>
            </w:r>
          </w:p>
        </w:tc>
        <w:tc>
          <w:tcPr>
            <w:tcW w:w="723"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auto"/>
                <w:szCs w:val="21"/>
                <w:highlight w:val="none"/>
              </w:rPr>
            </w:pPr>
          </w:p>
        </w:tc>
        <w:tc>
          <w:tcPr>
            <w:tcW w:w="343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鼠标垫</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88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Cs w:val="21"/>
                <w:highlight w:val="none"/>
              </w:rPr>
            </w:pPr>
          </w:p>
        </w:tc>
        <w:tc>
          <w:tcPr>
            <w:tcW w:w="667" w:type="dxa"/>
            <w:vMerge w:val="continue"/>
            <w:tcBorders>
              <w:top w:val="single" w:color="000000" w:sz="4" w:space="0"/>
              <w:left w:val="single" w:color="000000" w:sz="4" w:space="0"/>
              <w:bottom w:val="single" w:color="000000" w:sz="4" w:space="0"/>
              <w:right w:val="single" w:color="000000" w:sz="8" w:space="0"/>
            </w:tcBorders>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300" w:hRule="atLeast"/>
        </w:trPr>
        <w:tc>
          <w:tcPr>
            <w:tcW w:w="909"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宋体" w:hAnsi="宋体" w:cs="宋体"/>
                <w:b/>
                <w:bCs/>
                <w:color w:val="auto"/>
                <w:szCs w:val="21"/>
                <w:highlight w:val="none"/>
              </w:rPr>
            </w:pPr>
          </w:p>
        </w:tc>
        <w:tc>
          <w:tcPr>
            <w:tcW w:w="7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23</w:t>
            </w:r>
          </w:p>
        </w:tc>
        <w:tc>
          <w:tcPr>
            <w:tcW w:w="723"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auto"/>
                <w:szCs w:val="21"/>
                <w:highlight w:val="none"/>
              </w:rPr>
            </w:pPr>
          </w:p>
        </w:tc>
        <w:tc>
          <w:tcPr>
            <w:tcW w:w="343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扫描枪</w:t>
            </w:r>
          </w:p>
        </w:tc>
        <w:tc>
          <w:tcPr>
            <w:tcW w:w="867" w:type="dxa"/>
            <w:tcBorders>
              <w:top w:val="single" w:color="000000" w:sz="4" w:space="0"/>
              <w:left w:val="single" w:color="000000" w:sz="4" w:space="0"/>
              <w:bottom w:val="nil"/>
              <w:right w:val="single" w:color="000000" w:sz="4" w:space="0"/>
            </w:tcBorders>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套</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88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Cs w:val="21"/>
                <w:highlight w:val="none"/>
              </w:rPr>
            </w:pPr>
          </w:p>
        </w:tc>
        <w:tc>
          <w:tcPr>
            <w:tcW w:w="667" w:type="dxa"/>
            <w:vMerge w:val="continue"/>
            <w:tcBorders>
              <w:top w:val="single" w:color="000000" w:sz="4" w:space="0"/>
              <w:left w:val="single" w:color="000000" w:sz="4" w:space="0"/>
              <w:bottom w:val="single" w:color="000000" w:sz="4" w:space="0"/>
              <w:right w:val="single" w:color="000000" w:sz="8" w:space="0"/>
            </w:tcBorders>
            <w:noWrap/>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345" w:hRule="atLeast"/>
        </w:trPr>
        <w:tc>
          <w:tcPr>
            <w:tcW w:w="909" w:type="dxa"/>
            <w:tcBorders>
              <w:top w:val="single" w:color="000000" w:sz="4" w:space="0"/>
              <w:left w:val="single" w:color="000000" w:sz="8" w:space="0"/>
              <w:bottom w:val="single" w:color="000000" w:sz="4" w:space="0"/>
              <w:right w:val="single" w:color="000000" w:sz="4" w:space="0"/>
            </w:tcBorders>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推车</w:t>
            </w:r>
          </w:p>
        </w:tc>
        <w:tc>
          <w:tcPr>
            <w:tcW w:w="7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24</w:t>
            </w:r>
          </w:p>
        </w:tc>
        <w:tc>
          <w:tcPr>
            <w:tcW w:w="7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bCs/>
                <w:color w:val="auto"/>
                <w:szCs w:val="21"/>
                <w:highlight w:val="none"/>
              </w:rPr>
            </w:pPr>
          </w:p>
        </w:tc>
        <w:tc>
          <w:tcPr>
            <w:tcW w:w="343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超跑系列推车</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667" w:type="dxa"/>
            <w:tcBorders>
              <w:top w:val="single" w:color="000000" w:sz="4" w:space="0"/>
              <w:left w:val="single" w:color="000000" w:sz="4" w:space="0"/>
              <w:bottom w:val="single" w:color="000000" w:sz="4" w:space="0"/>
              <w:right w:val="single" w:color="000000" w:sz="8" w:space="0"/>
            </w:tcBorders>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r>
      <w:tr>
        <w:tblPrEx>
          <w:tblCellMar>
            <w:top w:w="0" w:type="dxa"/>
            <w:left w:w="108" w:type="dxa"/>
            <w:bottom w:w="0" w:type="dxa"/>
            <w:right w:w="108" w:type="dxa"/>
          </w:tblCellMar>
        </w:tblPrEx>
        <w:trPr>
          <w:trHeight w:val="300" w:hRule="atLeast"/>
        </w:trPr>
        <w:tc>
          <w:tcPr>
            <w:tcW w:w="909"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Cs w:val="21"/>
                <w:highlight w:val="none"/>
              </w:rPr>
            </w:pPr>
          </w:p>
        </w:tc>
        <w:tc>
          <w:tcPr>
            <w:tcW w:w="7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25</w:t>
            </w:r>
          </w:p>
        </w:tc>
        <w:tc>
          <w:tcPr>
            <w:tcW w:w="7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bCs/>
                <w:color w:val="auto"/>
                <w:szCs w:val="21"/>
                <w:highlight w:val="none"/>
              </w:rPr>
            </w:pPr>
          </w:p>
        </w:tc>
        <w:tc>
          <w:tcPr>
            <w:tcW w:w="343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打印机</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667" w:type="dxa"/>
            <w:tcBorders>
              <w:top w:val="single" w:color="000000" w:sz="4" w:space="0"/>
              <w:left w:val="single" w:color="000000" w:sz="4" w:space="0"/>
              <w:bottom w:val="single" w:color="000000" w:sz="4" w:space="0"/>
              <w:right w:val="single" w:color="000000" w:sz="8" w:space="0"/>
            </w:tcBorders>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r>
    </w:tbl>
    <w:p>
      <w:pPr>
        <w:spacing w:after="120"/>
        <w:ind w:firstLine="707" w:firstLineChars="337"/>
        <w:rPr>
          <w:color w:val="auto"/>
          <w:highlight w:val="none"/>
        </w:rPr>
      </w:pPr>
    </w:p>
    <w:p>
      <w:pPr>
        <w:rPr>
          <w:color w:val="auto"/>
          <w:highlight w:val="none"/>
        </w:rPr>
      </w:pPr>
    </w:p>
    <w:p>
      <w:pPr>
        <w:widowControl/>
        <w:jc w:val="center"/>
        <w:rPr>
          <w:rFonts w:ascii="宋体" w:hAnsi="宋体" w:cs="宋体"/>
          <w:b/>
          <w:color w:val="auto"/>
          <w:sz w:val="24"/>
          <w:highlight w:val="none"/>
        </w:rPr>
      </w:pPr>
      <w:r>
        <w:rPr>
          <w:rFonts w:hint="eastAsia" w:ascii="宋体" w:hAnsi="宋体" w:cs="宋体"/>
          <w:b/>
          <w:color w:val="auto"/>
          <w:sz w:val="24"/>
          <w:highlight w:val="none"/>
        </w:rPr>
        <w:t xml:space="preserve">11-2 </w:t>
      </w:r>
      <w:r>
        <w:rPr>
          <w:rFonts w:hint="eastAsia" w:ascii="宋体" w:hAnsi="宋体" w:cs="宋体"/>
          <w:b/>
          <w:bCs/>
          <w:color w:val="auto"/>
          <w:kern w:val="0"/>
          <w:sz w:val="24"/>
          <w:highlight w:val="none"/>
          <w:lang w:bidi="ar"/>
        </w:rPr>
        <w:t>盆底治疗仪</w:t>
      </w:r>
      <w:r>
        <w:rPr>
          <w:rFonts w:hint="eastAsia" w:ascii="宋体" w:hAnsi="宋体" w:cs="宋体"/>
          <w:b/>
          <w:color w:val="auto"/>
          <w:sz w:val="24"/>
          <w:highlight w:val="none"/>
        </w:rPr>
        <w:t>（盆底功能治疗仪）</w:t>
      </w:r>
    </w:p>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1.内置云模块，与其他同厂筛查评估设备以及治疗设备云共享诊疗数据。</w:t>
      </w:r>
    </w:p>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2.≥4个EMG/STIM/EMG-triggered STIM物理通道，为保证系统的稳定和功能的独立控制，4个通道要相互独立，不能是由一个通道通过分线扩展而实现的四通道。</w:t>
      </w:r>
    </w:p>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3.使用物理旋钮调节电流强度，操作方便，每个通道均设置各自的独立旋钮控制，可实现多通道不同强度刺激。</w:t>
      </w:r>
    </w:p>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★4.肌电采集范围：至少在2-2500μV（r.m.s）可调。（提供国家认可的相关部门检测报告或软件功能截图证明）</w:t>
      </w:r>
    </w:p>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★5.分辨率：≤0.5μV（r.m.s）（提供国家认可的相关部门检测报告或软件功能截图证明）</w:t>
      </w:r>
    </w:p>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6.通频带：20Hz～520Hz (-3dB)。</w:t>
      </w:r>
    </w:p>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7.刺激电流强度：0-100mA范围内可调，步进0.5mA可调节。</w:t>
      </w:r>
    </w:p>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★8.电刺激脉冲宽度：至少在20-980μs范围内可调，步进10us可调节。（提供国家认可的相关部门检测报告或软件功能截图证明）</w:t>
      </w:r>
    </w:p>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★9.电刺激脉冲频率：至少在1-500Hz范围内可调，步进1Hz可调节（提供国家认可的相关部门检测报告或软件功能截图证明）。</w:t>
      </w:r>
    </w:p>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★10.上升/下降时间：至少在0s～18s范围内可调。（提供国家认可的相关部门检测报告或软件功能截图证明）</w:t>
      </w:r>
    </w:p>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11.多种治疗模式，包括神经肌肉电刺激、肌电触发电刺激、Kegel模板训练、游戏训练、放松训练等。肌电触发电刺激模式包括阈值上刺激和阈值下刺激，阈值设置方式分为自动和手动两种。</w:t>
      </w:r>
    </w:p>
    <w:p>
      <w:pPr>
        <w:spacing w:line="360" w:lineRule="auto"/>
        <w:jc w:val="left"/>
        <w:rPr>
          <w:rFonts w:ascii="宋体" w:hAnsi="宋体" w:cs="宋体"/>
          <w:color w:val="auto"/>
          <w:kern w:val="0"/>
          <w:highlight w:val="none"/>
        </w:rPr>
      </w:pPr>
      <w:r>
        <w:rPr>
          <w:rFonts w:hint="eastAsia" w:ascii="宋体" w:hAnsi="宋体" w:cs="宋体"/>
          <w:color w:val="auto"/>
          <w:kern w:val="0"/>
          <w:szCs w:val="21"/>
          <w:highlight w:val="none"/>
        </w:rPr>
        <w:t>12.系统可将训练方案（包括电刺激、触发电刺激、生物反馈训练、多媒体游戏训练）通过无线方式传输至</w:t>
      </w:r>
      <w:r>
        <w:rPr>
          <w:rFonts w:ascii="宋体" w:hAnsi="宋体" w:cs="宋体"/>
          <w:color w:val="auto"/>
          <w:kern w:val="0"/>
          <w:szCs w:val="21"/>
          <w:highlight w:val="none"/>
        </w:rPr>
        <w:t>盆底生物刺激反馈类设备</w:t>
      </w:r>
      <w:r>
        <w:rPr>
          <w:rFonts w:hint="eastAsia" w:ascii="宋体" w:hAnsi="宋体" w:cs="宋体"/>
          <w:color w:val="auto"/>
          <w:kern w:val="0"/>
          <w:szCs w:val="21"/>
          <w:highlight w:val="none"/>
        </w:rPr>
        <w:t>（由主机和手机APP软件等组成），医生可通过手机APP查看患者的训练数据，提高患者依从性，安卓和IOS系统均支持该APP。（提供国家认可的相关部门检测报告或软件功能截图证明）</w:t>
      </w:r>
    </w:p>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13.患者可通过手机APP实时进行医院的诊疗预约，医生可通过预约软件对患者预约信息进行管理。医生可对诊疗预约进行个性化设置，包括：最大预约次数、允许预约时间、预约设备管理和预约时间段管理等。系统可对接相关信息平台，包括在线医学教育平台、医生交流平台、医患沟通平台等。</w:t>
      </w:r>
    </w:p>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★14.盆底疾病分级诊疗信息软件支持与盆底表面肌电分析系统的数据同步，实现医联体组建、分级共享、科研协作、双向转诊、患者预约等功能。（提供国家认可的相关部门检测报告或软件功能截图证明）</w:t>
      </w:r>
    </w:p>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15.Kegel训练可采用肌电值和MVC%（最大随意收缩力的百分比）两种模式。其中MVC%模式可根据患者的自身情况，调节模板训练的难度，有助于科学训练。Kegel方案可自定义编辑，包括编辑方案的图形，训练时间，满足不同的治疗需求。</w:t>
      </w:r>
    </w:p>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16.内置数十种盆底康复方案和产后康复方案，产后康复方案显示电极片贴法示意图，且所有方案可以导入、导出、自行编辑。</w:t>
      </w:r>
    </w:p>
    <w:p>
      <w:pPr>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17.系统可根据盆底筛查或评估结果自动生成针对不同患者的疗程化盆底训练方案。</w:t>
      </w:r>
      <w:r>
        <w:rPr>
          <w:rFonts w:hint="eastAsia" w:ascii="宋体" w:hAnsi="宋体" w:cs="宋体"/>
          <w:color w:val="auto"/>
          <w:kern w:val="0"/>
          <w:szCs w:val="21"/>
          <w:highlight w:val="none"/>
        </w:rPr>
        <w:t>疗程化方案治疗，可自动按照当前治疗次数选择对应的治疗方案进行治疗，也可手动调整方案。</w:t>
      </w:r>
    </w:p>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18.触发电刺激、Kegel训练可查看训练记录，且Kegel训练可查看训练期间的盆底肌肌电图和腹肌肌电图。</w:t>
      </w:r>
    </w:p>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19.具有强大的方案自定义功能，可用于疗程化方案设置和单独方案设置。所有治疗模式可以自由组合，形成个性化治疗方案，单次治疗最多可设置10个治疗模式。</w:t>
      </w:r>
    </w:p>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20.盆底治疗过程中可以对电刺激的强度、频率、脉宽、刺激时间、休息时间、上升时间、下降时间等参数进行调节。</w:t>
      </w:r>
    </w:p>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21.单个电刺激治疗可设置变频模式，实现刺激过程中至少三种频率以及脉宽之间转换。电刺激方案参数可自定义，对频率、波宽等参数按照调节精度进行连续调节设置。</w:t>
      </w:r>
    </w:p>
    <w:p>
      <w:pPr>
        <w:spacing w:line="360" w:lineRule="auto"/>
        <w:jc w:val="left"/>
        <w:rPr>
          <w:color w:val="auto"/>
          <w:highlight w:val="none"/>
        </w:rPr>
      </w:pPr>
      <w:r>
        <w:rPr>
          <w:rFonts w:hint="eastAsia" w:ascii="宋体" w:hAnsi="宋体" w:cs="宋体"/>
          <w:color w:val="auto"/>
          <w:kern w:val="0"/>
          <w:szCs w:val="21"/>
          <w:highlight w:val="none"/>
        </w:rPr>
        <w:t>22.每次治疗过程中无需多次选择治疗模式，实现无中断治疗。所有盆底方案的刺激电流强度可以在治疗前预设，并在下次治疗之前显示上次的电流强度。</w:t>
      </w:r>
    </w:p>
    <w:p>
      <w:pPr>
        <w:spacing w:after="120"/>
        <w:rPr>
          <w:bCs/>
          <w:color w:val="auto"/>
          <w:highlight w:val="none"/>
        </w:rPr>
      </w:pPr>
      <w:r>
        <w:rPr>
          <w:rFonts w:hint="eastAsia" w:ascii="宋体" w:hAnsi="宋体" w:cs="宋体"/>
          <w:bCs/>
          <w:color w:val="auto"/>
          <w:kern w:val="0"/>
          <w:szCs w:val="21"/>
          <w:highlight w:val="none"/>
        </w:rPr>
        <w:t>23.配置：</w:t>
      </w:r>
    </w:p>
    <w:tbl>
      <w:tblPr>
        <w:tblStyle w:val="35"/>
        <w:tblW w:w="7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756"/>
        <w:gridCol w:w="3922"/>
        <w:gridCol w:w="800"/>
        <w:gridCol w:w="722"/>
        <w:gridCol w:w="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05" w:type="dxa"/>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项目</w:t>
            </w:r>
          </w:p>
        </w:tc>
        <w:tc>
          <w:tcPr>
            <w:tcW w:w="756" w:type="dxa"/>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序号</w:t>
            </w:r>
          </w:p>
        </w:tc>
        <w:tc>
          <w:tcPr>
            <w:tcW w:w="3922" w:type="dxa"/>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配                 置</w:t>
            </w:r>
          </w:p>
        </w:tc>
        <w:tc>
          <w:tcPr>
            <w:tcW w:w="800" w:type="dxa"/>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单位</w:t>
            </w:r>
          </w:p>
        </w:tc>
        <w:tc>
          <w:tcPr>
            <w:tcW w:w="722" w:type="dxa"/>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数量</w:t>
            </w:r>
          </w:p>
        </w:tc>
        <w:tc>
          <w:tcPr>
            <w:tcW w:w="411" w:type="dxa"/>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05" w:type="dxa"/>
            <w:vMerge w:val="restart"/>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主机</w:t>
            </w:r>
          </w:p>
        </w:tc>
        <w:tc>
          <w:tcPr>
            <w:tcW w:w="756" w:type="dxa"/>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1</w:t>
            </w:r>
          </w:p>
        </w:tc>
        <w:tc>
          <w:tcPr>
            <w:tcW w:w="3922" w:type="dxa"/>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4通道信号采集放大信号器</w:t>
            </w:r>
          </w:p>
        </w:tc>
        <w:tc>
          <w:tcPr>
            <w:tcW w:w="800" w:type="dxa"/>
            <w:vMerge w:val="restart"/>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套</w:t>
            </w:r>
          </w:p>
        </w:tc>
        <w:tc>
          <w:tcPr>
            <w:tcW w:w="722" w:type="dxa"/>
            <w:vMerge w:val="restart"/>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11" w:type="dxa"/>
            <w:vMerge w:val="restart"/>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05" w:type="dxa"/>
            <w:vMerge w:val="continue"/>
            <w:vAlign w:val="center"/>
          </w:tcPr>
          <w:p>
            <w:pPr>
              <w:jc w:val="center"/>
              <w:rPr>
                <w:rFonts w:ascii="宋体" w:hAnsi="宋体" w:cs="宋体"/>
                <w:b/>
                <w:bCs/>
                <w:color w:val="auto"/>
                <w:szCs w:val="21"/>
                <w:highlight w:val="none"/>
              </w:rPr>
            </w:pPr>
          </w:p>
        </w:tc>
        <w:tc>
          <w:tcPr>
            <w:tcW w:w="756" w:type="dxa"/>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2</w:t>
            </w:r>
          </w:p>
        </w:tc>
        <w:tc>
          <w:tcPr>
            <w:tcW w:w="3922"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4通道电刺激输出模块(产后康复模块)</w:t>
            </w:r>
          </w:p>
        </w:tc>
        <w:tc>
          <w:tcPr>
            <w:tcW w:w="800" w:type="dxa"/>
            <w:vMerge w:val="continue"/>
            <w:noWrap/>
            <w:vAlign w:val="center"/>
          </w:tcPr>
          <w:p>
            <w:pPr>
              <w:jc w:val="center"/>
              <w:rPr>
                <w:rFonts w:ascii="宋体" w:hAnsi="宋体" w:cs="宋体"/>
                <w:color w:val="auto"/>
                <w:szCs w:val="21"/>
                <w:highlight w:val="none"/>
              </w:rPr>
            </w:pPr>
          </w:p>
        </w:tc>
        <w:tc>
          <w:tcPr>
            <w:tcW w:w="722" w:type="dxa"/>
            <w:vMerge w:val="continue"/>
            <w:noWrap/>
            <w:vAlign w:val="center"/>
          </w:tcPr>
          <w:p>
            <w:pPr>
              <w:jc w:val="center"/>
              <w:rPr>
                <w:rFonts w:ascii="宋体" w:hAnsi="宋体" w:cs="宋体"/>
                <w:color w:val="auto"/>
                <w:szCs w:val="21"/>
                <w:highlight w:val="none"/>
              </w:rPr>
            </w:pPr>
          </w:p>
        </w:tc>
        <w:tc>
          <w:tcPr>
            <w:tcW w:w="411" w:type="dxa"/>
            <w:vMerge w:val="continue"/>
            <w:noWrap/>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05" w:type="dxa"/>
            <w:vMerge w:val="continue"/>
            <w:vAlign w:val="center"/>
          </w:tcPr>
          <w:p>
            <w:pPr>
              <w:jc w:val="center"/>
              <w:rPr>
                <w:rFonts w:ascii="宋体" w:hAnsi="宋体" w:cs="宋体"/>
                <w:b/>
                <w:bCs/>
                <w:color w:val="auto"/>
                <w:szCs w:val="21"/>
                <w:highlight w:val="none"/>
              </w:rPr>
            </w:pPr>
          </w:p>
        </w:tc>
        <w:tc>
          <w:tcPr>
            <w:tcW w:w="756" w:type="dxa"/>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3</w:t>
            </w:r>
          </w:p>
        </w:tc>
        <w:tc>
          <w:tcPr>
            <w:tcW w:w="3922" w:type="dxa"/>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显示器</w:t>
            </w:r>
          </w:p>
        </w:tc>
        <w:tc>
          <w:tcPr>
            <w:tcW w:w="800" w:type="dxa"/>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块</w:t>
            </w:r>
          </w:p>
        </w:tc>
        <w:tc>
          <w:tcPr>
            <w:tcW w:w="722" w:type="dxa"/>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11" w:type="dxa"/>
            <w:vMerge w:val="continue"/>
            <w:noWrap/>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05" w:type="dxa"/>
            <w:vMerge w:val="continue"/>
            <w:vAlign w:val="center"/>
          </w:tcPr>
          <w:p>
            <w:pPr>
              <w:jc w:val="center"/>
              <w:rPr>
                <w:rFonts w:ascii="宋体" w:hAnsi="宋体" w:cs="宋体"/>
                <w:b/>
                <w:bCs/>
                <w:color w:val="auto"/>
                <w:szCs w:val="21"/>
                <w:highlight w:val="none"/>
              </w:rPr>
            </w:pPr>
          </w:p>
        </w:tc>
        <w:tc>
          <w:tcPr>
            <w:tcW w:w="756" w:type="dxa"/>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4</w:t>
            </w:r>
          </w:p>
        </w:tc>
        <w:tc>
          <w:tcPr>
            <w:tcW w:w="3922" w:type="dxa"/>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工业级计算机（内置）</w:t>
            </w:r>
          </w:p>
        </w:tc>
        <w:tc>
          <w:tcPr>
            <w:tcW w:w="800" w:type="dxa"/>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722" w:type="dxa"/>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11" w:type="dxa"/>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05" w:type="dxa"/>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软件</w:t>
            </w:r>
          </w:p>
        </w:tc>
        <w:tc>
          <w:tcPr>
            <w:tcW w:w="756" w:type="dxa"/>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5</w:t>
            </w:r>
          </w:p>
        </w:tc>
        <w:tc>
          <w:tcPr>
            <w:tcW w:w="3922" w:type="dxa"/>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生物刺激反馈软件（盆底版）</w:t>
            </w:r>
          </w:p>
        </w:tc>
        <w:tc>
          <w:tcPr>
            <w:tcW w:w="800" w:type="dxa"/>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套</w:t>
            </w:r>
          </w:p>
        </w:tc>
        <w:tc>
          <w:tcPr>
            <w:tcW w:w="722" w:type="dxa"/>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11" w:type="dxa"/>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05" w:type="dxa"/>
            <w:vMerge w:val="restart"/>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附件</w:t>
            </w:r>
          </w:p>
        </w:tc>
        <w:tc>
          <w:tcPr>
            <w:tcW w:w="756" w:type="dxa"/>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6</w:t>
            </w:r>
          </w:p>
        </w:tc>
        <w:tc>
          <w:tcPr>
            <w:tcW w:w="3922" w:type="dxa"/>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电源线</w:t>
            </w:r>
          </w:p>
        </w:tc>
        <w:tc>
          <w:tcPr>
            <w:tcW w:w="800" w:type="dxa"/>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根</w:t>
            </w:r>
          </w:p>
        </w:tc>
        <w:tc>
          <w:tcPr>
            <w:tcW w:w="722" w:type="dxa"/>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11" w:type="dxa"/>
            <w:vMerge w:val="restart"/>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05" w:type="dxa"/>
            <w:vMerge w:val="continue"/>
            <w:vAlign w:val="center"/>
          </w:tcPr>
          <w:p>
            <w:pPr>
              <w:jc w:val="center"/>
              <w:rPr>
                <w:rFonts w:ascii="宋体" w:hAnsi="宋体" w:cs="宋体"/>
                <w:b/>
                <w:bCs/>
                <w:color w:val="auto"/>
                <w:szCs w:val="21"/>
                <w:highlight w:val="none"/>
              </w:rPr>
            </w:pPr>
          </w:p>
        </w:tc>
        <w:tc>
          <w:tcPr>
            <w:tcW w:w="756" w:type="dxa"/>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7</w:t>
            </w:r>
          </w:p>
        </w:tc>
        <w:tc>
          <w:tcPr>
            <w:tcW w:w="3922" w:type="dxa"/>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电刺激1分5电极线</w:t>
            </w:r>
          </w:p>
        </w:tc>
        <w:tc>
          <w:tcPr>
            <w:tcW w:w="800" w:type="dxa"/>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套</w:t>
            </w:r>
          </w:p>
        </w:tc>
        <w:tc>
          <w:tcPr>
            <w:tcW w:w="722" w:type="dxa"/>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11" w:type="dxa"/>
            <w:vMerge w:val="continue"/>
            <w:noWrap/>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05" w:type="dxa"/>
            <w:vMerge w:val="continue"/>
            <w:vAlign w:val="center"/>
          </w:tcPr>
          <w:p>
            <w:pPr>
              <w:jc w:val="center"/>
              <w:rPr>
                <w:rFonts w:ascii="宋体" w:hAnsi="宋体" w:cs="宋体"/>
                <w:b/>
                <w:bCs/>
                <w:color w:val="auto"/>
                <w:szCs w:val="21"/>
                <w:highlight w:val="none"/>
              </w:rPr>
            </w:pPr>
          </w:p>
        </w:tc>
        <w:tc>
          <w:tcPr>
            <w:tcW w:w="756" w:type="dxa"/>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8</w:t>
            </w:r>
          </w:p>
        </w:tc>
        <w:tc>
          <w:tcPr>
            <w:tcW w:w="3922" w:type="dxa"/>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阴道电极（MLD V2）</w:t>
            </w:r>
          </w:p>
        </w:tc>
        <w:tc>
          <w:tcPr>
            <w:tcW w:w="800" w:type="dxa"/>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22" w:type="dxa"/>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63</w:t>
            </w:r>
          </w:p>
        </w:tc>
        <w:tc>
          <w:tcPr>
            <w:tcW w:w="411" w:type="dxa"/>
            <w:vMerge w:val="continue"/>
            <w:noWrap/>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05" w:type="dxa"/>
            <w:vMerge w:val="continue"/>
            <w:vAlign w:val="center"/>
          </w:tcPr>
          <w:p>
            <w:pPr>
              <w:jc w:val="center"/>
              <w:rPr>
                <w:rFonts w:ascii="宋体" w:hAnsi="宋体" w:cs="宋体"/>
                <w:b/>
                <w:bCs/>
                <w:color w:val="auto"/>
                <w:szCs w:val="21"/>
                <w:highlight w:val="none"/>
              </w:rPr>
            </w:pPr>
          </w:p>
        </w:tc>
        <w:tc>
          <w:tcPr>
            <w:tcW w:w="756" w:type="dxa"/>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9</w:t>
            </w:r>
          </w:p>
        </w:tc>
        <w:tc>
          <w:tcPr>
            <w:tcW w:w="3922" w:type="dxa"/>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直肠电极（MLD R2）</w:t>
            </w:r>
          </w:p>
        </w:tc>
        <w:tc>
          <w:tcPr>
            <w:tcW w:w="800" w:type="dxa"/>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22" w:type="dxa"/>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11" w:type="dxa"/>
            <w:vMerge w:val="continue"/>
            <w:noWrap/>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05" w:type="dxa"/>
            <w:vMerge w:val="continue"/>
            <w:vAlign w:val="center"/>
          </w:tcPr>
          <w:p>
            <w:pPr>
              <w:jc w:val="center"/>
              <w:rPr>
                <w:rFonts w:ascii="宋体" w:hAnsi="宋体" w:cs="宋体"/>
                <w:b/>
                <w:bCs/>
                <w:color w:val="auto"/>
                <w:szCs w:val="21"/>
                <w:highlight w:val="none"/>
              </w:rPr>
            </w:pPr>
          </w:p>
        </w:tc>
        <w:tc>
          <w:tcPr>
            <w:tcW w:w="756" w:type="dxa"/>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10</w:t>
            </w:r>
          </w:p>
        </w:tc>
        <w:tc>
          <w:tcPr>
            <w:tcW w:w="3922" w:type="dxa"/>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粘胶电极片（方形50*50mm）</w:t>
            </w:r>
          </w:p>
        </w:tc>
        <w:tc>
          <w:tcPr>
            <w:tcW w:w="800" w:type="dxa"/>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对</w:t>
            </w:r>
          </w:p>
        </w:tc>
        <w:tc>
          <w:tcPr>
            <w:tcW w:w="722" w:type="dxa"/>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411" w:type="dxa"/>
            <w:vMerge w:val="continue"/>
            <w:noWrap/>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05" w:type="dxa"/>
            <w:vMerge w:val="continue"/>
            <w:vAlign w:val="center"/>
          </w:tcPr>
          <w:p>
            <w:pPr>
              <w:jc w:val="center"/>
              <w:rPr>
                <w:rFonts w:ascii="宋体" w:hAnsi="宋体" w:cs="宋体"/>
                <w:b/>
                <w:bCs/>
                <w:color w:val="auto"/>
                <w:szCs w:val="21"/>
                <w:highlight w:val="none"/>
              </w:rPr>
            </w:pPr>
          </w:p>
        </w:tc>
        <w:tc>
          <w:tcPr>
            <w:tcW w:w="756" w:type="dxa"/>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11</w:t>
            </w:r>
          </w:p>
        </w:tc>
        <w:tc>
          <w:tcPr>
            <w:tcW w:w="3922" w:type="dxa"/>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粘胶电极片（乳房电极片）</w:t>
            </w:r>
          </w:p>
        </w:tc>
        <w:tc>
          <w:tcPr>
            <w:tcW w:w="800" w:type="dxa"/>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对</w:t>
            </w:r>
          </w:p>
        </w:tc>
        <w:tc>
          <w:tcPr>
            <w:tcW w:w="722" w:type="dxa"/>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411" w:type="dxa"/>
            <w:vMerge w:val="continue"/>
            <w:noWrap/>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05" w:type="dxa"/>
            <w:vMerge w:val="continue"/>
            <w:vAlign w:val="center"/>
          </w:tcPr>
          <w:p>
            <w:pPr>
              <w:jc w:val="center"/>
              <w:rPr>
                <w:rFonts w:ascii="宋体" w:hAnsi="宋体" w:cs="宋体"/>
                <w:b/>
                <w:bCs/>
                <w:color w:val="auto"/>
                <w:szCs w:val="21"/>
                <w:highlight w:val="none"/>
              </w:rPr>
            </w:pPr>
          </w:p>
        </w:tc>
        <w:tc>
          <w:tcPr>
            <w:tcW w:w="756" w:type="dxa"/>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12</w:t>
            </w:r>
          </w:p>
        </w:tc>
        <w:tc>
          <w:tcPr>
            <w:tcW w:w="3922" w:type="dxa"/>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粘胶电极片（塑形）</w:t>
            </w:r>
          </w:p>
        </w:tc>
        <w:tc>
          <w:tcPr>
            <w:tcW w:w="800" w:type="dxa"/>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对</w:t>
            </w:r>
          </w:p>
        </w:tc>
        <w:tc>
          <w:tcPr>
            <w:tcW w:w="722" w:type="dxa"/>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411" w:type="dxa"/>
            <w:vMerge w:val="continue"/>
            <w:noWrap/>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05" w:type="dxa"/>
            <w:vMerge w:val="continue"/>
            <w:vAlign w:val="center"/>
          </w:tcPr>
          <w:p>
            <w:pPr>
              <w:jc w:val="center"/>
              <w:rPr>
                <w:rFonts w:ascii="宋体" w:hAnsi="宋体" w:cs="宋体"/>
                <w:b/>
                <w:bCs/>
                <w:color w:val="auto"/>
                <w:szCs w:val="21"/>
                <w:highlight w:val="none"/>
              </w:rPr>
            </w:pPr>
          </w:p>
        </w:tc>
        <w:tc>
          <w:tcPr>
            <w:tcW w:w="756" w:type="dxa"/>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13</w:t>
            </w:r>
          </w:p>
        </w:tc>
        <w:tc>
          <w:tcPr>
            <w:tcW w:w="3922" w:type="dxa"/>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用户手册</w:t>
            </w:r>
          </w:p>
        </w:tc>
        <w:tc>
          <w:tcPr>
            <w:tcW w:w="800" w:type="dxa"/>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本</w:t>
            </w:r>
          </w:p>
        </w:tc>
        <w:tc>
          <w:tcPr>
            <w:tcW w:w="722" w:type="dxa"/>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11" w:type="dxa"/>
            <w:vMerge w:val="continue"/>
            <w:noWrap/>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05" w:type="dxa"/>
            <w:vMerge w:val="continue"/>
            <w:vAlign w:val="center"/>
          </w:tcPr>
          <w:p>
            <w:pPr>
              <w:jc w:val="center"/>
              <w:rPr>
                <w:rFonts w:ascii="宋体" w:hAnsi="宋体" w:cs="宋体"/>
                <w:b/>
                <w:bCs/>
                <w:color w:val="auto"/>
                <w:szCs w:val="21"/>
                <w:highlight w:val="none"/>
              </w:rPr>
            </w:pPr>
          </w:p>
        </w:tc>
        <w:tc>
          <w:tcPr>
            <w:tcW w:w="756" w:type="dxa"/>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14</w:t>
            </w:r>
          </w:p>
        </w:tc>
        <w:tc>
          <w:tcPr>
            <w:tcW w:w="3922" w:type="dxa"/>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合格证</w:t>
            </w:r>
          </w:p>
        </w:tc>
        <w:tc>
          <w:tcPr>
            <w:tcW w:w="800" w:type="dxa"/>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张</w:t>
            </w:r>
          </w:p>
        </w:tc>
        <w:tc>
          <w:tcPr>
            <w:tcW w:w="722" w:type="dxa"/>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11" w:type="dxa"/>
            <w:vMerge w:val="continue"/>
            <w:noWrap/>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05" w:type="dxa"/>
            <w:vMerge w:val="continue"/>
            <w:vAlign w:val="center"/>
          </w:tcPr>
          <w:p>
            <w:pPr>
              <w:jc w:val="center"/>
              <w:rPr>
                <w:rFonts w:ascii="宋体" w:hAnsi="宋体" w:cs="宋体"/>
                <w:b/>
                <w:bCs/>
                <w:color w:val="auto"/>
                <w:szCs w:val="21"/>
                <w:highlight w:val="none"/>
              </w:rPr>
            </w:pPr>
          </w:p>
        </w:tc>
        <w:tc>
          <w:tcPr>
            <w:tcW w:w="756" w:type="dxa"/>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15</w:t>
            </w:r>
          </w:p>
        </w:tc>
        <w:tc>
          <w:tcPr>
            <w:tcW w:w="3922" w:type="dxa"/>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保修卡</w:t>
            </w:r>
          </w:p>
        </w:tc>
        <w:tc>
          <w:tcPr>
            <w:tcW w:w="800" w:type="dxa"/>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张</w:t>
            </w:r>
          </w:p>
        </w:tc>
        <w:tc>
          <w:tcPr>
            <w:tcW w:w="722" w:type="dxa"/>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11" w:type="dxa"/>
            <w:vMerge w:val="continue"/>
            <w:noWrap/>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05" w:type="dxa"/>
            <w:vMerge w:val="continue"/>
            <w:vAlign w:val="center"/>
          </w:tcPr>
          <w:p>
            <w:pPr>
              <w:jc w:val="center"/>
              <w:rPr>
                <w:rFonts w:ascii="宋体" w:hAnsi="宋体" w:cs="宋体"/>
                <w:b/>
                <w:bCs/>
                <w:color w:val="auto"/>
                <w:szCs w:val="21"/>
                <w:highlight w:val="none"/>
              </w:rPr>
            </w:pPr>
          </w:p>
        </w:tc>
        <w:tc>
          <w:tcPr>
            <w:tcW w:w="756" w:type="dxa"/>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16</w:t>
            </w:r>
          </w:p>
        </w:tc>
        <w:tc>
          <w:tcPr>
            <w:tcW w:w="3922" w:type="dxa"/>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短柄十字起（安装用）</w:t>
            </w:r>
          </w:p>
        </w:tc>
        <w:tc>
          <w:tcPr>
            <w:tcW w:w="800" w:type="dxa"/>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把</w:t>
            </w:r>
          </w:p>
        </w:tc>
        <w:tc>
          <w:tcPr>
            <w:tcW w:w="722" w:type="dxa"/>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11" w:type="dxa"/>
            <w:vMerge w:val="continue"/>
            <w:noWrap/>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05" w:type="dxa"/>
            <w:vMerge w:val="continue"/>
            <w:vAlign w:val="center"/>
          </w:tcPr>
          <w:p>
            <w:pPr>
              <w:jc w:val="center"/>
              <w:rPr>
                <w:rFonts w:ascii="宋体" w:hAnsi="宋体" w:cs="宋体"/>
                <w:b/>
                <w:bCs/>
                <w:color w:val="auto"/>
                <w:szCs w:val="21"/>
                <w:highlight w:val="none"/>
              </w:rPr>
            </w:pPr>
          </w:p>
        </w:tc>
        <w:tc>
          <w:tcPr>
            <w:tcW w:w="756" w:type="dxa"/>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17</w:t>
            </w:r>
          </w:p>
        </w:tc>
        <w:tc>
          <w:tcPr>
            <w:tcW w:w="3922" w:type="dxa"/>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单屏支架（支架装饰盖）</w:t>
            </w:r>
          </w:p>
        </w:tc>
        <w:tc>
          <w:tcPr>
            <w:tcW w:w="800" w:type="dxa"/>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套</w:t>
            </w:r>
          </w:p>
        </w:tc>
        <w:tc>
          <w:tcPr>
            <w:tcW w:w="722" w:type="dxa"/>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11" w:type="dxa"/>
            <w:vMerge w:val="continue"/>
            <w:noWrap/>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05" w:type="dxa"/>
            <w:vMerge w:val="continue"/>
            <w:vAlign w:val="center"/>
          </w:tcPr>
          <w:p>
            <w:pPr>
              <w:jc w:val="center"/>
              <w:rPr>
                <w:rFonts w:ascii="宋体" w:hAnsi="宋体" w:cs="宋体"/>
                <w:b/>
                <w:bCs/>
                <w:color w:val="auto"/>
                <w:szCs w:val="21"/>
                <w:highlight w:val="none"/>
              </w:rPr>
            </w:pPr>
          </w:p>
        </w:tc>
        <w:tc>
          <w:tcPr>
            <w:tcW w:w="756" w:type="dxa"/>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18</w:t>
            </w:r>
          </w:p>
        </w:tc>
        <w:tc>
          <w:tcPr>
            <w:tcW w:w="3922" w:type="dxa"/>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显示器支架转接件（含螺钉）</w:t>
            </w:r>
          </w:p>
        </w:tc>
        <w:tc>
          <w:tcPr>
            <w:tcW w:w="800" w:type="dxa"/>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套</w:t>
            </w:r>
          </w:p>
        </w:tc>
        <w:tc>
          <w:tcPr>
            <w:tcW w:w="722" w:type="dxa"/>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11" w:type="dxa"/>
            <w:vMerge w:val="continue"/>
            <w:noWrap/>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05" w:type="dxa"/>
            <w:vMerge w:val="continue"/>
            <w:vAlign w:val="center"/>
          </w:tcPr>
          <w:p>
            <w:pPr>
              <w:jc w:val="center"/>
              <w:rPr>
                <w:rFonts w:ascii="宋体" w:hAnsi="宋体" w:cs="宋体"/>
                <w:b/>
                <w:bCs/>
                <w:color w:val="auto"/>
                <w:szCs w:val="21"/>
                <w:highlight w:val="none"/>
              </w:rPr>
            </w:pPr>
          </w:p>
        </w:tc>
        <w:tc>
          <w:tcPr>
            <w:tcW w:w="756" w:type="dxa"/>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19</w:t>
            </w:r>
          </w:p>
        </w:tc>
        <w:tc>
          <w:tcPr>
            <w:tcW w:w="3922"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迷你键盘</w:t>
            </w:r>
          </w:p>
        </w:tc>
        <w:tc>
          <w:tcPr>
            <w:tcW w:w="800" w:type="dxa"/>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22" w:type="dxa"/>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11" w:type="dxa"/>
            <w:vMerge w:val="continue"/>
            <w:noWrap/>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05" w:type="dxa"/>
            <w:vMerge w:val="continue"/>
            <w:vAlign w:val="center"/>
          </w:tcPr>
          <w:p>
            <w:pPr>
              <w:jc w:val="center"/>
              <w:rPr>
                <w:rFonts w:ascii="宋体" w:hAnsi="宋体" w:cs="宋体"/>
                <w:b/>
                <w:bCs/>
                <w:color w:val="auto"/>
                <w:szCs w:val="21"/>
                <w:highlight w:val="none"/>
              </w:rPr>
            </w:pPr>
          </w:p>
        </w:tc>
        <w:tc>
          <w:tcPr>
            <w:tcW w:w="756" w:type="dxa"/>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20</w:t>
            </w:r>
          </w:p>
        </w:tc>
        <w:tc>
          <w:tcPr>
            <w:tcW w:w="3922"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鼠标</w:t>
            </w:r>
          </w:p>
        </w:tc>
        <w:tc>
          <w:tcPr>
            <w:tcW w:w="800" w:type="dxa"/>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22" w:type="dxa"/>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11" w:type="dxa"/>
            <w:vMerge w:val="continue"/>
            <w:noWrap/>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05" w:type="dxa"/>
            <w:vMerge w:val="continue"/>
            <w:vAlign w:val="center"/>
          </w:tcPr>
          <w:p>
            <w:pPr>
              <w:jc w:val="center"/>
              <w:rPr>
                <w:rFonts w:ascii="宋体" w:hAnsi="宋体" w:cs="宋体"/>
                <w:b/>
                <w:bCs/>
                <w:color w:val="auto"/>
                <w:szCs w:val="21"/>
                <w:highlight w:val="none"/>
              </w:rPr>
            </w:pPr>
          </w:p>
        </w:tc>
        <w:tc>
          <w:tcPr>
            <w:tcW w:w="756" w:type="dxa"/>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21</w:t>
            </w:r>
          </w:p>
        </w:tc>
        <w:tc>
          <w:tcPr>
            <w:tcW w:w="3922"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小音箱</w:t>
            </w:r>
          </w:p>
        </w:tc>
        <w:tc>
          <w:tcPr>
            <w:tcW w:w="800" w:type="dxa"/>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套</w:t>
            </w:r>
          </w:p>
        </w:tc>
        <w:tc>
          <w:tcPr>
            <w:tcW w:w="722" w:type="dxa"/>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11" w:type="dxa"/>
            <w:vMerge w:val="continue"/>
            <w:noWrap/>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05" w:type="dxa"/>
            <w:vMerge w:val="continue"/>
            <w:vAlign w:val="center"/>
          </w:tcPr>
          <w:p>
            <w:pPr>
              <w:jc w:val="center"/>
              <w:rPr>
                <w:rFonts w:ascii="宋体" w:hAnsi="宋体" w:cs="宋体"/>
                <w:b/>
                <w:bCs/>
                <w:color w:val="auto"/>
                <w:szCs w:val="21"/>
                <w:highlight w:val="none"/>
              </w:rPr>
            </w:pPr>
          </w:p>
        </w:tc>
        <w:tc>
          <w:tcPr>
            <w:tcW w:w="756" w:type="dxa"/>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22</w:t>
            </w:r>
          </w:p>
        </w:tc>
        <w:tc>
          <w:tcPr>
            <w:tcW w:w="3922" w:type="dxa"/>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头戴式耳机</w:t>
            </w:r>
          </w:p>
        </w:tc>
        <w:tc>
          <w:tcPr>
            <w:tcW w:w="800" w:type="dxa"/>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套</w:t>
            </w:r>
          </w:p>
        </w:tc>
        <w:tc>
          <w:tcPr>
            <w:tcW w:w="722" w:type="dxa"/>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11" w:type="dxa"/>
            <w:vMerge w:val="continue"/>
            <w:noWrap/>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05" w:type="dxa"/>
            <w:vMerge w:val="continue"/>
            <w:vAlign w:val="center"/>
          </w:tcPr>
          <w:p>
            <w:pPr>
              <w:jc w:val="center"/>
              <w:rPr>
                <w:rFonts w:ascii="宋体" w:hAnsi="宋体" w:cs="宋体"/>
                <w:b/>
                <w:bCs/>
                <w:color w:val="auto"/>
                <w:szCs w:val="21"/>
                <w:highlight w:val="none"/>
              </w:rPr>
            </w:pPr>
          </w:p>
        </w:tc>
        <w:tc>
          <w:tcPr>
            <w:tcW w:w="756" w:type="dxa"/>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23</w:t>
            </w:r>
          </w:p>
        </w:tc>
        <w:tc>
          <w:tcPr>
            <w:tcW w:w="3922" w:type="dxa"/>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鼠标垫</w:t>
            </w:r>
          </w:p>
        </w:tc>
        <w:tc>
          <w:tcPr>
            <w:tcW w:w="800" w:type="dxa"/>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22" w:type="dxa"/>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11" w:type="dxa"/>
            <w:vMerge w:val="continue"/>
            <w:noWrap/>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05" w:type="dxa"/>
            <w:vMerge w:val="continue"/>
            <w:vAlign w:val="center"/>
          </w:tcPr>
          <w:p>
            <w:pPr>
              <w:jc w:val="center"/>
              <w:rPr>
                <w:rFonts w:ascii="宋体" w:hAnsi="宋体" w:cs="宋体"/>
                <w:b/>
                <w:bCs/>
                <w:color w:val="auto"/>
                <w:szCs w:val="21"/>
                <w:highlight w:val="none"/>
              </w:rPr>
            </w:pPr>
          </w:p>
        </w:tc>
        <w:tc>
          <w:tcPr>
            <w:tcW w:w="756" w:type="dxa"/>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24</w:t>
            </w:r>
          </w:p>
        </w:tc>
        <w:tc>
          <w:tcPr>
            <w:tcW w:w="3922" w:type="dxa"/>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扫描枪</w:t>
            </w:r>
          </w:p>
        </w:tc>
        <w:tc>
          <w:tcPr>
            <w:tcW w:w="800" w:type="dxa"/>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套</w:t>
            </w:r>
          </w:p>
        </w:tc>
        <w:tc>
          <w:tcPr>
            <w:tcW w:w="722" w:type="dxa"/>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11" w:type="dxa"/>
            <w:vMerge w:val="continue"/>
            <w:noWrap/>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05" w:type="dxa"/>
            <w:vMerge w:val="continue"/>
            <w:vAlign w:val="center"/>
          </w:tcPr>
          <w:p>
            <w:pPr>
              <w:jc w:val="center"/>
              <w:rPr>
                <w:rFonts w:ascii="宋体" w:hAnsi="宋体" w:cs="宋体"/>
                <w:b/>
                <w:bCs/>
                <w:color w:val="auto"/>
                <w:szCs w:val="21"/>
                <w:highlight w:val="none"/>
              </w:rPr>
            </w:pPr>
          </w:p>
        </w:tc>
        <w:tc>
          <w:tcPr>
            <w:tcW w:w="756" w:type="dxa"/>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25</w:t>
            </w:r>
          </w:p>
        </w:tc>
        <w:tc>
          <w:tcPr>
            <w:tcW w:w="3922" w:type="dxa"/>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地线（5米）</w:t>
            </w:r>
          </w:p>
        </w:tc>
        <w:tc>
          <w:tcPr>
            <w:tcW w:w="800" w:type="dxa"/>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根</w:t>
            </w:r>
          </w:p>
        </w:tc>
        <w:tc>
          <w:tcPr>
            <w:tcW w:w="722" w:type="dxa"/>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11" w:type="dxa"/>
            <w:vMerge w:val="continue"/>
            <w:noWrap/>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05" w:type="dxa"/>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推车</w:t>
            </w:r>
          </w:p>
        </w:tc>
        <w:tc>
          <w:tcPr>
            <w:tcW w:w="756" w:type="dxa"/>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26</w:t>
            </w:r>
          </w:p>
        </w:tc>
        <w:tc>
          <w:tcPr>
            <w:tcW w:w="3922" w:type="dxa"/>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超跑系列推车</w:t>
            </w:r>
          </w:p>
        </w:tc>
        <w:tc>
          <w:tcPr>
            <w:tcW w:w="800" w:type="dxa"/>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722" w:type="dxa"/>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11" w:type="dxa"/>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05" w:type="dxa"/>
            <w:vMerge w:val="restart"/>
            <w:noWrap/>
            <w:vAlign w:val="center"/>
          </w:tcPr>
          <w:p>
            <w:pPr>
              <w:widowControl/>
              <w:jc w:val="center"/>
              <w:textAlignment w:val="center"/>
              <w:rPr>
                <w:rFonts w:ascii="宋体" w:hAnsi="宋体" w:cs="宋体"/>
                <w:b/>
                <w:bCs/>
                <w:color w:val="auto"/>
                <w:szCs w:val="21"/>
                <w:highlight w:val="none"/>
              </w:rPr>
            </w:pPr>
          </w:p>
        </w:tc>
        <w:tc>
          <w:tcPr>
            <w:tcW w:w="756" w:type="dxa"/>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27</w:t>
            </w:r>
          </w:p>
        </w:tc>
        <w:tc>
          <w:tcPr>
            <w:tcW w:w="3922" w:type="dxa"/>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盆底肌肉康复器</w:t>
            </w:r>
          </w:p>
        </w:tc>
        <w:tc>
          <w:tcPr>
            <w:tcW w:w="800" w:type="dxa"/>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套</w:t>
            </w:r>
          </w:p>
        </w:tc>
        <w:tc>
          <w:tcPr>
            <w:tcW w:w="722" w:type="dxa"/>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11" w:type="dxa"/>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005" w:type="dxa"/>
            <w:vMerge w:val="continue"/>
            <w:noWrap/>
            <w:vAlign w:val="center"/>
          </w:tcPr>
          <w:p>
            <w:pPr>
              <w:jc w:val="center"/>
              <w:rPr>
                <w:rFonts w:ascii="宋体" w:hAnsi="宋体" w:cs="宋体"/>
                <w:b/>
                <w:bCs/>
                <w:color w:val="auto"/>
                <w:szCs w:val="21"/>
                <w:highlight w:val="none"/>
              </w:rPr>
            </w:pPr>
          </w:p>
        </w:tc>
        <w:tc>
          <w:tcPr>
            <w:tcW w:w="756" w:type="dxa"/>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28</w:t>
            </w:r>
          </w:p>
        </w:tc>
        <w:tc>
          <w:tcPr>
            <w:tcW w:w="3922" w:type="dxa"/>
            <w:noWrap/>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一次性使用阴道电极转接线</w:t>
            </w:r>
          </w:p>
        </w:tc>
        <w:tc>
          <w:tcPr>
            <w:tcW w:w="800" w:type="dxa"/>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根</w:t>
            </w:r>
          </w:p>
        </w:tc>
        <w:tc>
          <w:tcPr>
            <w:tcW w:w="722" w:type="dxa"/>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11" w:type="dxa"/>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r>
    </w:tbl>
    <w:p>
      <w:pPr>
        <w:adjustRightInd w:val="0"/>
        <w:spacing w:line="360" w:lineRule="auto"/>
        <w:ind w:firstLine="420" w:firstLineChars="200"/>
        <w:rPr>
          <w:color w:val="auto"/>
          <w:highlight w:val="none"/>
        </w:rPr>
      </w:pPr>
    </w:p>
    <w:p>
      <w:pPr>
        <w:pStyle w:val="86"/>
        <w:ind w:firstLine="0" w:firstLineChars="0"/>
        <w:rPr>
          <w:rFonts w:ascii="宋体" w:hAnsi="宋体" w:eastAsia="宋体" w:cs="宋体"/>
          <w:b/>
          <w:color w:val="auto"/>
          <w:sz w:val="28"/>
          <w:highlight w:val="none"/>
        </w:rPr>
      </w:pPr>
      <w:r>
        <w:rPr>
          <w:rFonts w:hint="eastAsia" w:ascii="宋体" w:hAnsi="宋体" w:cs="宋体"/>
          <w:color w:val="auto"/>
          <w:sz w:val="24"/>
          <w:highlight w:val="none"/>
        </w:rPr>
        <w:t>*</w:t>
      </w:r>
      <w:r>
        <w:rPr>
          <w:rFonts w:hint="eastAsia" w:ascii="宋体" w:hAnsi="宋体" w:eastAsia="宋体" w:cs="宋体"/>
          <w:b/>
          <w:color w:val="auto"/>
          <w:sz w:val="28"/>
          <w:highlight w:val="none"/>
        </w:rPr>
        <w:t>三、商务要求（各包适用）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w:t>
      </w:r>
      <w:r>
        <w:rPr>
          <w:rFonts w:hint="eastAsia" w:ascii="宋体" w:hAnsi="宋体" w:cs="宋体"/>
          <w:color w:val="auto"/>
          <w:sz w:val="24"/>
          <w:highlight w:val="none"/>
        </w:rPr>
        <w:t>履约时间（期限）：合同签订后【3】个月内完成设备的送货、安全、调试及交付使用（具体时间，双方在签订合同时确认）。</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w:t>
      </w:r>
      <w:r>
        <w:rPr>
          <w:rFonts w:hint="eastAsia" w:ascii="宋体" w:hAnsi="宋体" w:cs="宋体"/>
          <w:color w:val="auto"/>
          <w:sz w:val="24"/>
          <w:highlight w:val="none"/>
        </w:rPr>
        <w:t>履约地点：成都市双流区妇幼保健院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.交付设备生产日期：交货日前</w:t>
      </w:r>
      <w:r>
        <w:rPr>
          <w:rFonts w:hint="eastAsia" w:ascii="宋体" w:hAnsi="宋体" w:cs="宋体"/>
          <w:color w:val="auto"/>
          <w:sz w:val="24"/>
          <w:highlight w:val="none"/>
        </w:rPr>
        <w:t>【1</w:t>
      </w:r>
      <w:r>
        <w:rPr>
          <w:rFonts w:ascii="宋体" w:hAnsi="宋体" w:cs="宋体"/>
          <w:color w:val="auto"/>
          <w:sz w:val="24"/>
          <w:highlight w:val="none"/>
        </w:rPr>
        <w:t>80</w:t>
      </w:r>
      <w:r>
        <w:rPr>
          <w:rFonts w:hint="eastAsia" w:ascii="宋体" w:hAnsi="宋体" w:cs="宋体"/>
          <w:color w:val="auto"/>
          <w:sz w:val="24"/>
          <w:highlight w:val="none"/>
        </w:rPr>
        <w:t>】</w:t>
      </w:r>
      <w:r>
        <w:rPr>
          <w:rFonts w:ascii="宋体" w:hAnsi="宋体" w:cs="宋体"/>
          <w:color w:val="auto"/>
          <w:sz w:val="24"/>
          <w:highlight w:val="none"/>
        </w:rPr>
        <w:t>日内。</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包装和运输：采购设备的包装应该保证使采购货物安全、完好的运送上门并卸货至指定地点，供应商对卸货过程中货物的安全、完好性负责。</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交付（实施）的时间（期限）和地点（范围）：合同签订后【3】个月内医院指定地点现场交货。供应商承担采购设备初步验收合格前的运输、保管责任，并承担采购设备验收合格前采购设备损毁灭失的风险。自采购人初步验收合格之日起，采购设备的损毁灭失风险转移由采购人承担。</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付款条件及进度：采购人于合同签订后【5】个工作日内支付合同总价的30%作为预付款，于采购设备全部安装调试并经最终验收合格且收到发票后15日内支付合同总价的65%；剩余合同尾款在验收合格1年后支付。除预付款支付外，供应商向采购人申请支付每笔款项前，应当提供相应的结算资料。如供应商未按合同约定提供结算资料或增值税发票的，采购人有权拒绝付款且不构成违约。如根据合同约定，供应商应支付违约金、承担费用的，供应商同意采购人有权从采购人应支付供应商的货款、质保金中扣除相应的违约金、费用。</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7.</w:t>
      </w:r>
      <w:r>
        <w:rPr>
          <w:rFonts w:hint="eastAsia" w:ascii="宋体" w:hAnsi="宋体" w:cs="宋体"/>
          <w:color w:val="auto"/>
          <w:sz w:val="24"/>
          <w:highlight w:val="none"/>
        </w:rPr>
        <w:t>质量要求：供应商应保证所提供的设备（含零部件、配件等）是全新的、完整的，技术水平是先进的、成熟的，且满足医院的要求，质量是优良的，并符合安全可靠、经济运行和易于维护的要求。如因供应商提供的设备质量等非采购人原因导致采购人、患者及他人人身损害、财产损失的，供应商应当承担全部赔偿责任。如采购人因此而承担赔偿责任的，有权向供应商全额追偿。</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w:t>
      </w:r>
      <w:r>
        <w:rPr>
          <w:rFonts w:ascii="宋体" w:hAnsi="宋体" w:cs="宋体"/>
          <w:color w:val="auto"/>
          <w:sz w:val="24"/>
          <w:highlight w:val="none"/>
        </w:rPr>
        <w:t>.</w:t>
      </w:r>
      <w:r>
        <w:rPr>
          <w:rFonts w:hint="eastAsia" w:ascii="宋体" w:hAnsi="宋体" w:cs="宋体"/>
          <w:color w:val="auto"/>
          <w:sz w:val="24"/>
          <w:highlight w:val="none"/>
        </w:rPr>
        <w:t>验收、交付标准和方法：</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1</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将采购设备运输至</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指定地点后，通知</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组织</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共同进行开箱验收（包括对设备的包装、外观、数量、规格、质量等的检验）并作详细记录。开箱检验结果和记录应当由合同双方指定代表（需持书面授权委托书）或本合同签字盖章处指定联系人签字确认，并双方持一份。如</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未按时指派代表或</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指定联系人未按时参加开箱检验，</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有权自行开箱检验，检验结果和记录有效，对双方均具有约束力，且</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应在其检验结果记录上补签字。</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2在现场开箱检验时，如发现合同采购设备有任何缺陷、短缺或不符合合同约定时，均应由</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立即修理、更换或补齐。除属于</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原因引起的修理或更换费用应由</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承担外，其他任何原因引起的修理或更换等一切费用均由</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承担。对于不符合合同约定的任何设备，</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有权拒收，由此给</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所造成的全部经济损失均由</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负责赔偿。</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8.3中标人应当于采购设备经采购人开箱验收后7日内完成采购设备的安装调试（如需）。</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8.4</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于采购设备安装调试完毕后7日内通知</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初步验收。</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8.5</w:t>
      </w:r>
      <w:r>
        <w:rPr>
          <w:rFonts w:hint="eastAsia" w:ascii="宋体" w:hAnsi="宋体" w:cs="宋体"/>
          <w:color w:val="auto"/>
          <w:sz w:val="24"/>
          <w:highlight w:val="none"/>
        </w:rPr>
        <w:t>初步验收合格且培训后，进入90天试用期；试用期间发生一般质量问题经维修1次后仍不能正常使用的或发现重大质量问题的，</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应免费更换新机，同时试用期相应顺延；试用期结束后 15 日内完成最终验收。</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8.6</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于收到</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书面验收通知后7个工作日内组织验收。如非因</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原因导致</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未在前述期限内进行验收的，视为相应的验收阶段验收合格，如</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怠于通知的，除外。</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8.7</w:t>
      </w:r>
      <w:r>
        <w:rPr>
          <w:rFonts w:hint="eastAsia" w:ascii="宋体" w:hAnsi="宋体" w:cs="宋体"/>
          <w:color w:val="auto"/>
          <w:sz w:val="24"/>
          <w:highlight w:val="none"/>
        </w:rPr>
        <w:t>验收标准：按国家及行业有关法律法规规定以及招标文件的质量要求和技术指标、投标响应文件及承诺与本合同约定标准进行验收。</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8.8</w:t>
      </w:r>
      <w:r>
        <w:rPr>
          <w:rFonts w:hint="eastAsia" w:ascii="宋体" w:hAnsi="宋体" w:cs="宋体"/>
          <w:color w:val="auto"/>
          <w:sz w:val="24"/>
          <w:highlight w:val="none"/>
        </w:rPr>
        <w:t>验收资料移交：</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应将所提供设备的装箱清单、配件、随机工具、用户使用手册、原厂保修卡等资料交付给</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不能完整交付采购设备及本款规定的单证和工具的，必须负责补齐，否则视为</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未能如期交货，</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有权追究</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逾期交货的违约责任，且</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有权拒绝支付全部款项。</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8.9</w:t>
      </w:r>
      <w:r>
        <w:rPr>
          <w:rFonts w:hint="eastAsia" w:ascii="宋体" w:hAnsi="宋体" w:cs="宋体"/>
          <w:color w:val="auto"/>
          <w:sz w:val="24"/>
          <w:highlight w:val="none"/>
        </w:rPr>
        <w:t>验收时如发现所交付的采购设备有短装、次品、损坏或其它不符合标准及本合同规定之情形者，</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应做出详尽的现场记录，或由</w:t>
      </w:r>
      <w:r>
        <w:rPr>
          <w:rFonts w:hint="eastAsia" w:ascii="宋体" w:hAnsi="宋体" w:cs="宋体"/>
          <w:color w:val="auto"/>
          <w:sz w:val="24"/>
          <w:highlight w:val="none"/>
          <w:lang w:eastAsia="zh-CN"/>
        </w:rPr>
        <w:t>采购人、中标人</w:t>
      </w:r>
      <w:r>
        <w:rPr>
          <w:rFonts w:hint="eastAsia" w:ascii="宋体" w:hAnsi="宋体" w:cs="宋体"/>
          <w:color w:val="auto"/>
          <w:sz w:val="24"/>
          <w:highlight w:val="none"/>
        </w:rPr>
        <w:t>双方签署备忘录，此现场记录或备忘录可用作补充、缺失和更换损坏部件的有效证据，由此产生的时间延误与有关费用由</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承担，验收期限相应顺延。</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8.10</w:t>
      </w:r>
      <w:r>
        <w:rPr>
          <w:rFonts w:hint="eastAsia" w:ascii="宋体" w:hAnsi="宋体" w:cs="宋体"/>
          <w:color w:val="auto"/>
          <w:sz w:val="24"/>
          <w:highlight w:val="none"/>
        </w:rPr>
        <w:t>如采购设备验收合格的，由双方各自指派指定代表（需持书面授权委托书）或本合同签字盖章处指定联系人签署最终验收报告。同时，</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保留将到货采购设备送至具备检测资质的第三方检测机构进行抽检的权利。</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其他未尽事宜应严格按照《财政部关于进一步加强政府采购需求和履约验收管理的指导意见》（财库〔2016〕205号）等政府采购相关法律法规的要求进行验收。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售后服务：供应商指定专门的人员作为售后联系人，负责免费保修和售后工作。如供应商未按合同约定履行免费保修和售后服务的，采购人有权另行委托任何第三方提供保修和售后服务，产生的费用由供应商承担，且采购人有权要求按照产生费用的20%要求供应商支付违约金。</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免费保修范围和保修期：采购设备免费保修期为【1】年（其中包4保修期为5年，如项目技术需求和供应商承诺免费保修期限长于该期限的，以最长的期限确定免费保修期），自采购设最终验收且双方代表签署最终验收报告之日起开始计算。免费保修期内供应商应免费负责采购设备维修及抢修，且不能以差旅、住宿等理由要求采购人支付其他任何费用。供应商接到采购人维修通知后，须2个小时内响应，在4小时内到现场，对设备进行维修或更换并承担修理调换的费用，如因特殊原因导致不能现场完成维修或更换的，供应商最迟应于2个工作日内完成维修或更换。在免费保修期内，如采购设备经3次维修仍不能达到合同约定的质量标准，则采购人有权要求供应商免费更换新机或退货，并有权要求供应商支付应退换的采购设备同等金额的违约金。免费保修期满后，若设备出现故障且采购人委托供应商维修的，供应商将无条件负责维修好设备且只收取更换零配件费用。涉及到软件需要升级的设备，供应商需终身免费升级，采购人不再另行支付费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11.保险：无。</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培训：供应商应就设备的安装、调试、操作、维修、保养等对采购人维修技术人员及操作人员进行培训，直至采购人的操作人员能独立操作，同时能完成一般常见故障的维修工作，所需的费用已包括在合同总价中，采购人无须另行支付。</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w:t>
      </w:r>
      <w:r>
        <w:rPr>
          <w:rFonts w:ascii="宋体" w:hAnsi="宋体" w:cs="宋体"/>
          <w:color w:val="auto"/>
          <w:sz w:val="24"/>
          <w:highlight w:val="none"/>
        </w:rPr>
        <w:t>.</w:t>
      </w:r>
      <w:r>
        <w:rPr>
          <w:rFonts w:hint="eastAsia" w:ascii="宋体" w:hAnsi="宋体" w:cs="宋体"/>
          <w:color w:val="auto"/>
          <w:sz w:val="24"/>
          <w:highlight w:val="none"/>
        </w:rPr>
        <w:t>违约责任：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13.1如非因供应商原因导致采购人逾期支付货款的，每逾期一日，供应商有权要求采购人以逾期未付款项为基数，按照中国人民银行活期存款利率（单利）的标准支付逾期付款损失。如非因供应商原因导致采购人逾期支付预付款超过90日的，供应商有权解除本合同，并要求采购人按照预付款总额的20%支付违约金。</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13.2如非因采购人原因导致供应商逾期交付采购设备或逾期完成验收或逾期未免费更换或退换的，每逾期一日，采购人有权要求供应商以违约采购设备对应的设备金额为基数，按照每日万分之五的标准支付违约金。如逾期超过15日的，采购人有权部分或全部终止合同。如采购人选择部分终止合同，同意接受已按期交付且验收合格的采购设备的，甲乙双方对供应商已验收合格的采购设备据实进行结算，采购人同时有权要求供应商按照合同总价的20%支付违约金。如采购人选择全部终止合同的，供应商应退还全部预付款，采购人有权要求供应商按照合同总价的20%支付违约金。如前述违约金不足以弥补采购人损失的，供应商应当另行赔偿。</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w:t>
      </w:r>
      <w:r>
        <w:rPr>
          <w:rFonts w:ascii="宋体" w:hAnsi="宋体" w:cs="宋体"/>
          <w:color w:val="auto"/>
          <w:sz w:val="24"/>
          <w:highlight w:val="none"/>
        </w:rPr>
        <w:t>.</w:t>
      </w:r>
      <w:r>
        <w:rPr>
          <w:rFonts w:hint="eastAsia" w:ascii="宋体" w:hAnsi="宋体" w:cs="宋体"/>
          <w:color w:val="auto"/>
          <w:sz w:val="24"/>
          <w:highlight w:val="none"/>
        </w:rPr>
        <w:t>争议与解决</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14.1因采购设备的质量问题发生争议，由质量技术监督部门或其指定的质量鉴定机构进行质量鉴定，鉴定费先由供应商垫付。采购设备符合标准的，鉴定费由采购人承担；采购设备不符合质量标准的，鉴定费由供应商承担。</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14.2合同履行期间,若双方发生争议，可协商或由有关部门调解解决，协商或调解不成的，任何一方均可向采购人住所地有管辖权的人民法院提起诉讼。败诉方应当承担胜诉方为维护权利产生的诉讼费、保全费、公告费、律师费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14.3如因采购人根据本合同的约定向供应商行使追偿权的，供应商同意采购人可向采购人住所地有管辖权的人民法院提起诉讼，并愿意承担采购人为实现债权产生的诉讼费、保全费、公告费、律师费、保全担保保险费等。</w:t>
      </w:r>
    </w:p>
    <w:p>
      <w:pPr>
        <w:spacing w:line="360" w:lineRule="auto"/>
        <w:ind w:firstLine="812"/>
        <w:jc w:val="left"/>
        <w:rPr>
          <w:rFonts w:ascii="宋体" w:hAnsi="宋体" w:cs="宋体"/>
          <w:b/>
          <w:color w:val="auto"/>
          <w:sz w:val="24"/>
          <w:highlight w:val="none"/>
        </w:rPr>
      </w:pPr>
      <w:r>
        <w:rPr>
          <w:rFonts w:hint="eastAsia" w:ascii="宋体" w:hAnsi="宋体" w:cs="宋体"/>
          <w:b/>
          <w:color w:val="auto"/>
          <w:sz w:val="24"/>
          <w:highlight w:val="none"/>
        </w:rPr>
        <w:t>注：①本章带“★”号项目作为关键性指标要求，其余项目作为一般技术指标要求，如未满足将根据评分办法规定分别进行扣分。本章带“*”号项目作为实质性条款，投标人不满足的，将按照无效投标处理。</w:t>
      </w:r>
    </w:p>
    <w:p>
      <w:pPr>
        <w:spacing w:line="360" w:lineRule="auto"/>
        <w:ind w:firstLine="482" w:firstLineChars="200"/>
        <w:jc w:val="left"/>
        <w:rPr>
          <w:rFonts w:ascii="仿宋" w:hAnsi="仿宋" w:eastAsia="仿宋" w:cs="仿宋"/>
          <w:b/>
          <w:color w:val="auto"/>
          <w:sz w:val="24"/>
          <w:szCs w:val="36"/>
          <w:highlight w:val="none"/>
        </w:rPr>
      </w:pPr>
      <w:r>
        <w:rPr>
          <w:rFonts w:hint="eastAsia" w:ascii="宋体" w:hAnsi="宋体" w:cs="宋体"/>
          <w:b/>
          <w:color w:val="auto"/>
          <w:sz w:val="24"/>
          <w:highlight w:val="none"/>
        </w:rPr>
        <w:t>②本项目涉及企业资质、产品认证、人员执业资格等描述与国家最新要求不一致时以最新要求为准。</w:t>
      </w:r>
    </w:p>
    <w:p>
      <w:pPr>
        <w:pStyle w:val="3"/>
        <w:ind w:firstLine="210"/>
        <w:rPr>
          <w:color w:val="auto"/>
          <w:highlight w:val="none"/>
        </w:rPr>
        <w:sectPr>
          <w:pgSz w:w="11906" w:h="16838"/>
          <w:pgMar w:top="1440" w:right="1474" w:bottom="1440" w:left="1474" w:header="851" w:footer="992" w:gutter="0"/>
          <w:cols w:space="720" w:num="1"/>
          <w:docGrid w:type="lines" w:linePitch="312" w:charSpace="0"/>
        </w:sectPr>
      </w:pPr>
    </w:p>
    <w:p>
      <w:pPr>
        <w:pStyle w:val="33"/>
        <w:spacing w:line="360" w:lineRule="auto"/>
        <w:rPr>
          <w:rFonts w:ascii="宋体" w:hAnsi="宋体" w:cs="宋体"/>
          <w:color w:val="auto"/>
          <w:highlight w:val="none"/>
        </w:rPr>
      </w:pPr>
      <w:bookmarkStart w:id="221" w:name="_Toc2564"/>
      <w:bookmarkStart w:id="222" w:name="_Toc2616"/>
      <w:r>
        <w:rPr>
          <w:rFonts w:hint="eastAsia" w:ascii="宋体" w:hAnsi="宋体" w:cs="宋体"/>
          <w:color w:val="auto"/>
          <w:highlight w:val="none"/>
        </w:rPr>
        <w:t>第七章  评标办法</w:t>
      </w:r>
      <w:bookmarkEnd w:id="219"/>
      <w:bookmarkEnd w:id="221"/>
      <w:bookmarkEnd w:id="222"/>
      <w:bookmarkStart w:id="223" w:name="_Hlt101846155"/>
      <w:bookmarkEnd w:id="223"/>
      <w:bookmarkStart w:id="224" w:name="_Toc183682415"/>
      <w:bookmarkStart w:id="225" w:name="_Toc217446097"/>
      <w:bookmarkStart w:id="226" w:name="_Toc208849007"/>
      <w:bookmarkStart w:id="227" w:name="_Toc183582280"/>
    </w:p>
    <w:bookmarkEnd w:id="224"/>
    <w:bookmarkEnd w:id="225"/>
    <w:bookmarkEnd w:id="226"/>
    <w:bookmarkEnd w:id="227"/>
    <w:p>
      <w:pPr>
        <w:pStyle w:val="5"/>
        <w:spacing w:line="360" w:lineRule="auto"/>
        <w:rPr>
          <w:rFonts w:ascii="宋体" w:hAnsi="宋体" w:eastAsia="宋体" w:cs="宋体"/>
          <w:color w:val="auto"/>
          <w:sz w:val="24"/>
          <w:szCs w:val="24"/>
          <w:highlight w:val="none"/>
        </w:rPr>
      </w:pPr>
      <w:bookmarkStart w:id="228" w:name="_Toc217446103"/>
      <w:bookmarkStart w:id="229" w:name="_Toc217446099"/>
      <w:r>
        <w:rPr>
          <w:rFonts w:hint="eastAsia" w:ascii="宋体" w:hAnsi="宋体" w:eastAsia="宋体" w:cs="宋体"/>
          <w:color w:val="auto"/>
          <w:sz w:val="24"/>
          <w:szCs w:val="24"/>
          <w:highlight w:val="none"/>
        </w:rPr>
        <w:t>1. 总则</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 根据《中华人民共和国政府采购法》、《中华人民共和国政府采购法实施条例》、《政府采购货物和服务招标投标管理办法》等法律制度，结合采购项目特点制定本评标办法。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 公开招标采购项目开标结束后，采购人或者采购代理机构应当依法对投标人的资格进行审查。依据法律法规和本招标文件的规定，对投标文件是否按照规定要求提供资格性证明材料，以确定投标供应商是否具备投标资格。</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合格投标人不足三家的，不得评标。</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评标工作由采购代理机构负责组织，具体评标事务由采购代理机构依法组建的评标委员会负责。评标委员会由采购人代表和有关技术、经济、法律等方面的专家组成（专家组成员构成、数量根据具体项目确定）。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 评标工作应遵循公平、公正、科学及择优的原则，并以相同的评标程序和标准对待所有的投标人。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 评标委员会按照招标文件规定的评标方法和标准进行评标，并独立履行下列职责：</w:t>
      </w:r>
    </w:p>
    <w:p>
      <w:pPr>
        <w:spacing w:line="360" w:lineRule="auto"/>
        <w:ind w:firstLine="480" w:firstLineChars="200"/>
        <w:rPr>
          <w:rFonts w:ascii="宋体" w:hAnsi="宋体" w:cs="宋体"/>
          <w:color w:val="auto"/>
          <w:sz w:val="24"/>
          <w:highlight w:val="none"/>
        </w:rPr>
      </w:pPr>
      <w:bookmarkStart w:id="230" w:name="_Toc217446098"/>
      <w:r>
        <w:rPr>
          <w:rFonts w:hint="eastAsia" w:ascii="宋体" w:hAnsi="宋体" w:cs="宋体"/>
          <w:color w:val="auto"/>
          <w:sz w:val="24"/>
          <w:highlight w:val="none"/>
        </w:rPr>
        <w:t>（一）熟悉和理解招标文件；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（二）审查供应商（已通过资格审查）的投标文件是否满足招标文件要求，并作出评价；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（三）根据需要要求招标采购单位对招标文件作出解释；根据需要要求供应商对投标文件有关事项作出澄清、说明或者更正；</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（四）推荐中标候选供应商，或者受采购人委托确定中标供应商；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（五）起草评标报告并进行签署；</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（六）向招标采购单位、财政部门或者其他监督部门报告非法干预评标工作的行为；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（七）法律、法规和规章规定的其他职责。</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 评标过程独立、保密。投标人非法干预评标过程的行为将导致其投标文件作为无效处理。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 评标委员会评价投标文件的响应性，对于投标人而言，除评标委员会要求其澄清、说明或者更正而提供的资料外，仅依据投标文件本身的内容，不寻求其他外部证据。</w:t>
      </w:r>
    </w:p>
    <w:p>
      <w:pPr>
        <w:pStyle w:val="5"/>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 评标</w:t>
      </w:r>
      <w:bookmarkEnd w:id="230"/>
      <w:r>
        <w:rPr>
          <w:rFonts w:hint="eastAsia" w:ascii="宋体" w:hAnsi="宋体" w:eastAsia="宋体" w:cs="宋体"/>
          <w:color w:val="auto"/>
          <w:sz w:val="24"/>
          <w:szCs w:val="24"/>
          <w:highlight w:val="none"/>
        </w:rPr>
        <w:t>方法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2.1本项目评标方法为：</w:t>
      </w:r>
      <w:r>
        <w:rPr>
          <w:rFonts w:hint="eastAsia" w:ascii="宋体" w:hAnsi="宋体" w:cs="宋体"/>
          <w:b/>
          <w:bCs/>
          <w:color w:val="auto"/>
          <w:sz w:val="24"/>
          <w:highlight w:val="none"/>
        </w:rPr>
        <w:t>综合评分法</w:t>
      </w:r>
      <w:r>
        <w:rPr>
          <w:rFonts w:hint="eastAsia" w:ascii="宋体" w:hAnsi="宋体" w:cs="宋体"/>
          <w:color w:val="auto"/>
          <w:sz w:val="24"/>
          <w:highlight w:val="none"/>
        </w:rPr>
        <w:t>。</w:t>
      </w:r>
    </w:p>
    <w:p>
      <w:pPr>
        <w:pStyle w:val="5"/>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 评标程序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3.1熟悉和理解招标文件和停止评标。</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3.1.1评标委员会正式评标前，应当对招标文件进行熟悉和理解，内容主要包括招标文件中投标人资格条件要求、采购项目技术、服务和商务要求、评标方法和标准以及可能涉及签订政府采购合同的内容等。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3.1.2评标委员会熟悉和理解招标文件以及评标过程中，发现本招标文件有下列情形之一的，评标委员会应当停止评标：</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（1）招标文件的规定存在歧义、重大缺陷的；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（2）招标文件明显以不合理条件对供应商实行差别待遇或者歧视待遇的；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（3）采购项目属于国家规定的优先、强制采购范围，但是招标文件未依法体现优先、强制采购相关规定的；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（4）采购项目属于政府采购促进中小企业发展的范围，但是招标文件未依法体现促进中小企业发展相关规定的；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（5）招标文件规定的评标方法是综合评分法、最低评标价法之外的评标方法，或者虽然名称为综合评分法、最低评标价法，但实际上不符合国家规定；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（6）招标文件将投标人的资格条件列为评分因素的；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（7）招标文件有违反国家其他有关强制性规定的情形。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3.1.3出现本条3.1.2规定应当停止评标情形的，评标委员会成员应当向招标采购单位书面说明情况。除本条规定和评标委员会无法依法组建的情形外，评标委员会成员不得以任何方式和理由停止评标。</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3.2符合性检查。</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3.2.1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3.2.2投标文件（包括单独递交的开标一览表）有下列情形的，本项目不作为实质性要求进行规定，即不作为符合性审查事项，不得作为无效投标处理：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（二）存在个别地方（不超过2个）没有法定代表人/单位负责人签字，但有法定代表人/单位负责人的私人印章或者有效授权代理人签字的；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（三）除招标文件明确要求加盖单位(法人)电子签章的以外，其他地方以相关专用章加盖的；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（四）以骑缝章的形式代替投标文件内容逐页盖章的（但是骑缝章模糊不清，印章名称无法辨认的除外）；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（五）其他不影响采购项目实质性要求的情形。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3.2.3除政府采购法律制度规定的情形外，本项目投标人或者其投标文件有下列情形之一的，作为无效投标处理：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（一）投标文件组成明显不符合招标文件的规定要求，影响评标委员会评判的；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（二）投标文件的格式、语言、计量单位、报价货币、知识产权、投标有效期等不符合招标文件的规定，影响评标委员会评判的；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（三）投标报价不符合招标文件规定的采购预算或限价或其他报价规定的；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技术应答内容完全或者绝大部分复制招标文件规定要求，且无相关证明材料的（主要适用于专用设备和电子信息化建设采购项目，政府采购工程、政府采购协议供货或定点供应商采购、政府采购的货物属于规格标准统一或者订制产品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（五）技术、服务内容如有实质性要求，投标文件没有完全响应招标文件的实质性要求或属于招标文件中投标无效情形的；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（六）招标文件有明确要求，但投标文件未载明或者载明的招标项目履约时间、方式、数量及其他政府采购合同实质性内容与招标文件要求不一致的。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3.3比较与评价。按招标文件中规定的评标方法和标准，对未作无效投标处理的投标文件进行技术、服务、商务等方面评估，综合比较与评价。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3.4复核。评分汇总结束后，评标委员会应当进行复核，特别要对拟推荐为中标候选供应商的、报价最低的、投标文件被认定为无效的进行重点复核。</w:t>
      </w:r>
    </w:p>
    <w:p>
      <w:pPr>
        <w:widowControl/>
        <w:spacing w:line="360" w:lineRule="auto"/>
        <w:ind w:firstLine="480"/>
        <w:jc w:val="left"/>
        <w:rPr>
          <w:rFonts w:ascii="宋体" w:hAnsi="宋体" w:cs="宋体"/>
          <w:color w:val="auto"/>
          <w:kern w:val="1"/>
          <w:sz w:val="24"/>
          <w:highlight w:val="none"/>
        </w:rPr>
      </w:pPr>
      <w:r>
        <w:rPr>
          <w:rFonts w:hint="eastAsia" w:ascii="宋体" w:hAnsi="宋体" w:cs="宋体"/>
          <w:color w:val="auto"/>
          <w:sz w:val="24"/>
          <w:highlight w:val="none"/>
        </w:rPr>
        <w:t>3.5推荐中标候选人。评标委员会</w:t>
      </w:r>
      <w:r>
        <w:rPr>
          <w:rFonts w:hint="eastAsia" w:ascii="宋体" w:hAnsi="宋体" w:cs="宋体"/>
          <w:color w:val="auto"/>
          <w:kern w:val="1"/>
          <w:sz w:val="24"/>
          <w:highlight w:val="none"/>
        </w:rPr>
        <w:t>根据综合评分情况，按照评审得分由高到低顺序推荐</w:t>
      </w:r>
      <w:r>
        <w:rPr>
          <w:rFonts w:hint="eastAsia" w:ascii="宋体" w:hAnsi="宋体" w:cs="宋体"/>
          <w:color w:val="auto"/>
          <w:sz w:val="24"/>
          <w:highlight w:val="none"/>
        </w:rPr>
        <w:t>中标候选人。</w:t>
      </w:r>
      <w:r>
        <w:rPr>
          <w:rFonts w:hint="eastAsia" w:ascii="宋体" w:hAnsi="宋体" w:cs="宋体"/>
          <w:color w:val="auto"/>
          <w:kern w:val="1"/>
          <w:sz w:val="24"/>
          <w:highlight w:val="none"/>
        </w:rPr>
        <w:t>评审得分且最后报价相同的，按照技术指标优劣顺序推荐。评审得分且最后报价且技术指标分项得分均相同的，不发达地区或少数民族地区的供应商推荐顺序在非不发达地区或少数民族地区的供应商之前；评审得分且最后报价且技术指标分项得分均相同的，且均为不发达地区或少数民族地区的供应商并列；评审得分且最后报价且技术指标分项得分均相同的，且不能判定为不发达地区或少数民族地区的供应商并列。（不发达地区或少数民族地区的供应商需提供属于不发达地区或少数民族地区企业的相关证明材料，或供应商注册地为少数民族地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委员会可推荐的中标候选人数量不能满足招标文件规定的数量的，只有在获得采购人书面同意后，可以根据实际情况推荐中标候选人。未获得采购人的书面同意,评标委员会不得在招标文件规定之外推荐中标候选人，否则，采购人可以不予认可。</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3.6出具评标报告。评标委员会推荐中标候选供应商后，应当向招标采购单位出具评标报告。评标报告应当包括下列内容：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（一）招标公告刊登的媒体名称、开标日期和地点；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（二）获取招标文件的投标人名单和评标委员会成员名单；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（三）评标方法和标准；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（四）开标记录和评标情况及说明，包括无效投标人名单及原因；</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（五）评标结果和中标候选供应商排序表；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（六）评标委员会授标建议；</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（七）报价最高的投标人为中标候选人的，评标委员会应当对其报价的合理性予以特别说明。</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3.7评标争议处理规则。评标委员会在评审过程中，对于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3.8供应商应当书面澄清、说明或者更正。</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3.8.1在评标过程中，供应商投标文件实质性符合招标文件要求的前提下，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3.8.2供应商应当书面澄清、说明或者更正，并加盖投标人电子签章或签字确认（供应商为法人的，应当由其法定代表人/单位负责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3.8.3评标委员会要求供应商澄清、说明或者更正，不得超出招标文件的范围，不得以此让供应商实质改变投标文件的内容，不得影响供应商公平竞争。本项目下列内容不得澄清：</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（一）按财政部规定应当在评标时不予承认的投标文件内容事项；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（二）投标文件中已经明确的内容事项；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3.8.4 本项目采购过程中，投标文件报价出现前后不一致的，按照下列规定修正：</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（一）投标文件中开标一览表（报价表）内容与投标文件中相应内容不一致的，以开标一览表（报价表）为准；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（二）大写金额和小写金额不一致的，以大写金额为准；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（三）单价金额小数点或者百分比有明显错位的，以开标一览表的总价为准，并修改单价；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（四）总价金额与按单价汇总金额不一致的，以单价金额计算结果为准。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同时出现两种以上不一致的，按照前款规定的顺序修正。修正后的报价按照本章3.8.1-3.8.3的规定经投标人确认后产生约束力，投标人不确认的，其投标无效。</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注：评标委员会当积极履行澄清、说明或者更正的职责，不得滥用权力。供应商的投标文件应当要求澄清、说明或者更正的，不得未经澄清、说明或者更正而直接作无效投标处理。</w:t>
      </w:r>
    </w:p>
    <w:p>
      <w:pPr>
        <w:pStyle w:val="82"/>
        <w:spacing w:line="360" w:lineRule="auto"/>
        <w:ind w:firstLine="480" w:firstLineChars="200"/>
        <w:jc w:val="both"/>
        <w:rPr>
          <w:color w:val="auto"/>
          <w:highlight w:val="none"/>
        </w:rPr>
      </w:pPr>
      <w:r>
        <w:rPr>
          <w:rFonts w:hint="eastAsia"/>
          <w:color w:val="auto"/>
          <w:highlight w:val="none"/>
        </w:rPr>
        <w:t>3.9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82"/>
        <w:spacing w:line="360" w:lineRule="auto"/>
        <w:ind w:firstLine="480" w:firstLineChars="200"/>
        <w:jc w:val="both"/>
        <w:rPr>
          <w:color w:val="auto"/>
          <w:highlight w:val="none"/>
        </w:rPr>
      </w:pPr>
      <w:r>
        <w:rPr>
          <w:rFonts w:hint="eastAsia"/>
          <w:color w:val="auto"/>
          <w:highlight w:val="none"/>
        </w:rPr>
        <w:t>3.10招标采购单位现场复核评标结果。</w:t>
      </w:r>
    </w:p>
    <w:p>
      <w:pPr>
        <w:pStyle w:val="82"/>
        <w:spacing w:line="360" w:lineRule="auto"/>
        <w:ind w:firstLine="480" w:firstLineChars="200"/>
        <w:jc w:val="both"/>
        <w:rPr>
          <w:color w:val="auto"/>
          <w:highlight w:val="none"/>
        </w:rPr>
      </w:pPr>
      <w:r>
        <w:rPr>
          <w:rFonts w:hint="eastAsia"/>
          <w:color w:val="auto"/>
          <w:highlight w:val="none"/>
        </w:rPr>
        <w:t>3.10.1评标结果汇总完成后，评标委员会拟出具评标报告前，招标采购单位应当组织2名以上的本单位工作人员，在采购现场监督人员的监督之下，依据有关的法律制度和采购文件对评标结果进行复核，出具复核报告。除下列情形外，任何人不得修改评标结果：</w:t>
      </w:r>
    </w:p>
    <w:p>
      <w:pPr>
        <w:pStyle w:val="82"/>
        <w:spacing w:line="360" w:lineRule="auto"/>
        <w:ind w:firstLine="480" w:firstLineChars="200"/>
        <w:jc w:val="both"/>
        <w:rPr>
          <w:color w:val="auto"/>
          <w:highlight w:val="none"/>
        </w:rPr>
      </w:pPr>
      <w:r>
        <w:rPr>
          <w:rFonts w:hint="eastAsia"/>
          <w:color w:val="auto"/>
          <w:highlight w:val="none"/>
        </w:rPr>
        <w:t>（一）分值汇总计算错误的；</w:t>
      </w:r>
    </w:p>
    <w:p>
      <w:pPr>
        <w:pStyle w:val="82"/>
        <w:spacing w:line="360" w:lineRule="auto"/>
        <w:ind w:firstLine="480" w:firstLineChars="200"/>
        <w:jc w:val="both"/>
        <w:rPr>
          <w:color w:val="auto"/>
          <w:highlight w:val="none"/>
        </w:rPr>
      </w:pPr>
      <w:r>
        <w:rPr>
          <w:rFonts w:hint="eastAsia"/>
          <w:color w:val="auto"/>
          <w:highlight w:val="none"/>
        </w:rPr>
        <w:t>（二）分项评分超出评分标准范围的；</w:t>
      </w:r>
    </w:p>
    <w:p>
      <w:pPr>
        <w:pStyle w:val="82"/>
        <w:spacing w:line="360" w:lineRule="auto"/>
        <w:ind w:firstLine="480" w:firstLineChars="200"/>
        <w:jc w:val="both"/>
        <w:rPr>
          <w:color w:val="auto"/>
          <w:highlight w:val="none"/>
        </w:rPr>
      </w:pPr>
      <w:r>
        <w:rPr>
          <w:rFonts w:hint="eastAsia"/>
          <w:color w:val="auto"/>
          <w:highlight w:val="none"/>
        </w:rPr>
        <w:t>（三）客观评分不一致的；</w:t>
      </w:r>
    </w:p>
    <w:p>
      <w:pPr>
        <w:pStyle w:val="82"/>
        <w:spacing w:line="360" w:lineRule="auto"/>
        <w:ind w:firstLine="480" w:firstLineChars="200"/>
        <w:jc w:val="both"/>
        <w:rPr>
          <w:color w:val="auto"/>
          <w:highlight w:val="none"/>
        </w:rPr>
      </w:pPr>
      <w:r>
        <w:rPr>
          <w:rFonts w:hint="eastAsia"/>
          <w:color w:val="auto"/>
          <w:highlight w:val="none"/>
        </w:rPr>
        <w:t>（四）经评标委员会认定评分畸高畸低的。</w:t>
      </w:r>
    </w:p>
    <w:p>
      <w:pPr>
        <w:pStyle w:val="82"/>
        <w:spacing w:line="360" w:lineRule="auto"/>
        <w:ind w:firstLine="480" w:firstLineChars="200"/>
        <w:jc w:val="both"/>
        <w:rPr>
          <w:color w:val="auto"/>
          <w:highlight w:val="none"/>
        </w:rPr>
      </w:pPr>
      <w:r>
        <w:rPr>
          <w:rFonts w:hint="eastAsia"/>
          <w:color w:val="auto"/>
          <w:highlight w:val="none"/>
        </w:rPr>
        <w:t>存在本条上述规定情形的，由评标委员会自主决定是否采纳招标采购单位的书面建议，并承担独立评审责任。评标委员会采纳招标采购单位书面建议的，应当按照规定现场修改评标结果或者重新评审，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应当书面报告采购项目同级财政部门依法处理。</w:t>
      </w:r>
    </w:p>
    <w:p>
      <w:pPr>
        <w:pStyle w:val="82"/>
        <w:spacing w:line="360" w:lineRule="auto"/>
        <w:ind w:firstLine="480" w:firstLineChars="200"/>
        <w:jc w:val="both"/>
        <w:rPr>
          <w:color w:val="auto"/>
          <w:highlight w:val="none"/>
        </w:rPr>
      </w:pPr>
      <w:r>
        <w:rPr>
          <w:rFonts w:hint="eastAsia"/>
          <w:color w:val="auto"/>
          <w:highlight w:val="none"/>
        </w:rPr>
        <w:t>3.10.2有下列情形之一的，不得修改评标结果或者重新评审：</w:t>
      </w:r>
    </w:p>
    <w:p>
      <w:pPr>
        <w:pStyle w:val="82"/>
        <w:spacing w:line="360" w:lineRule="auto"/>
        <w:ind w:firstLine="480" w:firstLineChars="200"/>
        <w:jc w:val="both"/>
        <w:rPr>
          <w:color w:val="auto"/>
          <w:highlight w:val="none"/>
        </w:rPr>
      </w:pPr>
      <w:r>
        <w:rPr>
          <w:rFonts w:hint="eastAsia"/>
          <w:color w:val="auto"/>
          <w:highlight w:val="none"/>
        </w:rPr>
        <w:t>（一）招标采购单位现场复核时，复核工作人员数量不足的；</w:t>
      </w:r>
    </w:p>
    <w:p>
      <w:pPr>
        <w:pStyle w:val="82"/>
        <w:spacing w:line="360" w:lineRule="auto"/>
        <w:ind w:firstLine="480" w:firstLineChars="200"/>
        <w:jc w:val="both"/>
        <w:rPr>
          <w:color w:val="auto"/>
          <w:highlight w:val="none"/>
        </w:rPr>
      </w:pPr>
      <w:r>
        <w:rPr>
          <w:rFonts w:hint="eastAsia"/>
          <w:color w:val="auto"/>
          <w:highlight w:val="none"/>
        </w:rPr>
        <w:t>（二）招标采购单位现场复核时，没有采购监督人员现场监督的；</w:t>
      </w:r>
    </w:p>
    <w:p>
      <w:pPr>
        <w:pStyle w:val="82"/>
        <w:spacing w:line="360" w:lineRule="auto"/>
        <w:ind w:firstLine="480" w:firstLineChars="200"/>
        <w:jc w:val="both"/>
        <w:rPr>
          <w:color w:val="auto"/>
          <w:highlight w:val="none"/>
        </w:rPr>
      </w:pPr>
      <w:r>
        <w:rPr>
          <w:rFonts w:hint="eastAsia"/>
          <w:color w:val="auto"/>
          <w:highlight w:val="none"/>
        </w:rPr>
        <w:t>（三）招标采购单位现场复核内容超出规定范围的；</w:t>
      </w:r>
    </w:p>
    <w:p>
      <w:pPr>
        <w:pStyle w:val="82"/>
        <w:spacing w:line="360" w:lineRule="auto"/>
        <w:ind w:firstLine="480" w:firstLineChars="200"/>
        <w:jc w:val="both"/>
        <w:rPr>
          <w:color w:val="auto"/>
          <w:highlight w:val="none"/>
        </w:rPr>
      </w:pPr>
      <w:r>
        <w:rPr>
          <w:rFonts w:hint="eastAsia"/>
          <w:color w:val="auto"/>
          <w:highlight w:val="none"/>
        </w:rPr>
        <w:t>（四）招标采购单位未提供书面建议的。</w:t>
      </w:r>
    </w:p>
    <w:p>
      <w:pPr>
        <w:pStyle w:val="5"/>
        <w:spacing w:before="0" w:after="0"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 评标细则及标准</w:t>
      </w:r>
      <w:bookmarkEnd w:id="228"/>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4.1本次综合评分的因素是：</w:t>
      </w:r>
      <w:r>
        <w:rPr>
          <w:rFonts w:hint="eastAsia" w:ascii="宋体" w:hAnsi="宋体" w:cs="宋体"/>
          <w:color w:val="auto"/>
          <w:sz w:val="24"/>
          <w:highlight w:val="none"/>
          <w:u w:val="single"/>
        </w:rPr>
        <w:t>详见综合评分明细表</w:t>
      </w:r>
      <w:r>
        <w:rPr>
          <w:rFonts w:hint="eastAsia" w:ascii="宋体" w:hAnsi="宋体" w:cs="宋体"/>
          <w:color w:val="auto"/>
          <w:sz w:val="24"/>
          <w:highlight w:val="none"/>
        </w:rPr>
        <w:t>。</w:t>
      </w:r>
    </w:p>
    <w:p>
      <w:pPr>
        <w:pStyle w:val="82"/>
        <w:spacing w:line="360" w:lineRule="auto"/>
        <w:ind w:firstLine="480" w:firstLineChars="200"/>
        <w:rPr>
          <w:color w:val="auto"/>
          <w:highlight w:val="none"/>
        </w:rPr>
      </w:pPr>
      <w:r>
        <w:rPr>
          <w:rFonts w:hint="eastAsia"/>
          <w:color w:val="auto"/>
          <w:highlight w:val="none"/>
        </w:rPr>
        <w:t>4.2 评标委员会成员应当根据自身专业情况对每个有效投标供应商的投标文件进行独立评分，加权汇总每项评分因素的得分，得出每个有效投标供应商的总分。技术类评分因素由技术方面评标委员会成员独立评分。经济类评分因素由经济方面评标委员会成员独立评分。政策合同类的评分因素由法律方面评标委员会成员独立评分。采购人代表原则上对技术类评分因素独立评分。价格和其他不能明确区分的评分因素由评标委员会成员共同评分。</w:t>
      </w:r>
    </w:p>
    <w:p>
      <w:pPr>
        <w:pStyle w:val="14"/>
        <w:tabs>
          <w:tab w:val="left" w:pos="600"/>
        </w:tabs>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4.3综合评分明细表</w:t>
      </w:r>
    </w:p>
    <w:p>
      <w:pPr>
        <w:pStyle w:val="14"/>
        <w:tabs>
          <w:tab w:val="left" w:pos="600"/>
        </w:tabs>
        <w:spacing w:line="360" w:lineRule="auto"/>
        <w:ind w:firstLine="482" w:firstLineChars="200"/>
        <w:outlineLvl w:val="3"/>
        <w:rPr>
          <w:rFonts w:ascii="宋体" w:hAnsi="宋体" w:cs="宋体"/>
          <w:b/>
          <w:color w:val="auto"/>
          <w:sz w:val="24"/>
          <w:highlight w:val="none"/>
        </w:rPr>
      </w:pPr>
      <w:bookmarkStart w:id="231" w:name="_Toc490290416"/>
      <w:bookmarkStart w:id="232" w:name="_Toc217446060"/>
      <w:r>
        <w:rPr>
          <w:rFonts w:hint="eastAsia" w:ascii="宋体" w:hAnsi="宋体" w:cs="宋体"/>
          <w:b/>
          <w:color w:val="auto"/>
          <w:sz w:val="24"/>
          <w:highlight w:val="none"/>
        </w:rPr>
        <w:t>第一包：</w:t>
      </w:r>
    </w:p>
    <w:tbl>
      <w:tblPr>
        <w:tblStyle w:val="35"/>
        <w:tblW w:w="9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289"/>
        <w:gridCol w:w="646"/>
        <w:gridCol w:w="4767"/>
        <w:gridCol w:w="1276"/>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64" w:type="dxa"/>
            <w:vAlign w:val="center"/>
          </w:tcPr>
          <w:p>
            <w:pPr>
              <w:spacing w:line="400" w:lineRule="exact"/>
              <w:ind w:firstLine="28"/>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序号</w:t>
            </w:r>
          </w:p>
        </w:tc>
        <w:tc>
          <w:tcPr>
            <w:tcW w:w="1289" w:type="dxa"/>
            <w:vAlign w:val="center"/>
          </w:tcPr>
          <w:p>
            <w:pPr>
              <w:spacing w:line="400" w:lineRule="exact"/>
              <w:ind w:firstLine="28"/>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评分因素</w:t>
            </w:r>
          </w:p>
          <w:p>
            <w:pPr>
              <w:spacing w:line="400" w:lineRule="exact"/>
              <w:ind w:firstLine="28"/>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及权重</w:t>
            </w:r>
          </w:p>
        </w:tc>
        <w:tc>
          <w:tcPr>
            <w:tcW w:w="646" w:type="dxa"/>
            <w:vAlign w:val="center"/>
          </w:tcPr>
          <w:p>
            <w:pPr>
              <w:spacing w:line="400" w:lineRule="exact"/>
              <w:ind w:firstLine="28"/>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分值</w:t>
            </w:r>
          </w:p>
        </w:tc>
        <w:tc>
          <w:tcPr>
            <w:tcW w:w="4767" w:type="dxa"/>
            <w:vAlign w:val="center"/>
          </w:tcPr>
          <w:p>
            <w:pPr>
              <w:spacing w:line="400" w:lineRule="exact"/>
              <w:ind w:firstLine="28"/>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评分标准</w:t>
            </w:r>
          </w:p>
        </w:tc>
        <w:tc>
          <w:tcPr>
            <w:tcW w:w="1276" w:type="dxa"/>
            <w:vAlign w:val="center"/>
          </w:tcPr>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备注</w:t>
            </w:r>
          </w:p>
        </w:tc>
        <w:tc>
          <w:tcPr>
            <w:tcW w:w="1173" w:type="dxa"/>
            <w:vAlign w:val="center"/>
          </w:tcPr>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64" w:type="dxa"/>
            <w:vAlign w:val="center"/>
          </w:tcPr>
          <w:p>
            <w:pPr>
              <w:spacing w:line="400" w:lineRule="exact"/>
              <w:ind w:firstLine="28"/>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128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报价</w:t>
            </w:r>
            <w:r>
              <w:rPr>
                <w:rFonts w:asciiTheme="minorEastAsia" w:hAnsiTheme="minorEastAsia" w:eastAsiaTheme="minorEastAsia"/>
                <w:color w:val="auto"/>
                <w:szCs w:val="21"/>
                <w:highlight w:val="none"/>
              </w:rPr>
              <w:t>30</w:t>
            </w:r>
            <w:r>
              <w:rPr>
                <w:rFonts w:hint="eastAsia" w:asciiTheme="minorEastAsia" w:hAnsiTheme="minorEastAsia" w:eastAsiaTheme="minorEastAsia"/>
                <w:color w:val="auto"/>
                <w:szCs w:val="21"/>
                <w:highlight w:val="none"/>
              </w:rPr>
              <w:t>%</w:t>
            </w:r>
          </w:p>
        </w:tc>
        <w:tc>
          <w:tcPr>
            <w:tcW w:w="646" w:type="dxa"/>
            <w:vAlign w:val="center"/>
          </w:tcPr>
          <w:p>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30</w:t>
            </w:r>
          </w:p>
        </w:tc>
        <w:tc>
          <w:tcPr>
            <w:tcW w:w="4767"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满足招标文件要求且投标价格最低的报价为基准价，其价格分为满分。其他供应商的价格分统一按照下列公式计算：报价得分=(基准价／报价)*30。</w:t>
            </w:r>
          </w:p>
          <w:p>
            <w:pPr>
              <w:rPr>
                <w:rFonts w:asciiTheme="minorEastAsia" w:hAnsiTheme="minorEastAsia"/>
                <w:color w:val="auto"/>
                <w:szCs w:val="21"/>
                <w:highlight w:val="none"/>
              </w:rPr>
            </w:pPr>
            <w:r>
              <w:rPr>
                <w:rFonts w:hint="eastAsia" w:ascii="宋体" w:hAnsi="宋体"/>
                <w:color w:val="auto"/>
                <w:szCs w:val="21"/>
                <w:highlight w:val="none"/>
                <w:lang w:val="zh-CN"/>
              </w:rPr>
              <w:t>注：小微企业（监狱企业、残疾人福利性单位视同小微企业）价格扣除</w:t>
            </w:r>
            <w:r>
              <w:rPr>
                <w:rFonts w:hint="eastAsia" w:ascii="宋体" w:hAnsi="宋体" w:cs="宋体"/>
                <w:color w:val="auto"/>
                <w:szCs w:val="21"/>
                <w:highlight w:val="none"/>
              </w:rPr>
              <w:t>按投标人须知附表执行</w:t>
            </w:r>
            <w:r>
              <w:rPr>
                <w:rFonts w:hint="eastAsia" w:ascii="宋体" w:hAnsi="宋体"/>
                <w:color w:val="auto"/>
                <w:szCs w:val="21"/>
                <w:highlight w:val="none"/>
              </w:rPr>
              <w:t>。</w:t>
            </w:r>
          </w:p>
        </w:tc>
        <w:tc>
          <w:tcPr>
            <w:tcW w:w="1276"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1173"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64" w:type="dxa"/>
            <w:vAlign w:val="center"/>
          </w:tcPr>
          <w:p>
            <w:pPr>
              <w:spacing w:line="400" w:lineRule="exact"/>
              <w:ind w:firstLine="28"/>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128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技术参数要求54%</w:t>
            </w:r>
          </w:p>
        </w:tc>
        <w:tc>
          <w:tcPr>
            <w:tcW w:w="646"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54</w:t>
            </w:r>
          </w:p>
        </w:tc>
        <w:tc>
          <w:tcPr>
            <w:tcW w:w="4767"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完全符合招标文件技术参数及配置要求的得54 分，不满足招标文件技术参数及配置要求的，按如下规则进行处理：每有一项不满足招标文件中标注“</w:t>
            </w:r>
            <w:r>
              <w:rPr>
                <w:rFonts w:hint="eastAsia" w:ascii="宋体" w:hAnsi="宋体" w:cs="宋体"/>
                <w:color w:val="auto"/>
                <w:highlight w:val="none"/>
              </w:rPr>
              <w:t>★</w:t>
            </w:r>
            <w:r>
              <w:rPr>
                <w:rFonts w:hint="eastAsia" w:asciiTheme="minorEastAsia" w:hAnsiTheme="minorEastAsia" w:eastAsiaTheme="minorEastAsia"/>
                <w:color w:val="auto"/>
                <w:szCs w:val="21"/>
                <w:highlight w:val="none"/>
              </w:rPr>
              <w:t>”条款（共12项）要求的扣2.</w:t>
            </w:r>
            <w:r>
              <w:rPr>
                <w:rFonts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rPr>
              <w:t>分，每有一项不满足招标文件中未标注符号条款（共100项）要求的扣0.24分，扣完为止。</w:t>
            </w:r>
          </w:p>
          <w:p>
            <w:pPr>
              <w:rPr>
                <w:rFonts w:asciiTheme="minorEastAsia" w:hAnsiTheme="minorEastAsia" w:eastAsiaTheme="minorEastAsia"/>
                <w:color w:val="auto"/>
                <w:szCs w:val="21"/>
                <w:highlight w:val="none"/>
              </w:rPr>
            </w:pPr>
            <w:r>
              <w:rPr>
                <w:rFonts w:hint="eastAsia" w:ascii="宋体" w:hAnsi="宋体"/>
                <w:color w:val="auto"/>
                <w:szCs w:val="21"/>
                <w:highlight w:val="none"/>
              </w:rPr>
              <w:t>注：技术参数中要求提供证明材料的，须按要求提供相关证明材料并加盖供应商电子签章，未提供证明材料该项不得分。</w:t>
            </w:r>
          </w:p>
        </w:tc>
        <w:tc>
          <w:tcPr>
            <w:tcW w:w="1276" w:type="dxa"/>
            <w:vAlign w:val="center"/>
          </w:tcPr>
          <w:p>
            <w:pPr>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w:t>
            </w:r>
          </w:p>
        </w:tc>
        <w:tc>
          <w:tcPr>
            <w:tcW w:w="1173"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64" w:type="dxa"/>
            <w:vAlign w:val="center"/>
          </w:tcPr>
          <w:p>
            <w:pPr>
              <w:spacing w:line="400" w:lineRule="exact"/>
              <w:ind w:firstLine="28"/>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p>
        </w:tc>
        <w:tc>
          <w:tcPr>
            <w:tcW w:w="128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售后服务方案</w:t>
            </w:r>
            <w:r>
              <w:rPr>
                <w:rFonts w:asciiTheme="minorEastAsia" w:hAnsiTheme="minorEastAsia" w:eastAsiaTheme="minorEastAsia"/>
                <w:color w:val="auto"/>
                <w:szCs w:val="21"/>
                <w:highlight w:val="none"/>
              </w:rPr>
              <w:t>12</w:t>
            </w:r>
            <w:r>
              <w:rPr>
                <w:rFonts w:hint="eastAsia" w:asciiTheme="minorEastAsia" w:hAnsiTheme="minorEastAsia" w:eastAsiaTheme="minorEastAsia"/>
                <w:color w:val="auto"/>
                <w:szCs w:val="21"/>
                <w:highlight w:val="none"/>
              </w:rPr>
              <w:t>%</w:t>
            </w:r>
          </w:p>
        </w:tc>
        <w:tc>
          <w:tcPr>
            <w:tcW w:w="646" w:type="dxa"/>
            <w:vAlign w:val="center"/>
          </w:tcPr>
          <w:p>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12</w:t>
            </w:r>
          </w:p>
        </w:tc>
        <w:tc>
          <w:tcPr>
            <w:tcW w:w="4767"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根据投标人提供的售后服务方案【①完整的配送方案（完善的出入库管理制度、完整的配送流程（配送人员和车辆的配置））②有效的质量保障方案（包含质量管理体系建设、质量控制技术方法等）③应急保障方案（配送过程中的突发应急措施、因问题产品引发的医疗安全事故应急措施、临时配送的应急措施）④具有完善的售后保障体系（有效的退换货流程制度、本地化服务能力等）】进行评审，方案完全满足项目实际要求且无缺陷的得</w:t>
            </w:r>
            <w:r>
              <w:rPr>
                <w:rFonts w:asciiTheme="minorEastAsia" w:hAnsiTheme="minorEastAsia" w:eastAsiaTheme="minorEastAsia"/>
                <w:color w:val="auto"/>
                <w:szCs w:val="21"/>
                <w:highlight w:val="none"/>
              </w:rPr>
              <w:t>12</w:t>
            </w:r>
            <w:r>
              <w:rPr>
                <w:rFonts w:hint="eastAsia" w:asciiTheme="minorEastAsia" w:hAnsiTheme="minorEastAsia" w:eastAsiaTheme="minorEastAsia"/>
                <w:color w:val="auto"/>
                <w:szCs w:val="21"/>
                <w:highlight w:val="none"/>
              </w:rPr>
              <w:t>分；每缺少一项内容扣</w:t>
            </w: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分，每有一处存在缺陷或不合理的，扣1</w:t>
            </w:r>
            <w:r>
              <w:rPr>
                <w:rFonts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rPr>
              <w:t>分，扣完为止。</w:t>
            </w:r>
          </w:p>
        </w:tc>
        <w:tc>
          <w:tcPr>
            <w:tcW w:w="1276"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1173"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64" w:type="dxa"/>
            <w:vAlign w:val="center"/>
          </w:tcPr>
          <w:p>
            <w:pPr>
              <w:spacing w:line="400" w:lineRule="exact"/>
              <w:ind w:firstLine="28"/>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w:t>
            </w:r>
          </w:p>
        </w:tc>
        <w:tc>
          <w:tcPr>
            <w:tcW w:w="128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业绩3%</w:t>
            </w:r>
          </w:p>
        </w:tc>
        <w:tc>
          <w:tcPr>
            <w:tcW w:w="646"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p>
        </w:tc>
        <w:tc>
          <w:tcPr>
            <w:tcW w:w="4767"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评标委员会根据供应商同类产品销售业绩（</w:t>
            </w:r>
            <w:r>
              <w:rPr>
                <w:rFonts w:asciiTheme="minorEastAsia" w:hAnsiTheme="minorEastAsia" w:eastAsiaTheme="minorEastAsia"/>
                <w:color w:val="auto"/>
                <w:szCs w:val="21"/>
                <w:highlight w:val="none"/>
              </w:rPr>
              <w:t>2018</w:t>
            </w:r>
            <w:r>
              <w:rPr>
                <w:rFonts w:hint="eastAsia" w:asciiTheme="minorEastAsia" w:hAnsiTheme="minorEastAsia" w:eastAsiaTheme="minorEastAsia"/>
                <w:color w:val="auto"/>
                <w:szCs w:val="21"/>
                <w:highlight w:val="none"/>
              </w:rPr>
              <w:t>年-投标截止日）进行评定，每提供</w:t>
            </w:r>
            <w:r>
              <w:rPr>
                <w:rFonts w:asciiTheme="minorEastAsia" w:hAnsiTheme="minorEastAsia" w:eastAsiaTheme="minorEastAsia"/>
                <w:color w:val="auto"/>
                <w:szCs w:val="21"/>
                <w:highlight w:val="none"/>
              </w:rPr>
              <w:t>一个业绩得</w:t>
            </w:r>
            <w:r>
              <w:rPr>
                <w:rFonts w:hint="eastAsia" w:asciiTheme="minorEastAsia" w:hAnsiTheme="minorEastAsia" w:eastAsiaTheme="minorEastAsia"/>
                <w:color w:val="auto"/>
                <w:szCs w:val="21"/>
                <w:highlight w:val="none"/>
              </w:rPr>
              <w:t>1.5分</w:t>
            </w:r>
            <w:r>
              <w:rPr>
                <w:rFonts w:asciiTheme="minorEastAsia" w:hAnsiTheme="minorEastAsia" w:eastAsiaTheme="minorEastAsia"/>
                <w:color w:val="auto"/>
                <w:szCs w:val="21"/>
                <w:highlight w:val="none"/>
              </w:rPr>
              <w:t>，最多得</w:t>
            </w:r>
            <w:r>
              <w:rPr>
                <w:rFonts w:hint="eastAsia" w:asciiTheme="minorEastAsia" w:hAnsiTheme="minorEastAsia" w:eastAsiaTheme="minorEastAsia"/>
                <w:color w:val="auto"/>
                <w:szCs w:val="21"/>
                <w:highlight w:val="none"/>
              </w:rPr>
              <w:t>3分。</w:t>
            </w:r>
          </w:p>
        </w:tc>
        <w:tc>
          <w:tcPr>
            <w:tcW w:w="1276"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提供销售合同原件原色电子件加盖投标人电子签章。</w:t>
            </w:r>
          </w:p>
        </w:tc>
        <w:tc>
          <w:tcPr>
            <w:tcW w:w="1173"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64" w:type="dxa"/>
            <w:vAlign w:val="center"/>
          </w:tcPr>
          <w:p>
            <w:pPr>
              <w:spacing w:line="400" w:lineRule="exact"/>
              <w:ind w:firstLine="28"/>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5</w:t>
            </w:r>
          </w:p>
        </w:tc>
        <w:tc>
          <w:tcPr>
            <w:tcW w:w="128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节能、环境标志、无线局域网产品1%</w:t>
            </w:r>
          </w:p>
        </w:tc>
        <w:tc>
          <w:tcPr>
            <w:tcW w:w="646"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4767"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投标产品中属于政府采购优先采购范围的，则每有一项为节能产品或者环境标志产品或者无线局域网产品的得0.25分，非节能、环境标志产品的、无线局域网产品的不得分。本项最多得1分。</w:t>
            </w:r>
          </w:p>
          <w:p>
            <w:pPr>
              <w:rPr>
                <w:rFonts w:ascii="宋体" w:hAnsi="宋体"/>
                <w:color w:val="auto"/>
                <w:kern w:val="0"/>
                <w:szCs w:val="21"/>
                <w:highlight w:val="none"/>
              </w:rPr>
            </w:pPr>
            <w:r>
              <w:rPr>
                <w:rFonts w:hint="eastAsia" w:ascii="宋体" w:hAnsi="宋体"/>
                <w:color w:val="auto"/>
                <w:szCs w:val="21"/>
                <w:highlight w:val="none"/>
              </w:rPr>
              <w:t>注：1. 节能产品、环境标志产品优先采购范围</w:t>
            </w:r>
            <w:r>
              <w:rPr>
                <w:rFonts w:hint="eastAsia" w:ascii="宋体" w:hAnsi="宋体"/>
                <w:color w:val="auto"/>
                <w:kern w:val="0"/>
                <w:szCs w:val="21"/>
                <w:highlight w:val="none"/>
              </w:rPr>
              <w:t>以品目清单为准</w:t>
            </w:r>
            <w:r>
              <w:rPr>
                <w:rFonts w:ascii="宋体" w:hAnsi="宋体"/>
                <w:color w:val="auto"/>
                <w:kern w:val="0"/>
                <w:szCs w:val="21"/>
                <w:highlight w:val="none"/>
              </w:rPr>
              <w:t>。</w:t>
            </w:r>
            <w:r>
              <w:rPr>
                <w:rFonts w:hint="eastAsia" w:ascii="宋体" w:hAnsi="宋体"/>
                <w:color w:val="auto"/>
                <w:kern w:val="0"/>
                <w:szCs w:val="21"/>
                <w:highlight w:val="none"/>
              </w:rPr>
              <w:t>财政部、发展改革委、生态环境部等部门根据产品节能环保性能、技术水平和市场成熟程度等因素，确定实施政府优先采购和强制采购的产品类别及所依据的相关标准规范，以品目清单的形式发布并适时调整。</w:t>
            </w:r>
            <w:r>
              <w:rPr>
                <w:rFonts w:hint="eastAsia" w:ascii="宋体" w:hAnsi="宋体"/>
                <w:color w:val="auto"/>
                <w:szCs w:val="21"/>
                <w:highlight w:val="none"/>
              </w:rPr>
              <w:t>无线局域网产品优先采购范围</w:t>
            </w:r>
            <w:r>
              <w:rPr>
                <w:rFonts w:hint="eastAsia" w:ascii="宋体" w:hAnsi="宋体"/>
                <w:color w:val="auto"/>
                <w:kern w:val="0"/>
                <w:szCs w:val="21"/>
                <w:highlight w:val="none"/>
              </w:rPr>
              <w:t>以中国</w:t>
            </w:r>
            <w:r>
              <w:rPr>
                <w:rFonts w:ascii="宋体" w:hAnsi="宋体"/>
                <w:color w:val="auto"/>
                <w:kern w:val="0"/>
                <w:szCs w:val="21"/>
                <w:highlight w:val="none"/>
              </w:rPr>
              <w:t>政府采购网公布的</w:t>
            </w:r>
            <w:r>
              <w:rPr>
                <w:rFonts w:hint="eastAsia" w:ascii="宋体" w:hAnsi="宋体"/>
                <w:color w:val="auto"/>
                <w:kern w:val="0"/>
                <w:szCs w:val="21"/>
                <w:highlight w:val="none"/>
              </w:rPr>
              <w:t>《无线局域网认证产品政府采购清单》为准</w:t>
            </w:r>
            <w:r>
              <w:rPr>
                <w:rFonts w:ascii="宋体" w:hAnsi="宋体"/>
                <w:color w:val="auto"/>
                <w:kern w:val="0"/>
                <w:szCs w:val="21"/>
                <w:highlight w:val="none"/>
              </w:rPr>
              <w:t>。</w:t>
            </w:r>
          </w:p>
          <w:p>
            <w:pPr>
              <w:rPr>
                <w:rFonts w:ascii="宋体" w:hAnsi="宋体"/>
                <w:color w:val="auto"/>
                <w:kern w:val="0"/>
                <w:szCs w:val="21"/>
                <w:highlight w:val="none"/>
              </w:rPr>
            </w:pPr>
            <w:r>
              <w:rPr>
                <w:rFonts w:hint="eastAsia" w:ascii="宋体" w:hAnsi="宋体"/>
                <w:color w:val="auto"/>
                <w:kern w:val="0"/>
                <w:szCs w:val="21"/>
                <w:highlight w:val="none"/>
              </w:rPr>
              <w:t>2.</w:t>
            </w:r>
            <w:r>
              <w:rPr>
                <w:rFonts w:hint="eastAsia" w:ascii="宋体" w:hAnsi="宋体"/>
                <w:color w:val="auto"/>
                <w:szCs w:val="21"/>
                <w:highlight w:val="none"/>
              </w:rPr>
              <w:t xml:space="preserve"> 投标产品属于</w:t>
            </w:r>
            <w:r>
              <w:rPr>
                <w:rFonts w:hint="eastAsia" w:ascii="宋体" w:hAnsi="宋体"/>
                <w:color w:val="auto"/>
                <w:kern w:val="0"/>
                <w:szCs w:val="21"/>
                <w:highlight w:val="none"/>
              </w:rPr>
              <w:t>优先</w:t>
            </w:r>
            <w:r>
              <w:rPr>
                <w:rFonts w:ascii="宋体" w:hAnsi="宋体"/>
                <w:color w:val="auto"/>
                <w:kern w:val="0"/>
                <w:szCs w:val="21"/>
                <w:highlight w:val="none"/>
              </w:rPr>
              <w:t>采购范围内的</w:t>
            </w:r>
            <w:r>
              <w:rPr>
                <w:rFonts w:hint="eastAsia" w:ascii="宋体" w:hAnsi="宋体"/>
                <w:color w:val="auto"/>
                <w:szCs w:val="21"/>
                <w:highlight w:val="none"/>
              </w:rPr>
              <w:t>节能产品或者环境标志产品的</w:t>
            </w:r>
            <w:r>
              <w:rPr>
                <w:rFonts w:ascii="宋体" w:hAnsi="宋体"/>
                <w:color w:val="auto"/>
                <w:szCs w:val="21"/>
                <w:highlight w:val="none"/>
              </w:rPr>
              <w:t>，</w:t>
            </w:r>
            <w:r>
              <w:rPr>
                <w:rFonts w:hint="eastAsia" w:ascii="宋体" w:hAnsi="宋体"/>
                <w:color w:val="auto"/>
                <w:kern w:val="0"/>
                <w:szCs w:val="21"/>
                <w:highlight w:val="none"/>
              </w:rPr>
              <w:t>提供国家确定的认证机构出具的、处于有效期之内的节能产品、环境标志产品认证证书原件原色电子件。</w:t>
            </w:r>
          </w:p>
          <w:p>
            <w:pPr>
              <w:rPr>
                <w:rFonts w:asciiTheme="minorEastAsia" w:hAnsiTheme="minorEastAsia" w:eastAsiaTheme="minorEastAsia"/>
                <w:color w:val="auto"/>
                <w:szCs w:val="21"/>
                <w:highlight w:val="none"/>
              </w:rPr>
            </w:pPr>
            <w:r>
              <w:rPr>
                <w:rFonts w:ascii="宋体" w:hAnsi="宋体"/>
                <w:color w:val="auto"/>
                <w:kern w:val="0"/>
                <w:szCs w:val="21"/>
                <w:highlight w:val="none"/>
              </w:rPr>
              <w:t>3.</w:t>
            </w:r>
            <w:r>
              <w:rPr>
                <w:rFonts w:hint="eastAsia" w:ascii="宋体" w:hAnsi="宋体"/>
                <w:color w:val="auto"/>
                <w:kern w:val="0"/>
                <w:szCs w:val="21"/>
                <w:highlight w:val="none"/>
              </w:rPr>
              <w:t xml:space="preserve"> 投标产品属于优先</w:t>
            </w:r>
            <w:r>
              <w:rPr>
                <w:rFonts w:ascii="宋体" w:hAnsi="宋体"/>
                <w:color w:val="auto"/>
                <w:kern w:val="0"/>
                <w:szCs w:val="21"/>
                <w:highlight w:val="none"/>
              </w:rPr>
              <w:t>采购范围内的</w:t>
            </w:r>
            <w:r>
              <w:rPr>
                <w:rFonts w:hint="eastAsia" w:ascii="宋体" w:hAnsi="宋体"/>
                <w:color w:val="auto"/>
                <w:szCs w:val="21"/>
                <w:highlight w:val="none"/>
              </w:rPr>
              <w:t>无线局域网产品的，</w:t>
            </w:r>
            <w:r>
              <w:rPr>
                <w:rFonts w:hint="eastAsia" w:ascii="宋体" w:hAnsi="宋体"/>
                <w:color w:val="auto"/>
                <w:kern w:val="0"/>
                <w:szCs w:val="21"/>
                <w:highlight w:val="none"/>
              </w:rPr>
              <w:t>提供政府采购清单对应页原件原色电子件。</w:t>
            </w:r>
          </w:p>
        </w:tc>
        <w:tc>
          <w:tcPr>
            <w:tcW w:w="1276"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1173"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政策类评分因素</w:t>
            </w:r>
          </w:p>
        </w:tc>
      </w:tr>
    </w:tbl>
    <w:p>
      <w:pPr>
        <w:rPr>
          <w:rFonts w:ascii="宋体" w:hAnsi="宋体" w:cs="宋体"/>
          <w:color w:val="auto"/>
          <w:sz w:val="24"/>
          <w:highlight w:val="none"/>
        </w:rPr>
      </w:pPr>
    </w:p>
    <w:p>
      <w:pPr>
        <w:pStyle w:val="14"/>
        <w:tabs>
          <w:tab w:val="left" w:pos="600"/>
        </w:tabs>
        <w:spacing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第二包：</w:t>
      </w:r>
    </w:p>
    <w:tbl>
      <w:tblPr>
        <w:tblStyle w:val="35"/>
        <w:tblW w:w="9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289"/>
        <w:gridCol w:w="646"/>
        <w:gridCol w:w="4767"/>
        <w:gridCol w:w="1276"/>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64" w:type="dxa"/>
            <w:vAlign w:val="center"/>
          </w:tcPr>
          <w:p>
            <w:pPr>
              <w:spacing w:line="400" w:lineRule="exact"/>
              <w:ind w:firstLine="28"/>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序号</w:t>
            </w:r>
          </w:p>
        </w:tc>
        <w:tc>
          <w:tcPr>
            <w:tcW w:w="1289" w:type="dxa"/>
            <w:vAlign w:val="center"/>
          </w:tcPr>
          <w:p>
            <w:pPr>
              <w:spacing w:line="400" w:lineRule="exact"/>
              <w:ind w:firstLine="28"/>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评分因素</w:t>
            </w:r>
          </w:p>
          <w:p>
            <w:pPr>
              <w:spacing w:line="400" w:lineRule="exact"/>
              <w:ind w:firstLine="28"/>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及权重</w:t>
            </w:r>
          </w:p>
        </w:tc>
        <w:tc>
          <w:tcPr>
            <w:tcW w:w="646" w:type="dxa"/>
            <w:vAlign w:val="center"/>
          </w:tcPr>
          <w:p>
            <w:pPr>
              <w:spacing w:line="400" w:lineRule="exact"/>
              <w:ind w:firstLine="28"/>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分值</w:t>
            </w:r>
          </w:p>
        </w:tc>
        <w:tc>
          <w:tcPr>
            <w:tcW w:w="4767" w:type="dxa"/>
            <w:vAlign w:val="center"/>
          </w:tcPr>
          <w:p>
            <w:pPr>
              <w:spacing w:line="400" w:lineRule="exact"/>
              <w:ind w:firstLine="28"/>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评分标准</w:t>
            </w:r>
          </w:p>
        </w:tc>
        <w:tc>
          <w:tcPr>
            <w:tcW w:w="1276" w:type="dxa"/>
            <w:vAlign w:val="center"/>
          </w:tcPr>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备注</w:t>
            </w:r>
          </w:p>
        </w:tc>
        <w:tc>
          <w:tcPr>
            <w:tcW w:w="1173" w:type="dxa"/>
            <w:vAlign w:val="center"/>
          </w:tcPr>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64" w:type="dxa"/>
            <w:vAlign w:val="center"/>
          </w:tcPr>
          <w:p>
            <w:pPr>
              <w:spacing w:line="400" w:lineRule="exact"/>
              <w:ind w:firstLine="28"/>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128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报价</w:t>
            </w:r>
            <w:r>
              <w:rPr>
                <w:rFonts w:asciiTheme="minorEastAsia" w:hAnsiTheme="minorEastAsia" w:eastAsiaTheme="minorEastAsia"/>
                <w:color w:val="auto"/>
                <w:szCs w:val="21"/>
                <w:highlight w:val="none"/>
              </w:rPr>
              <w:t>30</w:t>
            </w:r>
            <w:r>
              <w:rPr>
                <w:rFonts w:hint="eastAsia" w:asciiTheme="minorEastAsia" w:hAnsiTheme="minorEastAsia" w:eastAsiaTheme="minorEastAsia"/>
                <w:color w:val="auto"/>
                <w:szCs w:val="21"/>
                <w:highlight w:val="none"/>
              </w:rPr>
              <w:t>%</w:t>
            </w:r>
          </w:p>
        </w:tc>
        <w:tc>
          <w:tcPr>
            <w:tcW w:w="646" w:type="dxa"/>
            <w:vAlign w:val="center"/>
          </w:tcPr>
          <w:p>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30</w:t>
            </w:r>
          </w:p>
        </w:tc>
        <w:tc>
          <w:tcPr>
            <w:tcW w:w="4767"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满足招标文件要求且投标价格最低的报价为基准价，其价格分为满分。其他供应商的价格分统一按照下列公式计算：报价得分=(基准价／报价)*30。</w:t>
            </w:r>
          </w:p>
          <w:p>
            <w:pPr>
              <w:rPr>
                <w:rFonts w:asciiTheme="minorEastAsia" w:hAnsiTheme="minorEastAsia" w:eastAsiaTheme="minorEastAsia"/>
                <w:color w:val="auto"/>
                <w:szCs w:val="21"/>
                <w:highlight w:val="none"/>
              </w:rPr>
            </w:pPr>
            <w:r>
              <w:rPr>
                <w:rFonts w:hint="eastAsia" w:ascii="宋体" w:hAnsi="宋体"/>
                <w:color w:val="auto"/>
                <w:szCs w:val="21"/>
                <w:highlight w:val="none"/>
                <w:lang w:val="zh-CN"/>
              </w:rPr>
              <w:t>注：小微企业（监狱企业、残疾人福利性单位视同小微企业）价格扣除</w:t>
            </w:r>
            <w:r>
              <w:rPr>
                <w:rFonts w:hint="eastAsia" w:ascii="宋体" w:hAnsi="宋体" w:cs="宋体"/>
                <w:color w:val="auto"/>
                <w:szCs w:val="21"/>
                <w:highlight w:val="none"/>
              </w:rPr>
              <w:t>按投标人须知附表执行</w:t>
            </w:r>
            <w:r>
              <w:rPr>
                <w:rFonts w:hint="eastAsia" w:ascii="宋体" w:hAnsi="宋体"/>
                <w:color w:val="auto"/>
                <w:szCs w:val="21"/>
                <w:highlight w:val="none"/>
              </w:rPr>
              <w:t>。</w:t>
            </w:r>
          </w:p>
        </w:tc>
        <w:tc>
          <w:tcPr>
            <w:tcW w:w="1276"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1173"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64" w:type="dxa"/>
            <w:vAlign w:val="center"/>
          </w:tcPr>
          <w:p>
            <w:pPr>
              <w:spacing w:line="400" w:lineRule="exact"/>
              <w:ind w:firstLine="28"/>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128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技术参数要求</w:t>
            </w:r>
            <w:r>
              <w:rPr>
                <w:rFonts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rPr>
              <w:t>4%</w:t>
            </w:r>
          </w:p>
        </w:tc>
        <w:tc>
          <w:tcPr>
            <w:tcW w:w="646"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54</w:t>
            </w:r>
          </w:p>
        </w:tc>
        <w:tc>
          <w:tcPr>
            <w:tcW w:w="4767"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完全符合招标文件技术参数及配置要求的得54 分，不满足招标文件技术参数及配置要求的，按如下规则进行处理：每有一项不满足招标文件中标注“</w:t>
            </w:r>
            <w:r>
              <w:rPr>
                <w:rFonts w:hint="eastAsia" w:ascii="宋体" w:hAnsi="宋体" w:cs="宋体"/>
                <w:color w:val="auto"/>
                <w:highlight w:val="none"/>
              </w:rPr>
              <w:t>★</w:t>
            </w:r>
            <w:r>
              <w:rPr>
                <w:rFonts w:hint="eastAsia" w:asciiTheme="minorEastAsia" w:hAnsiTheme="minorEastAsia" w:eastAsiaTheme="minorEastAsia"/>
                <w:color w:val="auto"/>
                <w:szCs w:val="21"/>
                <w:highlight w:val="none"/>
              </w:rPr>
              <w:t>”条款（共10项）要求的扣</w:t>
            </w: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42分，每有一项不满足招标文件中未标注符号条款（共149项）要求的扣0.2分，扣完为止。</w:t>
            </w:r>
          </w:p>
          <w:p>
            <w:pPr>
              <w:rPr>
                <w:rFonts w:asciiTheme="minorEastAsia" w:hAnsiTheme="minorEastAsia" w:eastAsiaTheme="minorEastAsia"/>
                <w:color w:val="auto"/>
                <w:szCs w:val="21"/>
                <w:highlight w:val="none"/>
              </w:rPr>
            </w:pPr>
            <w:r>
              <w:rPr>
                <w:rFonts w:hint="eastAsia" w:ascii="宋体" w:hAnsi="宋体"/>
                <w:color w:val="auto"/>
                <w:szCs w:val="21"/>
                <w:highlight w:val="none"/>
              </w:rPr>
              <w:t>注：技术参数中要求提供证明材料的，须按要求提供相关证明材料并加盖供应商电子签章，未提供证明材料该项不得分。</w:t>
            </w:r>
          </w:p>
        </w:tc>
        <w:tc>
          <w:tcPr>
            <w:tcW w:w="1276"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1173"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64" w:type="dxa"/>
            <w:vAlign w:val="center"/>
          </w:tcPr>
          <w:p>
            <w:pPr>
              <w:spacing w:line="400" w:lineRule="exact"/>
              <w:ind w:firstLine="28"/>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p>
        </w:tc>
        <w:tc>
          <w:tcPr>
            <w:tcW w:w="128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售后服务方案</w:t>
            </w:r>
            <w:r>
              <w:rPr>
                <w:rFonts w:asciiTheme="minorEastAsia" w:hAnsiTheme="minorEastAsia" w:eastAsiaTheme="minorEastAsia"/>
                <w:color w:val="auto"/>
                <w:szCs w:val="21"/>
                <w:highlight w:val="none"/>
              </w:rPr>
              <w:t>12</w:t>
            </w:r>
            <w:r>
              <w:rPr>
                <w:rFonts w:hint="eastAsia" w:asciiTheme="minorEastAsia" w:hAnsiTheme="minorEastAsia" w:eastAsiaTheme="minorEastAsia"/>
                <w:color w:val="auto"/>
                <w:szCs w:val="21"/>
                <w:highlight w:val="none"/>
              </w:rPr>
              <w:t>%</w:t>
            </w:r>
          </w:p>
        </w:tc>
        <w:tc>
          <w:tcPr>
            <w:tcW w:w="646" w:type="dxa"/>
            <w:vAlign w:val="center"/>
          </w:tcPr>
          <w:p>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12</w:t>
            </w:r>
          </w:p>
        </w:tc>
        <w:tc>
          <w:tcPr>
            <w:tcW w:w="4767"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根据投标人提供的售后服务方案【①完整的配送方案（完善的出入库管理制度、完整的配送流程（配送人员和车辆的配置））②有效的质量保障方案（包含质量管理体系建设、质量控制技术方法等）③应急保障方案（配送过程中的突发应急措施、因问题产品引发的医疗安全事故应急措施、临时配送的应急措施）④具有完善的售后保障体系（有效的退换货流程制度、本地化服务能力等）】进行评审，方案完全满足项目实际要求且无缺陷的得</w:t>
            </w:r>
            <w:r>
              <w:rPr>
                <w:rFonts w:asciiTheme="minorEastAsia" w:hAnsiTheme="minorEastAsia" w:eastAsiaTheme="minorEastAsia"/>
                <w:color w:val="auto"/>
                <w:szCs w:val="21"/>
                <w:highlight w:val="none"/>
              </w:rPr>
              <w:t>12</w:t>
            </w:r>
            <w:r>
              <w:rPr>
                <w:rFonts w:hint="eastAsia" w:asciiTheme="minorEastAsia" w:hAnsiTheme="minorEastAsia" w:eastAsiaTheme="minorEastAsia"/>
                <w:color w:val="auto"/>
                <w:szCs w:val="21"/>
                <w:highlight w:val="none"/>
              </w:rPr>
              <w:t>分；每缺少一项内容扣</w:t>
            </w: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分，每有一处存在缺陷或不合理的，扣1</w:t>
            </w:r>
            <w:r>
              <w:rPr>
                <w:rFonts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rPr>
              <w:t>分，扣完为止。</w:t>
            </w:r>
          </w:p>
        </w:tc>
        <w:tc>
          <w:tcPr>
            <w:tcW w:w="1276"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1173"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64" w:type="dxa"/>
            <w:vAlign w:val="center"/>
          </w:tcPr>
          <w:p>
            <w:pPr>
              <w:spacing w:line="400" w:lineRule="exact"/>
              <w:ind w:firstLine="28"/>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w:t>
            </w:r>
          </w:p>
        </w:tc>
        <w:tc>
          <w:tcPr>
            <w:tcW w:w="128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业绩3%</w:t>
            </w:r>
          </w:p>
        </w:tc>
        <w:tc>
          <w:tcPr>
            <w:tcW w:w="646"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p>
        </w:tc>
        <w:tc>
          <w:tcPr>
            <w:tcW w:w="4767"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评标委员会根据供应商同类产品销售业绩（</w:t>
            </w:r>
            <w:r>
              <w:rPr>
                <w:rFonts w:asciiTheme="minorEastAsia" w:hAnsiTheme="minorEastAsia" w:eastAsiaTheme="minorEastAsia"/>
                <w:color w:val="auto"/>
                <w:szCs w:val="21"/>
                <w:highlight w:val="none"/>
              </w:rPr>
              <w:t>2018</w:t>
            </w:r>
            <w:r>
              <w:rPr>
                <w:rFonts w:hint="eastAsia" w:asciiTheme="minorEastAsia" w:hAnsiTheme="minorEastAsia" w:eastAsiaTheme="minorEastAsia"/>
                <w:color w:val="auto"/>
                <w:szCs w:val="21"/>
                <w:highlight w:val="none"/>
              </w:rPr>
              <w:t>年-投标截止日）进行评定，每提供</w:t>
            </w:r>
            <w:r>
              <w:rPr>
                <w:rFonts w:asciiTheme="minorEastAsia" w:hAnsiTheme="minorEastAsia" w:eastAsiaTheme="minorEastAsia"/>
                <w:color w:val="auto"/>
                <w:szCs w:val="21"/>
                <w:highlight w:val="none"/>
              </w:rPr>
              <w:t>一个业绩得</w:t>
            </w:r>
            <w:r>
              <w:rPr>
                <w:rFonts w:hint="eastAsia" w:asciiTheme="minorEastAsia" w:hAnsiTheme="minorEastAsia" w:eastAsiaTheme="minorEastAsia"/>
                <w:color w:val="auto"/>
                <w:szCs w:val="21"/>
                <w:highlight w:val="none"/>
              </w:rPr>
              <w:t>1.5分</w:t>
            </w:r>
            <w:r>
              <w:rPr>
                <w:rFonts w:asciiTheme="minorEastAsia" w:hAnsiTheme="minorEastAsia" w:eastAsiaTheme="minorEastAsia"/>
                <w:color w:val="auto"/>
                <w:szCs w:val="21"/>
                <w:highlight w:val="none"/>
              </w:rPr>
              <w:t>，最多得</w:t>
            </w:r>
            <w:r>
              <w:rPr>
                <w:rFonts w:hint="eastAsia" w:asciiTheme="minorEastAsia" w:hAnsiTheme="minorEastAsia" w:eastAsiaTheme="minorEastAsia"/>
                <w:color w:val="auto"/>
                <w:szCs w:val="21"/>
                <w:highlight w:val="none"/>
              </w:rPr>
              <w:t>3分。</w:t>
            </w:r>
          </w:p>
        </w:tc>
        <w:tc>
          <w:tcPr>
            <w:tcW w:w="1276"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提供销售合同原件原色电子件加盖投标人电子签章。</w:t>
            </w:r>
          </w:p>
        </w:tc>
        <w:tc>
          <w:tcPr>
            <w:tcW w:w="1173"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64" w:type="dxa"/>
            <w:vAlign w:val="center"/>
          </w:tcPr>
          <w:p>
            <w:pPr>
              <w:spacing w:line="400" w:lineRule="exact"/>
              <w:ind w:firstLine="28"/>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5</w:t>
            </w:r>
          </w:p>
        </w:tc>
        <w:tc>
          <w:tcPr>
            <w:tcW w:w="128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节能、环境标志、无线局域网产品1%</w:t>
            </w:r>
          </w:p>
        </w:tc>
        <w:tc>
          <w:tcPr>
            <w:tcW w:w="646"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4767"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投标产品中属于政府采购优先采购范围的，则每有一项为节能产品或者环境标志产品或者无线局域网产品的得0.25分，非节能、环境标志产品的、无线局域网产品的不得分。本项最多得1分。</w:t>
            </w:r>
          </w:p>
          <w:p>
            <w:pPr>
              <w:rPr>
                <w:rFonts w:ascii="宋体" w:hAnsi="宋体"/>
                <w:color w:val="auto"/>
                <w:kern w:val="0"/>
                <w:szCs w:val="21"/>
                <w:highlight w:val="none"/>
              </w:rPr>
            </w:pPr>
            <w:r>
              <w:rPr>
                <w:rFonts w:hint="eastAsia" w:ascii="宋体" w:hAnsi="宋体"/>
                <w:color w:val="auto"/>
                <w:szCs w:val="21"/>
                <w:highlight w:val="none"/>
              </w:rPr>
              <w:t>注：1. 节能产品、环境标志产品优先采购范围</w:t>
            </w:r>
            <w:r>
              <w:rPr>
                <w:rFonts w:hint="eastAsia" w:ascii="宋体" w:hAnsi="宋体"/>
                <w:color w:val="auto"/>
                <w:kern w:val="0"/>
                <w:szCs w:val="21"/>
                <w:highlight w:val="none"/>
              </w:rPr>
              <w:t>以品目清单为准</w:t>
            </w:r>
            <w:r>
              <w:rPr>
                <w:rFonts w:ascii="宋体" w:hAnsi="宋体"/>
                <w:color w:val="auto"/>
                <w:kern w:val="0"/>
                <w:szCs w:val="21"/>
                <w:highlight w:val="none"/>
              </w:rPr>
              <w:t>。</w:t>
            </w:r>
            <w:r>
              <w:rPr>
                <w:rFonts w:hint="eastAsia" w:ascii="宋体" w:hAnsi="宋体"/>
                <w:color w:val="auto"/>
                <w:kern w:val="0"/>
                <w:szCs w:val="21"/>
                <w:highlight w:val="none"/>
              </w:rPr>
              <w:t>财政部、发展改革委、生态环境部等部门根据产品节能环保性能、技术水平和市场成熟程度等因素，确定实施政府优先采购和强制采购的产品类别及所依据的相关标准规范，以品目清单的形式发布并适时调整。</w:t>
            </w:r>
            <w:r>
              <w:rPr>
                <w:rFonts w:hint="eastAsia" w:ascii="宋体" w:hAnsi="宋体"/>
                <w:color w:val="auto"/>
                <w:szCs w:val="21"/>
                <w:highlight w:val="none"/>
              </w:rPr>
              <w:t>无线局域网产品优先采购范围</w:t>
            </w:r>
            <w:r>
              <w:rPr>
                <w:rFonts w:hint="eastAsia" w:ascii="宋体" w:hAnsi="宋体"/>
                <w:color w:val="auto"/>
                <w:kern w:val="0"/>
                <w:szCs w:val="21"/>
                <w:highlight w:val="none"/>
              </w:rPr>
              <w:t>以中国</w:t>
            </w:r>
            <w:r>
              <w:rPr>
                <w:rFonts w:ascii="宋体" w:hAnsi="宋体"/>
                <w:color w:val="auto"/>
                <w:kern w:val="0"/>
                <w:szCs w:val="21"/>
                <w:highlight w:val="none"/>
              </w:rPr>
              <w:t>政府采购网公布的</w:t>
            </w:r>
            <w:r>
              <w:rPr>
                <w:rFonts w:hint="eastAsia" w:ascii="宋体" w:hAnsi="宋体"/>
                <w:color w:val="auto"/>
                <w:kern w:val="0"/>
                <w:szCs w:val="21"/>
                <w:highlight w:val="none"/>
              </w:rPr>
              <w:t>《无线局域网认证产品政府采购清单》为准</w:t>
            </w:r>
            <w:r>
              <w:rPr>
                <w:rFonts w:ascii="宋体" w:hAnsi="宋体"/>
                <w:color w:val="auto"/>
                <w:kern w:val="0"/>
                <w:szCs w:val="21"/>
                <w:highlight w:val="none"/>
              </w:rPr>
              <w:t>。</w:t>
            </w:r>
          </w:p>
          <w:p>
            <w:pPr>
              <w:rPr>
                <w:rFonts w:ascii="宋体" w:hAnsi="宋体"/>
                <w:color w:val="auto"/>
                <w:kern w:val="0"/>
                <w:szCs w:val="21"/>
                <w:highlight w:val="none"/>
              </w:rPr>
            </w:pPr>
            <w:r>
              <w:rPr>
                <w:rFonts w:hint="eastAsia" w:ascii="宋体" w:hAnsi="宋体"/>
                <w:color w:val="auto"/>
                <w:kern w:val="0"/>
                <w:szCs w:val="21"/>
                <w:highlight w:val="none"/>
              </w:rPr>
              <w:t>2.</w:t>
            </w:r>
            <w:r>
              <w:rPr>
                <w:rFonts w:hint="eastAsia" w:ascii="宋体" w:hAnsi="宋体"/>
                <w:color w:val="auto"/>
                <w:szCs w:val="21"/>
                <w:highlight w:val="none"/>
              </w:rPr>
              <w:t xml:space="preserve"> 投标产品属于</w:t>
            </w:r>
            <w:r>
              <w:rPr>
                <w:rFonts w:hint="eastAsia" w:ascii="宋体" w:hAnsi="宋体"/>
                <w:color w:val="auto"/>
                <w:kern w:val="0"/>
                <w:szCs w:val="21"/>
                <w:highlight w:val="none"/>
              </w:rPr>
              <w:t>优先</w:t>
            </w:r>
            <w:r>
              <w:rPr>
                <w:rFonts w:ascii="宋体" w:hAnsi="宋体"/>
                <w:color w:val="auto"/>
                <w:kern w:val="0"/>
                <w:szCs w:val="21"/>
                <w:highlight w:val="none"/>
              </w:rPr>
              <w:t>采购范围内的</w:t>
            </w:r>
            <w:r>
              <w:rPr>
                <w:rFonts w:hint="eastAsia" w:ascii="宋体" w:hAnsi="宋体"/>
                <w:color w:val="auto"/>
                <w:szCs w:val="21"/>
                <w:highlight w:val="none"/>
              </w:rPr>
              <w:t>节能产品或者环境标志产品的</w:t>
            </w:r>
            <w:r>
              <w:rPr>
                <w:rFonts w:ascii="宋体" w:hAnsi="宋体"/>
                <w:color w:val="auto"/>
                <w:szCs w:val="21"/>
                <w:highlight w:val="none"/>
              </w:rPr>
              <w:t>，</w:t>
            </w:r>
            <w:r>
              <w:rPr>
                <w:rFonts w:hint="eastAsia" w:ascii="宋体" w:hAnsi="宋体"/>
                <w:color w:val="auto"/>
                <w:kern w:val="0"/>
                <w:szCs w:val="21"/>
                <w:highlight w:val="none"/>
              </w:rPr>
              <w:t>提供国家确定的认证机构出具的、处于有效期之内的节能产品、环境标志产品认证证书原件原色电子件。</w:t>
            </w:r>
          </w:p>
          <w:p>
            <w:pPr>
              <w:rPr>
                <w:rFonts w:asciiTheme="minorEastAsia" w:hAnsiTheme="minorEastAsia" w:eastAsiaTheme="minorEastAsia"/>
                <w:color w:val="auto"/>
                <w:szCs w:val="21"/>
                <w:highlight w:val="none"/>
              </w:rPr>
            </w:pPr>
            <w:r>
              <w:rPr>
                <w:rFonts w:ascii="宋体" w:hAnsi="宋体"/>
                <w:color w:val="auto"/>
                <w:kern w:val="0"/>
                <w:szCs w:val="21"/>
                <w:highlight w:val="none"/>
              </w:rPr>
              <w:t>3.</w:t>
            </w:r>
            <w:r>
              <w:rPr>
                <w:rFonts w:hint="eastAsia" w:ascii="宋体" w:hAnsi="宋体"/>
                <w:color w:val="auto"/>
                <w:kern w:val="0"/>
                <w:szCs w:val="21"/>
                <w:highlight w:val="none"/>
              </w:rPr>
              <w:t xml:space="preserve"> 投标产品属于优先</w:t>
            </w:r>
            <w:r>
              <w:rPr>
                <w:rFonts w:ascii="宋体" w:hAnsi="宋体"/>
                <w:color w:val="auto"/>
                <w:kern w:val="0"/>
                <w:szCs w:val="21"/>
                <w:highlight w:val="none"/>
              </w:rPr>
              <w:t>采购范围内的</w:t>
            </w:r>
            <w:r>
              <w:rPr>
                <w:rFonts w:hint="eastAsia" w:ascii="宋体" w:hAnsi="宋体"/>
                <w:color w:val="auto"/>
                <w:szCs w:val="21"/>
                <w:highlight w:val="none"/>
              </w:rPr>
              <w:t>无线局域网产品的，</w:t>
            </w:r>
            <w:r>
              <w:rPr>
                <w:rFonts w:hint="eastAsia" w:ascii="宋体" w:hAnsi="宋体"/>
                <w:color w:val="auto"/>
                <w:kern w:val="0"/>
                <w:szCs w:val="21"/>
                <w:highlight w:val="none"/>
              </w:rPr>
              <w:t>提供政府采购清单对应页原件原色电子件。</w:t>
            </w:r>
          </w:p>
        </w:tc>
        <w:tc>
          <w:tcPr>
            <w:tcW w:w="1276"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1173"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政策类评分因素</w:t>
            </w:r>
          </w:p>
        </w:tc>
      </w:tr>
    </w:tbl>
    <w:p>
      <w:pPr>
        <w:rPr>
          <w:rFonts w:ascii="宋体" w:hAnsi="宋体" w:cs="宋体"/>
          <w:b/>
          <w:bCs/>
          <w:color w:val="auto"/>
          <w:sz w:val="24"/>
          <w:highlight w:val="none"/>
        </w:rPr>
      </w:pPr>
    </w:p>
    <w:p>
      <w:pPr>
        <w:pStyle w:val="14"/>
        <w:tabs>
          <w:tab w:val="left" w:pos="600"/>
        </w:tabs>
        <w:spacing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第三包：</w:t>
      </w:r>
    </w:p>
    <w:tbl>
      <w:tblPr>
        <w:tblStyle w:val="35"/>
        <w:tblW w:w="9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289"/>
        <w:gridCol w:w="646"/>
        <w:gridCol w:w="4767"/>
        <w:gridCol w:w="1276"/>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64" w:type="dxa"/>
            <w:vAlign w:val="center"/>
          </w:tcPr>
          <w:p>
            <w:pPr>
              <w:spacing w:line="400" w:lineRule="exact"/>
              <w:ind w:firstLine="28"/>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序号</w:t>
            </w:r>
          </w:p>
        </w:tc>
        <w:tc>
          <w:tcPr>
            <w:tcW w:w="1289" w:type="dxa"/>
            <w:vAlign w:val="center"/>
          </w:tcPr>
          <w:p>
            <w:pPr>
              <w:spacing w:line="400" w:lineRule="exact"/>
              <w:ind w:firstLine="28"/>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评分因素</w:t>
            </w:r>
          </w:p>
          <w:p>
            <w:pPr>
              <w:spacing w:line="400" w:lineRule="exact"/>
              <w:ind w:firstLine="28"/>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及权重</w:t>
            </w:r>
          </w:p>
        </w:tc>
        <w:tc>
          <w:tcPr>
            <w:tcW w:w="646" w:type="dxa"/>
            <w:vAlign w:val="center"/>
          </w:tcPr>
          <w:p>
            <w:pPr>
              <w:spacing w:line="400" w:lineRule="exact"/>
              <w:ind w:firstLine="28"/>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分值</w:t>
            </w:r>
          </w:p>
        </w:tc>
        <w:tc>
          <w:tcPr>
            <w:tcW w:w="4767" w:type="dxa"/>
            <w:vAlign w:val="center"/>
          </w:tcPr>
          <w:p>
            <w:pPr>
              <w:spacing w:line="400" w:lineRule="exact"/>
              <w:ind w:firstLine="28"/>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评分标准</w:t>
            </w:r>
          </w:p>
        </w:tc>
        <w:tc>
          <w:tcPr>
            <w:tcW w:w="1276" w:type="dxa"/>
            <w:vAlign w:val="center"/>
          </w:tcPr>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备注</w:t>
            </w:r>
          </w:p>
        </w:tc>
        <w:tc>
          <w:tcPr>
            <w:tcW w:w="1173" w:type="dxa"/>
            <w:vAlign w:val="center"/>
          </w:tcPr>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64" w:type="dxa"/>
            <w:vAlign w:val="center"/>
          </w:tcPr>
          <w:p>
            <w:pPr>
              <w:spacing w:line="400" w:lineRule="exact"/>
              <w:ind w:firstLine="28"/>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128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报价</w:t>
            </w:r>
            <w:r>
              <w:rPr>
                <w:rFonts w:asciiTheme="minorEastAsia" w:hAnsiTheme="minorEastAsia" w:eastAsiaTheme="minorEastAsia"/>
                <w:color w:val="auto"/>
                <w:szCs w:val="21"/>
                <w:highlight w:val="none"/>
              </w:rPr>
              <w:t>30</w:t>
            </w:r>
            <w:r>
              <w:rPr>
                <w:rFonts w:hint="eastAsia" w:asciiTheme="minorEastAsia" w:hAnsiTheme="minorEastAsia" w:eastAsiaTheme="minorEastAsia"/>
                <w:color w:val="auto"/>
                <w:szCs w:val="21"/>
                <w:highlight w:val="none"/>
              </w:rPr>
              <w:t>%</w:t>
            </w:r>
          </w:p>
        </w:tc>
        <w:tc>
          <w:tcPr>
            <w:tcW w:w="646" w:type="dxa"/>
            <w:vAlign w:val="center"/>
          </w:tcPr>
          <w:p>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30</w:t>
            </w:r>
          </w:p>
        </w:tc>
        <w:tc>
          <w:tcPr>
            <w:tcW w:w="4767"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满足招标文件要求且投标价格最低的报价为基准价，其价格分为满分。其他供应商的价格分统一按照下列公式计算：报价得分=(基准价／报价)*30。</w:t>
            </w:r>
          </w:p>
          <w:p>
            <w:pPr>
              <w:rPr>
                <w:rFonts w:asciiTheme="minorEastAsia" w:hAnsiTheme="minorEastAsia" w:eastAsiaTheme="minorEastAsia"/>
                <w:color w:val="auto"/>
                <w:szCs w:val="21"/>
                <w:highlight w:val="none"/>
              </w:rPr>
            </w:pPr>
            <w:r>
              <w:rPr>
                <w:rFonts w:hint="eastAsia" w:ascii="宋体" w:hAnsi="宋体"/>
                <w:color w:val="auto"/>
                <w:szCs w:val="21"/>
                <w:highlight w:val="none"/>
                <w:lang w:val="zh-CN"/>
              </w:rPr>
              <w:t>注：小微企业（监狱企业、残疾人福利性单位视同小微企业）价格扣除</w:t>
            </w:r>
            <w:r>
              <w:rPr>
                <w:rFonts w:hint="eastAsia" w:ascii="宋体" w:hAnsi="宋体" w:cs="宋体"/>
                <w:color w:val="auto"/>
                <w:szCs w:val="21"/>
                <w:highlight w:val="none"/>
              </w:rPr>
              <w:t>按投标人须知附表执行</w:t>
            </w:r>
            <w:r>
              <w:rPr>
                <w:rFonts w:hint="eastAsia" w:ascii="宋体" w:hAnsi="宋体"/>
                <w:color w:val="auto"/>
                <w:szCs w:val="21"/>
                <w:highlight w:val="none"/>
              </w:rPr>
              <w:t>。</w:t>
            </w:r>
          </w:p>
        </w:tc>
        <w:tc>
          <w:tcPr>
            <w:tcW w:w="1276"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1173"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64" w:type="dxa"/>
            <w:vAlign w:val="center"/>
          </w:tcPr>
          <w:p>
            <w:pPr>
              <w:spacing w:line="400" w:lineRule="exact"/>
              <w:ind w:firstLine="28"/>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128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技术参数要求</w:t>
            </w:r>
            <w:r>
              <w:rPr>
                <w:rFonts w:asciiTheme="minorEastAsia" w:hAnsiTheme="minorEastAsia" w:eastAsiaTheme="minorEastAsia"/>
                <w:color w:val="auto"/>
                <w:szCs w:val="21"/>
                <w:highlight w:val="none"/>
              </w:rPr>
              <w:t>54</w:t>
            </w:r>
            <w:r>
              <w:rPr>
                <w:rFonts w:hint="eastAsia" w:asciiTheme="minorEastAsia" w:hAnsiTheme="minorEastAsia" w:eastAsiaTheme="minorEastAsia"/>
                <w:color w:val="auto"/>
                <w:szCs w:val="21"/>
                <w:highlight w:val="none"/>
              </w:rPr>
              <w:t>%</w:t>
            </w:r>
          </w:p>
        </w:tc>
        <w:tc>
          <w:tcPr>
            <w:tcW w:w="646" w:type="dxa"/>
            <w:vAlign w:val="center"/>
          </w:tcPr>
          <w:p>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54</w:t>
            </w:r>
          </w:p>
        </w:tc>
        <w:tc>
          <w:tcPr>
            <w:tcW w:w="4767"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完全符合招标文件技术参数及配置要求的得</w:t>
            </w:r>
            <w:r>
              <w:rPr>
                <w:rFonts w:asciiTheme="minorEastAsia" w:hAnsiTheme="minorEastAsia" w:eastAsiaTheme="minorEastAsia"/>
                <w:color w:val="auto"/>
                <w:szCs w:val="21"/>
                <w:highlight w:val="none"/>
              </w:rPr>
              <w:t>54</w:t>
            </w:r>
            <w:r>
              <w:rPr>
                <w:rFonts w:hint="eastAsia" w:asciiTheme="minorEastAsia" w:hAnsiTheme="minorEastAsia" w:eastAsiaTheme="minorEastAsia"/>
                <w:color w:val="auto"/>
                <w:szCs w:val="21"/>
                <w:highlight w:val="none"/>
              </w:rPr>
              <w:t xml:space="preserve"> 分，不满足招标文件技术参数及配置要求的，按如下规则进行处理：每有一项不满足招标文件中标注“</w:t>
            </w:r>
            <w:r>
              <w:rPr>
                <w:rFonts w:hint="eastAsia" w:ascii="宋体" w:hAnsi="宋体" w:cs="宋体"/>
                <w:color w:val="auto"/>
                <w:highlight w:val="none"/>
              </w:rPr>
              <w:t>★</w:t>
            </w:r>
            <w:r>
              <w:rPr>
                <w:rFonts w:hint="eastAsia" w:asciiTheme="minorEastAsia" w:hAnsiTheme="minorEastAsia" w:eastAsiaTheme="minorEastAsia"/>
                <w:color w:val="auto"/>
                <w:szCs w:val="21"/>
                <w:highlight w:val="none"/>
              </w:rPr>
              <w:t>”条款（共7项）要求的扣3.75分，每有一项不满足招标文件中未标注符号条款（共37项）要求的扣</w:t>
            </w:r>
            <w:r>
              <w:rPr>
                <w:rFonts w:asciiTheme="minorEastAsia" w:hAnsiTheme="minorEastAsia" w:eastAsiaTheme="minorEastAsia"/>
                <w:color w:val="auto"/>
                <w:szCs w:val="21"/>
                <w:highlight w:val="none"/>
              </w:rPr>
              <w:t>0</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75</w:t>
            </w:r>
            <w:r>
              <w:rPr>
                <w:rFonts w:hint="eastAsia" w:asciiTheme="minorEastAsia" w:hAnsiTheme="minorEastAsia" w:eastAsiaTheme="minorEastAsia"/>
                <w:color w:val="auto"/>
                <w:szCs w:val="21"/>
                <w:highlight w:val="none"/>
              </w:rPr>
              <w:t>分，扣完为止。</w:t>
            </w:r>
          </w:p>
          <w:p>
            <w:pPr>
              <w:rPr>
                <w:rFonts w:asciiTheme="minorEastAsia" w:hAnsiTheme="minorEastAsia" w:eastAsiaTheme="minorEastAsia"/>
                <w:color w:val="auto"/>
                <w:szCs w:val="21"/>
                <w:highlight w:val="none"/>
              </w:rPr>
            </w:pPr>
            <w:r>
              <w:rPr>
                <w:rFonts w:hint="eastAsia" w:ascii="宋体" w:hAnsi="宋体"/>
                <w:color w:val="auto"/>
                <w:szCs w:val="21"/>
                <w:highlight w:val="none"/>
              </w:rPr>
              <w:t>注：技术参数中要求提供证明材料的，须按要求提供相关证明材料并加盖供应商电子签章，未提供证明材料该项不得分。</w:t>
            </w:r>
          </w:p>
        </w:tc>
        <w:tc>
          <w:tcPr>
            <w:tcW w:w="1276"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1173"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64" w:type="dxa"/>
            <w:vAlign w:val="center"/>
          </w:tcPr>
          <w:p>
            <w:pPr>
              <w:spacing w:line="400" w:lineRule="exact"/>
              <w:ind w:firstLine="28"/>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w:t>
            </w:r>
          </w:p>
        </w:tc>
        <w:tc>
          <w:tcPr>
            <w:tcW w:w="128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售后服务方案</w:t>
            </w:r>
            <w:r>
              <w:rPr>
                <w:rFonts w:asciiTheme="minorEastAsia" w:hAnsiTheme="minorEastAsia" w:eastAsiaTheme="minorEastAsia"/>
                <w:color w:val="auto"/>
                <w:szCs w:val="21"/>
                <w:highlight w:val="none"/>
              </w:rPr>
              <w:t>12</w:t>
            </w:r>
            <w:r>
              <w:rPr>
                <w:rFonts w:hint="eastAsia" w:asciiTheme="minorEastAsia" w:hAnsiTheme="minorEastAsia" w:eastAsiaTheme="minorEastAsia"/>
                <w:color w:val="auto"/>
                <w:szCs w:val="21"/>
                <w:highlight w:val="none"/>
              </w:rPr>
              <w:t>%</w:t>
            </w:r>
          </w:p>
        </w:tc>
        <w:tc>
          <w:tcPr>
            <w:tcW w:w="646" w:type="dxa"/>
            <w:vAlign w:val="center"/>
          </w:tcPr>
          <w:p>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12</w:t>
            </w:r>
          </w:p>
        </w:tc>
        <w:tc>
          <w:tcPr>
            <w:tcW w:w="4767"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根据投标人提供的售后服务方案【①完整的配送方案（完善的出入库管理制度、完整的配送流程（配送人员和车辆的配置））②有效的质量保障方案（包含质量管理体系建设、质量控制技术方法等）③应急保障方案（配送过程中的突发应急措施、因问题产品引发的医疗安全事故应急措施、临时配送的应急措施）④具有完善的售后保障体系（有效的退换货流程制度、本地化服务能力等）】进行评审，方案完全满足项目实际要求且无缺陷的得</w:t>
            </w:r>
            <w:r>
              <w:rPr>
                <w:rFonts w:asciiTheme="minorEastAsia" w:hAnsiTheme="minorEastAsia" w:eastAsiaTheme="minorEastAsia"/>
                <w:color w:val="auto"/>
                <w:szCs w:val="21"/>
                <w:highlight w:val="none"/>
              </w:rPr>
              <w:t>12</w:t>
            </w:r>
            <w:r>
              <w:rPr>
                <w:rFonts w:hint="eastAsia" w:asciiTheme="minorEastAsia" w:hAnsiTheme="minorEastAsia" w:eastAsiaTheme="minorEastAsia"/>
                <w:color w:val="auto"/>
                <w:szCs w:val="21"/>
                <w:highlight w:val="none"/>
              </w:rPr>
              <w:t>分；每缺少一项内容扣</w:t>
            </w: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分，每有一处存在缺陷或不合理的，扣1</w:t>
            </w:r>
            <w:r>
              <w:rPr>
                <w:rFonts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rPr>
              <w:t>分，扣完为止。</w:t>
            </w:r>
          </w:p>
        </w:tc>
        <w:tc>
          <w:tcPr>
            <w:tcW w:w="1276"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1173"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64" w:type="dxa"/>
            <w:vAlign w:val="center"/>
          </w:tcPr>
          <w:p>
            <w:pPr>
              <w:spacing w:line="400" w:lineRule="exact"/>
              <w:ind w:firstLine="28"/>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5</w:t>
            </w:r>
          </w:p>
        </w:tc>
        <w:tc>
          <w:tcPr>
            <w:tcW w:w="128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业绩3%</w:t>
            </w:r>
          </w:p>
        </w:tc>
        <w:tc>
          <w:tcPr>
            <w:tcW w:w="646"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p>
        </w:tc>
        <w:tc>
          <w:tcPr>
            <w:tcW w:w="4767"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评标委员会根据供应商同类产品销售业绩（</w:t>
            </w:r>
            <w:r>
              <w:rPr>
                <w:rFonts w:asciiTheme="minorEastAsia" w:hAnsiTheme="minorEastAsia" w:eastAsiaTheme="minorEastAsia"/>
                <w:color w:val="auto"/>
                <w:szCs w:val="21"/>
                <w:highlight w:val="none"/>
              </w:rPr>
              <w:t>2018</w:t>
            </w:r>
            <w:r>
              <w:rPr>
                <w:rFonts w:hint="eastAsia" w:asciiTheme="minorEastAsia" w:hAnsiTheme="minorEastAsia" w:eastAsiaTheme="minorEastAsia"/>
                <w:color w:val="auto"/>
                <w:szCs w:val="21"/>
                <w:highlight w:val="none"/>
              </w:rPr>
              <w:t>年-投标截止日）进行评定，每提供</w:t>
            </w:r>
            <w:r>
              <w:rPr>
                <w:rFonts w:asciiTheme="minorEastAsia" w:hAnsiTheme="minorEastAsia" w:eastAsiaTheme="minorEastAsia"/>
                <w:color w:val="auto"/>
                <w:szCs w:val="21"/>
                <w:highlight w:val="none"/>
              </w:rPr>
              <w:t>一个业绩得</w:t>
            </w:r>
            <w:r>
              <w:rPr>
                <w:rFonts w:hint="eastAsia" w:asciiTheme="minorEastAsia" w:hAnsiTheme="minorEastAsia" w:eastAsiaTheme="minorEastAsia"/>
                <w:color w:val="auto"/>
                <w:szCs w:val="21"/>
                <w:highlight w:val="none"/>
              </w:rPr>
              <w:t>1.5分</w:t>
            </w:r>
            <w:r>
              <w:rPr>
                <w:rFonts w:asciiTheme="minorEastAsia" w:hAnsiTheme="minorEastAsia" w:eastAsiaTheme="minorEastAsia"/>
                <w:color w:val="auto"/>
                <w:szCs w:val="21"/>
                <w:highlight w:val="none"/>
              </w:rPr>
              <w:t>，最多得</w:t>
            </w:r>
            <w:r>
              <w:rPr>
                <w:rFonts w:hint="eastAsia" w:asciiTheme="minorEastAsia" w:hAnsiTheme="minorEastAsia" w:eastAsiaTheme="minorEastAsia"/>
                <w:color w:val="auto"/>
                <w:szCs w:val="21"/>
                <w:highlight w:val="none"/>
              </w:rPr>
              <w:t>3分。</w:t>
            </w:r>
          </w:p>
        </w:tc>
        <w:tc>
          <w:tcPr>
            <w:tcW w:w="1276"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提供销售合同原件原色电子件加盖投标人电子签章。</w:t>
            </w:r>
          </w:p>
        </w:tc>
        <w:tc>
          <w:tcPr>
            <w:tcW w:w="1173"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64" w:type="dxa"/>
            <w:vAlign w:val="center"/>
          </w:tcPr>
          <w:p>
            <w:pPr>
              <w:spacing w:line="400" w:lineRule="exact"/>
              <w:ind w:firstLine="28"/>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6</w:t>
            </w:r>
          </w:p>
        </w:tc>
        <w:tc>
          <w:tcPr>
            <w:tcW w:w="128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节能、环境标志、无线局域网产品1%</w:t>
            </w:r>
          </w:p>
        </w:tc>
        <w:tc>
          <w:tcPr>
            <w:tcW w:w="646"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4767"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投标产品中属于政府采购优先采购范围的，则每有一项为节能产品或者环境标志产品或者无线局域网产品的得0.5分，非节能、环境标志产品的、无线局域网产品的不得分。本项最多得1分。</w:t>
            </w:r>
          </w:p>
          <w:p>
            <w:pPr>
              <w:rPr>
                <w:rFonts w:ascii="宋体" w:hAnsi="宋体"/>
                <w:color w:val="auto"/>
                <w:kern w:val="0"/>
                <w:szCs w:val="21"/>
                <w:highlight w:val="none"/>
              </w:rPr>
            </w:pPr>
            <w:r>
              <w:rPr>
                <w:rFonts w:hint="eastAsia" w:ascii="宋体" w:hAnsi="宋体"/>
                <w:color w:val="auto"/>
                <w:szCs w:val="21"/>
                <w:highlight w:val="none"/>
              </w:rPr>
              <w:t>注：1. 节能产品、环境标志产品优先采购范围</w:t>
            </w:r>
            <w:r>
              <w:rPr>
                <w:rFonts w:hint="eastAsia" w:ascii="宋体" w:hAnsi="宋体"/>
                <w:color w:val="auto"/>
                <w:kern w:val="0"/>
                <w:szCs w:val="21"/>
                <w:highlight w:val="none"/>
              </w:rPr>
              <w:t>以品目清单为准</w:t>
            </w:r>
            <w:r>
              <w:rPr>
                <w:rFonts w:ascii="宋体" w:hAnsi="宋体"/>
                <w:color w:val="auto"/>
                <w:kern w:val="0"/>
                <w:szCs w:val="21"/>
                <w:highlight w:val="none"/>
              </w:rPr>
              <w:t>。</w:t>
            </w:r>
            <w:r>
              <w:rPr>
                <w:rFonts w:hint="eastAsia" w:ascii="宋体" w:hAnsi="宋体"/>
                <w:color w:val="auto"/>
                <w:kern w:val="0"/>
                <w:szCs w:val="21"/>
                <w:highlight w:val="none"/>
              </w:rPr>
              <w:t>财政部、发展改革委、生态环境部等部门根据产品节能环保性能、技术水平和市场成熟程度等因素，确定实施政府优先采购和强制采购的产品类别及所依据的相关标准规范，以品目清单的形式发布并适时调整。</w:t>
            </w:r>
            <w:r>
              <w:rPr>
                <w:rFonts w:hint="eastAsia" w:ascii="宋体" w:hAnsi="宋体"/>
                <w:color w:val="auto"/>
                <w:szCs w:val="21"/>
                <w:highlight w:val="none"/>
              </w:rPr>
              <w:t>无线局域网产品优先采购范围</w:t>
            </w:r>
            <w:r>
              <w:rPr>
                <w:rFonts w:hint="eastAsia" w:ascii="宋体" w:hAnsi="宋体"/>
                <w:color w:val="auto"/>
                <w:kern w:val="0"/>
                <w:szCs w:val="21"/>
                <w:highlight w:val="none"/>
              </w:rPr>
              <w:t>以中国</w:t>
            </w:r>
            <w:r>
              <w:rPr>
                <w:rFonts w:ascii="宋体" w:hAnsi="宋体"/>
                <w:color w:val="auto"/>
                <w:kern w:val="0"/>
                <w:szCs w:val="21"/>
                <w:highlight w:val="none"/>
              </w:rPr>
              <w:t>政府采购网公布的</w:t>
            </w:r>
            <w:r>
              <w:rPr>
                <w:rFonts w:hint="eastAsia" w:ascii="宋体" w:hAnsi="宋体"/>
                <w:color w:val="auto"/>
                <w:kern w:val="0"/>
                <w:szCs w:val="21"/>
                <w:highlight w:val="none"/>
              </w:rPr>
              <w:t>《无线局域网认证产品政府采购清单》为准</w:t>
            </w:r>
            <w:r>
              <w:rPr>
                <w:rFonts w:ascii="宋体" w:hAnsi="宋体"/>
                <w:color w:val="auto"/>
                <w:kern w:val="0"/>
                <w:szCs w:val="21"/>
                <w:highlight w:val="none"/>
              </w:rPr>
              <w:t>。</w:t>
            </w:r>
          </w:p>
          <w:p>
            <w:pPr>
              <w:rPr>
                <w:rFonts w:ascii="宋体" w:hAnsi="宋体"/>
                <w:color w:val="auto"/>
                <w:kern w:val="0"/>
                <w:szCs w:val="21"/>
                <w:highlight w:val="none"/>
              </w:rPr>
            </w:pPr>
            <w:r>
              <w:rPr>
                <w:rFonts w:hint="eastAsia" w:ascii="宋体" w:hAnsi="宋体"/>
                <w:color w:val="auto"/>
                <w:kern w:val="0"/>
                <w:szCs w:val="21"/>
                <w:highlight w:val="none"/>
              </w:rPr>
              <w:t>2.</w:t>
            </w:r>
            <w:r>
              <w:rPr>
                <w:rFonts w:hint="eastAsia" w:ascii="宋体" w:hAnsi="宋体"/>
                <w:color w:val="auto"/>
                <w:szCs w:val="21"/>
                <w:highlight w:val="none"/>
              </w:rPr>
              <w:t xml:space="preserve"> 投标产品属于</w:t>
            </w:r>
            <w:r>
              <w:rPr>
                <w:rFonts w:hint="eastAsia" w:ascii="宋体" w:hAnsi="宋体"/>
                <w:color w:val="auto"/>
                <w:kern w:val="0"/>
                <w:szCs w:val="21"/>
                <w:highlight w:val="none"/>
              </w:rPr>
              <w:t>优先</w:t>
            </w:r>
            <w:r>
              <w:rPr>
                <w:rFonts w:ascii="宋体" w:hAnsi="宋体"/>
                <w:color w:val="auto"/>
                <w:kern w:val="0"/>
                <w:szCs w:val="21"/>
                <w:highlight w:val="none"/>
              </w:rPr>
              <w:t>采购范围内的</w:t>
            </w:r>
            <w:r>
              <w:rPr>
                <w:rFonts w:hint="eastAsia" w:ascii="宋体" w:hAnsi="宋体"/>
                <w:color w:val="auto"/>
                <w:szCs w:val="21"/>
                <w:highlight w:val="none"/>
              </w:rPr>
              <w:t>节能产品或者环境标志产品的</w:t>
            </w:r>
            <w:r>
              <w:rPr>
                <w:rFonts w:ascii="宋体" w:hAnsi="宋体"/>
                <w:color w:val="auto"/>
                <w:szCs w:val="21"/>
                <w:highlight w:val="none"/>
              </w:rPr>
              <w:t>，</w:t>
            </w:r>
            <w:r>
              <w:rPr>
                <w:rFonts w:hint="eastAsia" w:ascii="宋体" w:hAnsi="宋体"/>
                <w:color w:val="auto"/>
                <w:kern w:val="0"/>
                <w:szCs w:val="21"/>
                <w:highlight w:val="none"/>
              </w:rPr>
              <w:t>提供国家确定的认证机构出具的、处于有效期之内的节能产品、环境标志产品认证证书原件原色电子件。</w:t>
            </w:r>
          </w:p>
          <w:p>
            <w:pPr>
              <w:rPr>
                <w:rFonts w:asciiTheme="minorEastAsia" w:hAnsiTheme="minorEastAsia" w:eastAsiaTheme="minorEastAsia"/>
                <w:color w:val="auto"/>
                <w:szCs w:val="21"/>
                <w:highlight w:val="none"/>
              </w:rPr>
            </w:pPr>
            <w:r>
              <w:rPr>
                <w:rFonts w:ascii="宋体" w:hAnsi="宋体"/>
                <w:color w:val="auto"/>
                <w:kern w:val="0"/>
                <w:szCs w:val="21"/>
                <w:highlight w:val="none"/>
              </w:rPr>
              <w:t>3.</w:t>
            </w:r>
            <w:r>
              <w:rPr>
                <w:rFonts w:hint="eastAsia" w:ascii="宋体" w:hAnsi="宋体"/>
                <w:color w:val="auto"/>
                <w:kern w:val="0"/>
                <w:szCs w:val="21"/>
                <w:highlight w:val="none"/>
              </w:rPr>
              <w:t xml:space="preserve"> 投标产品属于优先</w:t>
            </w:r>
            <w:r>
              <w:rPr>
                <w:rFonts w:ascii="宋体" w:hAnsi="宋体"/>
                <w:color w:val="auto"/>
                <w:kern w:val="0"/>
                <w:szCs w:val="21"/>
                <w:highlight w:val="none"/>
              </w:rPr>
              <w:t>采购范围内的</w:t>
            </w:r>
            <w:r>
              <w:rPr>
                <w:rFonts w:hint="eastAsia" w:ascii="宋体" w:hAnsi="宋体"/>
                <w:color w:val="auto"/>
                <w:szCs w:val="21"/>
                <w:highlight w:val="none"/>
              </w:rPr>
              <w:t>无线局域网产品的，</w:t>
            </w:r>
            <w:r>
              <w:rPr>
                <w:rFonts w:hint="eastAsia" w:ascii="宋体" w:hAnsi="宋体"/>
                <w:color w:val="auto"/>
                <w:kern w:val="0"/>
                <w:szCs w:val="21"/>
                <w:highlight w:val="none"/>
              </w:rPr>
              <w:t>提供政府采购清单对应页原件原色电子件。</w:t>
            </w:r>
          </w:p>
        </w:tc>
        <w:tc>
          <w:tcPr>
            <w:tcW w:w="1276"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1173"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政策类评分因素</w:t>
            </w:r>
          </w:p>
        </w:tc>
      </w:tr>
    </w:tbl>
    <w:p>
      <w:pPr>
        <w:pStyle w:val="2"/>
        <w:rPr>
          <w:color w:val="auto"/>
          <w:highlight w:val="none"/>
        </w:rPr>
      </w:pPr>
    </w:p>
    <w:p>
      <w:pPr>
        <w:pStyle w:val="14"/>
        <w:tabs>
          <w:tab w:val="left" w:pos="600"/>
        </w:tabs>
        <w:spacing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第四包：</w:t>
      </w:r>
    </w:p>
    <w:tbl>
      <w:tblPr>
        <w:tblStyle w:val="35"/>
        <w:tblW w:w="9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289"/>
        <w:gridCol w:w="646"/>
        <w:gridCol w:w="4767"/>
        <w:gridCol w:w="1276"/>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64" w:type="dxa"/>
            <w:vAlign w:val="center"/>
          </w:tcPr>
          <w:p>
            <w:pPr>
              <w:spacing w:line="400" w:lineRule="exact"/>
              <w:ind w:firstLine="28"/>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序号</w:t>
            </w:r>
          </w:p>
        </w:tc>
        <w:tc>
          <w:tcPr>
            <w:tcW w:w="1289" w:type="dxa"/>
            <w:vAlign w:val="center"/>
          </w:tcPr>
          <w:p>
            <w:pPr>
              <w:spacing w:line="400" w:lineRule="exact"/>
              <w:ind w:firstLine="28"/>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评分因素</w:t>
            </w:r>
          </w:p>
          <w:p>
            <w:pPr>
              <w:spacing w:line="400" w:lineRule="exact"/>
              <w:ind w:firstLine="28"/>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及权重</w:t>
            </w:r>
          </w:p>
        </w:tc>
        <w:tc>
          <w:tcPr>
            <w:tcW w:w="646" w:type="dxa"/>
            <w:vAlign w:val="center"/>
          </w:tcPr>
          <w:p>
            <w:pPr>
              <w:spacing w:line="400" w:lineRule="exact"/>
              <w:ind w:firstLine="28"/>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分值</w:t>
            </w:r>
          </w:p>
        </w:tc>
        <w:tc>
          <w:tcPr>
            <w:tcW w:w="4767" w:type="dxa"/>
            <w:vAlign w:val="center"/>
          </w:tcPr>
          <w:p>
            <w:pPr>
              <w:spacing w:line="400" w:lineRule="exact"/>
              <w:ind w:firstLine="28"/>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评分标准</w:t>
            </w:r>
          </w:p>
        </w:tc>
        <w:tc>
          <w:tcPr>
            <w:tcW w:w="1276" w:type="dxa"/>
            <w:vAlign w:val="center"/>
          </w:tcPr>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备注</w:t>
            </w:r>
          </w:p>
        </w:tc>
        <w:tc>
          <w:tcPr>
            <w:tcW w:w="1173" w:type="dxa"/>
            <w:vAlign w:val="center"/>
          </w:tcPr>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64" w:type="dxa"/>
            <w:vAlign w:val="center"/>
          </w:tcPr>
          <w:p>
            <w:pPr>
              <w:spacing w:line="400" w:lineRule="exact"/>
              <w:ind w:firstLine="28"/>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128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报价</w:t>
            </w:r>
            <w:r>
              <w:rPr>
                <w:rFonts w:asciiTheme="minorEastAsia" w:hAnsiTheme="minorEastAsia" w:eastAsiaTheme="minorEastAsia"/>
                <w:color w:val="auto"/>
                <w:szCs w:val="21"/>
                <w:highlight w:val="none"/>
              </w:rPr>
              <w:t>30</w:t>
            </w:r>
            <w:r>
              <w:rPr>
                <w:rFonts w:hint="eastAsia" w:asciiTheme="minorEastAsia" w:hAnsiTheme="minorEastAsia" w:eastAsiaTheme="minorEastAsia"/>
                <w:color w:val="auto"/>
                <w:szCs w:val="21"/>
                <w:highlight w:val="none"/>
              </w:rPr>
              <w:t>%</w:t>
            </w:r>
          </w:p>
        </w:tc>
        <w:tc>
          <w:tcPr>
            <w:tcW w:w="646" w:type="dxa"/>
            <w:vAlign w:val="center"/>
          </w:tcPr>
          <w:p>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30</w:t>
            </w:r>
          </w:p>
        </w:tc>
        <w:tc>
          <w:tcPr>
            <w:tcW w:w="4767"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满足招标文件要求且投标价格最低的报价为基准价，其价格分为满分。其他供应商的价格分统一按照下列公式计算：报价得分=(基准价／报价)*30。</w:t>
            </w:r>
          </w:p>
          <w:p>
            <w:pPr>
              <w:rPr>
                <w:rFonts w:asciiTheme="minorEastAsia" w:hAnsiTheme="minorEastAsia" w:eastAsiaTheme="minorEastAsia"/>
                <w:color w:val="auto"/>
                <w:szCs w:val="21"/>
                <w:highlight w:val="none"/>
              </w:rPr>
            </w:pPr>
            <w:r>
              <w:rPr>
                <w:rFonts w:hint="eastAsia" w:ascii="宋体" w:hAnsi="宋体"/>
                <w:color w:val="auto"/>
                <w:szCs w:val="21"/>
                <w:highlight w:val="none"/>
                <w:lang w:val="zh-CN"/>
              </w:rPr>
              <w:t>注：小微企业（监狱企业、残疾人福利性单位视同小微企业）价格扣除</w:t>
            </w:r>
            <w:r>
              <w:rPr>
                <w:rFonts w:hint="eastAsia" w:ascii="宋体" w:hAnsi="宋体" w:cs="宋体"/>
                <w:color w:val="auto"/>
                <w:szCs w:val="21"/>
                <w:highlight w:val="none"/>
              </w:rPr>
              <w:t>按投标人须知附表执行</w:t>
            </w:r>
            <w:r>
              <w:rPr>
                <w:rFonts w:hint="eastAsia" w:ascii="宋体" w:hAnsi="宋体"/>
                <w:color w:val="auto"/>
                <w:szCs w:val="21"/>
                <w:highlight w:val="none"/>
              </w:rPr>
              <w:t>。</w:t>
            </w:r>
          </w:p>
        </w:tc>
        <w:tc>
          <w:tcPr>
            <w:tcW w:w="1276"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1173"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64" w:type="dxa"/>
            <w:vAlign w:val="center"/>
          </w:tcPr>
          <w:p>
            <w:pPr>
              <w:spacing w:line="400" w:lineRule="exact"/>
              <w:ind w:firstLine="28"/>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128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技术参数要求54%</w:t>
            </w:r>
          </w:p>
        </w:tc>
        <w:tc>
          <w:tcPr>
            <w:tcW w:w="646"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54</w:t>
            </w:r>
          </w:p>
        </w:tc>
        <w:tc>
          <w:tcPr>
            <w:tcW w:w="4767"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完全符合招标文件技术参数及配置要求的得54分，不满足招标文件技术参数及配置要求的，按如下规则进行处理：每有一项不满足招标文件中标注“</w:t>
            </w:r>
            <w:r>
              <w:rPr>
                <w:rFonts w:hint="eastAsia" w:ascii="宋体" w:hAnsi="宋体" w:cs="宋体"/>
                <w:color w:val="auto"/>
                <w:highlight w:val="none"/>
              </w:rPr>
              <w:t>★</w:t>
            </w:r>
            <w:r>
              <w:rPr>
                <w:rFonts w:hint="eastAsia" w:asciiTheme="minorEastAsia" w:hAnsiTheme="minorEastAsia" w:eastAsiaTheme="minorEastAsia"/>
                <w:color w:val="auto"/>
                <w:szCs w:val="21"/>
                <w:highlight w:val="none"/>
              </w:rPr>
              <w:t>”条款（共4项）要求的扣3.375分，每有一项不满足招标文件中未标注符号条款（共81项）要求的扣0.5分，扣完为止。</w:t>
            </w:r>
          </w:p>
          <w:p>
            <w:pPr>
              <w:rPr>
                <w:rFonts w:asciiTheme="minorEastAsia" w:hAnsiTheme="minorEastAsia" w:eastAsiaTheme="minorEastAsia"/>
                <w:color w:val="auto"/>
                <w:szCs w:val="21"/>
                <w:highlight w:val="none"/>
              </w:rPr>
            </w:pPr>
            <w:r>
              <w:rPr>
                <w:rFonts w:hint="eastAsia" w:ascii="宋体" w:hAnsi="宋体"/>
                <w:color w:val="auto"/>
                <w:szCs w:val="21"/>
                <w:highlight w:val="none"/>
              </w:rPr>
              <w:t>注：技术参数中要求提供证明材料的，须按要求提供相关证明材料并加盖供应商电子签章，未提供证明材料该项不得分。</w:t>
            </w:r>
          </w:p>
        </w:tc>
        <w:tc>
          <w:tcPr>
            <w:tcW w:w="1276"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1173"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64" w:type="dxa"/>
            <w:vAlign w:val="center"/>
          </w:tcPr>
          <w:p>
            <w:pPr>
              <w:spacing w:line="400" w:lineRule="exact"/>
              <w:ind w:firstLine="28"/>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p>
        </w:tc>
        <w:tc>
          <w:tcPr>
            <w:tcW w:w="128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售后服务方案</w:t>
            </w:r>
            <w:r>
              <w:rPr>
                <w:rFonts w:asciiTheme="minorEastAsia" w:hAnsiTheme="minorEastAsia" w:eastAsiaTheme="minorEastAsia"/>
                <w:color w:val="auto"/>
                <w:szCs w:val="21"/>
                <w:highlight w:val="none"/>
              </w:rPr>
              <w:t>12</w:t>
            </w:r>
            <w:r>
              <w:rPr>
                <w:rFonts w:hint="eastAsia" w:asciiTheme="minorEastAsia" w:hAnsiTheme="minorEastAsia" w:eastAsiaTheme="minorEastAsia"/>
                <w:color w:val="auto"/>
                <w:szCs w:val="21"/>
                <w:highlight w:val="none"/>
              </w:rPr>
              <w:t>%</w:t>
            </w:r>
          </w:p>
        </w:tc>
        <w:tc>
          <w:tcPr>
            <w:tcW w:w="646" w:type="dxa"/>
            <w:vAlign w:val="center"/>
          </w:tcPr>
          <w:p>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12</w:t>
            </w:r>
          </w:p>
        </w:tc>
        <w:tc>
          <w:tcPr>
            <w:tcW w:w="4767"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根据投标人提供的售后服务方案【①完整的配送方案（完善的出入库管理制度、完整的配送流程（配送人员和车辆的配置））②有效的质量保障方案（包含质量管理体系建设、质量控制技术方法等）③应急保障方案（配送过程中的突发应急措施、因问题产品引发的医疗安全事故应急措施、临时配送的应急措施）④具有完善的售后保障体系（有效的退换货流程制度、本地化服务能力等）】进行评审，方案完全满足项目实际要求且无缺陷的得</w:t>
            </w:r>
            <w:r>
              <w:rPr>
                <w:rFonts w:asciiTheme="minorEastAsia" w:hAnsiTheme="minorEastAsia" w:eastAsiaTheme="minorEastAsia"/>
                <w:color w:val="auto"/>
                <w:szCs w:val="21"/>
                <w:highlight w:val="none"/>
              </w:rPr>
              <w:t>12</w:t>
            </w:r>
            <w:r>
              <w:rPr>
                <w:rFonts w:hint="eastAsia" w:asciiTheme="minorEastAsia" w:hAnsiTheme="minorEastAsia" w:eastAsiaTheme="minorEastAsia"/>
                <w:color w:val="auto"/>
                <w:szCs w:val="21"/>
                <w:highlight w:val="none"/>
              </w:rPr>
              <w:t>分；每缺少一项内容扣</w:t>
            </w: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分，每有一处存在缺陷或不合理的，扣1</w:t>
            </w:r>
            <w:r>
              <w:rPr>
                <w:rFonts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rPr>
              <w:t>分，扣完为止。</w:t>
            </w:r>
          </w:p>
        </w:tc>
        <w:tc>
          <w:tcPr>
            <w:tcW w:w="1276"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1173"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64" w:type="dxa"/>
            <w:vAlign w:val="center"/>
          </w:tcPr>
          <w:p>
            <w:pPr>
              <w:spacing w:line="400" w:lineRule="exact"/>
              <w:ind w:firstLine="28"/>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p>
        </w:tc>
        <w:tc>
          <w:tcPr>
            <w:tcW w:w="128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业绩3%</w:t>
            </w:r>
          </w:p>
        </w:tc>
        <w:tc>
          <w:tcPr>
            <w:tcW w:w="646"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p>
        </w:tc>
        <w:tc>
          <w:tcPr>
            <w:tcW w:w="4767"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评标委员会根据供应商同类产品销售业绩（</w:t>
            </w:r>
            <w:r>
              <w:rPr>
                <w:rFonts w:asciiTheme="minorEastAsia" w:hAnsiTheme="minorEastAsia" w:eastAsiaTheme="minorEastAsia"/>
                <w:color w:val="auto"/>
                <w:szCs w:val="21"/>
                <w:highlight w:val="none"/>
              </w:rPr>
              <w:t>2018</w:t>
            </w:r>
            <w:r>
              <w:rPr>
                <w:rFonts w:hint="eastAsia" w:asciiTheme="minorEastAsia" w:hAnsiTheme="minorEastAsia" w:eastAsiaTheme="minorEastAsia"/>
                <w:color w:val="auto"/>
                <w:szCs w:val="21"/>
                <w:highlight w:val="none"/>
              </w:rPr>
              <w:t>年-投标截止日）进行评定，每提供</w:t>
            </w:r>
            <w:r>
              <w:rPr>
                <w:rFonts w:asciiTheme="minorEastAsia" w:hAnsiTheme="minorEastAsia" w:eastAsiaTheme="minorEastAsia"/>
                <w:color w:val="auto"/>
                <w:szCs w:val="21"/>
                <w:highlight w:val="none"/>
              </w:rPr>
              <w:t>一个业绩得</w:t>
            </w:r>
            <w:r>
              <w:rPr>
                <w:rFonts w:hint="eastAsia" w:asciiTheme="minorEastAsia" w:hAnsiTheme="minorEastAsia" w:eastAsiaTheme="minorEastAsia"/>
                <w:color w:val="auto"/>
                <w:szCs w:val="21"/>
                <w:highlight w:val="none"/>
              </w:rPr>
              <w:t>1.5分</w:t>
            </w:r>
            <w:r>
              <w:rPr>
                <w:rFonts w:asciiTheme="minorEastAsia" w:hAnsiTheme="minorEastAsia" w:eastAsiaTheme="minorEastAsia"/>
                <w:color w:val="auto"/>
                <w:szCs w:val="21"/>
                <w:highlight w:val="none"/>
              </w:rPr>
              <w:t>，最多得</w:t>
            </w:r>
            <w:r>
              <w:rPr>
                <w:rFonts w:hint="eastAsia" w:asciiTheme="minorEastAsia" w:hAnsiTheme="minorEastAsia" w:eastAsiaTheme="minorEastAsia"/>
                <w:color w:val="auto"/>
                <w:szCs w:val="21"/>
                <w:highlight w:val="none"/>
              </w:rPr>
              <w:t>3分。</w:t>
            </w:r>
          </w:p>
        </w:tc>
        <w:tc>
          <w:tcPr>
            <w:tcW w:w="1276"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提供销售合同原件原色电子件加盖投标人电子签章。</w:t>
            </w:r>
          </w:p>
        </w:tc>
        <w:tc>
          <w:tcPr>
            <w:tcW w:w="1173"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64" w:type="dxa"/>
            <w:vAlign w:val="center"/>
          </w:tcPr>
          <w:p>
            <w:pPr>
              <w:spacing w:line="400" w:lineRule="exact"/>
              <w:ind w:firstLine="28"/>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p>
        </w:tc>
        <w:tc>
          <w:tcPr>
            <w:tcW w:w="128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节能、环境标志、无线局域网产品1%</w:t>
            </w:r>
          </w:p>
        </w:tc>
        <w:tc>
          <w:tcPr>
            <w:tcW w:w="646"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4767"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投标产品中属于政府采购优先采购范围的，则每有一项为节能产品或者环境标志产品或者无线局域网产品的得1分，非节能、环境标志产品的、无线局域网产品的不得分。本项最多得1分。</w:t>
            </w:r>
          </w:p>
          <w:p>
            <w:pPr>
              <w:rPr>
                <w:rFonts w:ascii="宋体" w:hAnsi="宋体"/>
                <w:color w:val="auto"/>
                <w:kern w:val="0"/>
                <w:szCs w:val="21"/>
                <w:highlight w:val="none"/>
              </w:rPr>
            </w:pPr>
            <w:r>
              <w:rPr>
                <w:rFonts w:hint="eastAsia" w:ascii="宋体" w:hAnsi="宋体"/>
                <w:color w:val="auto"/>
                <w:szCs w:val="21"/>
                <w:highlight w:val="none"/>
              </w:rPr>
              <w:t>注：1. 节能产品、环境标志产品优先采购范围</w:t>
            </w:r>
            <w:r>
              <w:rPr>
                <w:rFonts w:hint="eastAsia" w:ascii="宋体" w:hAnsi="宋体"/>
                <w:color w:val="auto"/>
                <w:kern w:val="0"/>
                <w:szCs w:val="21"/>
                <w:highlight w:val="none"/>
              </w:rPr>
              <w:t>以品目清单为准</w:t>
            </w:r>
            <w:r>
              <w:rPr>
                <w:rFonts w:ascii="宋体" w:hAnsi="宋体"/>
                <w:color w:val="auto"/>
                <w:kern w:val="0"/>
                <w:szCs w:val="21"/>
                <w:highlight w:val="none"/>
              </w:rPr>
              <w:t>。</w:t>
            </w:r>
            <w:r>
              <w:rPr>
                <w:rFonts w:hint="eastAsia" w:ascii="宋体" w:hAnsi="宋体"/>
                <w:color w:val="auto"/>
                <w:kern w:val="0"/>
                <w:szCs w:val="21"/>
                <w:highlight w:val="none"/>
              </w:rPr>
              <w:t>财政部、发展改革委、生态环境部等部门根据产品节能环保性能、技术水平和市场成熟程度等因素，确定实施政府优先采购和强制采购的产品类别及所依据的相关标准规范，以品目清单的形式发布并适时调整。</w:t>
            </w:r>
            <w:r>
              <w:rPr>
                <w:rFonts w:hint="eastAsia" w:ascii="宋体" w:hAnsi="宋体"/>
                <w:color w:val="auto"/>
                <w:szCs w:val="21"/>
                <w:highlight w:val="none"/>
              </w:rPr>
              <w:t>无线局域网产品优先采购范围</w:t>
            </w:r>
            <w:r>
              <w:rPr>
                <w:rFonts w:hint="eastAsia" w:ascii="宋体" w:hAnsi="宋体"/>
                <w:color w:val="auto"/>
                <w:kern w:val="0"/>
                <w:szCs w:val="21"/>
                <w:highlight w:val="none"/>
              </w:rPr>
              <w:t>以中国</w:t>
            </w:r>
            <w:r>
              <w:rPr>
                <w:rFonts w:ascii="宋体" w:hAnsi="宋体"/>
                <w:color w:val="auto"/>
                <w:kern w:val="0"/>
                <w:szCs w:val="21"/>
                <w:highlight w:val="none"/>
              </w:rPr>
              <w:t>政府采购网公布的</w:t>
            </w:r>
            <w:r>
              <w:rPr>
                <w:rFonts w:hint="eastAsia" w:ascii="宋体" w:hAnsi="宋体"/>
                <w:color w:val="auto"/>
                <w:kern w:val="0"/>
                <w:szCs w:val="21"/>
                <w:highlight w:val="none"/>
              </w:rPr>
              <w:t>《无线局域网认证产品政府采购清单》为准</w:t>
            </w:r>
            <w:r>
              <w:rPr>
                <w:rFonts w:ascii="宋体" w:hAnsi="宋体"/>
                <w:color w:val="auto"/>
                <w:kern w:val="0"/>
                <w:szCs w:val="21"/>
                <w:highlight w:val="none"/>
              </w:rPr>
              <w:t>。</w:t>
            </w:r>
          </w:p>
          <w:p>
            <w:pPr>
              <w:rPr>
                <w:rFonts w:ascii="宋体" w:hAnsi="宋体"/>
                <w:color w:val="auto"/>
                <w:kern w:val="0"/>
                <w:szCs w:val="21"/>
                <w:highlight w:val="none"/>
              </w:rPr>
            </w:pPr>
            <w:r>
              <w:rPr>
                <w:rFonts w:hint="eastAsia" w:ascii="宋体" w:hAnsi="宋体"/>
                <w:color w:val="auto"/>
                <w:kern w:val="0"/>
                <w:szCs w:val="21"/>
                <w:highlight w:val="none"/>
              </w:rPr>
              <w:t>2.</w:t>
            </w:r>
            <w:r>
              <w:rPr>
                <w:rFonts w:hint="eastAsia" w:ascii="宋体" w:hAnsi="宋体"/>
                <w:color w:val="auto"/>
                <w:szCs w:val="21"/>
                <w:highlight w:val="none"/>
              </w:rPr>
              <w:t xml:space="preserve"> 投标产品属于</w:t>
            </w:r>
            <w:r>
              <w:rPr>
                <w:rFonts w:hint="eastAsia" w:ascii="宋体" w:hAnsi="宋体"/>
                <w:color w:val="auto"/>
                <w:kern w:val="0"/>
                <w:szCs w:val="21"/>
                <w:highlight w:val="none"/>
              </w:rPr>
              <w:t>优先</w:t>
            </w:r>
            <w:r>
              <w:rPr>
                <w:rFonts w:ascii="宋体" w:hAnsi="宋体"/>
                <w:color w:val="auto"/>
                <w:kern w:val="0"/>
                <w:szCs w:val="21"/>
                <w:highlight w:val="none"/>
              </w:rPr>
              <w:t>采购范围内的</w:t>
            </w:r>
            <w:r>
              <w:rPr>
                <w:rFonts w:hint="eastAsia" w:ascii="宋体" w:hAnsi="宋体"/>
                <w:color w:val="auto"/>
                <w:szCs w:val="21"/>
                <w:highlight w:val="none"/>
              </w:rPr>
              <w:t>节能产品或者环境标志产品的</w:t>
            </w:r>
            <w:r>
              <w:rPr>
                <w:rFonts w:ascii="宋体" w:hAnsi="宋体"/>
                <w:color w:val="auto"/>
                <w:szCs w:val="21"/>
                <w:highlight w:val="none"/>
              </w:rPr>
              <w:t>，</w:t>
            </w:r>
            <w:r>
              <w:rPr>
                <w:rFonts w:hint="eastAsia" w:ascii="宋体" w:hAnsi="宋体"/>
                <w:color w:val="auto"/>
                <w:kern w:val="0"/>
                <w:szCs w:val="21"/>
                <w:highlight w:val="none"/>
              </w:rPr>
              <w:t>提供国家确定的认证机构出具的、处于有效期之内的节能产品、环境标志产品认证证书原件原色电子件。</w:t>
            </w:r>
          </w:p>
          <w:p>
            <w:pPr>
              <w:rPr>
                <w:rFonts w:asciiTheme="minorEastAsia" w:hAnsiTheme="minorEastAsia" w:eastAsiaTheme="minorEastAsia"/>
                <w:color w:val="auto"/>
                <w:szCs w:val="21"/>
                <w:highlight w:val="none"/>
              </w:rPr>
            </w:pPr>
            <w:r>
              <w:rPr>
                <w:rFonts w:ascii="宋体" w:hAnsi="宋体"/>
                <w:color w:val="auto"/>
                <w:kern w:val="0"/>
                <w:szCs w:val="21"/>
                <w:highlight w:val="none"/>
              </w:rPr>
              <w:t>3.</w:t>
            </w:r>
            <w:r>
              <w:rPr>
                <w:rFonts w:hint="eastAsia" w:ascii="宋体" w:hAnsi="宋体"/>
                <w:color w:val="auto"/>
                <w:kern w:val="0"/>
                <w:szCs w:val="21"/>
                <w:highlight w:val="none"/>
              </w:rPr>
              <w:t xml:space="preserve"> 投标产品属于优先</w:t>
            </w:r>
            <w:r>
              <w:rPr>
                <w:rFonts w:ascii="宋体" w:hAnsi="宋体"/>
                <w:color w:val="auto"/>
                <w:kern w:val="0"/>
                <w:szCs w:val="21"/>
                <w:highlight w:val="none"/>
              </w:rPr>
              <w:t>采购范围内的</w:t>
            </w:r>
            <w:r>
              <w:rPr>
                <w:rFonts w:hint="eastAsia" w:ascii="宋体" w:hAnsi="宋体"/>
                <w:color w:val="auto"/>
                <w:szCs w:val="21"/>
                <w:highlight w:val="none"/>
              </w:rPr>
              <w:t>无线局域网产品的，</w:t>
            </w:r>
            <w:r>
              <w:rPr>
                <w:rFonts w:hint="eastAsia" w:ascii="宋体" w:hAnsi="宋体"/>
                <w:color w:val="auto"/>
                <w:kern w:val="0"/>
                <w:szCs w:val="21"/>
                <w:highlight w:val="none"/>
              </w:rPr>
              <w:t>提供政府采购清单对应页原件原色电子件。</w:t>
            </w:r>
          </w:p>
        </w:tc>
        <w:tc>
          <w:tcPr>
            <w:tcW w:w="1276"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1173"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政策类评分因素</w:t>
            </w:r>
          </w:p>
        </w:tc>
      </w:tr>
    </w:tbl>
    <w:p>
      <w:pPr>
        <w:rPr>
          <w:rFonts w:ascii="宋体" w:hAnsi="宋体" w:cs="宋体"/>
          <w:color w:val="auto"/>
          <w:sz w:val="24"/>
          <w:highlight w:val="none"/>
        </w:rPr>
      </w:pPr>
    </w:p>
    <w:p>
      <w:pPr>
        <w:pStyle w:val="14"/>
        <w:tabs>
          <w:tab w:val="left" w:pos="600"/>
        </w:tabs>
        <w:spacing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第五包：</w:t>
      </w:r>
    </w:p>
    <w:tbl>
      <w:tblPr>
        <w:tblStyle w:val="35"/>
        <w:tblW w:w="9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289"/>
        <w:gridCol w:w="646"/>
        <w:gridCol w:w="4767"/>
        <w:gridCol w:w="1276"/>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64" w:type="dxa"/>
            <w:vAlign w:val="center"/>
          </w:tcPr>
          <w:p>
            <w:pPr>
              <w:spacing w:line="400" w:lineRule="exact"/>
              <w:ind w:firstLine="28"/>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序号</w:t>
            </w:r>
          </w:p>
        </w:tc>
        <w:tc>
          <w:tcPr>
            <w:tcW w:w="1289" w:type="dxa"/>
            <w:vAlign w:val="center"/>
          </w:tcPr>
          <w:p>
            <w:pPr>
              <w:spacing w:line="400" w:lineRule="exact"/>
              <w:ind w:firstLine="28"/>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评分因素</w:t>
            </w:r>
          </w:p>
          <w:p>
            <w:pPr>
              <w:spacing w:line="400" w:lineRule="exact"/>
              <w:ind w:firstLine="28"/>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及权重</w:t>
            </w:r>
          </w:p>
        </w:tc>
        <w:tc>
          <w:tcPr>
            <w:tcW w:w="646" w:type="dxa"/>
            <w:vAlign w:val="center"/>
          </w:tcPr>
          <w:p>
            <w:pPr>
              <w:spacing w:line="400" w:lineRule="exact"/>
              <w:ind w:firstLine="28"/>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分值</w:t>
            </w:r>
          </w:p>
        </w:tc>
        <w:tc>
          <w:tcPr>
            <w:tcW w:w="4767" w:type="dxa"/>
            <w:vAlign w:val="center"/>
          </w:tcPr>
          <w:p>
            <w:pPr>
              <w:spacing w:line="400" w:lineRule="exact"/>
              <w:ind w:firstLine="28"/>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评分标准</w:t>
            </w:r>
          </w:p>
        </w:tc>
        <w:tc>
          <w:tcPr>
            <w:tcW w:w="1276" w:type="dxa"/>
            <w:vAlign w:val="center"/>
          </w:tcPr>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备注</w:t>
            </w:r>
          </w:p>
        </w:tc>
        <w:tc>
          <w:tcPr>
            <w:tcW w:w="1173" w:type="dxa"/>
            <w:vAlign w:val="center"/>
          </w:tcPr>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64" w:type="dxa"/>
            <w:vAlign w:val="center"/>
          </w:tcPr>
          <w:p>
            <w:pPr>
              <w:spacing w:line="400" w:lineRule="exact"/>
              <w:ind w:firstLine="28"/>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128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报价</w:t>
            </w:r>
            <w:r>
              <w:rPr>
                <w:rFonts w:asciiTheme="minorEastAsia" w:hAnsiTheme="minorEastAsia" w:eastAsiaTheme="minorEastAsia"/>
                <w:color w:val="auto"/>
                <w:szCs w:val="21"/>
                <w:highlight w:val="none"/>
              </w:rPr>
              <w:t>30</w:t>
            </w:r>
            <w:r>
              <w:rPr>
                <w:rFonts w:hint="eastAsia" w:asciiTheme="minorEastAsia" w:hAnsiTheme="minorEastAsia" w:eastAsiaTheme="minorEastAsia"/>
                <w:color w:val="auto"/>
                <w:szCs w:val="21"/>
                <w:highlight w:val="none"/>
              </w:rPr>
              <w:t>%</w:t>
            </w:r>
          </w:p>
        </w:tc>
        <w:tc>
          <w:tcPr>
            <w:tcW w:w="646" w:type="dxa"/>
            <w:vAlign w:val="center"/>
          </w:tcPr>
          <w:p>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30</w:t>
            </w:r>
          </w:p>
        </w:tc>
        <w:tc>
          <w:tcPr>
            <w:tcW w:w="4767"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满足招标文件要求且投标价格最低的报价为基准价，其价格分为满分。其他供应商的价格分统一按照下列公式计算：报价得分=(基准价／报价)*30。</w:t>
            </w:r>
          </w:p>
          <w:p>
            <w:pPr>
              <w:rPr>
                <w:rFonts w:asciiTheme="minorEastAsia" w:hAnsiTheme="minorEastAsia" w:eastAsiaTheme="minorEastAsia"/>
                <w:color w:val="auto"/>
                <w:szCs w:val="21"/>
                <w:highlight w:val="none"/>
              </w:rPr>
            </w:pPr>
            <w:r>
              <w:rPr>
                <w:rFonts w:hint="eastAsia" w:ascii="宋体" w:hAnsi="宋体"/>
                <w:color w:val="auto"/>
                <w:szCs w:val="21"/>
                <w:highlight w:val="none"/>
                <w:lang w:val="zh-CN"/>
              </w:rPr>
              <w:t>注：小微企业（监狱企业、残疾人福利性单位视同小微企业）价格扣除</w:t>
            </w:r>
            <w:r>
              <w:rPr>
                <w:rFonts w:hint="eastAsia" w:ascii="宋体" w:hAnsi="宋体" w:cs="宋体"/>
                <w:color w:val="auto"/>
                <w:szCs w:val="21"/>
                <w:highlight w:val="none"/>
              </w:rPr>
              <w:t>按投标人须知附表执行</w:t>
            </w:r>
            <w:r>
              <w:rPr>
                <w:rFonts w:hint="eastAsia" w:ascii="宋体" w:hAnsi="宋体"/>
                <w:color w:val="auto"/>
                <w:szCs w:val="21"/>
                <w:highlight w:val="none"/>
              </w:rPr>
              <w:t>。</w:t>
            </w:r>
          </w:p>
        </w:tc>
        <w:tc>
          <w:tcPr>
            <w:tcW w:w="1276"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1173"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64" w:type="dxa"/>
            <w:vAlign w:val="center"/>
          </w:tcPr>
          <w:p>
            <w:pPr>
              <w:spacing w:line="400" w:lineRule="exact"/>
              <w:ind w:firstLine="28"/>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128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技术参数要求54%</w:t>
            </w:r>
          </w:p>
        </w:tc>
        <w:tc>
          <w:tcPr>
            <w:tcW w:w="646"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54</w:t>
            </w:r>
          </w:p>
        </w:tc>
        <w:tc>
          <w:tcPr>
            <w:tcW w:w="4767"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完全符合招标文件技术参数及配置要求的得54分，不满足招标文件技术参数及配置要求的，按如下规则进行处理：每有一项不满足招标文件中标注“</w:t>
            </w:r>
            <w:r>
              <w:rPr>
                <w:rFonts w:hint="eastAsia" w:ascii="宋体" w:hAnsi="宋体" w:cs="宋体"/>
                <w:color w:val="auto"/>
                <w:highlight w:val="none"/>
              </w:rPr>
              <w:t>★</w:t>
            </w:r>
            <w:r>
              <w:rPr>
                <w:rFonts w:hint="eastAsia" w:asciiTheme="minorEastAsia" w:hAnsiTheme="minorEastAsia" w:eastAsiaTheme="minorEastAsia"/>
                <w:color w:val="auto"/>
                <w:szCs w:val="21"/>
                <w:highlight w:val="none"/>
              </w:rPr>
              <w:t>”条款（共6项）要求的扣7分，每有一项不满足招标文件中未标注符号条款（共8项）要求的扣1.5分，扣完为止。</w:t>
            </w:r>
          </w:p>
          <w:p>
            <w:pPr>
              <w:rPr>
                <w:rFonts w:asciiTheme="minorEastAsia" w:hAnsiTheme="minorEastAsia" w:eastAsiaTheme="minorEastAsia"/>
                <w:color w:val="auto"/>
                <w:szCs w:val="21"/>
                <w:highlight w:val="none"/>
              </w:rPr>
            </w:pPr>
            <w:r>
              <w:rPr>
                <w:rFonts w:hint="eastAsia" w:ascii="宋体" w:hAnsi="宋体"/>
                <w:color w:val="auto"/>
                <w:szCs w:val="21"/>
                <w:highlight w:val="none"/>
              </w:rPr>
              <w:t>注：技术参数中要求提供证明材料的，须按要求提供相关证明材料并加盖供应商电子签章，未提供证明材料该项不得分。</w:t>
            </w:r>
          </w:p>
        </w:tc>
        <w:tc>
          <w:tcPr>
            <w:tcW w:w="1276"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1173"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64" w:type="dxa"/>
            <w:vAlign w:val="center"/>
          </w:tcPr>
          <w:p>
            <w:pPr>
              <w:spacing w:line="400" w:lineRule="exact"/>
              <w:ind w:firstLine="28"/>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p>
        </w:tc>
        <w:tc>
          <w:tcPr>
            <w:tcW w:w="128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售后服务方案</w:t>
            </w:r>
            <w:r>
              <w:rPr>
                <w:rFonts w:asciiTheme="minorEastAsia" w:hAnsiTheme="minorEastAsia" w:eastAsiaTheme="minorEastAsia"/>
                <w:color w:val="auto"/>
                <w:szCs w:val="21"/>
                <w:highlight w:val="none"/>
              </w:rPr>
              <w:t>12</w:t>
            </w:r>
            <w:r>
              <w:rPr>
                <w:rFonts w:hint="eastAsia" w:asciiTheme="minorEastAsia" w:hAnsiTheme="minorEastAsia" w:eastAsiaTheme="minorEastAsia"/>
                <w:color w:val="auto"/>
                <w:szCs w:val="21"/>
                <w:highlight w:val="none"/>
              </w:rPr>
              <w:t>%</w:t>
            </w:r>
          </w:p>
        </w:tc>
        <w:tc>
          <w:tcPr>
            <w:tcW w:w="646" w:type="dxa"/>
            <w:vAlign w:val="center"/>
          </w:tcPr>
          <w:p>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12</w:t>
            </w:r>
          </w:p>
        </w:tc>
        <w:tc>
          <w:tcPr>
            <w:tcW w:w="4767"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根据投标人提供的售后服务方案【①完整的配送方案（完善的出入库管理制度、完整的配送流程（配送人员和车辆的配置））②有效的质量保障方案（包含质量管理体系建设、质量控制技术方法等）③应急保障方案（配送过程中的突发应急措施、因问题产品引发的医疗安全事故应急措施、临时配送的应急措施）④具有完善的售后保障体系（有效的退换货流程制度、本地化服务能力等）】进行评审，方案完全满足项目实际要求且无缺陷的得</w:t>
            </w:r>
            <w:r>
              <w:rPr>
                <w:rFonts w:asciiTheme="minorEastAsia" w:hAnsiTheme="minorEastAsia" w:eastAsiaTheme="minorEastAsia"/>
                <w:color w:val="auto"/>
                <w:szCs w:val="21"/>
                <w:highlight w:val="none"/>
              </w:rPr>
              <w:t>12</w:t>
            </w:r>
            <w:r>
              <w:rPr>
                <w:rFonts w:hint="eastAsia" w:asciiTheme="minorEastAsia" w:hAnsiTheme="minorEastAsia" w:eastAsiaTheme="minorEastAsia"/>
                <w:color w:val="auto"/>
                <w:szCs w:val="21"/>
                <w:highlight w:val="none"/>
              </w:rPr>
              <w:t>分；每缺少一项内容扣</w:t>
            </w: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分，每有一处存在缺陷或不合理的，扣1</w:t>
            </w:r>
            <w:r>
              <w:rPr>
                <w:rFonts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rPr>
              <w:t>分，扣完为止。</w:t>
            </w:r>
          </w:p>
        </w:tc>
        <w:tc>
          <w:tcPr>
            <w:tcW w:w="1276"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1173"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64" w:type="dxa"/>
            <w:vAlign w:val="center"/>
          </w:tcPr>
          <w:p>
            <w:pPr>
              <w:spacing w:line="400" w:lineRule="exact"/>
              <w:ind w:firstLine="28"/>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p>
        </w:tc>
        <w:tc>
          <w:tcPr>
            <w:tcW w:w="128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业绩3%</w:t>
            </w:r>
          </w:p>
        </w:tc>
        <w:tc>
          <w:tcPr>
            <w:tcW w:w="646"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p>
        </w:tc>
        <w:tc>
          <w:tcPr>
            <w:tcW w:w="4767"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评标委员会根据供应商同类产品销售业绩（</w:t>
            </w:r>
            <w:r>
              <w:rPr>
                <w:rFonts w:asciiTheme="minorEastAsia" w:hAnsiTheme="minorEastAsia" w:eastAsiaTheme="minorEastAsia"/>
                <w:color w:val="auto"/>
                <w:szCs w:val="21"/>
                <w:highlight w:val="none"/>
              </w:rPr>
              <w:t>2018</w:t>
            </w:r>
            <w:r>
              <w:rPr>
                <w:rFonts w:hint="eastAsia" w:asciiTheme="minorEastAsia" w:hAnsiTheme="minorEastAsia" w:eastAsiaTheme="minorEastAsia"/>
                <w:color w:val="auto"/>
                <w:szCs w:val="21"/>
                <w:highlight w:val="none"/>
              </w:rPr>
              <w:t>年-投标截止日）进行评定，每提供</w:t>
            </w:r>
            <w:r>
              <w:rPr>
                <w:rFonts w:asciiTheme="minorEastAsia" w:hAnsiTheme="minorEastAsia" w:eastAsiaTheme="minorEastAsia"/>
                <w:color w:val="auto"/>
                <w:szCs w:val="21"/>
                <w:highlight w:val="none"/>
              </w:rPr>
              <w:t>一个业绩得</w:t>
            </w:r>
            <w:r>
              <w:rPr>
                <w:rFonts w:hint="eastAsia" w:asciiTheme="minorEastAsia" w:hAnsiTheme="minorEastAsia" w:eastAsiaTheme="minorEastAsia"/>
                <w:color w:val="auto"/>
                <w:szCs w:val="21"/>
                <w:highlight w:val="none"/>
              </w:rPr>
              <w:t>1.5分</w:t>
            </w:r>
            <w:r>
              <w:rPr>
                <w:rFonts w:asciiTheme="minorEastAsia" w:hAnsiTheme="minorEastAsia" w:eastAsiaTheme="minorEastAsia"/>
                <w:color w:val="auto"/>
                <w:szCs w:val="21"/>
                <w:highlight w:val="none"/>
              </w:rPr>
              <w:t>，最多得</w:t>
            </w:r>
            <w:r>
              <w:rPr>
                <w:rFonts w:hint="eastAsia" w:asciiTheme="minorEastAsia" w:hAnsiTheme="minorEastAsia" w:eastAsiaTheme="minorEastAsia"/>
                <w:color w:val="auto"/>
                <w:szCs w:val="21"/>
                <w:highlight w:val="none"/>
              </w:rPr>
              <w:t>3分。</w:t>
            </w:r>
          </w:p>
        </w:tc>
        <w:tc>
          <w:tcPr>
            <w:tcW w:w="1276"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提供销售合同原件原色电子件加盖投标人电子签章。</w:t>
            </w:r>
          </w:p>
        </w:tc>
        <w:tc>
          <w:tcPr>
            <w:tcW w:w="1173"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64" w:type="dxa"/>
            <w:vAlign w:val="center"/>
          </w:tcPr>
          <w:p>
            <w:pPr>
              <w:spacing w:line="400" w:lineRule="exact"/>
              <w:ind w:firstLine="28"/>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p>
        </w:tc>
        <w:tc>
          <w:tcPr>
            <w:tcW w:w="128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节能、环境标志、无线局域网产品1%</w:t>
            </w:r>
          </w:p>
        </w:tc>
        <w:tc>
          <w:tcPr>
            <w:tcW w:w="646"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4767"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投标产品中属于政府采购优先采购范围的，则每有一项为节能产品或者环境标志产品或者无线局域网产品的得1分，非节能、环境标志产品的、无线局域网产品的不得分。本项最多得1分。</w:t>
            </w:r>
          </w:p>
          <w:p>
            <w:pPr>
              <w:rPr>
                <w:rFonts w:ascii="宋体" w:hAnsi="宋体"/>
                <w:color w:val="auto"/>
                <w:kern w:val="0"/>
                <w:szCs w:val="21"/>
                <w:highlight w:val="none"/>
              </w:rPr>
            </w:pPr>
            <w:r>
              <w:rPr>
                <w:rFonts w:hint="eastAsia" w:ascii="宋体" w:hAnsi="宋体"/>
                <w:color w:val="auto"/>
                <w:szCs w:val="21"/>
                <w:highlight w:val="none"/>
              </w:rPr>
              <w:t>注：1. 节能产品、环境标志产品优先采购范围</w:t>
            </w:r>
            <w:r>
              <w:rPr>
                <w:rFonts w:hint="eastAsia" w:ascii="宋体" w:hAnsi="宋体"/>
                <w:color w:val="auto"/>
                <w:kern w:val="0"/>
                <w:szCs w:val="21"/>
                <w:highlight w:val="none"/>
              </w:rPr>
              <w:t>以品目清单为准</w:t>
            </w:r>
            <w:r>
              <w:rPr>
                <w:rFonts w:ascii="宋体" w:hAnsi="宋体"/>
                <w:color w:val="auto"/>
                <w:kern w:val="0"/>
                <w:szCs w:val="21"/>
                <w:highlight w:val="none"/>
              </w:rPr>
              <w:t>。</w:t>
            </w:r>
            <w:r>
              <w:rPr>
                <w:rFonts w:hint="eastAsia" w:ascii="宋体" w:hAnsi="宋体"/>
                <w:color w:val="auto"/>
                <w:kern w:val="0"/>
                <w:szCs w:val="21"/>
                <w:highlight w:val="none"/>
              </w:rPr>
              <w:t>财政部、发展改革委、生态环境部等部门根据产品节能环保性能、技术水平和市场成熟程度等因素，确定实施政府优先采购和强制采购的产品类别及所依据的相关标准规范，以品目清单的形式发布并适时调整。</w:t>
            </w:r>
            <w:r>
              <w:rPr>
                <w:rFonts w:hint="eastAsia" w:ascii="宋体" w:hAnsi="宋体"/>
                <w:color w:val="auto"/>
                <w:szCs w:val="21"/>
                <w:highlight w:val="none"/>
              </w:rPr>
              <w:t>无线局域网产品优先采购范围</w:t>
            </w:r>
            <w:r>
              <w:rPr>
                <w:rFonts w:hint="eastAsia" w:ascii="宋体" w:hAnsi="宋体"/>
                <w:color w:val="auto"/>
                <w:kern w:val="0"/>
                <w:szCs w:val="21"/>
                <w:highlight w:val="none"/>
              </w:rPr>
              <w:t>以中国</w:t>
            </w:r>
            <w:r>
              <w:rPr>
                <w:rFonts w:ascii="宋体" w:hAnsi="宋体"/>
                <w:color w:val="auto"/>
                <w:kern w:val="0"/>
                <w:szCs w:val="21"/>
                <w:highlight w:val="none"/>
              </w:rPr>
              <w:t>政府采购网公布的</w:t>
            </w:r>
            <w:r>
              <w:rPr>
                <w:rFonts w:hint="eastAsia" w:ascii="宋体" w:hAnsi="宋体"/>
                <w:color w:val="auto"/>
                <w:kern w:val="0"/>
                <w:szCs w:val="21"/>
                <w:highlight w:val="none"/>
              </w:rPr>
              <w:t>《无线局域网认证产品政府采购清单》为准</w:t>
            </w:r>
            <w:r>
              <w:rPr>
                <w:rFonts w:ascii="宋体" w:hAnsi="宋体"/>
                <w:color w:val="auto"/>
                <w:kern w:val="0"/>
                <w:szCs w:val="21"/>
                <w:highlight w:val="none"/>
              </w:rPr>
              <w:t>。</w:t>
            </w:r>
          </w:p>
          <w:p>
            <w:pPr>
              <w:rPr>
                <w:rFonts w:ascii="宋体" w:hAnsi="宋体"/>
                <w:color w:val="auto"/>
                <w:kern w:val="0"/>
                <w:szCs w:val="21"/>
                <w:highlight w:val="none"/>
              </w:rPr>
            </w:pPr>
            <w:r>
              <w:rPr>
                <w:rFonts w:hint="eastAsia" w:ascii="宋体" w:hAnsi="宋体"/>
                <w:color w:val="auto"/>
                <w:kern w:val="0"/>
                <w:szCs w:val="21"/>
                <w:highlight w:val="none"/>
              </w:rPr>
              <w:t>2.</w:t>
            </w:r>
            <w:r>
              <w:rPr>
                <w:rFonts w:hint="eastAsia" w:ascii="宋体" w:hAnsi="宋体"/>
                <w:color w:val="auto"/>
                <w:szCs w:val="21"/>
                <w:highlight w:val="none"/>
              </w:rPr>
              <w:t xml:space="preserve"> 投标产品属于</w:t>
            </w:r>
            <w:r>
              <w:rPr>
                <w:rFonts w:hint="eastAsia" w:ascii="宋体" w:hAnsi="宋体"/>
                <w:color w:val="auto"/>
                <w:kern w:val="0"/>
                <w:szCs w:val="21"/>
                <w:highlight w:val="none"/>
              </w:rPr>
              <w:t>优先</w:t>
            </w:r>
            <w:r>
              <w:rPr>
                <w:rFonts w:ascii="宋体" w:hAnsi="宋体"/>
                <w:color w:val="auto"/>
                <w:kern w:val="0"/>
                <w:szCs w:val="21"/>
                <w:highlight w:val="none"/>
              </w:rPr>
              <w:t>采购范围内的</w:t>
            </w:r>
            <w:r>
              <w:rPr>
                <w:rFonts w:hint="eastAsia" w:ascii="宋体" w:hAnsi="宋体"/>
                <w:color w:val="auto"/>
                <w:szCs w:val="21"/>
                <w:highlight w:val="none"/>
              </w:rPr>
              <w:t>节能产品或者环境标志产品的</w:t>
            </w:r>
            <w:r>
              <w:rPr>
                <w:rFonts w:ascii="宋体" w:hAnsi="宋体"/>
                <w:color w:val="auto"/>
                <w:szCs w:val="21"/>
                <w:highlight w:val="none"/>
              </w:rPr>
              <w:t>，</w:t>
            </w:r>
            <w:r>
              <w:rPr>
                <w:rFonts w:hint="eastAsia" w:ascii="宋体" w:hAnsi="宋体"/>
                <w:color w:val="auto"/>
                <w:kern w:val="0"/>
                <w:szCs w:val="21"/>
                <w:highlight w:val="none"/>
              </w:rPr>
              <w:t>提供国家确定的认证机构出具的、处于有效期之内的节能产品、环境标志产品认证证书原件原色电子件。</w:t>
            </w:r>
          </w:p>
          <w:p>
            <w:pPr>
              <w:rPr>
                <w:rFonts w:asciiTheme="minorEastAsia" w:hAnsiTheme="minorEastAsia" w:eastAsiaTheme="minorEastAsia"/>
                <w:color w:val="auto"/>
                <w:szCs w:val="21"/>
                <w:highlight w:val="none"/>
              </w:rPr>
            </w:pPr>
            <w:r>
              <w:rPr>
                <w:rFonts w:ascii="宋体" w:hAnsi="宋体"/>
                <w:color w:val="auto"/>
                <w:kern w:val="0"/>
                <w:szCs w:val="21"/>
                <w:highlight w:val="none"/>
              </w:rPr>
              <w:t>3.</w:t>
            </w:r>
            <w:r>
              <w:rPr>
                <w:rFonts w:hint="eastAsia" w:ascii="宋体" w:hAnsi="宋体"/>
                <w:color w:val="auto"/>
                <w:kern w:val="0"/>
                <w:szCs w:val="21"/>
                <w:highlight w:val="none"/>
              </w:rPr>
              <w:t xml:space="preserve"> 投标产品属于优先</w:t>
            </w:r>
            <w:r>
              <w:rPr>
                <w:rFonts w:ascii="宋体" w:hAnsi="宋体"/>
                <w:color w:val="auto"/>
                <w:kern w:val="0"/>
                <w:szCs w:val="21"/>
                <w:highlight w:val="none"/>
              </w:rPr>
              <w:t>采购范围内的</w:t>
            </w:r>
            <w:r>
              <w:rPr>
                <w:rFonts w:hint="eastAsia" w:ascii="宋体" w:hAnsi="宋体"/>
                <w:color w:val="auto"/>
                <w:szCs w:val="21"/>
                <w:highlight w:val="none"/>
              </w:rPr>
              <w:t>无线局域网产品的，</w:t>
            </w:r>
            <w:r>
              <w:rPr>
                <w:rFonts w:hint="eastAsia" w:ascii="宋体" w:hAnsi="宋体"/>
                <w:color w:val="auto"/>
                <w:kern w:val="0"/>
                <w:szCs w:val="21"/>
                <w:highlight w:val="none"/>
              </w:rPr>
              <w:t>提供政府采购清单对应页原件原色电子件。</w:t>
            </w:r>
          </w:p>
        </w:tc>
        <w:tc>
          <w:tcPr>
            <w:tcW w:w="1276"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1173"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政策类评分因素</w:t>
            </w:r>
          </w:p>
        </w:tc>
      </w:tr>
    </w:tbl>
    <w:p>
      <w:pPr>
        <w:pStyle w:val="2"/>
        <w:rPr>
          <w:color w:val="auto"/>
          <w:highlight w:val="none"/>
        </w:rPr>
      </w:pPr>
    </w:p>
    <w:p>
      <w:pPr>
        <w:pStyle w:val="14"/>
        <w:tabs>
          <w:tab w:val="left" w:pos="600"/>
        </w:tabs>
        <w:spacing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第六包：</w:t>
      </w:r>
    </w:p>
    <w:tbl>
      <w:tblPr>
        <w:tblStyle w:val="35"/>
        <w:tblW w:w="9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289"/>
        <w:gridCol w:w="646"/>
        <w:gridCol w:w="4767"/>
        <w:gridCol w:w="1276"/>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64" w:type="dxa"/>
            <w:vAlign w:val="center"/>
          </w:tcPr>
          <w:p>
            <w:pPr>
              <w:spacing w:line="400" w:lineRule="exact"/>
              <w:ind w:firstLine="28"/>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序号</w:t>
            </w:r>
          </w:p>
        </w:tc>
        <w:tc>
          <w:tcPr>
            <w:tcW w:w="1289" w:type="dxa"/>
            <w:vAlign w:val="center"/>
          </w:tcPr>
          <w:p>
            <w:pPr>
              <w:spacing w:line="400" w:lineRule="exact"/>
              <w:ind w:firstLine="28"/>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评分因素</w:t>
            </w:r>
          </w:p>
          <w:p>
            <w:pPr>
              <w:spacing w:line="400" w:lineRule="exact"/>
              <w:ind w:firstLine="28"/>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及权重</w:t>
            </w:r>
          </w:p>
        </w:tc>
        <w:tc>
          <w:tcPr>
            <w:tcW w:w="646" w:type="dxa"/>
            <w:vAlign w:val="center"/>
          </w:tcPr>
          <w:p>
            <w:pPr>
              <w:spacing w:line="400" w:lineRule="exact"/>
              <w:ind w:firstLine="28"/>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分值</w:t>
            </w:r>
          </w:p>
        </w:tc>
        <w:tc>
          <w:tcPr>
            <w:tcW w:w="4767" w:type="dxa"/>
            <w:vAlign w:val="center"/>
          </w:tcPr>
          <w:p>
            <w:pPr>
              <w:spacing w:line="400" w:lineRule="exact"/>
              <w:ind w:firstLine="28"/>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评分标准</w:t>
            </w:r>
          </w:p>
        </w:tc>
        <w:tc>
          <w:tcPr>
            <w:tcW w:w="1276" w:type="dxa"/>
            <w:vAlign w:val="center"/>
          </w:tcPr>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备注</w:t>
            </w:r>
          </w:p>
        </w:tc>
        <w:tc>
          <w:tcPr>
            <w:tcW w:w="1173" w:type="dxa"/>
            <w:vAlign w:val="center"/>
          </w:tcPr>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64" w:type="dxa"/>
            <w:vAlign w:val="center"/>
          </w:tcPr>
          <w:p>
            <w:pPr>
              <w:spacing w:line="400" w:lineRule="exact"/>
              <w:ind w:firstLine="28"/>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128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报价</w:t>
            </w:r>
            <w:r>
              <w:rPr>
                <w:rFonts w:asciiTheme="minorEastAsia" w:hAnsiTheme="minorEastAsia" w:eastAsiaTheme="minorEastAsia"/>
                <w:color w:val="auto"/>
                <w:szCs w:val="21"/>
                <w:highlight w:val="none"/>
              </w:rPr>
              <w:t>30</w:t>
            </w:r>
            <w:r>
              <w:rPr>
                <w:rFonts w:hint="eastAsia" w:asciiTheme="minorEastAsia" w:hAnsiTheme="minorEastAsia" w:eastAsiaTheme="minorEastAsia"/>
                <w:color w:val="auto"/>
                <w:szCs w:val="21"/>
                <w:highlight w:val="none"/>
              </w:rPr>
              <w:t>%</w:t>
            </w:r>
          </w:p>
        </w:tc>
        <w:tc>
          <w:tcPr>
            <w:tcW w:w="646" w:type="dxa"/>
            <w:vAlign w:val="center"/>
          </w:tcPr>
          <w:p>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30</w:t>
            </w:r>
          </w:p>
        </w:tc>
        <w:tc>
          <w:tcPr>
            <w:tcW w:w="4767"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满足招标文件要求且投标价格最低的报价为基准价，其价格分为满分。其他供应商的价格分统一按照下列公式计算：报价得分=(基准价／报价)*30。</w:t>
            </w:r>
          </w:p>
          <w:p>
            <w:pPr>
              <w:rPr>
                <w:rFonts w:asciiTheme="minorEastAsia" w:hAnsiTheme="minorEastAsia" w:eastAsiaTheme="minorEastAsia"/>
                <w:color w:val="auto"/>
                <w:szCs w:val="21"/>
                <w:highlight w:val="none"/>
              </w:rPr>
            </w:pPr>
            <w:r>
              <w:rPr>
                <w:rFonts w:hint="eastAsia" w:ascii="宋体" w:hAnsi="宋体"/>
                <w:color w:val="auto"/>
                <w:szCs w:val="21"/>
                <w:highlight w:val="none"/>
                <w:lang w:val="zh-CN"/>
              </w:rPr>
              <w:t>注：小微企业（监狱企业、残疾人福利性单位视同小微企业）价格扣除</w:t>
            </w:r>
            <w:r>
              <w:rPr>
                <w:rFonts w:hint="eastAsia" w:ascii="宋体" w:hAnsi="宋体" w:cs="宋体"/>
                <w:color w:val="auto"/>
                <w:szCs w:val="21"/>
                <w:highlight w:val="none"/>
              </w:rPr>
              <w:t>按投标人须知附表执行</w:t>
            </w:r>
            <w:r>
              <w:rPr>
                <w:rFonts w:hint="eastAsia" w:ascii="宋体" w:hAnsi="宋体"/>
                <w:color w:val="auto"/>
                <w:szCs w:val="21"/>
                <w:highlight w:val="none"/>
              </w:rPr>
              <w:t>。</w:t>
            </w:r>
          </w:p>
        </w:tc>
        <w:tc>
          <w:tcPr>
            <w:tcW w:w="1276"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1173"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64" w:type="dxa"/>
            <w:vAlign w:val="center"/>
          </w:tcPr>
          <w:p>
            <w:pPr>
              <w:spacing w:line="400" w:lineRule="exact"/>
              <w:ind w:firstLine="28"/>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128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技术参数要求54%</w:t>
            </w:r>
          </w:p>
        </w:tc>
        <w:tc>
          <w:tcPr>
            <w:tcW w:w="646"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54</w:t>
            </w:r>
          </w:p>
        </w:tc>
        <w:tc>
          <w:tcPr>
            <w:tcW w:w="4767"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完全符合招标文件技术参数及配置要求的得54 分，每有一项不满足招标文件中要求（共45项）的扣1.2分，扣完为止。</w:t>
            </w:r>
          </w:p>
          <w:p>
            <w:pPr>
              <w:rPr>
                <w:rFonts w:asciiTheme="minorEastAsia" w:hAnsiTheme="minorEastAsia" w:eastAsiaTheme="minorEastAsia"/>
                <w:color w:val="auto"/>
                <w:szCs w:val="21"/>
                <w:highlight w:val="none"/>
              </w:rPr>
            </w:pPr>
            <w:r>
              <w:rPr>
                <w:rFonts w:hint="eastAsia" w:ascii="宋体" w:hAnsi="宋体"/>
                <w:color w:val="auto"/>
                <w:szCs w:val="21"/>
                <w:highlight w:val="none"/>
              </w:rPr>
              <w:t>注：技术参数中要求提供证明材料的，须按要求提供相关证明材料并加盖供应商电子签章，未提供证明材料该项不得分。</w:t>
            </w:r>
          </w:p>
        </w:tc>
        <w:tc>
          <w:tcPr>
            <w:tcW w:w="1276"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1173"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64" w:type="dxa"/>
            <w:vAlign w:val="center"/>
          </w:tcPr>
          <w:p>
            <w:pPr>
              <w:spacing w:line="400" w:lineRule="exact"/>
              <w:ind w:firstLine="28"/>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p>
        </w:tc>
        <w:tc>
          <w:tcPr>
            <w:tcW w:w="128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售后服务方案</w:t>
            </w:r>
            <w:r>
              <w:rPr>
                <w:rFonts w:asciiTheme="minorEastAsia" w:hAnsiTheme="minorEastAsia" w:eastAsiaTheme="minorEastAsia"/>
                <w:color w:val="auto"/>
                <w:szCs w:val="21"/>
                <w:highlight w:val="none"/>
              </w:rPr>
              <w:t>12</w:t>
            </w:r>
            <w:r>
              <w:rPr>
                <w:rFonts w:hint="eastAsia" w:asciiTheme="minorEastAsia" w:hAnsiTheme="minorEastAsia" w:eastAsiaTheme="minorEastAsia"/>
                <w:color w:val="auto"/>
                <w:szCs w:val="21"/>
                <w:highlight w:val="none"/>
              </w:rPr>
              <w:t>%</w:t>
            </w:r>
          </w:p>
        </w:tc>
        <w:tc>
          <w:tcPr>
            <w:tcW w:w="646" w:type="dxa"/>
            <w:vAlign w:val="center"/>
          </w:tcPr>
          <w:p>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12</w:t>
            </w:r>
          </w:p>
        </w:tc>
        <w:tc>
          <w:tcPr>
            <w:tcW w:w="4767"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根据投标人提供的售后服务方案【①完整的配送方案（完善的出入库管理制度、完整的配送流程（配送人员和车辆的配置））②有效的质量保障方案（包含质量管理体系建设、质量控制技术方法等）③应急保障方案（配送过程中的突发应急措施、因问题产品引发的医疗安全事故应急措施、临时配送的应急措施）④具有完善的售后保障体系（有效的退换货流程制度、本地化服务能力等）】进行评审，方案完全满足项目实际要求且无缺陷的得</w:t>
            </w:r>
            <w:r>
              <w:rPr>
                <w:rFonts w:asciiTheme="minorEastAsia" w:hAnsiTheme="minorEastAsia" w:eastAsiaTheme="minorEastAsia"/>
                <w:color w:val="auto"/>
                <w:szCs w:val="21"/>
                <w:highlight w:val="none"/>
              </w:rPr>
              <w:t>12</w:t>
            </w:r>
            <w:r>
              <w:rPr>
                <w:rFonts w:hint="eastAsia" w:asciiTheme="minorEastAsia" w:hAnsiTheme="minorEastAsia" w:eastAsiaTheme="minorEastAsia"/>
                <w:color w:val="auto"/>
                <w:szCs w:val="21"/>
                <w:highlight w:val="none"/>
              </w:rPr>
              <w:t>分；每缺少一项内容扣</w:t>
            </w: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分，每有一处存在缺陷或不合理的，扣1</w:t>
            </w:r>
            <w:r>
              <w:rPr>
                <w:rFonts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rPr>
              <w:t>分，扣完为止。</w:t>
            </w:r>
          </w:p>
        </w:tc>
        <w:tc>
          <w:tcPr>
            <w:tcW w:w="1276"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1173"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64" w:type="dxa"/>
            <w:vAlign w:val="center"/>
          </w:tcPr>
          <w:p>
            <w:pPr>
              <w:spacing w:line="400" w:lineRule="exact"/>
              <w:ind w:firstLine="28"/>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p>
        </w:tc>
        <w:tc>
          <w:tcPr>
            <w:tcW w:w="128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业绩3%</w:t>
            </w:r>
          </w:p>
        </w:tc>
        <w:tc>
          <w:tcPr>
            <w:tcW w:w="646"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p>
        </w:tc>
        <w:tc>
          <w:tcPr>
            <w:tcW w:w="4767"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评标委员会根据供应商同类产品销售业绩（</w:t>
            </w:r>
            <w:r>
              <w:rPr>
                <w:rFonts w:asciiTheme="minorEastAsia" w:hAnsiTheme="minorEastAsia" w:eastAsiaTheme="minorEastAsia"/>
                <w:color w:val="auto"/>
                <w:szCs w:val="21"/>
                <w:highlight w:val="none"/>
              </w:rPr>
              <w:t>2018</w:t>
            </w:r>
            <w:r>
              <w:rPr>
                <w:rFonts w:hint="eastAsia" w:asciiTheme="minorEastAsia" w:hAnsiTheme="minorEastAsia" w:eastAsiaTheme="minorEastAsia"/>
                <w:color w:val="auto"/>
                <w:szCs w:val="21"/>
                <w:highlight w:val="none"/>
              </w:rPr>
              <w:t>年-投标截止日）进行评定，每提供</w:t>
            </w:r>
            <w:r>
              <w:rPr>
                <w:rFonts w:asciiTheme="minorEastAsia" w:hAnsiTheme="minorEastAsia" w:eastAsiaTheme="minorEastAsia"/>
                <w:color w:val="auto"/>
                <w:szCs w:val="21"/>
                <w:highlight w:val="none"/>
              </w:rPr>
              <w:t>一个业绩得</w:t>
            </w:r>
            <w:r>
              <w:rPr>
                <w:rFonts w:hint="eastAsia" w:asciiTheme="minorEastAsia" w:hAnsiTheme="minorEastAsia" w:eastAsiaTheme="minorEastAsia"/>
                <w:color w:val="auto"/>
                <w:szCs w:val="21"/>
                <w:highlight w:val="none"/>
              </w:rPr>
              <w:t>1.5分</w:t>
            </w:r>
            <w:r>
              <w:rPr>
                <w:rFonts w:asciiTheme="minorEastAsia" w:hAnsiTheme="minorEastAsia" w:eastAsiaTheme="minorEastAsia"/>
                <w:color w:val="auto"/>
                <w:szCs w:val="21"/>
                <w:highlight w:val="none"/>
              </w:rPr>
              <w:t>，最多得</w:t>
            </w:r>
            <w:r>
              <w:rPr>
                <w:rFonts w:hint="eastAsia" w:asciiTheme="minorEastAsia" w:hAnsiTheme="minorEastAsia" w:eastAsiaTheme="minorEastAsia"/>
                <w:color w:val="auto"/>
                <w:szCs w:val="21"/>
                <w:highlight w:val="none"/>
              </w:rPr>
              <w:t>3分。</w:t>
            </w:r>
          </w:p>
        </w:tc>
        <w:tc>
          <w:tcPr>
            <w:tcW w:w="1276"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提供销售合同原件原色电子件加盖投标人电子签章。</w:t>
            </w:r>
          </w:p>
        </w:tc>
        <w:tc>
          <w:tcPr>
            <w:tcW w:w="1173"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64" w:type="dxa"/>
            <w:vAlign w:val="center"/>
          </w:tcPr>
          <w:p>
            <w:pPr>
              <w:spacing w:line="400" w:lineRule="exact"/>
              <w:ind w:firstLine="28"/>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p>
        </w:tc>
        <w:tc>
          <w:tcPr>
            <w:tcW w:w="128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节能、环境标志、无线局域网产品1%</w:t>
            </w:r>
          </w:p>
        </w:tc>
        <w:tc>
          <w:tcPr>
            <w:tcW w:w="646"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4767"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投标产品中属于政府采购优先采购范围的，则每有一项为节能产品或者环境标志产品或者无线局域网产品的得0.5分，非节能、环境标志产品的、无线局域网产品的不得分。本项最多得1分。</w:t>
            </w:r>
          </w:p>
          <w:p>
            <w:pPr>
              <w:rPr>
                <w:rFonts w:ascii="宋体" w:hAnsi="宋体"/>
                <w:color w:val="auto"/>
                <w:kern w:val="0"/>
                <w:szCs w:val="21"/>
                <w:highlight w:val="none"/>
              </w:rPr>
            </w:pPr>
            <w:r>
              <w:rPr>
                <w:rFonts w:hint="eastAsia" w:ascii="宋体" w:hAnsi="宋体"/>
                <w:color w:val="auto"/>
                <w:szCs w:val="21"/>
                <w:highlight w:val="none"/>
              </w:rPr>
              <w:t>注：1. 节能产品、环境标志产品优先采购范围</w:t>
            </w:r>
            <w:r>
              <w:rPr>
                <w:rFonts w:hint="eastAsia" w:ascii="宋体" w:hAnsi="宋体"/>
                <w:color w:val="auto"/>
                <w:kern w:val="0"/>
                <w:szCs w:val="21"/>
                <w:highlight w:val="none"/>
              </w:rPr>
              <w:t>以品目清单为准</w:t>
            </w:r>
            <w:r>
              <w:rPr>
                <w:rFonts w:ascii="宋体" w:hAnsi="宋体"/>
                <w:color w:val="auto"/>
                <w:kern w:val="0"/>
                <w:szCs w:val="21"/>
                <w:highlight w:val="none"/>
              </w:rPr>
              <w:t>。</w:t>
            </w:r>
            <w:r>
              <w:rPr>
                <w:rFonts w:hint="eastAsia" w:ascii="宋体" w:hAnsi="宋体"/>
                <w:color w:val="auto"/>
                <w:kern w:val="0"/>
                <w:szCs w:val="21"/>
                <w:highlight w:val="none"/>
              </w:rPr>
              <w:t>财政部、发展改革委、生态环境部等部门根据产品节能环保性能、技术水平和市场成熟程度等因素，确定实施政府优先采购和强制采购的产品类别及所依据的相关标准规范，以品目清单的形式发布并适时调整。</w:t>
            </w:r>
            <w:r>
              <w:rPr>
                <w:rFonts w:hint="eastAsia" w:ascii="宋体" w:hAnsi="宋体"/>
                <w:color w:val="auto"/>
                <w:szCs w:val="21"/>
                <w:highlight w:val="none"/>
              </w:rPr>
              <w:t>无线局域网产品优先采购范围</w:t>
            </w:r>
            <w:r>
              <w:rPr>
                <w:rFonts w:hint="eastAsia" w:ascii="宋体" w:hAnsi="宋体"/>
                <w:color w:val="auto"/>
                <w:kern w:val="0"/>
                <w:szCs w:val="21"/>
                <w:highlight w:val="none"/>
              </w:rPr>
              <w:t>以中国</w:t>
            </w:r>
            <w:r>
              <w:rPr>
                <w:rFonts w:ascii="宋体" w:hAnsi="宋体"/>
                <w:color w:val="auto"/>
                <w:kern w:val="0"/>
                <w:szCs w:val="21"/>
                <w:highlight w:val="none"/>
              </w:rPr>
              <w:t>政府采购网公布的</w:t>
            </w:r>
            <w:r>
              <w:rPr>
                <w:rFonts w:hint="eastAsia" w:ascii="宋体" w:hAnsi="宋体"/>
                <w:color w:val="auto"/>
                <w:kern w:val="0"/>
                <w:szCs w:val="21"/>
                <w:highlight w:val="none"/>
              </w:rPr>
              <w:t>《无线局域网认证产品政府采购清单》为准</w:t>
            </w:r>
            <w:r>
              <w:rPr>
                <w:rFonts w:ascii="宋体" w:hAnsi="宋体"/>
                <w:color w:val="auto"/>
                <w:kern w:val="0"/>
                <w:szCs w:val="21"/>
                <w:highlight w:val="none"/>
              </w:rPr>
              <w:t>。</w:t>
            </w:r>
          </w:p>
          <w:p>
            <w:pPr>
              <w:rPr>
                <w:rFonts w:ascii="宋体" w:hAnsi="宋体"/>
                <w:color w:val="auto"/>
                <w:kern w:val="0"/>
                <w:szCs w:val="21"/>
                <w:highlight w:val="none"/>
              </w:rPr>
            </w:pPr>
            <w:r>
              <w:rPr>
                <w:rFonts w:hint="eastAsia" w:ascii="宋体" w:hAnsi="宋体"/>
                <w:color w:val="auto"/>
                <w:kern w:val="0"/>
                <w:szCs w:val="21"/>
                <w:highlight w:val="none"/>
              </w:rPr>
              <w:t>2.</w:t>
            </w:r>
            <w:r>
              <w:rPr>
                <w:rFonts w:hint="eastAsia" w:ascii="宋体" w:hAnsi="宋体"/>
                <w:color w:val="auto"/>
                <w:szCs w:val="21"/>
                <w:highlight w:val="none"/>
              </w:rPr>
              <w:t xml:space="preserve"> 投标产品属于</w:t>
            </w:r>
            <w:r>
              <w:rPr>
                <w:rFonts w:hint="eastAsia" w:ascii="宋体" w:hAnsi="宋体"/>
                <w:color w:val="auto"/>
                <w:kern w:val="0"/>
                <w:szCs w:val="21"/>
                <w:highlight w:val="none"/>
              </w:rPr>
              <w:t>优先</w:t>
            </w:r>
            <w:r>
              <w:rPr>
                <w:rFonts w:ascii="宋体" w:hAnsi="宋体"/>
                <w:color w:val="auto"/>
                <w:kern w:val="0"/>
                <w:szCs w:val="21"/>
                <w:highlight w:val="none"/>
              </w:rPr>
              <w:t>采购范围内的</w:t>
            </w:r>
            <w:r>
              <w:rPr>
                <w:rFonts w:hint="eastAsia" w:ascii="宋体" w:hAnsi="宋体"/>
                <w:color w:val="auto"/>
                <w:szCs w:val="21"/>
                <w:highlight w:val="none"/>
              </w:rPr>
              <w:t>节能产品或者环境标志产品的</w:t>
            </w:r>
            <w:r>
              <w:rPr>
                <w:rFonts w:ascii="宋体" w:hAnsi="宋体"/>
                <w:color w:val="auto"/>
                <w:szCs w:val="21"/>
                <w:highlight w:val="none"/>
              </w:rPr>
              <w:t>，</w:t>
            </w:r>
            <w:r>
              <w:rPr>
                <w:rFonts w:hint="eastAsia" w:ascii="宋体" w:hAnsi="宋体"/>
                <w:color w:val="auto"/>
                <w:kern w:val="0"/>
                <w:szCs w:val="21"/>
                <w:highlight w:val="none"/>
              </w:rPr>
              <w:t>提供国家确定的认证机构出具的、处于有效期之内的节能产品、环境标志产品认证证书原件原色电子件。</w:t>
            </w:r>
          </w:p>
          <w:p>
            <w:pPr>
              <w:rPr>
                <w:rFonts w:asciiTheme="minorEastAsia" w:hAnsiTheme="minorEastAsia" w:eastAsiaTheme="minorEastAsia"/>
                <w:color w:val="auto"/>
                <w:szCs w:val="21"/>
                <w:highlight w:val="none"/>
              </w:rPr>
            </w:pPr>
            <w:r>
              <w:rPr>
                <w:rFonts w:ascii="宋体" w:hAnsi="宋体"/>
                <w:color w:val="auto"/>
                <w:kern w:val="0"/>
                <w:szCs w:val="21"/>
                <w:highlight w:val="none"/>
              </w:rPr>
              <w:t>3.</w:t>
            </w:r>
            <w:r>
              <w:rPr>
                <w:rFonts w:hint="eastAsia" w:ascii="宋体" w:hAnsi="宋体"/>
                <w:color w:val="auto"/>
                <w:kern w:val="0"/>
                <w:szCs w:val="21"/>
                <w:highlight w:val="none"/>
              </w:rPr>
              <w:t xml:space="preserve"> 投标产品属于优先</w:t>
            </w:r>
            <w:r>
              <w:rPr>
                <w:rFonts w:ascii="宋体" w:hAnsi="宋体"/>
                <w:color w:val="auto"/>
                <w:kern w:val="0"/>
                <w:szCs w:val="21"/>
                <w:highlight w:val="none"/>
              </w:rPr>
              <w:t>采购范围内的</w:t>
            </w:r>
            <w:r>
              <w:rPr>
                <w:rFonts w:hint="eastAsia" w:ascii="宋体" w:hAnsi="宋体"/>
                <w:color w:val="auto"/>
                <w:szCs w:val="21"/>
                <w:highlight w:val="none"/>
              </w:rPr>
              <w:t>无线局域网产品的，</w:t>
            </w:r>
            <w:r>
              <w:rPr>
                <w:rFonts w:hint="eastAsia" w:ascii="宋体" w:hAnsi="宋体"/>
                <w:color w:val="auto"/>
                <w:kern w:val="0"/>
                <w:szCs w:val="21"/>
                <w:highlight w:val="none"/>
              </w:rPr>
              <w:t>提供政府采购清单对应页原件原色电子件。</w:t>
            </w:r>
          </w:p>
        </w:tc>
        <w:tc>
          <w:tcPr>
            <w:tcW w:w="1276"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1173"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政策类评分因素</w:t>
            </w:r>
          </w:p>
        </w:tc>
      </w:tr>
    </w:tbl>
    <w:p>
      <w:pPr>
        <w:rPr>
          <w:rFonts w:ascii="宋体" w:hAnsi="宋体" w:cs="宋体"/>
          <w:color w:val="auto"/>
          <w:sz w:val="24"/>
          <w:highlight w:val="none"/>
        </w:rPr>
      </w:pPr>
    </w:p>
    <w:p>
      <w:pPr>
        <w:pStyle w:val="14"/>
        <w:tabs>
          <w:tab w:val="left" w:pos="600"/>
        </w:tabs>
        <w:spacing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第七包：</w:t>
      </w:r>
    </w:p>
    <w:tbl>
      <w:tblPr>
        <w:tblStyle w:val="35"/>
        <w:tblW w:w="9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289"/>
        <w:gridCol w:w="646"/>
        <w:gridCol w:w="4767"/>
        <w:gridCol w:w="1276"/>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64" w:type="dxa"/>
            <w:vAlign w:val="center"/>
          </w:tcPr>
          <w:p>
            <w:pPr>
              <w:spacing w:line="400" w:lineRule="exact"/>
              <w:ind w:firstLine="28"/>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序号</w:t>
            </w:r>
          </w:p>
        </w:tc>
        <w:tc>
          <w:tcPr>
            <w:tcW w:w="1289" w:type="dxa"/>
            <w:vAlign w:val="center"/>
          </w:tcPr>
          <w:p>
            <w:pPr>
              <w:spacing w:line="400" w:lineRule="exact"/>
              <w:ind w:firstLine="28"/>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评分因素</w:t>
            </w:r>
          </w:p>
          <w:p>
            <w:pPr>
              <w:spacing w:line="400" w:lineRule="exact"/>
              <w:ind w:firstLine="28"/>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及权重</w:t>
            </w:r>
          </w:p>
        </w:tc>
        <w:tc>
          <w:tcPr>
            <w:tcW w:w="646" w:type="dxa"/>
            <w:vAlign w:val="center"/>
          </w:tcPr>
          <w:p>
            <w:pPr>
              <w:spacing w:line="400" w:lineRule="exact"/>
              <w:ind w:firstLine="28"/>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分值</w:t>
            </w:r>
          </w:p>
        </w:tc>
        <w:tc>
          <w:tcPr>
            <w:tcW w:w="4767" w:type="dxa"/>
            <w:vAlign w:val="center"/>
          </w:tcPr>
          <w:p>
            <w:pPr>
              <w:spacing w:line="400" w:lineRule="exact"/>
              <w:ind w:firstLine="28"/>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评分标准</w:t>
            </w:r>
          </w:p>
        </w:tc>
        <w:tc>
          <w:tcPr>
            <w:tcW w:w="1276" w:type="dxa"/>
            <w:vAlign w:val="center"/>
          </w:tcPr>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备注</w:t>
            </w:r>
          </w:p>
        </w:tc>
        <w:tc>
          <w:tcPr>
            <w:tcW w:w="1173" w:type="dxa"/>
            <w:vAlign w:val="center"/>
          </w:tcPr>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64" w:type="dxa"/>
            <w:vAlign w:val="center"/>
          </w:tcPr>
          <w:p>
            <w:pPr>
              <w:spacing w:line="400" w:lineRule="exact"/>
              <w:ind w:firstLine="28"/>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128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报价</w:t>
            </w:r>
            <w:r>
              <w:rPr>
                <w:rFonts w:asciiTheme="minorEastAsia" w:hAnsiTheme="minorEastAsia" w:eastAsiaTheme="minorEastAsia"/>
                <w:color w:val="auto"/>
                <w:szCs w:val="21"/>
                <w:highlight w:val="none"/>
              </w:rPr>
              <w:t>30</w:t>
            </w:r>
            <w:r>
              <w:rPr>
                <w:rFonts w:hint="eastAsia" w:asciiTheme="minorEastAsia" w:hAnsiTheme="minorEastAsia" w:eastAsiaTheme="minorEastAsia"/>
                <w:color w:val="auto"/>
                <w:szCs w:val="21"/>
                <w:highlight w:val="none"/>
              </w:rPr>
              <w:t>%</w:t>
            </w:r>
          </w:p>
        </w:tc>
        <w:tc>
          <w:tcPr>
            <w:tcW w:w="646" w:type="dxa"/>
            <w:vAlign w:val="center"/>
          </w:tcPr>
          <w:p>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30</w:t>
            </w:r>
          </w:p>
        </w:tc>
        <w:tc>
          <w:tcPr>
            <w:tcW w:w="4767"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满足招标文件要求且投标价格最低的报价为基准价，其价格分为满分。其他供应商的价格分统一按照下列公式计算：报价得分=(基准价／报价)*30。</w:t>
            </w:r>
          </w:p>
          <w:p>
            <w:pPr>
              <w:rPr>
                <w:rFonts w:asciiTheme="minorEastAsia" w:hAnsiTheme="minorEastAsia" w:eastAsiaTheme="minorEastAsia"/>
                <w:color w:val="auto"/>
                <w:szCs w:val="21"/>
                <w:highlight w:val="none"/>
              </w:rPr>
            </w:pPr>
            <w:r>
              <w:rPr>
                <w:rFonts w:hint="eastAsia" w:ascii="宋体" w:hAnsi="宋体"/>
                <w:color w:val="auto"/>
                <w:szCs w:val="21"/>
                <w:highlight w:val="none"/>
                <w:lang w:val="zh-CN"/>
              </w:rPr>
              <w:t>注：小微企业（监狱企业、残疾人福利性单位视同小微企业）价格扣除</w:t>
            </w:r>
            <w:r>
              <w:rPr>
                <w:rFonts w:hint="eastAsia" w:ascii="宋体" w:hAnsi="宋体" w:cs="宋体"/>
                <w:color w:val="auto"/>
                <w:szCs w:val="21"/>
                <w:highlight w:val="none"/>
              </w:rPr>
              <w:t>按投标人须知附表执行</w:t>
            </w:r>
            <w:r>
              <w:rPr>
                <w:rFonts w:hint="eastAsia" w:ascii="宋体" w:hAnsi="宋体"/>
                <w:color w:val="auto"/>
                <w:szCs w:val="21"/>
                <w:highlight w:val="none"/>
              </w:rPr>
              <w:t>。</w:t>
            </w:r>
          </w:p>
        </w:tc>
        <w:tc>
          <w:tcPr>
            <w:tcW w:w="1276"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1173"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64" w:type="dxa"/>
            <w:vAlign w:val="center"/>
          </w:tcPr>
          <w:p>
            <w:pPr>
              <w:spacing w:line="400" w:lineRule="exact"/>
              <w:ind w:firstLine="28"/>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128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技术参数要求55%</w:t>
            </w:r>
          </w:p>
        </w:tc>
        <w:tc>
          <w:tcPr>
            <w:tcW w:w="646"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55</w:t>
            </w:r>
          </w:p>
        </w:tc>
        <w:tc>
          <w:tcPr>
            <w:tcW w:w="4767"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完全符合招标文件技术参数及配置要求的得55分，不满足招标文件技术参数及配置要求的，按如下规则进行处理：每有一项不满足招标文件中标注“</w:t>
            </w:r>
            <w:r>
              <w:rPr>
                <w:rFonts w:hint="eastAsia" w:ascii="宋体" w:hAnsi="宋体" w:cs="宋体"/>
                <w:color w:val="auto"/>
                <w:highlight w:val="none"/>
              </w:rPr>
              <w:t>★</w:t>
            </w:r>
            <w:r>
              <w:rPr>
                <w:rFonts w:hint="eastAsia" w:asciiTheme="minorEastAsia" w:hAnsiTheme="minorEastAsia" w:eastAsiaTheme="minorEastAsia"/>
                <w:color w:val="auto"/>
                <w:szCs w:val="21"/>
                <w:highlight w:val="none"/>
              </w:rPr>
              <w:t>”条款（共9项）要求的扣3分，每有一项不满足招标文件中未标注符号条款（共28项）要求的扣1分，扣完为止。</w:t>
            </w:r>
          </w:p>
          <w:p>
            <w:pPr>
              <w:rPr>
                <w:rFonts w:asciiTheme="minorEastAsia" w:hAnsiTheme="minorEastAsia" w:eastAsiaTheme="minorEastAsia"/>
                <w:color w:val="auto"/>
                <w:szCs w:val="21"/>
                <w:highlight w:val="none"/>
              </w:rPr>
            </w:pPr>
            <w:r>
              <w:rPr>
                <w:rFonts w:hint="eastAsia" w:ascii="宋体" w:hAnsi="宋体"/>
                <w:color w:val="auto"/>
                <w:szCs w:val="21"/>
                <w:highlight w:val="none"/>
              </w:rPr>
              <w:t>注：技术参数中要求提供证明材料的，须按要求提供相关证明材料并加盖供应商电子签章，未提供证明材料该项不得分。</w:t>
            </w:r>
          </w:p>
        </w:tc>
        <w:tc>
          <w:tcPr>
            <w:tcW w:w="1276"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1173"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64" w:type="dxa"/>
            <w:vAlign w:val="center"/>
          </w:tcPr>
          <w:p>
            <w:pPr>
              <w:spacing w:line="400" w:lineRule="exact"/>
              <w:ind w:firstLine="28"/>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p>
        </w:tc>
        <w:tc>
          <w:tcPr>
            <w:tcW w:w="128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售后服务方案10%</w:t>
            </w:r>
          </w:p>
        </w:tc>
        <w:tc>
          <w:tcPr>
            <w:tcW w:w="646"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10</w:t>
            </w:r>
          </w:p>
        </w:tc>
        <w:tc>
          <w:tcPr>
            <w:tcW w:w="4767"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根据投标人提供的售后服务方案【①完整的配送方案（完善的出入库管理制度、完整的配送流程（配送人员和车辆的配置））②有效的质量保障方案（包含质量管理体系建设、质量控制技术方法等）③应急保障方案（配送过程中的突发应急措施、因问题产品引发的医疗安全事故应急措施、临时配送的应急措施）④具有完善的售后保障体系（有效的退换货流程制度、本地化服务能力等）】进行评审，方案完全满足项目实际要求且无缺陷的得10分；每缺少一项内容扣2.5分，每有一处存在缺陷或不合理的，扣1.25分，扣完为止。</w:t>
            </w:r>
          </w:p>
        </w:tc>
        <w:tc>
          <w:tcPr>
            <w:tcW w:w="1276"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1173"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64" w:type="dxa"/>
            <w:vAlign w:val="center"/>
          </w:tcPr>
          <w:p>
            <w:pPr>
              <w:spacing w:line="400" w:lineRule="exact"/>
              <w:ind w:firstLine="28"/>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p>
        </w:tc>
        <w:tc>
          <w:tcPr>
            <w:tcW w:w="128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业绩4%</w:t>
            </w:r>
          </w:p>
        </w:tc>
        <w:tc>
          <w:tcPr>
            <w:tcW w:w="646"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p>
        </w:tc>
        <w:tc>
          <w:tcPr>
            <w:tcW w:w="4767"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评标委员会根据供应商同类产品销售业绩（</w:t>
            </w:r>
            <w:r>
              <w:rPr>
                <w:rFonts w:asciiTheme="minorEastAsia" w:hAnsiTheme="minorEastAsia" w:eastAsiaTheme="minorEastAsia"/>
                <w:color w:val="auto"/>
                <w:szCs w:val="21"/>
                <w:highlight w:val="none"/>
              </w:rPr>
              <w:t>2018</w:t>
            </w:r>
            <w:r>
              <w:rPr>
                <w:rFonts w:hint="eastAsia" w:asciiTheme="minorEastAsia" w:hAnsiTheme="minorEastAsia" w:eastAsiaTheme="minorEastAsia"/>
                <w:color w:val="auto"/>
                <w:szCs w:val="21"/>
                <w:highlight w:val="none"/>
              </w:rPr>
              <w:t>年-投标截止日）进行评定，每提供</w:t>
            </w:r>
            <w:r>
              <w:rPr>
                <w:rFonts w:asciiTheme="minorEastAsia" w:hAnsiTheme="minorEastAsia" w:eastAsiaTheme="minorEastAsia"/>
                <w:color w:val="auto"/>
                <w:szCs w:val="21"/>
                <w:highlight w:val="none"/>
              </w:rPr>
              <w:t>一个业绩得</w:t>
            </w:r>
            <w:r>
              <w:rPr>
                <w:rFonts w:hint="eastAsia" w:asciiTheme="minorEastAsia" w:hAnsiTheme="minorEastAsia" w:eastAsiaTheme="minorEastAsia"/>
                <w:color w:val="auto"/>
                <w:szCs w:val="21"/>
                <w:highlight w:val="none"/>
              </w:rPr>
              <w:t>2分</w:t>
            </w:r>
            <w:r>
              <w:rPr>
                <w:rFonts w:asciiTheme="minorEastAsia" w:hAnsiTheme="minorEastAsia" w:eastAsiaTheme="minorEastAsia"/>
                <w:color w:val="auto"/>
                <w:szCs w:val="21"/>
                <w:highlight w:val="none"/>
              </w:rPr>
              <w:t>，最多得</w:t>
            </w:r>
            <w:r>
              <w:rPr>
                <w:rFonts w:hint="eastAsia" w:asciiTheme="minorEastAsia" w:hAnsiTheme="minorEastAsia" w:eastAsiaTheme="minorEastAsia"/>
                <w:color w:val="auto"/>
                <w:szCs w:val="21"/>
                <w:highlight w:val="none"/>
              </w:rPr>
              <w:t>4分。</w:t>
            </w:r>
          </w:p>
        </w:tc>
        <w:tc>
          <w:tcPr>
            <w:tcW w:w="1276"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提供销售合同原件原色电子件加盖投标人电子签章。</w:t>
            </w:r>
          </w:p>
        </w:tc>
        <w:tc>
          <w:tcPr>
            <w:tcW w:w="1173"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64" w:type="dxa"/>
            <w:vAlign w:val="center"/>
          </w:tcPr>
          <w:p>
            <w:pPr>
              <w:spacing w:line="400" w:lineRule="exact"/>
              <w:ind w:firstLine="28"/>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p>
        </w:tc>
        <w:tc>
          <w:tcPr>
            <w:tcW w:w="128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节能、环境标志、无线局域网产品1%</w:t>
            </w:r>
          </w:p>
        </w:tc>
        <w:tc>
          <w:tcPr>
            <w:tcW w:w="646"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4767"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投标产品中属于政府采购优先采购范围的，则每有一项为节能产品或者环境标志产品或者无线局域网产品的得1分，非节能、环境标志产品的、无线局域网产品的不得分。本项最多得1分。</w:t>
            </w:r>
          </w:p>
          <w:p>
            <w:pPr>
              <w:rPr>
                <w:rFonts w:ascii="宋体" w:hAnsi="宋体"/>
                <w:color w:val="auto"/>
                <w:kern w:val="0"/>
                <w:szCs w:val="21"/>
                <w:highlight w:val="none"/>
              </w:rPr>
            </w:pPr>
            <w:r>
              <w:rPr>
                <w:rFonts w:hint="eastAsia" w:ascii="宋体" w:hAnsi="宋体"/>
                <w:color w:val="auto"/>
                <w:szCs w:val="21"/>
                <w:highlight w:val="none"/>
              </w:rPr>
              <w:t>注：1. 节能产品、环境标志产品优先采购范围</w:t>
            </w:r>
            <w:r>
              <w:rPr>
                <w:rFonts w:hint="eastAsia" w:ascii="宋体" w:hAnsi="宋体"/>
                <w:color w:val="auto"/>
                <w:kern w:val="0"/>
                <w:szCs w:val="21"/>
                <w:highlight w:val="none"/>
              </w:rPr>
              <w:t>以品目清单为准</w:t>
            </w:r>
            <w:r>
              <w:rPr>
                <w:rFonts w:ascii="宋体" w:hAnsi="宋体"/>
                <w:color w:val="auto"/>
                <w:kern w:val="0"/>
                <w:szCs w:val="21"/>
                <w:highlight w:val="none"/>
              </w:rPr>
              <w:t>。</w:t>
            </w:r>
            <w:r>
              <w:rPr>
                <w:rFonts w:hint="eastAsia" w:ascii="宋体" w:hAnsi="宋体"/>
                <w:color w:val="auto"/>
                <w:kern w:val="0"/>
                <w:szCs w:val="21"/>
                <w:highlight w:val="none"/>
              </w:rPr>
              <w:t>财政部、发展改革委、生态环境部等部门根据产品节能环保性能、技术水平和市场成熟程度等因素，确定实施政府优先采购和强制采购的产品类别及所依据的相关标准规范，以品目清单的形式发布并适时调整。</w:t>
            </w:r>
            <w:r>
              <w:rPr>
                <w:rFonts w:hint="eastAsia" w:ascii="宋体" w:hAnsi="宋体"/>
                <w:color w:val="auto"/>
                <w:szCs w:val="21"/>
                <w:highlight w:val="none"/>
              </w:rPr>
              <w:t>无线局域网产品优先采购范围</w:t>
            </w:r>
            <w:r>
              <w:rPr>
                <w:rFonts w:hint="eastAsia" w:ascii="宋体" w:hAnsi="宋体"/>
                <w:color w:val="auto"/>
                <w:kern w:val="0"/>
                <w:szCs w:val="21"/>
                <w:highlight w:val="none"/>
              </w:rPr>
              <w:t>以中国</w:t>
            </w:r>
            <w:r>
              <w:rPr>
                <w:rFonts w:ascii="宋体" w:hAnsi="宋体"/>
                <w:color w:val="auto"/>
                <w:kern w:val="0"/>
                <w:szCs w:val="21"/>
                <w:highlight w:val="none"/>
              </w:rPr>
              <w:t>政府采购网公布的</w:t>
            </w:r>
            <w:r>
              <w:rPr>
                <w:rFonts w:hint="eastAsia" w:ascii="宋体" w:hAnsi="宋体"/>
                <w:color w:val="auto"/>
                <w:kern w:val="0"/>
                <w:szCs w:val="21"/>
                <w:highlight w:val="none"/>
              </w:rPr>
              <w:t>《无线局域网认证产品政府采购清单》为准</w:t>
            </w:r>
            <w:r>
              <w:rPr>
                <w:rFonts w:ascii="宋体" w:hAnsi="宋体"/>
                <w:color w:val="auto"/>
                <w:kern w:val="0"/>
                <w:szCs w:val="21"/>
                <w:highlight w:val="none"/>
              </w:rPr>
              <w:t>。</w:t>
            </w:r>
          </w:p>
          <w:p>
            <w:pPr>
              <w:rPr>
                <w:rFonts w:ascii="宋体" w:hAnsi="宋体"/>
                <w:color w:val="auto"/>
                <w:kern w:val="0"/>
                <w:szCs w:val="21"/>
                <w:highlight w:val="none"/>
              </w:rPr>
            </w:pPr>
            <w:r>
              <w:rPr>
                <w:rFonts w:hint="eastAsia" w:ascii="宋体" w:hAnsi="宋体"/>
                <w:color w:val="auto"/>
                <w:kern w:val="0"/>
                <w:szCs w:val="21"/>
                <w:highlight w:val="none"/>
              </w:rPr>
              <w:t>2.</w:t>
            </w:r>
            <w:r>
              <w:rPr>
                <w:rFonts w:hint="eastAsia" w:ascii="宋体" w:hAnsi="宋体"/>
                <w:color w:val="auto"/>
                <w:szCs w:val="21"/>
                <w:highlight w:val="none"/>
              </w:rPr>
              <w:t xml:space="preserve"> 投标产品属于</w:t>
            </w:r>
            <w:r>
              <w:rPr>
                <w:rFonts w:hint="eastAsia" w:ascii="宋体" w:hAnsi="宋体"/>
                <w:color w:val="auto"/>
                <w:kern w:val="0"/>
                <w:szCs w:val="21"/>
                <w:highlight w:val="none"/>
              </w:rPr>
              <w:t>优先</w:t>
            </w:r>
            <w:r>
              <w:rPr>
                <w:rFonts w:ascii="宋体" w:hAnsi="宋体"/>
                <w:color w:val="auto"/>
                <w:kern w:val="0"/>
                <w:szCs w:val="21"/>
                <w:highlight w:val="none"/>
              </w:rPr>
              <w:t>采购范围内的</w:t>
            </w:r>
            <w:r>
              <w:rPr>
                <w:rFonts w:hint="eastAsia" w:ascii="宋体" w:hAnsi="宋体"/>
                <w:color w:val="auto"/>
                <w:szCs w:val="21"/>
                <w:highlight w:val="none"/>
              </w:rPr>
              <w:t>节能产品或者环境标志产品的</w:t>
            </w:r>
            <w:r>
              <w:rPr>
                <w:rFonts w:ascii="宋体" w:hAnsi="宋体"/>
                <w:color w:val="auto"/>
                <w:szCs w:val="21"/>
                <w:highlight w:val="none"/>
              </w:rPr>
              <w:t>，</w:t>
            </w:r>
            <w:r>
              <w:rPr>
                <w:rFonts w:hint="eastAsia" w:ascii="宋体" w:hAnsi="宋体"/>
                <w:color w:val="auto"/>
                <w:kern w:val="0"/>
                <w:szCs w:val="21"/>
                <w:highlight w:val="none"/>
              </w:rPr>
              <w:t>提供国家确定的认证机构出具的、处于有效期之内的节能产品、环境标志产品认证证书原件原色电子件。</w:t>
            </w:r>
          </w:p>
          <w:p>
            <w:pPr>
              <w:rPr>
                <w:rFonts w:asciiTheme="minorEastAsia" w:hAnsiTheme="minorEastAsia" w:eastAsiaTheme="minorEastAsia"/>
                <w:color w:val="auto"/>
                <w:szCs w:val="21"/>
                <w:highlight w:val="none"/>
              </w:rPr>
            </w:pPr>
            <w:r>
              <w:rPr>
                <w:rFonts w:ascii="宋体" w:hAnsi="宋体"/>
                <w:color w:val="auto"/>
                <w:kern w:val="0"/>
                <w:szCs w:val="21"/>
                <w:highlight w:val="none"/>
              </w:rPr>
              <w:t>3.</w:t>
            </w:r>
            <w:r>
              <w:rPr>
                <w:rFonts w:hint="eastAsia" w:ascii="宋体" w:hAnsi="宋体"/>
                <w:color w:val="auto"/>
                <w:kern w:val="0"/>
                <w:szCs w:val="21"/>
                <w:highlight w:val="none"/>
              </w:rPr>
              <w:t xml:space="preserve"> 投标产品属于优先</w:t>
            </w:r>
            <w:r>
              <w:rPr>
                <w:rFonts w:ascii="宋体" w:hAnsi="宋体"/>
                <w:color w:val="auto"/>
                <w:kern w:val="0"/>
                <w:szCs w:val="21"/>
                <w:highlight w:val="none"/>
              </w:rPr>
              <w:t>采购范围内的</w:t>
            </w:r>
            <w:r>
              <w:rPr>
                <w:rFonts w:hint="eastAsia" w:ascii="宋体" w:hAnsi="宋体"/>
                <w:color w:val="auto"/>
                <w:szCs w:val="21"/>
                <w:highlight w:val="none"/>
              </w:rPr>
              <w:t>无线局域网产品的，</w:t>
            </w:r>
            <w:r>
              <w:rPr>
                <w:rFonts w:hint="eastAsia" w:ascii="宋体" w:hAnsi="宋体"/>
                <w:color w:val="auto"/>
                <w:kern w:val="0"/>
                <w:szCs w:val="21"/>
                <w:highlight w:val="none"/>
              </w:rPr>
              <w:t>提供政府采购清单对应页原件原色电子件。</w:t>
            </w:r>
          </w:p>
        </w:tc>
        <w:tc>
          <w:tcPr>
            <w:tcW w:w="1276"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1173"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政策类评分因素</w:t>
            </w:r>
          </w:p>
        </w:tc>
      </w:tr>
    </w:tbl>
    <w:p>
      <w:pPr>
        <w:rPr>
          <w:rFonts w:ascii="宋体" w:hAnsi="宋体" w:cs="宋体"/>
          <w:color w:val="auto"/>
          <w:sz w:val="24"/>
          <w:highlight w:val="none"/>
        </w:rPr>
      </w:pPr>
    </w:p>
    <w:p>
      <w:pPr>
        <w:pStyle w:val="14"/>
        <w:tabs>
          <w:tab w:val="left" w:pos="600"/>
        </w:tabs>
        <w:spacing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第八包：</w:t>
      </w:r>
    </w:p>
    <w:tbl>
      <w:tblPr>
        <w:tblStyle w:val="35"/>
        <w:tblW w:w="9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289"/>
        <w:gridCol w:w="646"/>
        <w:gridCol w:w="4767"/>
        <w:gridCol w:w="1276"/>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64" w:type="dxa"/>
            <w:vAlign w:val="center"/>
          </w:tcPr>
          <w:p>
            <w:pPr>
              <w:spacing w:line="400" w:lineRule="exact"/>
              <w:ind w:firstLine="28"/>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序号</w:t>
            </w:r>
          </w:p>
        </w:tc>
        <w:tc>
          <w:tcPr>
            <w:tcW w:w="1289" w:type="dxa"/>
            <w:vAlign w:val="center"/>
          </w:tcPr>
          <w:p>
            <w:pPr>
              <w:spacing w:line="400" w:lineRule="exact"/>
              <w:ind w:firstLine="28"/>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评分因素</w:t>
            </w:r>
          </w:p>
          <w:p>
            <w:pPr>
              <w:spacing w:line="400" w:lineRule="exact"/>
              <w:ind w:firstLine="28"/>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及权重</w:t>
            </w:r>
          </w:p>
        </w:tc>
        <w:tc>
          <w:tcPr>
            <w:tcW w:w="646" w:type="dxa"/>
            <w:vAlign w:val="center"/>
          </w:tcPr>
          <w:p>
            <w:pPr>
              <w:spacing w:line="400" w:lineRule="exact"/>
              <w:ind w:firstLine="28"/>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分值</w:t>
            </w:r>
          </w:p>
        </w:tc>
        <w:tc>
          <w:tcPr>
            <w:tcW w:w="4767" w:type="dxa"/>
            <w:vAlign w:val="center"/>
          </w:tcPr>
          <w:p>
            <w:pPr>
              <w:spacing w:line="400" w:lineRule="exact"/>
              <w:ind w:firstLine="28"/>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评分标准</w:t>
            </w:r>
          </w:p>
        </w:tc>
        <w:tc>
          <w:tcPr>
            <w:tcW w:w="1276" w:type="dxa"/>
            <w:vAlign w:val="center"/>
          </w:tcPr>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备注</w:t>
            </w:r>
          </w:p>
        </w:tc>
        <w:tc>
          <w:tcPr>
            <w:tcW w:w="1173" w:type="dxa"/>
            <w:vAlign w:val="center"/>
          </w:tcPr>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64" w:type="dxa"/>
            <w:vAlign w:val="center"/>
          </w:tcPr>
          <w:p>
            <w:pPr>
              <w:spacing w:line="400" w:lineRule="exact"/>
              <w:ind w:firstLine="28"/>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128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报价</w:t>
            </w:r>
            <w:r>
              <w:rPr>
                <w:rFonts w:asciiTheme="minorEastAsia" w:hAnsiTheme="minorEastAsia" w:eastAsiaTheme="minorEastAsia"/>
                <w:color w:val="auto"/>
                <w:szCs w:val="21"/>
                <w:highlight w:val="none"/>
              </w:rPr>
              <w:t>30</w:t>
            </w:r>
            <w:r>
              <w:rPr>
                <w:rFonts w:hint="eastAsia" w:asciiTheme="minorEastAsia" w:hAnsiTheme="minorEastAsia" w:eastAsiaTheme="minorEastAsia"/>
                <w:color w:val="auto"/>
                <w:szCs w:val="21"/>
                <w:highlight w:val="none"/>
              </w:rPr>
              <w:t>%</w:t>
            </w:r>
          </w:p>
        </w:tc>
        <w:tc>
          <w:tcPr>
            <w:tcW w:w="646" w:type="dxa"/>
            <w:vAlign w:val="center"/>
          </w:tcPr>
          <w:p>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30</w:t>
            </w:r>
          </w:p>
        </w:tc>
        <w:tc>
          <w:tcPr>
            <w:tcW w:w="4767"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满足招标文件要求且投标价格最低的报价为基准价，其价格分为满分。其他供应商的价格分统一按照下列公式计算：报价得分=(基准价／报价)*30。</w:t>
            </w:r>
          </w:p>
          <w:p>
            <w:pPr>
              <w:rPr>
                <w:rFonts w:asciiTheme="minorEastAsia" w:hAnsiTheme="minorEastAsia" w:eastAsiaTheme="minorEastAsia"/>
                <w:color w:val="auto"/>
                <w:szCs w:val="21"/>
                <w:highlight w:val="none"/>
              </w:rPr>
            </w:pPr>
            <w:r>
              <w:rPr>
                <w:rFonts w:hint="eastAsia" w:ascii="宋体" w:hAnsi="宋体"/>
                <w:color w:val="auto"/>
                <w:szCs w:val="21"/>
                <w:highlight w:val="none"/>
                <w:lang w:val="zh-CN"/>
              </w:rPr>
              <w:t>注：小微企业（监狱企业、残疾人福利性单位视同小微企业）价格扣除</w:t>
            </w:r>
            <w:r>
              <w:rPr>
                <w:rFonts w:hint="eastAsia" w:ascii="宋体" w:hAnsi="宋体" w:cs="宋体"/>
                <w:color w:val="auto"/>
                <w:szCs w:val="21"/>
                <w:highlight w:val="none"/>
              </w:rPr>
              <w:t>按投标人须知附表执行</w:t>
            </w:r>
            <w:r>
              <w:rPr>
                <w:rFonts w:hint="eastAsia" w:ascii="宋体" w:hAnsi="宋体"/>
                <w:color w:val="auto"/>
                <w:szCs w:val="21"/>
                <w:highlight w:val="none"/>
              </w:rPr>
              <w:t>。</w:t>
            </w:r>
          </w:p>
        </w:tc>
        <w:tc>
          <w:tcPr>
            <w:tcW w:w="1276"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1173"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64" w:type="dxa"/>
            <w:vAlign w:val="center"/>
          </w:tcPr>
          <w:p>
            <w:pPr>
              <w:spacing w:line="400" w:lineRule="exact"/>
              <w:ind w:firstLine="28"/>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128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技术参数要求56%</w:t>
            </w:r>
          </w:p>
        </w:tc>
        <w:tc>
          <w:tcPr>
            <w:tcW w:w="646"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56</w:t>
            </w:r>
          </w:p>
        </w:tc>
        <w:tc>
          <w:tcPr>
            <w:tcW w:w="4767"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完全符合招标文件技术参数及配置要求的得56 分，不满足招标文件技术参数及配置要求的，按如下规则进行处理：每有一项不满足招标文件中标注“</w:t>
            </w:r>
            <w:r>
              <w:rPr>
                <w:rFonts w:hint="eastAsia" w:ascii="宋体" w:hAnsi="宋体" w:cs="宋体"/>
                <w:color w:val="auto"/>
                <w:highlight w:val="none"/>
              </w:rPr>
              <w:t>★</w:t>
            </w:r>
            <w:r>
              <w:rPr>
                <w:rFonts w:hint="eastAsia" w:asciiTheme="minorEastAsia" w:hAnsiTheme="minorEastAsia" w:eastAsiaTheme="minorEastAsia"/>
                <w:color w:val="auto"/>
                <w:szCs w:val="21"/>
                <w:highlight w:val="none"/>
              </w:rPr>
              <w:t>”条款（共7项）要求的扣2.8分，每有一项不满足招标文件中未标注符号条款（共52项）要求的扣0.7分，扣完为止。</w:t>
            </w:r>
          </w:p>
          <w:p>
            <w:pPr>
              <w:rPr>
                <w:rFonts w:asciiTheme="minorEastAsia" w:hAnsiTheme="minorEastAsia" w:eastAsiaTheme="minorEastAsia"/>
                <w:color w:val="auto"/>
                <w:szCs w:val="21"/>
                <w:highlight w:val="none"/>
              </w:rPr>
            </w:pPr>
            <w:r>
              <w:rPr>
                <w:rFonts w:hint="eastAsia" w:ascii="宋体" w:hAnsi="宋体"/>
                <w:color w:val="auto"/>
                <w:szCs w:val="21"/>
                <w:highlight w:val="none"/>
              </w:rPr>
              <w:t>注：技术参数中要求提供证明材料的，须按要求提供相关证明材料并加盖供应商电子签章，未提供证明材料该项不得分。</w:t>
            </w:r>
          </w:p>
        </w:tc>
        <w:tc>
          <w:tcPr>
            <w:tcW w:w="1276"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1173"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64" w:type="dxa"/>
            <w:vAlign w:val="center"/>
          </w:tcPr>
          <w:p>
            <w:pPr>
              <w:spacing w:line="400" w:lineRule="exact"/>
              <w:ind w:firstLine="28"/>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p>
        </w:tc>
        <w:tc>
          <w:tcPr>
            <w:tcW w:w="128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售后服务方案10%</w:t>
            </w:r>
          </w:p>
        </w:tc>
        <w:tc>
          <w:tcPr>
            <w:tcW w:w="646"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10</w:t>
            </w:r>
          </w:p>
        </w:tc>
        <w:tc>
          <w:tcPr>
            <w:tcW w:w="4767"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根据投标人提供的售后服务方案【①完整的配送方案（完善的出入库管理制度、完整的配送流程（配送人员和车辆的配置））②有效的质量保障方案（包含质量管理体系建设、质量控制技术方法等）③应急保障方案（配送过程中的突发应急措施、因问题产品引发的医疗安全事故应急措施、临时配送的应急措施）④具有完善的售后保障体系（有效的退换货流程制度、本地化服务能力等）】进行评审，方案完全满足项目实际要求且无缺陷的得10分；每缺少一项内容扣2.5分，每有一处存在缺陷或不合理的，扣1.25分，扣完为止。</w:t>
            </w:r>
          </w:p>
        </w:tc>
        <w:tc>
          <w:tcPr>
            <w:tcW w:w="1276"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1173"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64" w:type="dxa"/>
            <w:vAlign w:val="center"/>
          </w:tcPr>
          <w:p>
            <w:pPr>
              <w:spacing w:line="400" w:lineRule="exact"/>
              <w:ind w:firstLine="28"/>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p>
        </w:tc>
        <w:tc>
          <w:tcPr>
            <w:tcW w:w="128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业绩3%</w:t>
            </w:r>
          </w:p>
        </w:tc>
        <w:tc>
          <w:tcPr>
            <w:tcW w:w="646"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p>
        </w:tc>
        <w:tc>
          <w:tcPr>
            <w:tcW w:w="4767"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评标委员会根据供应商同类产品销售业绩（</w:t>
            </w:r>
            <w:r>
              <w:rPr>
                <w:rFonts w:asciiTheme="minorEastAsia" w:hAnsiTheme="minorEastAsia" w:eastAsiaTheme="minorEastAsia"/>
                <w:color w:val="auto"/>
                <w:szCs w:val="21"/>
                <w:highlight w:val="none"/>
              </w:rPr>
              <w:t>2018</w:t>
            </w:r>
            <w:r>
              <w:rPr>
                <w:rFonts w:hint="eastAsia" w:asciiTheme="minorEastAsia" w:hAnsiTheme="minorEastAsia" w:eastAsiaTheme="minorEastAsia"/>
                <w:color w:val="auto"/>
                <w:szCs w:val="21"/>
                <w:highlight w:val="none"/>
              </w:rPr>
              <w:t>年-投标截止日）进行评定，每提供</w:t>
            </w:r>
            <w:r>
              <w:rPr>
                <w:rFonts w:asciiTheme="minorEastAsia" w:hAnsiTheme="minorEastAsia" w:eastAsiaTheme="minorEastAsia"/>
                <w:color w:val="auto"/>
                <w:szCs w:val="21"/>
                <w:highlight w:val="none"/>
              </w:rPr>
              <w:t>一个业绩得</w:t>
            </w:r>
            <w:r>
              <w:rPr>
                <w:rFonts w:hint="eastAsia" w:asciiTheme="minorEastAsia" w:hAnsiTheme="minorEastAsia" w:eastAsiaTheme="minorEastAsia"/>
                <w:color w:val="auto"/>
                <w:szCs w:val="21"/>
                <w:highlight w:val="none"/>
              </w:rPr>
              <w:t>1.5分</w:t>
            </w:r>
            <w:r>
              <w:rPr>
                <w:rFonts w:asciiTheme="minorEastAsia" w:hAnsiTheme="minorEastAsia" w:eastAsiaTheme="minorEastAsia"/>
                <w:color w:val="auto"/>
                <w:szCs w:val="21"/>
                <w:highlight w:val="none"/>
              </w:rPr>
              <w:t>，最多得</w:t>
            </w:r>
            <w:r>
              <w:rPr>
                <w:rFonts w:hint="eastAsia" w:asciiTheme="minorEastAsia" w:hAnsiTheme="minorEastAsia" w:eastAsiaTheme="minorEastAsia"/>
                <w:color w:val="auto"/>
                <w:szCs w:val="21"/>
                <w:highlight w:val="none"/>
                <w:lang w:val="en-US" w:eastAsia="zh-CN"/>
              </w:rPr>
              <w:t>3</w:t>
            </w:r>
            <w:r>
              <w:rPr>
                <w:rFonts w:hint="eastAsia" w:asciiTheme="minorEastAsia" w:hAnsiTheme="minorEastAsia" w:eastAsiaTheme="minorEastAsia"/>
                <w:color w:val="auto"/>
                <w:szCs w:val="21"/>
                <w:highlight w:val="none"/>
              </w:rPr>
              <w:t>分。</w:t>
            </w:r>
          </w:p>
        </w:tc>
        <w:tc>
          <w:tcPr>
            <w:tcW w:w="1276"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提供销售合同原件原色电子件加盖投标人电子签章。</w:t>
            </w:r>
          </w:p>
        </w:tc>
        <w:tc>
          <w:tcPr>
            <w:tcW w:w="1173"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64" w:type="dxa"/>
            <w:vAlign w:val="center"/>
          </w:tcPr>
          <w:p>
            <w:pPr>
              <w:spacing w:line="400" w:lineRule="exact"/>
              <w:ind w:firstLine="28"/>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p>
        </w:tc>
        <w:tc>
          <w:tcPr>
            <w:tcW w:w="128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节能、环境标志、无线局域网产品1%</w:t>
            </w:r>
          </w:p>
        </w:tc>
        <w:tc>
          <w:tcPr>
            <w:tcW w:w="646"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4767"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投标产品中属于政府采购优先采购范围的，则每有一项为节能产品或者环境标志产品或者无线局域网产品的得0.5分，非节能、环境标志产品的、无线局域网产品的不得分。本项最多得1分。</w:t>
            </w:r>
          </w:p>
          <w:p>
            <w:pPr>
              <w:rPr>
                <w:rFonts w:ascii="宋体" w:hAnsi="宋体"/>
                <w:color w:val="auto"/>
                <w:kern w:val="0"/>
                <w:szCs w:val="21"/>
                <w:highlight w:val="none"/>
              </w:rPr>
            </w:pPr>
            <w:r>
              <w:rPr>
                <w:rFonts w:hint="eastAsia" w:ascii="宋体" w:hAnsi="宋体"/>
                <w:color w:val="auto"/>
                <w:szCs w:val="21"/>
                <w:highlight w:val="none"/>
              </w:rPr>
              <w:t>注：1. 节能产品、环境标志产品优先采购范围</w:t>
            </w:r>
            <w:r>
              <w:rPr>
                <w:rFonts w:hint="eastAsia" w:ascii="宋体" w:hAnsi="宋体"/>
                <w:color w:val="auto"/>
                <w:kern w:val="0"/>
                <w:szCs w:val="21"/>
                <w:highlight w:val="none"/>
              </w:rPr>
              <w:t>以品目清单为准</w:t>
            </w:r>
            <w:r>
              <w:rPr>
                <w:rFonts w:ascii="宋体" w:hAnsi="宋体"/>
                <w:color w:val="auto"/>
                <w:kern w:val="0"/>
                <w:szCs w:val="21"/>
                <w:highlight w:val="none"/>
              </w:rPr>
              <w:t>。</w:t>
            </w:r>
            <w:r>
              <w:rPr>
                <w:rFonts w:hint="eastAsia" w:ascii="宋体" w:hAnsi="宋体"/>
                <w:color w:val="auto"/>
                <w:kern w:val="0"/>
                <w:szCs w:val="21"/>
                <w:highlight w:val="none"/>
              </w:rPr>
              <w:t>财政部、发展改革委、生态环境部等部门根据产品节能环保性能、技术水平和市场成熟程度等因素，确定实施政府优先采购和强制采购的产品类别及所依据的相关标准规范，以品目清单的形式发布并适时调整。</w:t>
            </w:r>
            <w:r>
              <w:rPr>
                <w:rFonts w:hint="eastAsia" w:ascii="宋体" w:hAnsi="宋体"/>
                <w:color w:val="auto"/>
                <w:szCs w:val="21"/>
                <w:highlight w:val="none"/>
              </w:rPr>
              <w:t>无线局域网产品优先采购范围</w:t>
            </w:r>
            <w:r>
              <w:rPr>
                <w:rFonts w:hint="eastAsia" w:ascii="宋体" w:hAnsi="宋体"/>
                <w:color w:val="auto"/>
                <w:kern w:val="0"/>
                <w:szCs w:val="21"/>
                <w:highlight w:val="none"/>
              </w:rPr>
              <w:t>以中国</w:t>
            </w:r>
            <w:r>
              <w:rPr>
                <w:rFonts w:ascii="宋体" w:hAnsi="宋体"/>
                <w:color w:val="auto"/>
                <w:kern w:val="0"/>
                <w:szCs w:val="21"/>
                <w:highlight w:val="none"/>
              </w:rPr>
              <w:t>政府采购网公布的</w:t>
            </w:r>
            <w:r>
              <w:rPr>
                <w:rFonts w:hint="eastAsia" w:ascii="宋体" w:hAnsi="宋体"/>
                <w:color w:val="auto"/>
                <w:kern w:val="0"/>
                <w:szCs w:val="21"/>
                <w:highlight w:val="none"/>
              </w:rPr>
              <w:t>《无线局域网认证产品政府采购清单》为准</w:t>
            </w:r>
            <w:r>
              <w:rPr>
                <w:rFonts w:ascii="宋体" w:hAnsi="宋体"/>
                <w:color w:val="auto"/>
                <w:kern w:val="0"/>
                <w:szCs w:val="21"/>
                <w:highlight w:val="none"/>
              </w:rPr>
              <w:t>。</w:t>
            </w:r>
          </w:p>
          <w:p>
            <w:pPr>
              <w:rPr>
                <w:rFonts w:ascii="宋体" w:hAnsi="宋体"/>
                <w:color w:val="auto"/>
                <w:kern w:val="0"/>
                <w:szCs w:val="21"/>
                <w:highlight w:val="none"/>
              </w:rPr>
            </w:pPr>
            <w:r>
              <w:rPr>
                <w:rFonts w:hint="eastAsia" w:ascii="宋体" w:hAnsi="宋体"/>
                <w:color w:val="auto"/>
                <w:kern w:val="0"/>
                <w:szCs w:val="21"/>
                <w:highlight w:val="none"/>
              </w:rPr>
              <w:t>2.</w:t>
            </w:r>
            <w:r>
              <w:rPr>
                <w:rFonts w:hint="eastAsia" w:ascii="宋体" w:hAnsi="宋体"/>
                <w:color w:val="auto"/>
                <w:szCs w:val="21"/>
                <w:highlight w:val="none"/>
              </w:rPr>
              <w:t xml:space="preserve"> 投标产品属于</w:t>
            </w:r>
            <w:r>
              <w:rPr>
                <w:rFonts w:hint="eastAsia" w:ascii="宋体" w:hAnsi="宋体"/>
                <w:color w:val="auto"/>
                <w:kern w:val="0"/>
                <w:szCs w:val="21"/>
                <w:highlight w:val="none"/>
              </w:rPr>
              <w:t>优先</w:t>
            </w:r>
            <w:r>
              <w:rPr>
                <w:rFonts w:ascii="宋体" w:hAnsi="宋体"/>
                <w:color w:val="auto"/>
                <w:kern w:val="0"/>
                <w:szCs w:val="21"/>
                <w:highlight w:val="none"/>
              </w:rPr>
              <w:t>采购范围内的</w:t>
            </w:r>
            <w:r>
              <w:rPr>
                <w:rFonts w:hint="eastAsia" w:ascii="宋体" w:hAnsi="宋体"/>
                <w:color w:val="auto"/>
                <w:szCs w:val="21"/>
                <w:highlight w:val="none"/>
              </w:rPr>
              <w:t>节能产品或者环境标志产品的</w:t>
            </w:r>
            <w:r>
              <w:rPr>
                <w:rFonts w:ascii="宋体" w:hAnsi="宋体"/>
                <w:color w:val="auto"/>
                <w:szCs w:val="21"/>
                <w:highlight w:val="none"/>
              </w:rPr>
              <w:t>，</w:t>
            </w:r>
            <w:r>
              <w:rPr>
                <w:rFonts w:hint="eastAsia" w:ascii="宋体" w:hAnsi="宋体"/>
                <w:color w:val="auto"/>
                <w:kern w:val="0"/>
                <w:szCs w:val="21"/>
                <w:highlight w:val="none"/>
              </w:rPr>
              <w:t>提供国家确定的认证机构出具的、处于有效期之内的节能产品、环境标志产品认证证书原件原色电子件。</w:t>
            </w:r>
          </w:p>
          <w:p>
            <w:pPr>
              <w:rPr>
                <w:rFonts w:asciiTheme="minorEastAsia" w:hAnsiTheme="minorEastAsia" w:eastAsiaTheme="minorEastAsia"/>
                <w:color w:val="auto"/>
                <w:szCs w:val="21"/>
                <w:highlight w:val="none"/>
              </w:rPr>
            </w:pPr>
            <w:r>
              <w:rPr>
                <w:rFonts w:ascii="宋体" w:hAnsi="宋体"/>
                <w:color w:val="auto"/>
                <w:kern w:val="0"/>
                <w:szCs w:val="21"/>
                <w:highlight w:val="none"/>
              </w:rPr>
              <w:t>3.</w:t>
            </w:r>
            <w:r>
              <w:rPr>
                <w:rFonts w:hint="eastAsia" w:ascii="宋体" w:hAnsi="宋体"/>
                <w:color w:val="auto"/>
                <w:kern w:val="0"/>
                <w:szCs w:val="21"/>
                <w:highlight w:val="none"/>
              </w:rPr>
              <w:t xml:space="preserve"> 投标产品属于优先</w:t>
            </w:r>
            <w:r>
              <w:rPr>
                <w:rFonts w:ascii="宋体" w:hAnsi="宋体"/>
                <w:color w:val="auto"/>
                <w:kern w:val="0"/>
                <w:szCs w:val="21"/>
                <w:highlight w:val="none"/>
              </w:rPr>
              <w:t>采购范围内的</w:t>
            </w:r>
            <w:r>
              <w:rPr>
                <w:rFonts w:hint="eastAsia" w:ascii="宋体" w:hAnsi="宋体"/>
                <w:color w:val="auto"/>
                <w:szCs w:val="21"/>
                <w:highlight w:val="none"/>
              </w:rPr>
              <w:t>无线局域网产品的，</w:t>
            </w:r>
            <w:r>
              <w:rPr>
                <w:rFonts w:hint="eastAsia" w:ascii="宋体" w:hAnsi="宋体"/>
                <w:color w:val="auto"/>
                <w:kern w:val="0"/>
                <w:szCs w:val="21"/>
                <w:highlight w:val="none"/>
              </w:rPr>
              <w:t>提供政府采购清单对应页原件原色电子件。</w:t>
            </w:r>
          </w:p>
        </w:tc>
        <w:tc>
          <w:tcPr>
            <w:tcW w:w="1276"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1173"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政策类评分因素</w:t>
            </w:r>
          </w:p>
        </w:tc>
      </w:tr>
    </w:tbl>
    <w:p>
      <w:pPr>
        <w:rPr>
          <w:rFonts w:ascii="宋体" w:hAnsi="宋体" w:cs="宋体"/>
          <w:color w:val="auto"/>
          <w:sz w:val="24"/>
          <w:highlight w:val="none"/>
        </w:rPr>
      </w:pPr>
    </w:p>
    <w:p>
      <w:pPr>
        <w:pStyle w:val="14"/>
        <w:tabs>
          <w:tab w:val="left" w:pos="600"/>
        </w:tabs>
        <w:spacing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第九包：</w:t>
      </w:r>
    </w:p>
    <w:tbl>
      <w:tblPr>
        <w:tblStyle w:val="35"/>
        <w:tblW w:w="9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289"/>
        <w:gridCol w:w="646"/>
        <w:gridCol w:w="4767"/>
        <w:gridCol w:w="1276"/>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64" w:type="dxa"/>
            <w:vAlign w:val="center"/>
          </w:tcPr>
          <w:p>
            <w:pPr>
              <w:spacing w:line="400" w:lineRule="exact"/>
              <w:ind w:firstLine="28"/>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序号</w:t>
            </w:r>
          </w:p>
        </w:tc>
        <w:tc>
          <w:tcPr>
            <w:tcW w:w="1289" w:type="dxa"/>
            <w:vAlign w:val="center"/>
          </w:tcPr>
          <w:p>
            <w:pPr>
              <w:spacing w:line="400" w:lineRule="exact"/>
              <w:ind w:firstLine="28"/>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评分因素</w:t>
            </w:r>
          </w:p>
          <w:p>
            <w:pPr>
              <w:spacing w:line="400" w:lineRule="exact"/>
              <w:ind w:firstLine="28"/>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及权重</w:t>
            </w:r>
          </w:p>
        </w:tc>
        <w:tc>
          <w:tcPr>
            <w:tcW w:w="646" w:type="dxa"/>
            <w:vAlign w:val="center"/>
          </w:tcPr>
          <w:p>
            <w:pPr>
              <w:spacing w:line="400" w:lineRule="exact"/>
              <w:ind w:firstLine="28"/>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分值</w:t>
            </w:r>
          </w:p>
        </w:tc>
        <w:tc>
          <w:tcPr>
            <w:tcW w:w="4767" w:type="dxa"/>
            <w:vAlign w:val="center"/>
          </w:tcPr>
          <w:p>
            <w:pPr>
              <w:spacing w:line="400" w:lineRule="exact"/>
              <w:ind w:firstLine="28"/>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评分标准</w:t>
            </w:r>
          </w:p>
        </w:tc>
        <w:tc>
          <w:tcPr>
            <w:tcW w:w="1276" w:type="dxa"/>
            <w:vAlign w:val="center"/>
          </w:tcPr>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备注</w:t>
            </w:r>
          </w:p>
        </w:tc>
        <w:tc>
          <w:tcPr>
            <w:tcW w:w="1173" w:type="dxa"/>
            <w:vAlign w:val="center"/>
          </w:tcPr>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64" w:type="dxa"/>
            <w:vAlign w:val="center"/>
          </w:tcPr>
          <w:p>
            <w:pPr>
              <w:spacing w:line="400" w:lineRule="exact"/>
              <w:ind w:firstLine="28"/>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128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报价</w:t>
            </w:r>
            <w:r>
              <w:rPr>
                <w:rFonts w:asciiTheme="minorEastAsia" w:hAnsiTheme="minorEastAsia" w:eastAsiaTheme="minorEastAsia"/>
                <w:color w:val="auto"/>
                <w:szCs w:val="21"/>
                <w:highlight w:val="none"/>
              </w:rPr>
              <w:t>30</w:t>
            </w:r>
            <w:r>
              <w:rPr>
                <w:rFonts w:hint="eastAsia" w:asciiTheme="minorEastAsia" w:hAnsiTheme="minorEastAsia" w:eastAsiaTheme="minorEastAsia"/>
                <w:color w:val="auto"/>
                <w:szCs w:val="21"/>
                <w:highlight w:val="none"/>
              </w:rPr>
              <w:t>%</w:t>
            </w:r>
          </w:p>
        </w:tc>
        <w:tc>
          <w:tcPr>
            <w:tcW w:w="646" w:type="dxa"/>
            <w:vAlign w:val="center"/>
          </w:tcPr>
          <w:p>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30</w:t>
            </w:r>
          </w:p>
        </w:tc>
        <w:tc>
          <w:tcPr>
            <w:tcW w:w="4767"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满足招标文件要求且投标价格最低的报价为基准价，其价格分为满分。其他供应商的价格分统一按照下列公式计算：报价得分=(基准价／报价)*30。</w:t>
            </w:r>
          </w:p>
          <w:p>
            <w:pPr>
              <w:rPr>
                <w:rFonts w:asciiTheme="minorEastAsia" w:hAnsiTheme="minorEastAsia" w:eastAsiaTheme="minorEastAsia"/>
                <w:color w:val="auto"/>
                <w:szCs w:val="21"/>
                <w:highlight w:val="none"/>
              </w:rPr>
            </w:pPr>
            <w:r>
              <w:rPr>
                <w:rFonts w:hint="eastAsia" w:ascii="宋体" w:hAnsi="宋体"/>
                <w:color w:val="auto"/>
                <w:szCs w:val="21"/>
                <w:highlight w:val="none"/>
                <w:lang w:val="zh-CN"/>
              </w:rPr>
              <w:t>注：小微企业（监狱企业、残疾人福利性单位视同小微企业）价格扣除</w:t>
            </w:r>
            <w:r>
              <w:rPr>
                <w:rFonts w:hint="eastAsia" w:ascii="宋体" w:hAnsi="宋体" w:cs="宋体"/>
                <w:color w:val="auto"/>
                <w:szCs w:val="21"/>
                <w:highlight w:val="none"/>
              </w:rPr>
              <w:t>按投标人须知附表执行</w:t>
            </w:r>
            <w:r>
              <w:rPr>
                <w:rFonts w:hint="eastAsia" w:ascii="宋体" w:hAnsi="宋体"/>
                <w:color w:val="auto"/>
                <w:szCs w:val="21"/>
                <w:highlight w:val="none"/>
              </w:rPr>
              <w:t>。</w:t>
            </w:r>
          </w:p>
        </w:tc>
        <w:tc>
          <w:tcPr>
            <w:tcW w:w="1276"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1173"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64" w:type="dxa"/>
            <w:vAlign w:val="center"/>
          </w:tcPr>
          <w:p>
            <w:pPr>
              <w:spacing w:line="400" w:lineRule="exact"/>
              <w:ind w:firstLine="28"/>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128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技术参数要求53%</w:t>
            </w:r>
          </w:p>
        </w:tc>
        <w:tc>
          <w:tcPr>
            <w:tcW w:w="646"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53</w:t>
            </w:r>
          </w:p>
        </w:tc>
        <w:tc>
          <w:tcPr>
            <w:tcW w:w="4767"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完全符合招标文件技术参数及配置要求的得53分，不满足招标文件技术参数及配置要求的，按如下规则进行处理：每有一项不满足招标文件中标注“</w:t>
            </w:r>
            <w:r>
              <w:rPr>
                <w:rFonts w:hint="eastAsia" w:ascii="宋体" w:hAnsi="宋体" w:cs="宋体"/>
                <w:color w:val="auto"/>
                <w:highlight w:val="none"/>
              </w:rPr>
              <w:t>★</w:t>
            </w:r>
            <w:r>
              <w:rPr>
                <w:rFonts w:hint="eastAsia" w:asciiTheme="minorEastAsia" w:hAnsiTheme="minorEastAsia" w:eastAsiaTheme="minorEastAsia"/>
                <w:color w:val="auto"/>
                <w:szCs w:val="21"/>
                <w:highlight w:val="none"/>
              </w:rPr>
              <w:t>”条款（共7项）要求的扣3分，每有一项不满足招标文件中未标注符号条款（共32项）要求的扣1分，扣完为止。</w:t>
            </w:r>
          </w:p>
          <w:p>
            <w:pPr>
              <w:rPr>
                <w:rFonts w:asciiTheme="minorEastAsia" w:hAnsiTheme="minorEastAsia" w:eastAsiaTheme="minorEastAsia"/>
                <w:color w:val="auto"/>
                <w:szCs w:val="21"/>
                <w:highlight w:val="none"/>
              </w:rPr>
            </w:pPr>
            <w:r>
              <w:rPr>
                <w:rFonts w:hint="eastAsia" w:ascii="宋体" w:hAnsi="宋体"/>
                <w:color w:val="auto"/>
                <w:szCs w:val="21"/>
                <w:highlight w:val="none"/>
              </w:rPr>
              <w:t>注：技术参数中要求提供证明材料的，须按要求提供相关证明材料并加盖供应商电子签章，未提供证明材料该项不得分。</w:t>
            </w:r>
          </w:p>
        </w:tc>
        <w:tc>
          <w:tcPr>
            <w:tcW w:w="1276"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1173"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64" w:type="dxa"/>
            <w:vAlign w:val="center"/>
          </w:tcPr>
          <w:p>
            <w:pPr>
              <w:spacing w:line="400" w:lineRule="exact"/>
              <w:ind w:firstLine="28"/>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p>
        </w:tc>
        <w:tc>
          <w:tcPr>
            <w:tcW w:w="128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售后服务方案12%</w:t>
            </w:r>
          </w:p>
        </w:tc>
        <w:tc>
          <w:tcPr>
            <w:tcW w:w="646"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12</w:t>
            </w:r>
          </w:p>
        </w:tc>
        <w:tc>
          <w:tcPr>
            <w:tcW w:w="4767"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根据投标人提供的售后服务方案【①完整的配送方案（完善的出入库管理制度、完整的配送流程（配送人员和车辆的配置））②有效的质量保障方案（包含质量管理体系建设、质量控制技术方法等）③应急保障方案（配送过程中的突发应急措施、因问题产品引发的医疗安全事故应急措施、临时配送的应急措施）④具有完善的售后保障体系（有效的退换货流程制度、本地化服务能力等）】进行评审，方案完全满足项目实际要求且无缺陷的得12分；每缺少一项内容扣3分，每有一处存在缺陷或不合理的，扣1.5分，扣完为止。</w:t>
            </w:r>
          </w:p>
        </w:tc>
        <w:tc>
          <w:tcPr>
            <w:tcW w:w="1276"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1173"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64" w:type="dxa"/>
            <w:vAlign w:val="center"/>
          </w:tcPr>
          <w:p>
            <w:pPr>
              <w:spacing w:line="400" w:lineRule="exact"/>
              <w:ind w:firstLine="28"/>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w:t>
            </w:r>
          </w:p>
        </w:tc>
        <w:tc>
          <w:tcPr>
            <w:tcW w:w="128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业绩4%</w:t>
            </w:r>
          </w:p>
        </w:tc>
        <w:tc>
          <w:tcPr>
            <w:tcW w:w="646"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p>
        </w:tc>
        <w:tc>
          <w:tcPr>
            <w:tcW w:w="4767"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评标委员会根据供应商同类产品销售业绩（</w:t>
            </w:r>
            <w:r>
              <w:rPr>
                <w:rFonts w:asciiTheme="minorEastAsia" w:hAnsiTheme="minorEastAsia" w:eastAsiaTheme="minorEastAsia"/>
                <w:color w:val="auto"/>
                <w:szCs w:val="21"/>
                <w:highlight w:val="none"/>
              </w:rPr>
              <w:t>2018</w:t>
            </w:r>
            <w:r>
              <w:rPr>
                <w:rFonts w:hint="eastAsia" w:asciiTheme="minorEastAsia" w:hAnsiTheme="minorEastAsia" w:eastAsiaTheme="minorEastAsia"/>
                <w:color w:val="auto"/>
                <w:szCs w:val="21"/>
                <w:highlight w:val="none"/>
              </w:rPr>
              <w:t>年-投标截止日）进行评定，每提供</w:t>
            </w:r>
            <w:r>
              <w:rPr>
                <w:rFonts w:asciiTheme="minorEastAsia" w:hAnsiTheme="minorEastAsia" w:eastAsiaTheme="minorEastAsia"/>
                <w:color w:val="auto"/>
                <w:szCs w:val="21"/>
                <w:highlight w:val="none"/>
              </w:rPr>
              <w:t>一个业绩得</w:t>
            </w:r>
            <w:r>
              <w:rPr>
                <w:rFonts w:hint="eastAsia" w:asciiTheme="minorEastAsia" w:hAnsiTheme="minorEastAsia" w:eastAsiaTheme="minorEastAsia"/>
                <w:color w:val="auto"/>
                <w:szCs w:val="21"/>
                <w:highlight w:val="none"/>
              </w:rPr>
              <w:t>2分</w:t>
            </w:r>
            <w:r>
              <w:rPr>
                <w:rFonts w:asciiTheme="minorEastAsia" w:hAnsiTheme="minorEastAsia" w:eastAsiaTheme="minorEastAsia"/>
                <w:color w:val="auto"/>
                <w:szCs w:val="21"/>
                <w:highlight w:val="none"/>
              </w:rPr>
              <w:t>，最多得</w:t>
            </w:r>
            <w:r>
              <w:rPr>
                <w:rFonts w:hint="eastAsia" w:asciiTheme="minorEastAsia" w:hAnsiTheme="minorEastAsia" w:eastAsiaTheme="minorEastAsia"/>
                <w:color w:val="auto"/>
                <w:szCs w:val="21"/>
                <w:highlight w:val="none"/>
              </w:rPr>
              <w:t>4分。</w:t>
            </w:r>
          </w:p>
        </w:tc>
        <w:tc>
          <w:tcPr>
            <w:tcW w:w="1276"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提供销售合同原件原色电子件加盖投标人电子签章。</w:t>
            </w:r>
          </w:p>
        </w:tc>
        <w:tc>
          <w:tcPr>
            <w:tcW w:w="1173"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64" w:type="dxa"/>
            <w:vAlign w:val="center"/>
          </w:tcPr>
          <w:p>
            <w:pPr>
              <w:spacing w:line="400" w:lineRule="exact"/>
              <w:ind w:firstLine="28"/>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5</w:t>
            </w:r>
          </w:p>
        </w:tc>
        <w:tc>
          <w:tcPr>
            <w:tcW w:w="128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节能、环境标志、无线局域网产品1%</w:t>
            </w:r>
          </w:p>
        </w:tc>
        <w:tc>
          <w:tcPr>
            <w:tcW w:w="646"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4767"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投标产品中属于政府采购优先采购范围的，则每有一项为节能产品或者环境标志产品或者无线局域网产品的得1分，非节能、环境标志产品的、无线局域网产品的不得分。本项最多得1分。</w:t>
            </w:r>
          </w:p>
          <w:p>
            <w:pPr>
              <w:rPr>
                <w:rFonts w:ascii="宋体" w:hAnsi="宋体"/>
                <w:color w:val="auto"/>
                <w:kern w:val="0"/>
                <w:szCs w:val="21"/>
                <w:highlight w:val="none"/>
              </w:rPr>
            </w:pPr>
            <w:r>
              <w:rPr>
                <w:rFonts w:hint="eastAsia" w:ascii="宋体" w:hAnsi="宋体"/>
                <w:color w:val="auto"/>
                <w:szCs w:val="21"/>
                <w:highlight w:val="none"/>
              </w:rPr>
              <w:t>注：1. 节能产品、环境标志产品优先采购范围</w:t>
            </w:r>
            <w:r>
              <w:rPr>
                <w:rFonts w:hint="eastAsia" w:ascii="宋体" w:hAnsi="宋体"/>
                <w:color w:val="auto"/>
                <w:kern w:val="0"/>
                <w:szCs w:val="21"/>
                <w:highlight w:val="none"/>
              </w:rPr>
              <w:t>以品目清单为准</w:t>
            </w:r>
            <w:r>
              <w:rPr>
                <w:rFonts w:ascii="宋体" w:hAnsi="宋体"/>
                <w:color w:val="auto"/>
                <w:kern w:val="0"/>
                <w:szCs w:val="21"/>
                <w:highlight w:val="none"/>
              </w:rPr>
              <w:t>。</w:t>
            </w:r>
            <w:r>
              <w:rPr>
                <w:rFonts w:hint="eastAsia" w:ascii="宋体" w:hAnsi="宋体"/>
                <w:color w:val="auto"/>
                <w:kern w:val="0"/>
                <w:szCs w:val="21"/>
                <w:highlight w:val="none"/>
              </w:rPr>
              <w:t>财政部、发展改革委、生态环境部等部门根据产品节能环保性能、技术水平和市场成熟程度等因素，确定实施政府优先采购和强制采购的产品类别及所依据的相关标准规范，以品目清单的形式发布并适时调整。</w:t>
            </w:r>
            <w:r>
              <w:rPr>
                <w:rFonts w:hint="eastAsia" w:ascii="宋体" w:hAnsi="宋体"/>
                <w:color w:val="auto"/>
                <w:szCs w:val="21"/>
                <w:highlight w:val="none"/>
              </w:rPr>
              <w:t>无线局域网产品优先采购范围</w:t>
            </w:r>
            <w:r>
              <w:rPr>
                <w:rFonts w:hint="eastAsia" w:ascii="宋体" w:hAnsi="宋体"/>
                <w:color w:val="auto"/>
                <w:kern w:val="0"/>
                <w:szCs w:val="21"/>
                <w:highlight w:val="none"/>
              </w:rPr>
              <w:t>以中国</w:t>
            </w:r>
            <w:r>
              <w:rPr>
                <w:rFonts w:ascii="宋体" w:hAnsi="宋体"/>
                <w:color w:val="auto"/>
                <w:kern w:val="0"/>
                <w:szCs w:val="21"/>
                <w:highlight w:val="none"/>
              </w:rPr>
              <w:t>政府采购网公布的</w:t>
            </w:r>
            <w:r>
              <w:rPr>
                <w:rFonts w:hint="eastAsia" w:ascii="宋体" w:hAnsi="宋体"/>
                <w:color w:val="auto"/>
                <w:kern w:val="0"/>
                <w:szCs w:val="21"/>
                <w:highlight w:val="none"/>
              </w:rPr>
              <w:t>《无线局域网认证产品政府采购清单》为准</w:t>
            </w:r>
            <w:r>
              <w:rPr>
                <w:rFonts w:ascii="宋体" w:hAnsi="宋体"/>
                <w:color w:val="auto"/>
                <w:kern w:val="0"/>
                <w:szCs w:val="21"/>
                <w:highlight w:val="none"/>
              </w:rPr>
              <w:t>。</w:t>
            </w:r>
          </w:p>
          <w:p>
            <w:pPr>
              <w:rPr>
                <w:rFonts w:ascii="宋体" w:hAnsi="宋体"/>
                <w:color w:val="auto"/>
                <w:kern w:val="0"/>
                <w:szCs w:val="21"/>
                <w:highlight w:val="none"/>
              </w:rPr>
            </w:pPr>
            <w:r>
              <w:rPr>
                <w:rFonts w:hint="eastAsia" w:ascii="宋体" w:hAnsi="宋体"/>
                <w:color w:val="auto"/>
                <w:kern w:val="0"/>
                <w:szCs w:val="21"/>
                <w:highlight w:val="none"/>
              </w:rPr>
              <w:t>2.</w:t>
            </w:r>
            <w:r>
              <w:rPr>
                <w:rFonts w:hint="eastAsia" w:ascii="宋体" w:hAnsi="宋体"/>
                <w:color w:val="auto"/>
                <w:szCs w:val="21"/>
                <w:highlight w:val="none"/>
              </w:rPr>
              <w:t xml:space="preserve"> 投标产品属于</w:t>
            </w:r>
            <w:r>
              <w:rPr>
                <w:rFonts w:hint="eastAsia" w:ascii="宋体" w:hAnsi="宋体"/>
                <w:color w:val="auto"/>
                <w:kern w:val="0"/>
                <w:szCs w:val="21"/>
                <w:highlight w:val="none"/>
              </w:rPr>
              <w:t>优先</w:t>
            </w:r>
            <w:r>
              <w:rPr>
                <w:rFonts w:ascii="宋体" w:hAnsi="宋体"/>
                <w:color w:val="auto"/>
                <w:kern w:val="0"/>
                <w:szCs w:val="21"/>
                <w:highlight w:val="none"/>
              </w:rPr>
              <w:t>采购范围内的</w:t>
            </w:r>
            <w:r>
              <w:rPr>
                <w:rFonts w:hint="eastAsia" w:ascii="宋体" w:hAnsi="宋体"/>
                <w:color w:val="auto"/>
                <w:szCs w:val="21"/>
                <w:highlight w:val="none"/>
              </w:rPr>
              <w:t>节能产品或者环境标志产品的</w:t>
            </w:r>
            <w:r>
              <w:rPr>
                <w:rFonts w:ascii="宋体" w:hAnsi="宋体"/>
                <w:color w:val="auto"/>
                <w:szCs w:val="21"/>
                <w:highlight w:val="none"/>
              </w:rPr>
              <w:t>，</w:t>
            </w:r>
            <w:r>
              <w:rPr>
                <w:rFonts w:hint="eastAsia" w:ascii="宋体" w:hAnsi="宋体"/>
                <w:color w:val="auto"/>
                <w:kern w:val="0"/>
                <w:szCs w:val="21"/>
                <w:highlight w:val="none"/>
              </w:rPr>
              <w:t>提供国家确定的认证机构出具的、处于有效期之内的节能产品、环境标志产品认证证书原件原色电子件。</w:t>
            </w:r>
          </w:p>
          <w:p>
            <w:pPr>
              <w:rPr>
                <w:rFonts w:asciiTheme="minorEastAsia" w:hAnsiTheme="minorEastAsia" w:eastAsiaTheme="minorEastAsia"/>
                <w:color w:val="auto"/>
                <w:szCs w:val="21"/>
                <w:highlight w:val="none"/>
              </w:rPr>
            </w:pPr>
            <w:r>
              <w:rPr>
                <w:rFonts w:ascii="宋体" w:hAnsi="宋体"/>
                <w:color w:val="auto"/>
                <w:kern w:val="0"/>
                <w:szCs w:val="21"/>
                <w:highlight w:val="none"/>
              </w:rPr>
              <w:t>3.</w:t>
            </w:r>
            <w:r>
              <w:rPr>
                <w:rFonts w:hint="eastAsia" w:ascii="宋体" w:hAnsi="宋体"/>
                <w:color w:val="auto"/>
                <w:kern w:val="0"/>
                <w:szCs w:val="21"/>
                <w:highlight w:val="none"/>
              </w:rPr>
              <w:t xml:space="preserve"> 投标产品属于优先</w:t>
            </w:r>
            <w:r>
              <w:rPr>
                <w:rFonts w:ascii="宋体" w:hAnsi="宋体"/>
                <w:color w:val="auto"/>
                <w:kern w:val="0"/>
                <w:szCs w:val="21"/>
                <w:highlight w:val="none"/>
              </w:rPr>
              <w:t>采购范围内的</w:t>
            </w:r>
            <w:r>
              <w:rPr>
                <w:rFonts w:hint="eastAsia" w:ascii="宋体" w:hAnsi="宋体"/>
                <w:color w:val="auto"/>
                <w:szCs w:val="21"/>
                <w:highlight w:val="none"/>
              </w:rPr>
              <w:t>无线局域网产品的，</w:t>
            </w:r>
            <w:r>
              <w:rPr>
                <w:rFonts w:hint="eastAsia" w:ascii="宋体" w:hAnsi="宋体"/>
                <w:color w:val="auto"/>
                <w:kern w:val="0"/>
                <w:szCs w:val="21"/>
                <w:highlight w:val="none"/>
              </w:rPr>
              <w:t>提供政府采购清单对应页原件原色电子件。</w:t>
            </w:r>
          </w:p>
        </w:tc>
        <w:tc>
          <w:tcPr>
            <w:tcW w:w="1276"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1173"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政策类评分因素</w:t>
            </w:r>
          </w:p>
        </w:tc>
      </w:tr>
    </w:tbl>
    <w:p>
      <w:pPr>
        <w:rPr>
          <w:rFonts w:ascii="宋体" w:hAnsi="宋体" w:cs="宋体"/>
          <w:color w:val="auto"/>
          <w:sz w:val="24"/>
          <w:highlight w:val="none"/>
        </w:rPr>
      </w:pPr>
    </w:p>
    <w:p>
      <w:pPr>
        <w:pStyle w:val="14"/>
        <w:tabs>
          <w:tab w:val="left" w:pos="600"/>
        </w:tabs>
        <w:spacing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第十包：</w:t>
      </w:r>
    </w:p>
    <w:tbl>
      <w:tblPr>
        <w:tblStyle w:val="35"/>
        <w:tblW w:w="9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289"/>
        <w:gridCol w:w="646"/>
        <w:gridCol w:w="4767"/>
        <w:gridCol w:w="1276"/>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64" w:type="dxa"/>
            <w:vAlign w:val="center"/>
          </w:tcPr>
          <w:p>
            <w:pPr>
              <w:spacing w:line="400" w:lineRule="exact"/>
              <w:ind w:firstLine="28"/>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序号</w:t>
            </w:r>
          </w:p>
        </w:tc>
        <w:tc>
          <w:tcPr>
            <w:tcW w:w="1289" w:type="dxa"/>
            <w:vAlign w:val="center"/>
          </w:tcPr>
          <w:p>
            <w:pPr>
              <w:spacing w:line="400" w:lineRule="exact"/>
              <w:ind w:firstLine="28"/>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评分因素</w:t>
            </w:r>
          </w:p>
          <w:p>
            <w:pPr>
              <w:spacing w:line="400" w:lineRule="exact"/>
              <w:ind w:firstLine="28"/>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及权重</w:t>
            </w:r>
          </w:p>
        </w:tc>
        <w:tc>
          <w:tcPr>
            <w:tcW w:w="646" w:type="dxa"/>
            <w:vAlign w:val="center"/>
          </w:tcPr>
          <w:p>
            <w:pPr>
              <w:spacing w:line="400" w:lineRule="exact"/>
              <w:ind w:firstLine="28"/>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分值</w:t>
            </w:r>
          </w:p>
        </w:tc>
        <w:tc>
          <w:tcPr>
            <w:tcW w:w="4767" w:type="dxa"/>
            <w:vAlign w:val="center"/>
          </w:tcPr>
          <w:p>
            <w:pPr>
              <w:spacing w:line="400" w:lineRule="exact"/>
              <w:ind w:firstLine="28"/>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评分标准</w:t>
            </w:r>
          </w:p>
        </w:tc>
        <w:tc>
          <w:tcPr>
            <w:tcW w:w="1276" w:type="dxa"/>
            <w:vAlign w:val="center"/>
          </w:tcPr>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备注</w:t>
            </w:r>
          </w:p>
        </w:tc>
        <w:tc>
          <w:tcPr>
            <w:tcW w:w="1173" w:type="dxa"/>
            <w:vAlign w:val="center"/>
          </w:tcPr>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64" w:type="dxa"/>
            <w:vAlign w:val="center"/>
          </w:tcPr>
          <w:p>
            <w:pPr>
              <w:spacing w:line="400" w:lineRule="exact"/>
              <w:ind w:firstLine="28"/>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128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报价</w:t>
            </w:r>
            <w:r>
              <w:rPr>
                <w:rFonts w:asciiTheme="minorEastAsia" w:hAnsiTheme="minorEastAsia" w:eastAsiaTheme="minorEastAsia"/>
                <w:color w:val="auto"/>
                <w:szCs w:val="21"/>
                <w:highlight w:val="none"/>
              </w:rPr>
              <w:t>30</w:t>
            </w:r>
            <w:r>
              <w:rPr>
                <w:rFonts w:hint="eastAsia" w:asciiTheme="minorEastAsia" w:hAnsiTheme="minorEastAsia" w:eastAsiaTheme="minorEastAsia"/>
                <w:color w:val="auto"/>
                <w:szCs w:val="21"/>
                <w:highlight w:val="none"/>
              </w:rPr>
              <w:t>%</w:t>
            </w:r>
          </w:p>
        </w:tc>
        <w:tc>
          <w:tcPr>
            <w:tcW w:w="646" w:type="dxa"/>
            <w:vAlign w:val="center"/>
          </w:tcPr>
          <w:p>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30</w:t>
            </w:r>
          </w:p>
        </w:tc>
        <w:tc>
          <w:tcPr>
            <w:tcW w:w="4767"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满足招标文件要求且投标价格最低的报价为基准价，其价格分为满分。其他供应商的价格分统一按照下列公式计算：报价得分=(基准价／报价)*30。</w:t>
            </w:r>
          </w:p>
          <w:p>
            <w:pPr>
              <w:rPr>
                <w:rFonts w:asciiTheme="minorEastAsia" w:hAnsiTheme="minorEastAsia" w:eastAsiaTheme="minorEastAsia"/>
                <w:color w:val="auto"/>
                <w:szCs w:val="21"/>
                <w:highlight w:val="none"/>
              </w:rPr>
            </w:pPr>
            <w:r>
              <w:rPr>
                <w:rFonts w:hint="eastAsia" w:ascii="宋体" w:hAnsi="宋体"/>
                <w:color w:val="auto"/>
                <w:szCs w:val="21"/>
                <w:highlight w:val="none"/>
                <w:lang w:val="zh-CN"/>
              </w:rPr>
              <w:t>注：小微企业（监狱企业、残疾人福利性单位视同小微企业）价格扣除</w:t>
            </w:r>
            <w:r>
              <w:rPr>
                <w:rFonts w:hint="eastAsia" w:ascii="宋体" w:hAnsi="宋体" w:cs="宋体"/>
                <w:color w:val="auto"/>
                <w:szCs w:val="21"/>
                <w:highlight w:val="none"/>
              </w:rPr>
              <w:t>按投标人须知附表执行</w:t>
            </w:r>
            <w:r>
              <w:rPr>
                <w:rFonts w:hint="eastAsia" w:ascii="宋体" w:hAnsi="宋体"/>
                <w:color w:val="auto"/>
                <w:szCs w:val="21"/>
                <w:highlight w:val="none"/>
              </w:rPr>
              <w:t>。</w:t>
            </w:r>
          </w:p>
        </w:tc>
        <w:tc>
          <w:tcPr>
            <w:tcW w:w="1276"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1173"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64" w:type="dxa"/>
            <w:vAlign w:val="center"/>
          </w:tcPr>
          <w:p>
            <w:pPr>
              <w:spacing w:line="400" w:lineRule="exact"/>
              <w:ind w:firstLine="28"/>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128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技术参数要求56%</w:t>
            </w:r>
          </w:p>
        </w:tc>
        <w:tc>
          <w:tcPr>
            <w:tcW w:w="646"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56</w:t>
            </w:r>
          </w:p>
        </w:tc>
        <w:tc>
          <w:tcPr>
            <w:tcW w:w="4767"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完全符合招标文件技术参数及配置要求的得56 分，不满足招标文件技术参数及配置要求的，按如下规则进行处理：每有一项不满足招标文件中标注“</w:t>
            </w:r>
            <w:r>
              <w:rPr>
                <w:rFonts w:hint="eastAsia" w:ascii="宋体" w:hAnsi="宋体" w:cs="宋体"/>
                <w:color w:val="auto"/>
                <w:highlight w:val="none"/>
              </w:rPr>
              <w:t>★</w:t>
            </w:r>
            <w:r>
              <w:rPr>
                <w:rFonts w:hint="eastAsia" w:asciiTheme="minorEastAsia" w:hAnsiTheme="minorEastAsia" w:eastAsiaTheme="minorEastAsia"/>
                <w:color w:val="auto"/>
                <w:szCs w:val="21"/>
                <w:highlight w:val="none"/>
              </w:rPr>
              <w:t>”条款（共24项）要求的扣1.3分，每有一项不满足招标文件中未标注符号条款（共155项）要求的扣0.16分，扣完为止。</w:t>
            </w:r>
          </w:p>
          <w:p>
            <w:pPr>
              <w:rPr>
                <w:rFonts w:asciiTheme="minorEastAsia" w:hAnsiTheme="minorEastAsia" w:eastAsiaTheme="minorEastAsia"/>
                <w:color w:val="auto"/>
                <w:szCs w:val="21"/>
                <w:highlight w:val="none"/>
              </w:rPr>
            </w:pPr>
            <w:r>
              <w:rPr>
                <w:rFonts w:hint="eastAsia" w:ascii="宋体" w:hAnsi="宋体"/>
                <w:color w:val="auto"/>
                <w:szCs w:val="21"/>
                <w:highlight w:val="none"/>
              </w:rPr>
              <w:t>注：技术参数中要求提供证明材料的，须按要求提供相关证明材料并加盖供应商电子签章，未提供证明材料该项不得分。</w:t>
            </w:r>
          </w:p>
        </w:tc>
        <w:tc>
          <w:tcPr>
            <w:tcW w:w="1276"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1173"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64" w:type="dxa"/>
            <w:vAlign w:val="center"/>
          </w:tcPr>
          <w:p>
            <w:pPr>
              <w:spacing w:line="400" w:lineRule="exact"/>
              <w:ind w:firstLine="28"/>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p>
        </w:tc>
        <w:tc>
          <w:tcPr>
            <w:tcW w:w="128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售后服务方案10%</w:t>
            </w:r>
          </w:p>
        </w:tc>
        <w:tc>
          <w:tcPr>
            <w:tcW w:w="646"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10</w:t>
            </w:r>
          </w:p>
        </w:tc>
        <w:tc>
          <w:tcPr>
            <w:tcW w:w="4767"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根据投标人提供的售后服务方案【①完整的配送方案（完善的出入库管理制度、完整的配送流程（配送人员和车辆的配置））②有效的质量保障方案（包含质量管理体系建设、质量控制技术方法等）③应急保障方案（配送过程中的突发应急措施、因问题产品引发的医疗安全事故应急措施、临时配送的应急措施）④具有完善的售后保障体系（有效的退换货流程制度、本地化服务能力等）】进行评审，方案完全满足项目实际要求且无缺陷的得10分；每缺少一项内容扣2.5分，每有一处存在缺陷或不合理的，扣1</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rPr>
              <w:t>分，扣完为止。</w:t>
            </w:r>
          </w:p>
        </w:tc>
        <w:tc>
          <w:tcPr>
            <w:tcW w:w="1276"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1173"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64" w:type="dxa"/>
            <w:vAlign w:val="center"/>
          </w:tcPr>
          <w:p>
            <w:pPr>
              <w:spacing w:line="400" w:lineRule="exact"/>
              <w:ind w:firstLine="28"/>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p>
        </w:tc>
        <w:tc>
          <w:tcPr>
            <w:tcW w:w="128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业绩3%</w:t>
            </w:r>
          </w:p>
        </w:tc>
        <w:tc>
          <w:tcPr>
            <w:tcW w:w="646"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p>
        </w:tc>
        <w:tc>
          <w:tcPr>
            <w:tcW w:w="4767"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评标委员会根据供应商同类产品销售业绩（</w:t>
            </w:r>
            <w:r>
              <w:rPr>
                <w:rFonts w:asciiTheme="minorEastAsia" w:hAnsiTheme="minorEastAsia" w:eastAsiaTheme="minorEastAsia"/>
                <w:color w:val="auto"/>
                <w:szCs w:val="21"/>
                <w:highlight w:val="none"/>
              </w:rPr>
              <w:t>2018</w:t>
            </w:r>
            <w:r>
              <w:rPr>
                <w:rFonts w:hint="eastAsia" w:asciiTheme="minorEastAsia" w:hAnsiTheme="minorEastAsia" w:eastAsiaTheme="minorEastAsia"/>
                <w:color w:val="auto"/>
                <w:szCs w:val="21"/>
                <w:highlight w:val="none"/>
              </w:rPr>
              <w:t>年-投标截止日）进行评定，每提供</w:t>
            </w:r>
            <w:r>
              <w:rPr>
                <w:rFonts w:asciiTheme="minorEastAsia" w:hAnsiTheme="minorEastAsia" w:eastAsiaTheme="minorEastAsia"/>
                <w:color w:val="auto"/>
                <w:szCs w:val="21"/>
                <w:highlight w:val="none"/>
              </w:rPr>
              <w:t>一个业绩得</w:t>
            </w:r>
            <w:r>
              <w:rPr>
                <w:rFonts w:hint="eastAsia" w:asciiTheme="minorEastAsia" w:hAnsiTheme="minorEastAsia" w:eastAsiaTheme="minorEastAsia"/>
                <w:color w:val="auto"/>
                <w:szCs w:val="21"/>
                <w:highlight w:val="none"/>
              </w:rPr>
              <w:t>1.5分</w:t>
            </w:r>
            <w:r>
              <w:rPr>
                <w:rFonts w:asciiTheme="minorEastAsia" w:hAnsiTheme="minorEastAsia" w:eastAsiaTheme="minorEastAsia"/>
                <w:color w:val="auto"/>
                <w:szCs w:val="21"/>
                <w:highlight w:val="none"/>
              </w:rPr>
              <w:t>，最多得</w:t>
            </w:r>
            <w:r>
              <w:rPr>
                <w:rFonts w:hint="eastAsia" w:asciiTheme="minorEastAsia" w:hAnsiTheme="minorEastAsia" w:eastAsiaTheme="minorEastAsia"/>
                <w:color w:val="auto"/>
                <w:szCs w:val="21"/>
                <w:highlight w:val="none"/>
              </w:rPr>
              <w:t>3分。</w:t>
            </w:r>
          </w:p>
        </w:tc>
        <w:tc>
          <w:tcPr>
            <w:tcW w:w="1276"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提供销售合同原件原色电子件加盖投标人电子签章。</w:t>
            </w:r>
          </w:p>
        </w:tc>
        <w:tc>
          <w:tcPr>
            <w:tcW w:w="1173"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64" w:type="dxa"/>
            <w:vAlign w:val="center"/>
          </w:tcPr>
          <w:p>
            <w:pPr>
              <w:spacing w:line="400" w:lineRule="exact"/>
              <w:ind w:firstLine="28"/>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p>
        </w:tc>
        <w:tc>
          <w:tcPr>
            <w:tcW w:w="128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节能、环境标志、无线局域网产品1%</w:t>
            </w:r>
          </w:p>
        </w:tc>
        <w:tc>
          <w:tcPr>
            <w:tcW w:w="646"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4767"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投标产品中属于政府采购优先采购范围的，则每有一项为节能产品或者环境标志产品或者无线局域网产品的得0.25分，非节能、环境标志产品的、无线局域网产品的不得分。本项最多得1分。</w:t>
            </w:r>
          </w:p>
          <w:p>
            <w:pPr>
              <w:rPr>
                <w:rFonts w:ascii="宋体" w:hAnsi="宋体"/>
                <w:color w:val="auto"/>
                <w:kern w:val="0"/>
                <w:szCs w:val="21"/>
                <w:highlight w:val="none"/>
              </w:rPr>
            </w:pPr>
            <w:r>
              <w:rPr>
                <w:rFonts w:hint="eastAsia" w:ascii="宋体" w:hAnsi="宋体"/>
                <w:color w:val="auto"/>
                <w:szCs w:val="21"/>
                <w:highlight w:val="none"/>
              </w:rPr>
              <w:t>注：1. 节能产品、环境标志产品优先采购范围</w:t>
            </w:r>
            <w:r>
              <w:rPr>
                <w:rFonts w:hint="eastAsia" w:ascii="宋体" w:hAnsi="宋体"/>
                <w:color w:val="auto"/>
                <w:kern w:val="0"/>
                <w:szCs w:val="21"/>
                <w:highlight w:val="none"/>
              </w:rPr>
              <w:t>以品目清单为准</w:t>
            </w:r>
            <w:r>
              <w:rPr>
                <w:rFonts w:ascii="宋体" w:hAnsi="宋体"/>
                <w:color w:val="auto"/>
                <w:kern w:val="0"/>
                <w:szCs w:val="21"/>
                <w:highlight w:val="none"/>
              </w:rPr>
              <w:t>。</w:t>
            </w:r>
            <w:r>
              <w:rPr>
                <w:rFonts w:hint="eastAsia" w:ascii="宋体" w:hAnsi="宋体"/>
                <w:color w:val="auto"/>
                <w:kern w:val="0"/>
                <w:szCs w:val="21"/>
                <w:highlight w:val="none"/>
              </w:rPr>
              <w:t>财政部、发展改革委、生态环境部等部门根据产品节能环保性能、技术水平和市场成熟程度等因素，确定实施政府优先采购和强制采购的产品类别及所依据的相关标准规范，以品目清单的形式发布并适时调整。</w:t>
            </w:r>
            <w:r>
              <w:rPr>
                <w:rFonts w:hint="eastAsia" w:ascii="宋体" w:hAnsi="宋体"/>
                <w:color w:val="auto"/>
                <w:szCs w:val="21"/>
                <w:highlight w:val="none"/>
              </w:rPr>
              <w:t>无线局域网产品优先采购范围</w:t>
            </w:r>
            <w:r>
              <w:rPr>
                <w:rFonts w:hint="eastAsia" w:ascii="宋体" w:hAnsi="宋体"/>
                <w:color w:val="auto"/>
                <w:kern w:val="0"/>
                <w:szCs w:val="21"/>
                <w:highlight w:val="none"/>
              </w:rPr>
              <w:t>以中国</w:t>
            </w:r>
            <w:r>
              <w:rPr>
                <w:rFonts w:ascii="宋体" w:hAnsi="宋体"/>
                <w:color w:val="auto"/>
                <w:kern w:val="0"/>
                <w:szCs w:val="21"/>
                <w:highlight w:val="none"/>
              </w:rPr>
              <w:t>政府采购网公布的</w:t>
            </w:r>
            <w:r>
              <w:rPr>
                <w:rFonts w:hint="eastAsia" w:ascii="宋体" w:hAnsi="宋体"/>
                <w:color w:val="auto"/>
                <w:kern w:val="0"/>
                <w:szCs w:val="21"/>
                <w:highlight w:val="none"/>
              </w:rPr>
              <w:t>《无线局域网认证产品政府采购清单》为准</w:t>
            </w:r>
            <w:r>
              <w:rPr>
                <w:rFonts w:ascii="宋体" w:hAnsi="宋体"/>
                <w:color w:val="auto"/>
                <w:kern w:val="0"/>
                <w:szCs w:val="21"/>
                <w:highlight w:val="none"/>
              </w:rPr>
              <w:t>。</w:t>
            </w:r>
          </w:p>
          <w:p>
            <w:pPr>
              <w:rPr>
                <w:rFonts w:ascii="宋体" w:hAnsi="宋体"/>
                <w:color w:val="auto"/>
                <w:kern w:val="0"/>
                <w:szCs w:val="21"/>
                <w:highlight w:val="none"/>
              </w:rPr>
            </w:pPr>
            <w:r>
              <w:rPr>
                <w:rFonts w:hint="eastAsia" w:ascii="宋体" w:hAnsi="宋体"/>
                <w:color w:val="auto"/>
                <w:kern w:val="0"/>
                <w:szCs w:val="21"/>
                <w:highlight w:val="none"/>
              </w:rPr>
              <w:t>2.</w:t>
            </w:r>
            <w:r>
              <w:rPr>
                <w:rFonts w:hint="eastAsia" w:ascii="宋体" w:hAnsi="宋体"/>
                <w:color w:val="auto"/>
                <w:szCs w:val="21"/>
                <w:highlight w:val="none"/>
              </w:rPr>
              <w:t xml:space="preserve"> 投标产品属于</w:t>
            </w:r>
            <w:r>
              <w:rPr>
                <w:rFonts w:hint="eastAsia" w:ascii="宋体" w:hAnsi="宋体"/>
                <w:color w:val="auto"/>
                <w:kern w:val="0"/>
                <w:szCs w:val="21"/>
                <w:highlight w:val="none"/>
              </w:rPr>
              <w:t>优先</w:t>
            </w:r>
            <w:r>
              <w:rPr>
                <w:rFonts w:ascii="宋体" w:hAnsi="宋体"/>
                <w:color w:val="auto"/>
                <w:kern w:val="0"/>
                <w:szCs w:val="21"/>
                <w:highlight w:val="none"/>
              </w:rPr>
              <w:t>采购范围内的</w:t>
            </w:r>
            <w:r>
              <w:rPr>
                <w:rFonts w:hint="eastAsia" w:ascii="宋体" w:hAnsi="宋体"/>
                <w:color w:val="auto"/>
                <w:szCs w:val="21"/>
                <w:highlight w:val="none"/>
              </w:rPr>
              <w:t>节能产品或者环境标志产品的</w:t>
            </w:r>
            <w:r>
              <w:rPr>
                <w:rFonts w:ascii="宋体" w:hAnsi="宋体"/>
                <w:color w:val="auto"/>
                <w:szCs w:val="21"/>
                <w:highlight w:val="none"/>
              </w:rPr>
              <w:t>，</w:t>
            </w:r>
            <w:r>
              <w:rPr>
                <w:rFonts w:hint="eastAsia" w:ascii="宋体" w:hAnsi="宋体"/>
                <w:color w:val="auto"/>
                <w:kern w:val="0"/>
                <w:szCs w:val="21"/>
                <w:highlight w:val="none"/>
              </w:rPr>
              <w:t>提供国家确定的认证机构出具的、处于有效期之内的节能产品、环境标志产品认证证书原件原色电子件。</w:t>
            </w:r>
          </w:p>
          <w:p>
            <w:pPr>
              <w:rPr>
                <w:rFonts w:asciiTheme="minorEastAsia" w:hAnsiTheme="minorEastAsia" w:eastAsiaTheme="minorEastAsia"/>
                <w:color w:val="auto"/>
                <w:szCs w:val="21"/>
                <w:highlight w:val="none"/>
              </w:rPr>
            </w:pPr>
            <w:r>
              <w:rPr>
                <w:rFonts w:ascii="宋体" w:hAnsi="宋体"/>
                <w:color w:val="auto"/>
                <w:kern w:val="0"/>
                <w:szCs w:val="21"/>
                <w:highlight w:val="none"/>
              </w:rPr>
              <w:t>3.</w:t>
            </w:r>
            <w:r>
              <w:rPr>
                <w:rFonts w:hint="eastAsia" w:ascii="宋体" w:hAnsi="宋体"/>
                <w:color w:val="auto"/>
                <w:kern w:val="0"/>
                <w:szCs w:val="21"/>
                <w:highlight w:val="none"/>
              </w:rPr>
              <w:t xml:space="preserve"> 投标产品属于优先</w:t>
            </w:r>
            <w:r>
              <w:rPr>
                <w:rFonts w:ascii="宋体" w:hAnsi="宋体"/>
                <w:color w:val="auto"/>
                <w:kern w:val="0"/>
                <w:szCs w:val="21"/>
                <w:highlight w:val="none"/>
              </w:rPr>
              <w:t>采购范围内的</w:t>
            </w:r>
            <w:r>
              <w:rPr>
                <w:rFonts w:hint="eastAsia" w:ascii="宋体" w:hAnsi="宋体"/>
                <w:color w:val="auto"/>
                <w:szCs w:val="21"/>
                <w:highlight w:val="none"/>
              </w:rPr>
              <w:t>无线局域网产品的，</w:t>
            </w:r>
            <w:r>
              <w:rPr>
                <w:rFonts w:hint="eastAsia" w:ascii="宋体" w:hAnsi="宋体"/>
                <w:color w:val="auto"/>
                <w:kern w:val="0"/>
                <w:szCs w:val="21"/>
                <w:highlight w:val="none"/>
              </w:rPr>
              <w:t>提供政府采购清单对应页原件原色电子件。</w:t>
            </w:r>
          </w:p>
        </w:tc>
        <w:tc>
          <w:tcPr>
            <w:tcW w:w="1276"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1173"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政策类评分因素</w:t>
            </w:r>
          </w:p>
        </w:tc>
      </w:tr>
    </w:tbl>
    <w:p>
      <w:pPr>
        <w:rPr>
          <w:rFonts w:ascii="宋体" w:hAnsi="宋体" w:cs="宋体"/>
          <w:color w:val="auto"/>
          <w:sz w:val="24"/>
          <w:highlight w:val="none"/>
        </w:rPr>
      </w:pPr>
    </w:p>
    <w:p>
      <w:pPr>
        <w:pStyle w:val="14"/>
        <w:tabs>
          <w:tab w:val="left" w:pos="600"/>
        </w:tabs>
        <w:spacing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第十一包：</w:t>
      </w:r>
    </w:p>
    <w:tbl>
      <w:tblPr>
        <w:tblStyle w:val="35"/>
        <w:tblW w:w="9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289"/>
        <w:gridCol w:w="646"/>
        <w:gridCol w:w="4767"/>
        <w:gridCol w:w="1276"/>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64" w:type="dxa"/>
            <w:vAlign w:val="center"/>
          </w:tcPr>
          <w:p>
            <w:pPr>
              <w:spacing w:line="400" w:lineRule="exact"/>
              <w:ind w:firstLine="28"/>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序号</w:t>
            </w:r>
          </w:p>
        </w:tc>
        <w:tc>
          <w:tcPr>
            <w:tcW w:w="1289" w:type="dxa"/>
            <w:vAlign w:val="center"/>
          </w:tcPr>
          <w:p>
            <w:pPr>
              <w:spacing w:line="400" w:lineRule="exact"/>
              <w:ind w:firstLine="28"/>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评分因素</w:t>
            </w:r>
          </w:p>
          <w:p>
            <w:pPr>
              <w:spacing w:line="400" w:lineRule="exact"/>
              <w:ind w:firstLine="28"/>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及权重</w:t>
            </w:r>
          </w:p>
        </w:tc>
        <w:tc>
          <w:tcPr>
            <w:tcW w:w="646" w:type="dxa"/>
            <w:vAlign w:val="center"/>
          </w:tcPr>
          <w:p>
            <w:pPr>
              <w:spacing w:line="400" w:lineRule="exact"/>
              <w:ind w:firstLine="28"/>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分值</w:t>
            </w:r>
          </w:p>
        </w:tc>
        <w:tc>
          <w:tcPr>
            <w:tcW w:w="4767" w:type="dxa"/>
            <w:vAlign w:val="center"/>
          </w:tcPr>
          <w:p>
            <w:pPr>
              <w:spacing w:line="400" w:lineRule="exact"/>
              <w:ind w:firstLine="28"/>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评分标准</w:t>
            </w:r>
          </w:p>
        </w:tc>
        <w:tc>
          <w:tcPr>
            <w:tcW w:w="1276" w:type="dxa"/>
            <w:vAlign w:val="center"/>
          </w:tcPr>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备注</w:t>
            </w:r>
          </w:p>
        </w:tc>
        <w:tc>
          <w:tcPr>
            <w:tcW w:w="1173" w:type="dxa"/>
            <w:vAlign w:val="center"/>
          </w:tcPr>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64" w:type="dxa"/>
            <w:vAlign w:val="center"/>
          </w:tcPr>
          <w:p>
            <w:pPr>
              <w:spacing w:line="400" w:lineRule="exact"/>
              <w:ind w:firstLine="28"/>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128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报价</w:t>
            </w:r>
            <w:r>
              <w:rPr>
                <w:rFonts w:asciiTheme="minorEastAsia" w:hAnsiTheme="minorEastAsia" w:eastAsiaTheme="minorEastAsia"/>
                <w:color w:val="auto"/>
                <w:szCs w:val="21"/>
                <w:highlight w:val="none"/>
              </w:rPr>
              <w:t>30</w:t>
            </w:r>
            <w:r>
              <w:rPr>
                <w:rFonts w:hint="eastAsia" w:asciiTheme="minorEastAsia" w:hAnsiTheme="minorEastAsia" w:eastAsiaTheme="minorEastAsia"/>
                <w:color w:val="auto"/>
                <w:szCs w:val="21"/>
                <w:highlight w:val="none"/>
              </w:rPr>
              <w:t>%</w:t>
            </w:r>
          </w:p>
        </w:tc>
        <w:tc>
          <w:tcPr>
            <w:tcW w:w="646" w:type="dxa"/>
            <w:vAlign w:val="center"/>
          </w:tcPr>
          <w:p>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30</w:t>
            </w:r>
          </w:p>
        </w:tc>
        <w:tc>
          <w:tcPr>
            <w:tcW w:w="4767"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满足招标文件要求且投标价格最低的报价为基准价，其价格分为满分。其他供应商的价格分统一按照下列公式计算：报价得分=(基准价／报价)*30。</w:t>
            </w:r>
          </w:p>
          <w:p>
            <w:pPr>
              <w:rPr>
                <w:rFonts w:asciiTheme="minorEastAsia" w:hAnsiTheme="minorEastAsia" w:eastAsiaTheme="minorEastAsia"/>
                <w:color w:val="auto"/>
                <w:szCs w:val="21"/>
                <w:highlight w:val="none"/>
              </w:rPr>
            </w:pPr>
            <w:r>
              <w:rPr>
                <w:rFonts w:hint="eastAsia" w:ascii="宋体" w:hAnsi="宋体"/>
                <w:color w:val="auto"/>
                <w:szCs w:val="21"/>
                <w:highlight w:val="none"/>
                <w:lang w:val="zh-CN"/>
              </w:rPr>
              <w:t>注：小微企业（监狱企业、残疾人福利性单位视同小微企业）价格扣除</w:t>
            </w:r>
            <w:r>
              <w:rPr>
                <w:rFonts w:hint="eastAsia" w:ascii="宋体" w:hAnsi="宋体" w:cs="宋体"/>
                <w:color w:val="auto"/>
                <w:szCs w:val="21"/>
                <w:highlight w:val="none"/>
              </w:rPr>
              <w:t>按投标人须知附表执行</w:t>
            </w:r>
            <w:r>
              <w:rPr>
                <w:rFonts w:hint="eastAsia" w:ascii="宋体" w:hAnsi="宋体"/>
                <w:color w:val="auto"/>
                <w:szCs w:val="21"/>
                <w:highlight w:val="none"/>
              </w:rPr>
              <w:t>。</w:t>
            </w:r>
          </w:p>
        </w:tc>
        <w:tc>
          <w:tcPr>
            <w:tcW w:w="1276"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1173"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64" w:type="dxa"/>
            <w:vAlign w:val="center"/>
          </w:tcPr>
          <w:p>
            <w:pPr>
              <w:spacing w:line="400" w:lineRule="exact"/>
              <w:ind w:firstLine="28"/>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128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技术参数要求54%</w:t>
            </w:r>
          </w:p>
        </w:tc>
        <w:tc>
          <w:tcPr>
            <w:tcW w:w="646"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54</w:t>
            </w:r>
          </w:p>
        </w:tc>
        <w:tc>
          <w:tcPr>
            <w:tcW w:w="4767"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完全符合招标文件技术参数及配置要求的得54分，不满足招标文件技术参数及配置要求的，按如下规则进行处理：每有一项不满足招标文件中标注“</w:t>
            </w:r>
            <w:r>
              <w:rPr>
                <w:rFonts w:hint="eastAsia" w:ascii="宋体" w:hAnsi="宋体" w:cs="宋体"/>
                <w:color w:val="auto"/>
                <w:highlight w:val="none"/>
              </w:rPr>
              <w:t>★</w:t>
            </w:r>
            <w:r>
              <w:rPr>
                <w:rFonts w:hint="eastAsia" w:asciiTheme="minorEastAsia" w:hAnsiTheme="minorEastAsia" w:eastAsiaTheme="minorEastAsia"/>
                <w:color w:val="auto"/>
                <w:szCs w:val="21"/>
                <w:highlight w:val="none"/>
              </w:rPr>
              <w:t>”条款（共12项）要求的扣2.25分，每有一项不满足招标文件中未标注符号条款（共27项）要求的扣1分，扣完为止。</w:t>
            </w:r>
          </w:p>
          <w:p>
            <w:pPr>
              <w:rPr>
                <w:rFonts w:asciiTheme="minorEastAsia" w:hAnsiTheme="minorEastAsia" w:eastAsiaTheme="minorEastAsia"/>
                <w:color w:val="auto"/>
                <w:szCs w:val="21"/>
                <w:highlight w:val="none"/>
              </w:rPr>
            </w:pPr>
            <w:r>
              <w:rPr>
                <w:rFonts w:hint="eastAsia" w:ascii="宋体" w:hAnsi="宋体"/>
                <w:color w:val="auto"/>
                <w:szCs w:val="21"/>
                <w:highlight w:val="none"/>
              </w:rPr>
              <w:t>注：技术参数中要求提供证明材料的，须按要求提供相关证明材料并加盖供应商电子签章，未提供证明材料该项不得分。</w:t>
            </w:r>
          </w:p>
        </w:tc>
        <w:tc>
          <w:tcPr>
            <w:tcW w:w="1276"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1173"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64" w:type="dxa"/>
            <w:vAlign w:val="center"/>
          </w:tcPr>
          <w:p>
            <w:pPr>
              <w:spacing w:line="400" w:lineRule="exact"/>
              <w:ind w:firstLine="28"/>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p>
        </w:tc>
        <w:tc>
          <w:tcPr>
            <w:tcW w:w="128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售后服务方案</w:t>
            </w:r>
            <w:r>
              <w:rPr>
                <w:rFonts w:asciiTheme="minorEastAsia" w:hAnsiTheme="minorEastAsia" w:eastAsiaTheme="minorEastAsia"/>
                <w:color w:val="auto"/>
                <w:szCs w:val="21"/>
                <w:highlight w:val="none"/>
              </w:rPr>
              <w:t>12</w:t>
            </w:r>
            <w:r>
              <w:rPr>
                <w:rFonts w:hint="eastAsia" w:asciiTheme="minorEastAsia" w:hAnsiTheme="minorEastAsia" w:eastAsiaTheme="minorEastAsia"/>
                <w:color w:val="auto"/>
                <w:szCs w:val="21"/>
                <w:highlight w:val="none"/>
              </w:rPr>
              <w:t>%</w:t>
            </w:r>
          </w:p>
        </w:tc>
        <w:tc>
          <w:tcPr>
            <w:tcW w:w="646" w:type="dxa"/>
            <w:vAlign w:val="center"/>
          </w:tcPr>
          <w:p>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12</w:t>
            </w:r>
          </w:p>
        </w:tc>
        <w:tc>
          <w:tcPr>
            <w:tcW w:w="4767"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根据投标人提供的售后服务方案【①完整的配送方案（完善的出入库管理制度、完整的配送流程（配送人员和车辆的配置））②有效的质量保障方案（包含质量管理体系建设、质量控制技术方法等）③应急保障方案（配送过程中的突发应急措施、因问题产品引发的医疗安全事故应急措施、临时配送的应急措施）④具有完善的售后保障体系（有效的退换货流程制度、本地化服务能力等）】进行评审，方案完全满足项目实际要求且无缺陷的得</w:t>
            </w:r>
            <w:r>
              <w:rPr>
                <w:rFonts w:asciiTheme="minorEastAsia" w:hAnsiTheme="minorEastAsia" w:eastAsiaTheme="minorEastAsia"/>
                <w:color w:val="auto"/>
                <w:szCs w:val="21"/>
                <w:highlight w:val="none"/>
              </w:rPr>
              <w:t>12</w:t>
            </w:r>
            <w:r>
              <w:rPr>
                <w:rFonts w:hint="eastAsia" w:asciiTheme="minorEastAsia" w:hAnsiTheme="minorEastAsia" w:eastAsiaTheme="minorEastAsia"/>
                <w:color w:val="auto"/>
                <w:szCs w:val="21"/>
                <w:highlight w:val="none"/>
              </w:rPr>
              <w:t>分；每缺少一项内容扣</w:t>
            </w: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分，每有一处存在缺陷或不合理的，扣1</w:t>
            </w:r>
            <w:r>
              <w:rPr>
                <w:rFonts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rPr>
              <w:t>分，扣完为止。</w:t>
            </w:r>
          </w:p>
        </w:tc>
        <w:tc>
          <w:tcPr>
            <w:tcW w:w="1276"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1173"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64" w:type="dxa"/>
            <w:vAlign w:val="center"/>
          </w:tcPr>
          <w:p>
            <w:pPr>
              <w:spacing w:line="400" w:lineRule="exact"/>
              <w:ind w:firstLine="28"/>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p>
        </w:tc>
        <w:tc>
          <w:tcPr>
            <w:tcW w:w="128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业绩3%</w:t>
            </w:r>
          </w:p>
        </w:tc>
        <w:tc>
          <w:tcPr>
            <w:tcW w:w="646"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p>
        </w:tc>
        <w:tc>
          <w:tcPr>
            <w:tcW w:w="4767"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评标委员会根据供应商同类产品销售业绩（</w:t>
            </w:r>
            <w:r>
              <w:rPr>
                <w:rFonts w:asciiTheme="minorEastAsia" w:hAnsiTheme="minorEastAsia" w:eastAsiaTheme="minorEastAsia"/>
                <w:color w:val="auto"/>
                <w:szCs w:val="21"/>
                <w:highlight w:val="none"/>
              </w:rPr>
              <w:t>2018</w:t>
            </w:r>
            <w:r>
              <w:rPr>
                <w:rFonts w:hint="eastAsia" w:asciiTheme="minorEastAsia" w:hAnsiTheme="minorEastAsia" w:eastAsiaTheme="minorEastAsia"/>
                <w:color w:val="auto"/>
                <w:szCs w:val="21"/>
                <w:highlight w:val="none"/>
              </w:rPr>
              <w:t>年-投标截止日）进行评定，每提供</w:t>
            </w:r>
            <w:r>
              <w:rPr>
                <w:rFonts w:asciiTheme="minorEastAsia" w:hAnsiTheme="minorEastAsia" w:eastAsiaTheme="minorEastAsia"/>
                <w:color w:val="auto"/>
                <w:szCs w:val="21"/>
                <w:highlight w:val="none"/>
              </w:rPr>
              <w:t>一个业绩得</w:t>
            </w:r>
            <w:r>
              <w:rPr>
                <w:rFonts w:hint="eastAsia" w:asciiTheme="minorEastAsia" w:hAnsiTheme="minorEastAsia" w:eastAsiaTheme="minorEastAsia"/>
                <w:color w:val="auto"/>
                <w:szCs w:val="21"/>
                <w:highlight w:val="none"/>
              </w:rPr>
              <w:t>1.5分</w:t>
            </w:r>
            <w:r>
              <w:rPr>
                <w:rFonts w:asciiTheme="minorEastAsia" w:hAnsiTheme="minorEastAsia" w:eastAsiaTheme="minorEastAsia"/>
                <w:color w:val="auto"/>
                <w:szCs w:val="21"/>
                <w:highlight w:val="none"/>
              </w:rPr>
              <w:t>，最多得</w:t>
            </w:r>
            <w:r>
              <w:rPr>
                <w:rFonts w:hint="eastAsia" w:asciiTheme="minorEastAsia" w:hAnsiTheme="minorEastAsia" w:eastAsiaTheme="minorEastAsia"/>
                <w:color w:val="auto"/>
                <w:szCs w:val="21"/>
                <w:highlight w:val="none"/>
              </w:rPr>
              <w:t>3分。</w:t>
            </w:r>
          </w:p>
        </w:tc>
        <w:tc>
          <w:tcPr>
            <w:tcW w:w="1276"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提供销售合同原件原色电子件加盖投标人电子签章。</w:t>
            </w:r>
          </w:p>
        </w:tc>
        <w:tc>
          <w:tcPr>
            <w:tcW w:w="1173"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64" w:type="dxa"/>
            <w:vAlign w:val="center"/>
          </w:tcPr>
          <w:p>
            <w:pPr>
              <w:spacing w:line="400" w:lineRule="exact"/>
              <w:ind w:firstLine="28"/>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p>
        </w:tc>
        <w:tc>
          <w:tcPr>
            <w:tcW w:w="128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节能、环境标志、无线局域网产品1%</w:t>
            </w:r>
          </w:p>
        </w:tc>
        <w:tc>
          <w:tcPr>
            <w:tcW w:w="646"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4767"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投标产品中属于政府采购优先采购范围的，则每有一项为节能产品或者环境标志产品或者无线局域网产品的得1分，非节能、环境标志产品的、无线局域网产品的不得分。本项最多得1分。</w:t>
            </w:r>
          </w:p>
          <w:p>
            <w:pPr>
              <w:rPr>
                <w:rFonts w:ascii="宋体" w:hAnsi="宋体"/>
                <w:color w:val="auto"/>
                <w:kern w:val="0"/>
                <w:szCs w:val="21"/>
                <w:highlight w:val="none"/>
              </w:rPr>
            </w:pPr>
            <w:r>
              <w:rPr>
                <w:rFonts w:hint="eastAsia" w:ascii="宋体" w:hAnsi="宋体"/>
                <w:color w:val="auto"/>
                <w:szCs w:val="21"/>
                <w:highlight w:val="none"/>
              </w:rPr>
              <w:t>注：1. 节能产品、环境标志产品优先采购范围</w:t>
            </w:r>
            <w:r>
              <w:rPr>
                <w:rFonts w:hint="eastAsia" w:ascii="宋体" w:hAnsi="宋体"/>
                <w:color w:val="auto"/>
                <w:kern w:val="0"/>
                <w:szCs w:val="21"/>
                <w:highlight w:val="none"/>
              </w:rPr>
              <w:t>以品目清单为准</w:t>
            </w:r>
            <w:r>
              <w:rPr>
                <w:rFonts w:ascii="宋体" w:hAnsi="宋体"/>
                <w:color w:val="auto"/>
                <w:kern w:val="0"/>
                <w:szCs w:val="21"/>
                <w:highlight w:val="none"/>
              </w:rPr>
              <w:t>。</w:t>
            </w:r>
            <w:r>
              <w:rPr>
                <w:rFonts w:hint="eastAsia" w:ascii="宋体" w:hAnsi="宋体"/>
                <w:color w:val="auto"/>
                <w:kern w:val="0"/>
                <w:szCs w:val="21"/>
                <w:highlight w:val="none"/>
              </w:rPr>
              <w:t>财政部、发展改革委、生态环境部等部门根据产品节能环保性能、技术水平和市场成熟程度等因素，确定实施政府优先采购和强制采购的产品类别及所依据的相关标准规范，以品目清单的形式发布并适时调整。</w:t>
            </w:r>
            <w:r>
              <w:rPr>
                <w:rFonts w:hint="eastAsia" w:ascii="宋体" w:hAnsi="宋体"/>
                <w:color w:val="auto"/>
                <w:szCs w:val="21"/>
                <w:highlight w:val="none"/>
              </w:rPr>
              <w:t>无线局域网产品优先采购范围</w:t>
            </w:r>
            <w:r>
              <w:rPr>
                <w:rFonts w:hint="eastAsia" w:ascii="宋体" w:hAnsi="宋体"/>
                <w:color w:val="auto"/>
                <w:kern w:val="0"/>
                <w:szCs w:val="21"/>
                <w:highlight w:val="none"/>
              </w:rPr>
              <w:t>以中国</w:t>
            </w:r>
            <w:r>
              <w:rPr>
                <w:rFonts w:ascii="宋体" w:hAnsi="宋体"/>
                <w:color w:val="auto"/>
                <w:kern w:val="0"/>
                <w:szCs w:val="21"/>
                <w:highlight w:val="none"/>
              </w:rPr>
              <w:t>政府采购网公布的</w:t>
            </w:r>
            <w:r>
              <w:rPr>
                <w:rFonts w:hint="eastAsia" w:ascii="宋体" w:hAnsi="宋体"/>
                <w:color w:val="auto"/>
                <w:kern w:val="0"/>
                <w:szCs w:val="21"/>
                <w:highlight w:val="none"/>
              </w:rPr>
              <w:t>《无线局域网认证产品政府采购清单》为准</w:t>
            </w:r>
            <w:r>
              <w:rPr>
                <w:rFonts w:ascii="宋体" w:hAnsi="宋体"/>
                <w:color w:val="auto"/>
                <w:kern w:val="0"/>
                <w:szCs w:val="21"/>
                <w:highlight w:val="none"/>
              </w:rPr>
              <w:t>。</w:t>
            </w:r>
          </w:p>
          <w:p>
            <w:pPr>
              <w:rPr>
                <w:rFonts w:ascii="宋体" w:hAnsi="宋体"/>
                <w:color w:val="auto"/>
                <w:kern w:val="0"/>
                <w:szCs w:val="21"/>
                <w:highlight w:val="none"/>
              </w:rPr>
            </w:pPr>
            <w:r>
              <w:rPr>
                <w:rFonts w:hint="eastAsia" w:ascii="宋体" w:hAnsi="宋体"/>
                <w:color w:val="auto"/>
                <w:kern w:val="0"/>
                <w:szCs w:val="21"/>
                <w:highlight w:val="none"/>
              </w:rPr>
              <w:t>2.</w:t>
            </w:r>
            <w:r>
              <w:rPr>
                <w:rFonts w:hint="eastAsia" w:ascii="宋体" w:hAnsi="宋体"/>
                <w:color w:val="auto"/>
                <w:szCs w:val="21"/>
                <w:highlight w:val="none"/>
              </w:rPr>
              <w:t xml:space="preserve"> 投标产品属于</w:t>
            </w:r>
            <w:r>
              <w:rPr>
                <w:rFonts w:hint="eastAsia" w:ascii="宋体" w:hAnsi="宋体"/>
                <w:color w:val="auto"/>
                <w:kern w:val="0"/>
                <w:szCs w:val="21"/>
                <w:highlight w:val="none"/>
              </w:rPr>
              <w:t>优先</w:t>
            </w:r>
            <w:r>
              <w:rPr>
                <w:rFonts w:ascii="宋体" w:hAnsi="宋体"/>
                <w:color w:val="auto"/>
                <w:kern w:val="0"/>
                <w:szCs w:val="21"/>
                <w:highlight w:val="none"/>
              </w:rPr>
              <w:t>采购范围内的</w:t>
            </w:r>
            <w:r>
              <w:rPr>
                <w:rFonts w:hint="eastAsia" w:ascii="宋体" w:hAnsi="宋体"/>
                <w:color w:val="auto"/>
                <w:szCs w:val="21"/>
                <w:highlight w:val="none"/>
              </w:rPr>
              <w:t>节能产品或者环境标志产品的</w:t>
            </w:r>
            <w:r>
              <w:rPr>
                <w:rFonts w:ascii="宋体" w:hAnsi="宋体"/>
                <w:color w:val="auto"/>
                <w:szCs w:val="21"/>
                <w:highlight w:val="none"/>
              </w:rPr>
              <w:t>，</w:t>
            </w:r>
            <w:r>
              <w:rPr>
                <w:rFonts w:hint="eastAsia" w:ascii="宋体" w:hAnsi="宋体"/>
                <w:color w:val="auto"/>
                <w:kern w:val="0"/>
                <w:szCs w:val="21"/>
                <w:highlight w:val="none"/>
              </w:rPr>
              <w:t>提供国家确定的认证机构出具的、处于有效期之内的节能产品、环境标志产品认证证书原件原色电子件。</w:t>
            </w:r>
          </w:p>
          <w:p>
            <w:pPr>
              <w:rPr>
                <w:rFonts w:asciiTheme="minorEastAsia" w:hAnsiTheme="minorEastAsia" w:eastAsiaTheme="minorEastAsia"/>
                <w:color w:val="auto"/>
                <w:szCs w:val="21"/>
                <w:highlight w:val="none"/>
              </w:rPr>
            </w:pPr>
            <w:r>
              <w:rPr>
                <w:rFonts w:ascii="宋体" w:hAnsi="宋体"/>
                <w:color w:val="auto"/>
                <w:kern w:val="0"/>
                <w:szCs w:val="21"/>
                <w:highlight w:val="none"/>
              </w:rPr>
              <w:t>3.</w:t>
            </w:r>
            <w:r>
              <w:rPr>
                <w:rFonts w:hint="eastAsia" w:ascii="宋体" w:hAnsi="宋体"/>
                <w:color w:val="auto"/>
                <w:kern w:val="0"/>
                <w:szCs w:val="21"/>
                <w:highlight w:val="none"/>
              </w:rPr>
              <w:t xml:space="preserve"> 投标产品属于优先</w:t>
            </w:r>
            <w:r>
              <w:rPr>
                <w:rFonts w:ascii="宋体" w:hAnsi="宋体"/>
                <w:color w:val="auto"/>
                <w:kern w:val="0"/>
                <w:szCs w:val="21"/>
                <w:highlight w:val="none"/>
              </w:rPr>
              <w:t>采购范围内的</w:t>
            </w:r>
            <w:r>
              <w:rPr>
                <w:rFonts w:hint="eastAsia" w:ascii="宋体" w:hAnsi="宋体"/>
                <w:color w:val="auto"/>
                <w:szCs w:val="21"/>
                <w:highlight w:val="none"/>
              </w:rPr>
              <w:t>无线局域网产品的，</w:t>
            </w:r>
            <w:r>
              <w:rPr>
                <w:rFonts w:hint="eastAsia" w:ascii="宋体" w:hAnsi="宋体"/>
                <w:color w:val="auto"/>
                <w:kern w:val="0"/>
                <w:szCs w:val="21"/>
                <w:highlight w:val="none"/>
              </w:rPr>
              <w:t>提供政府采购清单对应页原件原色电子件。</w:t>
            </w:r>
          </w:p>
        </w:tc>
        <w:tc>
          <w:tcPr>
            <w:tcW w:w="1276"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1173"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政策类评分因素</w:t>
            </w:r>
          </w:p>
        </w:tc>
      </w:tr>
    </w:tbl>
    <w:p>
      <w:pPr>
        <w:pStyle w:val="6"/>
        <w:ind w:firstLine="0" w:firstLineChars="0"/>
        <w:rPr>
          <w:color w:val="auto"/>
          <w:highlight w:val="none"/>
        </w:rPr>
      </w:pPr>
    </w:p>
    <w:p>
      <w:pPr>
        <w:rPr>
          <w:rFonts w:ascii="宋体" w:hAnsi="宋体" w:cs="宋体"/>
          <w:color w:val="auto"/>
          <w:sz w:val="24"/>
          <w:highlight w:val="none"/>
        </w:rPr>
      </w:pPr>
      <w:r>
        <w:rPr>
          <w:rFonts w:hint="eastAsia" w:ascii="宋体" w:hAnsi="宋体" w:cs="宋体"/>
          <w:color w:val="auto"/>
          <w:sz w:val="24"/>
          <w:highlight w:val="none"/>
        </w:rPr>
        <w:t>注：1）评分的取值按四舍五入法，保留小数点后两位。</w:t>
      </w:r>
    </w:p>
    <w:p>
      <w:pPr>
        <w:pStyle w:val="5"/>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 废 标</w:t>
      </w:r>
      <w:bookmarkEnd w:id="231"/>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5.1本次政府采购活动中，出现下列情形之一的，予以废标：</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（1）单个包件符合专业条件的供应商或者对招标文件作实质响应的供应商不足三家的；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（2）出现影响采购公正的违法、违规行为的；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（3）投标人的报价均超过了采购预算，采购人不能支付的；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（4）因重大变故，采购任务取消的。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废标后，采购代理机构应在四川政府采购网上公告，并公告废标的情形。投标人需要知晓导致废标情形的具体原因和理由的，可以通过书面形式询问招标采购单位。</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5.2对于评标过程中废标的采购项目，评标委员会应当对招标文件是否存在倾向性和歧视性、是否存在不合理条款进行论证，并出具书面论证意见。</w:t>
      </w:r>
    </w:p>
    <w:p>
      <w:pPr>
        <w:pStyle w:val="5"/>
        <w:spacing w:line="360" w:lineRule="auto"/>
        <w:rPr>
          <w:rFonts w:ascii="宋体" w:hAnsi="宋体" w:eastAsia="宋体" w:cs="宋体"/>
          <w:color w:val="auto"/>
          <w:sz w:val="24"/>
          <w:szCs w:val="24"/>
          <w:highlight w:val="none"/>
        </w:rPr>
      </w:pPr>
      <w:bookmarkStart w:id="233" w:name="_Toc490290417"/>
      <w:r>
        <w:rPr>
          <w:rFonts w:hint="eastAsia" w:ascii="宋体" w:hAnsi="宋体" w:eastAsia="宋体" w:cs="宋体"/>
          <w:color w:val="auto"/>
          <w:sz w:val="24"/>
          <w:szCs w:val="24"/>
          <w:highlight w:val="none"/>
        </w:rPr>
        <w:t>6.定标</w:t>
      </w:r>
      <w:bookmarkEnd w:id="232"/>
      <w:bookmarkEnd w:id="233"/>
      <w:bookmarkStart w:id="234" w:name="_Toc217446061"/>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6.1. 定标原则</w:t>
      </w:r>
      <w:bookmarkEnd w:id="234"/>
      <w:r>
        <w:rPr>
          <w:rFonts w:hint="eastAsia" w:ascii="宋体" w:hAnsi="宋体" w:cs="宋体"/>
          <w:color w:val="auto"/>
          <w:sz w:val="24"/>
          <w:highlight w:val="none"/>
        </w:rPr>
        <w:t>：本项目根据评标委员会推荐的中标候选人名单，按顺序确定中标供应商。</w:t>
      </w:r>
    </w:p>
    <w:p>
      <w:pPr>
        <w:spacing w:line="360" w:lineRule="auto"/>
        <w:ind w:firstLine="480" w:firstLineChars="200"/>
        <w:rPr>
          <w:rFonts w:ascii="宋体" w:hAnsi="宋体" w:cs="宋体"/>
          <w:color w:val="auto"/>
          <w:sz w:val="24"/>
          <w:highlight w:val="none"/>
        </w:rPr>
      </w:pPr>
      <w:bookmarkStart w:id="235" w:name="_Toc217446062"/>
      <w:r>
        <w:rPr>
          <w:rFonts w:hint="eastAsia" w:ascii="宋体" w:hAnsi="宋体" w:cs="宋体"/>
          <w:color w:val="auto"/>
          <w:sz w:val="24"/>
          <w:highlight w:val="none"/>
        </w:rPr>
        <w:t>6.2. 定标程序</w:t>
      </w:r>
      <w:bookmarkEnd w:id="235"/>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6.2.1 评标委员会将评标情况写出书面报告，推荐中标候选人。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6.2.2 采购代理机构在评标结束后5个工作日内将评标报告送采购人。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6.2.3 采购人在收到评标报告后5个工作日内，按照评标报告中推荐的中标候选人顺序确定中标候选人。</w:t>
      </w:r>
      <w:r>
        <w:rPr>
          <w:rFonts w:hint="eastAsia" w:ascii="宋体" w:hAnsi="宋体" w:cs="宋体"/>
          <w:color w:val="auto"/>
          <w:kern w:val="1"/>
          <w:sz w:val="24"/>
          <w:highlight w:val="none"/>
        </w:rPr>
        <w:t>评审得分且最后报价相同的，按照技术指标优劣顺序推荐。评审得分且最后报价且技术指标分项得分均相同的，不发达地区或少数民族地区的供应商推荐顺序在非不发达地区或少数民族地区的供应商之前；评审得分且最后报价且技术指标分项得分均相同的，且均为不发达地区或少数民族地区的供应商并列；评审得分且最后报价且技术指标分项得分均相同的，且不能判定为不发达地区或少数民族地区的供应商并列。（不发达地区或少数民族地区的供应商需提供属于不发达地区或少数民族地区企业的相关证明材料，或供应商注册地为少数民族地区。）</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注意，采购人按照推荐的中标候选人顺序确定中标人，不能认为采购人只能确定第一中标候选人为中标人，采购人有充分合理理由的，可以确定后一顺序中标候选人为中标人，依次类推。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6.2.4 根据采购人确定的中标供应商，采购代理机构在四川政府采购网上发布中标公告，并自采购人确定中标之日起2个工作日内向中标供应商发出中标通知书）。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6.2.5 招标单位不退回投标人投标文件和其他投标资料。</w:t>
      </w:r>
      <w:bookmarkEnd w:id="229"/>
      <w:bookmarkStart w:id="236" w:name="_Toc208849022"/>
      <w:bookmarkStart w:id="237" w:name="_Toc217446105"/>
      <w:bookmarkStart w:id="238" w:name="_Toc183582297"/>
      <w:bookmarkStart w:id="239" w:name="_Toc183682432"/>
      <w:bookmarkStart w:id="240" w:name="_Toc490290418"/>
    </w:p>
    <w:p>
      <w:pPr>
        <w:pStyle w:val="5"/>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 </w:t>
      </w:r>
      <w:bookmarkEnd w:id="236"/>
      <w:bookmarkEnd w:id="237"/>
      <w:bookmarkEnd w:id="238"/>
      <w:bookmarkEnd w:id="239"/>
      <w:r>
        <w:rPr>
          <w:rFonts w:hint="eastAsia" w:ascii="宋体" w:hAnsi="宋体" w:eastAsia="宋体" w:cs="宋体"/>
          <w:color w:val="auto"/>
          <w:sz w:val="24"/>
          <w:szCs w:val="24"/>
          <w:highlight w:val="none"/>
        </w:rPr>
        <w:t>评标专家在政府采购活动中承担以下义务</w:t>
      </w:r>
      <w:bookmarkEnd w:id="240"/>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（一）遵守评审工作纪律；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（二）按照客观、公正、审慎的原则，根据采购文件规定的评审程序、评审方法和评审标准进行独立评审；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（三）不得泄露评审文件、评审情况和在评审过程中获悉的商业秘密；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（四）及时向监督部门报告评审过程中采购组织单位向评审专家做倾向性、误导性的解释或者说明，供应商行贿、提供虚假材料或者串通、受到的非法干预情况等违法违规行为；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（五）发现采购文件内容违反国家有关强制性规定或者存在歧义、重大缺陷导致评审工作无法进行时，停止评审并向采购组织单位书面说明情况；</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（六）配合答复处理供应商的询问、质疑和投诉等事项；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（七）法律、法规和规章规定的其他义务。</w:t>
      </w:r>
    </w:p>
    <w:p>
      <w:pPr>
        <w:pStyle w:val="5"/>
        <w:spacing w:line="360" w:lineRule="auto"/>
        <w:rPr>
          <w:rFonts w:ascii="宋体" w:hAnsi="宋体" w:eastAsia="宋体" w:cs="宋体"/>
          <w:color w:val="auto"/>
          <w:sz w:val="24"/>
          <w:szCs w:val="24"/>
          <w:highlight w:val="none"/>
        </w:rPr>
      </w:pPr>
      <w:bookmarkStart w:id="241" w:name="_Toc490290419"/>
      <w:r>
        <w:rPr>
          <w:rFonts w:hint="eastAsia" w:ascii="宋体" w:hAnsi="宋体" w:eastAsia="宋体" w:cs="宋体"/>
          <w:color w:val="auto"/>
          <w:sz w:val="24"/>
          <w:szCs w:val="24"/>
          <w:highlight w:val="none"/>
        </w:rPr>
        <w:t>8.评标专家在政府采购活动中应当遵守以下工作纪律</w:t>
      </w:r>
      <w:bookmarkEnd w:id="241"/>
    </w:p>
    <w:p>
      <w:pPr>
        <w:spacing w:line="360" w:lineRule="auto"/>
        <w:ind w:firstLine="480" w:firstLineChars="200"/>
        <w:rPr>
          <w:rFonts w:ascii="宋体" w:hAnsi="宋体" w:cs="宋体"/>
          <w:color w:val="auto"/>
          <w:sz w:val="24"/>
          <w:highlight w:val="none"/>
        </w:rPr>
      </w:pPr>
      <w:bookmarkStart w:id="242" w:name="_Toc490290420"/>
      <w:r>
        <w:rPr>
          <w:rFonts w:hint="eastAsia" w:ascii="宋体" w:hAnsi="宋体" w:cs="宋体"/>
          <w:color w:val="auto"/>
          <w:sz w:val="24"/>
          <w:highlight w:val="none"/>
        </w:rPr>
        <w:t>（一）遵行《中华人民共和国政府采购法》第十二条和《中华人民共和国政府采购法实施条例》第九条及财政部关于回避的规定。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（二）评标前，应当将通讯工具或者相关电子设备交由招标采购单位统一保管。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（三）评标过程中，不得与外界联系，因发生不可预见情况，确实需要与外界联系的，应当在监督人员监督之下办理。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（五）在评标过程中和评标结束后，不得记录、复制或带走任何评标资料，除因规定的义务外，不得向外界透露评标内容。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（六）服从评标现场招标采购单位的现场秩序管理，接受评标现场监督人员的合法监督。</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（七）遵守有关廉洁自律规定，不得私下接触供应商，不得收受供应商及有关业务单位和个人的财物或好处，不得接受采购组织单位的请托。</w:t>
      </w:r>
    </w:p>
    <w:p>
      <w:pPr>
        <w:rPr>
          <w:color w:val="auto"/>
          <w:highlight w:val="none"/>
        </w:rPr>
      </w:pPr>
      <w:bookmarkStart w:id="243" w:name="_Toc29392"/>
      <w:r>
        <w:rPr>
          <w:rFonts w:hint="eastAsia"/>
          <w:color w:val="auto"/>
          <w:highlight w:val="none"/>
        </w:rPr>
        <w:br w:type="page"/>
      </w:r>
    </w:p>
    <w:p>
      <w:pPr>
        <w:pStyle w:val="33"/>
        <w:spacing w:line="360" w:lineRule="auto"/>
        <w:rPr>
          <w:rFonts w:ascii="宋体" w:hAnsi="宋体" w:cs="宋体"/>
          <w:color w:val="auto"/>
          <w:highlight w:val="none"/>
        </w:rPr>
      </w:pPr>
      <w:bookmarkStart w:id="244" w:name="_Toc31809"/>
      <w:r>
        <w:rPr>
          <w:rFonts w:hint="eastAsia" w:ascii="宋体" w:hAnsi="宋体" w:cs="宋体"/>
          <w:color w:val="auto"/>
          <w:highlight w:val="none"/>
        </w:rPr>
        <w:t>第八章  政府采购合同</w:t>
      </w:r>
      <w:bookmarkEnd w:id="242"/>
      <w:r>
        <w:rPr>
          <w:rFonts w:hint="eastAsia" w:ascii="宋体" w:hAnsi="宋体" w:cs="宋体"/>
          <w:color w:val="auto"/>
          <w:highlight w:val="none"/>
        </w:rPr>
        <w:t>（参考）</w:t>
      </w:r>
      <w:bookmarkEnd w:id="243"/>
      <w:bookmarkEnd w:id="244"/>
    </w:p>
    <w:p>
      <w:pPr>
        <w:spacing w:line="520" w:lineRule="exact"/>
        <w:jc w:val="center"/>
        <w:rPr>
          <w:rStyle w:val="104"/>
          <w:rFonts w:ascii="宋体"/>
          <w:b/>
          <w:bCs/>
          <w:color w:val="auto"/>
          <w:sz w:val="44"/>
          <w:szCs w:val="44"/>
          <w:highlight w:val="none"/>
        </w:rPr>
      </w:pPr>
      <w:r>
        <w:rPr>
          <w:rStyle w:val="104"/>
          <w:rFonts w:ascii="宋体"/>
          <w:b/>
          <w:bCs/>
          <w:color w:val="auto"/>
          <w:sz w:val="44"/>
          <w:szCs w:val="44"/>
          <w:highlight w:val="none"/>
        </w:rPr>
        <w:t>医疗设备采购合同</w:t>
      </w:r>
    </w:p>
    <w:p>
      <w:pPr>
        <w:pStyle w:val="105"/>
        <w:jc w:val="center"/>
        <w:rPr>
          <w:color w:val="auto"/>
          <w:highlight w:val="none"/>
        </w:rPr>
      </w:pPr>
    </w:p>
    <w:p>
      <w:pPr>
        <w:spacing w:line="560" w:lineRule="exact"/>
        <w:ind w:firstLine="5520" w:firstLineChars="2300"/>
        <w:rPr>
          <w:rStyle w:val="104"/>
          <w:rFonts w:ascii="仿宋" w:hAnsi="仿宋" w:eastAsia="仿宋"/>
          <w:color w:val="auto"/>
          <w:sz w:val="24"/>
          <w:highlight w:val="none"/>
          <w:u w:val="single"/>
        </w:rPr>
      </w:pPr>
      <w:r>
        <w:rPr>
          <w:rStyle w:val="104"/>
          <w:rFonts w:ascii="仿宋" w:hAnsi="仿宋" w:eastAsia="仿宋"/>
          <w:color w:val="auto"/>
          <w:sz w:val="24"/>
          <w:highlight w:val="none"/>
        </w:rPr>
        <w:t>合同编号：</w:t>
      </w:r>
      <w:r>
        <w:rPr>
          <w:rStyle w:val="104"/>
          <w:rFonts w:ascii="仿宋" w:hAnsi="仿宋" w:eastAsia="仿宋"/>
          <w:color w:val="auto"/>
          <w:sz w:val="24"/>
          <w:highlight w:val="none"/>
          <w:u w:val="single"/>
        </w:rPr>
        <w:t xml:space="preserve">                </w:t>
      </w:r>
    </w:p>
    <w:p>
      <w:pPr>
        <w:spacing w:line="500" w:lineRule="exact"/>
        <w:rPr>
          <w:rStyle w:val="104"/>
          <w:rFonts w:ascii="仿宋" w:hAnsi="仿宋" w:eastAsia="仿宋"/>
          <w:b/>
          <w:bCs/>
          <w:color w:val="auto"/>
          <w:sz w:val="24"/>
          <w:highlight w:val="none"/>
        </w:rPr>
      </w:pPr>
      <w:r>
        <w:rPr>
          <w:rStyle w:val="104"/>
          <w:rFonts w:ascii="仿宋" w:hAnsi="仿宋" w:eastAsia="仿宋"/>
          <w:b/>
          <w:bCs/>
          <w:color w:val="auto"/>
          <w:sz w:val="24"/>
          <w:highlight w:val="none"/>
        </w:rPr>
        <w:t>采购人（甲方）：成都市双流区妇幼保健院</w:t>
      </w:r>
    </w:p>
    <w:p>
      <w:pPr>
        <w:spacing w:line="500" w:lineRule="exact"/>
        <w:rPr>
          <w:rStyle w:val="104"/>
          <w:rFonts w:ascii="仿宋" w:hAnsi="仿宋" w:eastAsia="仿宋"/>
          <w:b/>
          <w:bCs/>
          <w:color w:val="auto"/>
          <w:sz w:val="24"/>
          <w:highlight w:val="none"/>
          <w:u w:val="single"/>
        </w:rPr>
      </w:pPr>
      <w:r>
        <w:rPr>
          <w:rStyle w:val="104"/>
          <w:rFonts w:ascii="仿宋" w:hAnsi="仿宋" w:eastAsia="仿宋"/>
          <w:b/>
          <w:bCs/>
          <w:color w:val="auto"/>
          <w:sz w:val="24"/>
          <w:highlight w:val="none"/>
        </w:rPr>
        <w:t>供应商（乙方）：</w:t>
      </w:r>
      <w:r>
        <w:rPr>
          <w:rStyle w:val="104"/>
          <w:rFonts w:ascii="仿宋" w:hAnsi="仿宋" w:eastAsia="仿宋"/>
          <w:b/>
          <w:bCs/>
          <w:color w:val="auto"/>
          <w:sz w:val="24"/>
          <w:highlight w:val="none"/>
          <w:u w:val="single"/>
        </w:rPr>
        <w:t xml:space="preserve"> </w:t>
      </w:r>
    </w:p>
    <w:p>
      <w:pPr>
        <w:spacing w:line="500" w:lineRule="exact"/>
        <w:rPr>
          <w:rStyle w:val="104"/>
          <w:color w:val="auto"/>
          <w:highlight w:val="none"/>
        </w:rPr>
      </w:pPr>
    </w:p>
    <w:p>
      <w:pPr>
        <w:spacing w:line="360" w:lineRule="exact"/>
        <w:ind w:firstLine="480" w:firstLineChars="200"/>
        <w:rPr>
          <w:rStyle w:val="104"/>
          <w:rFonts w:ascii="仿宋" w:hAnsi="仿宋" w:eastAsia="仿宋"/>
          <w:color w:val="auto"/>
          <w:sz w:val="24"/>
          <w:highlight w:val="none"/>
        </w:rPr>
      </w:pPr>
      <w:r>
        <w:rPr>
          <w:rStyle w:val="104"/>
          <w:rFonts w:ascii="仿宋" w:hAnsi="仿宋" w:eastAsia="仿宋"/>
          <w:color w:val="auto"/>
          <w:sz w:val="24"/>
          <w:highlight w:val="none"/>
        </w:rPr>
        <w:t>甲方实施的</w:t>
      </w:r>
      <w:r>
        <w:rPr>
          <w:rStyle w:val="104"/>
          <w:rFonts w:ascii="仿宋" w:hAnsi="仿宋" w:eastAsia="仿宋"/>
          <w:color w:val="auto"/>
          <w:sz w:val="24"/>
          <w:highlight w:val="none"/>
          <w:u w:val="single"/>
        </w:rPr>
        <w:t xml:space="preserve"> </w:t>
      </w:r>
      <w:r>
        <w:rPr>
          <w:rStyle w:val="104"/>
          <w:rFonts w:hint="eastAsia" w:ascii="仿宋" w:hAnsi="仿宋" w:eastAsia="仿宋"/>
          <w:color w:val="auto"/>
          <w:sz w:val="24"/>
          <w:highlight w:val="none"/>
          <w:u w:val="single"/>
        </w:rPr>
        <w:t xml:space="preserve"> </w:t>
      </w:r>
      <w:r>
        <w:rPr>
          <w:rStyle w:val="104"/>
          <w:rFonts w:ascii="仿宋" w:hAnsi="仿宋" w:eastAsia="仿宋"/>
          <w:color w:val="auto"/>
          <w:sz w:val="24"/>
          <w:highlight w:val="none"/>
          <w:u w:val="single"/>
        </w:rPr>
        <w:t xml:space="preserve">               </w:t>
      </w:r>
      <w:r>
        <w:rPr>
          <w:rStyle w:val="104"/>
          <w:rFonts w:ascii="仿宋" w:hAnsi="仿宋" w:eastAsia="仿宋"/>
          <w:color w:val="auto"/>
          <w:sz w:val="24"/>
          <w:highlight w:val="none"/>
        </w:rPr>
        <w:t xml:space="preserve">采购项目（项目编号: </w:t>
      </w:r>
      <w:r>
        <w:rPr>
          <w:rStyle w:val="104"/>
          <w:rFonts w:ascii="仿宋" w:hAnsi="仿宋" w:eastAsia="仿宋"/>
          <w:color w:val="auto"/>
          <w:sz w:val="24"/>
          <w:highlight w:val="none"/>
          <w:u w:val="single"/>
        </w:rPr>
        <w:t xml:space="preserve">                   </w:t>
      </w:r>
      <w:r>
        <w:rPr>
          <w:rStyle w:val="104"/>
          <w:rFonts w:hint="eastAsia" w:ascii="仿宋" w:hAnsi="仿宋" w:eastAsia="仿宋"/>
          <w:color w:val="auto"/>
          <w:sz w:val="24"/>
          <w:highlight w:val="none"/>
          <w:u w:val="single"/>
        </w:rPr>
        <w:t>；包号：</w:t>
      </w:r>
      <w:r>
        <w:rPr>
          <w:rStyle w:val="104"/>
          <w:rFonts w:ascii="仿宋" w:hAnsi="仿宋" w:eastAsia="仿宋"/>
          <w:color w:val="auto"/>
          <w:sz w:val="24"/>
          <w:highlight w:val="none"/>
        </w:rPr>
        <w:t>），接受了乙方的报价，甲乙双方现根据《中华人民共和国民法典》、《中华人民共和国政府采购法》等法律法规的规定，就医疗设备（以下称设备）采购等事宜，协商一致，达成如下条款，以资共同遵照执行：</w:t>
      </w:r>
    </w:p>
    <w:p>
      <w:pPr>
        <w:pStyle w:val="105"/>
        <w:spacing w:after="0" w:line="360" w:lineRule="exact"/>
        <w:ind w:firstLine="482" w:firstLineChars="200"/>
        <w:rPr>
          <w:rStyle w:val="104"/>
          <w:rFonts w:ascii="仿宋" w:hAnsi="仿宋" w:eastAsia="仿宋"/>
          <w:b/>
          <w:bCs/>
          <w:color w:val="auto"/>
          <w:sz w:val="24"/>
          <w:highlight w:val="none"/>
        </w:rPr>
      </w:pPr>
      <w:r>
        <w:rPr>
          <w:rStyle w:val="104"/>
          <w:rFonts w:ascii="仿宋" w:hAnsi="仿宋" w:eastAsia="仿宋"/>
          <w:b/>
          <w:bCs/>
          <w:color w:val="auto"/>
          <w:sz w:val="24"/>
          <w:highlight w:val="none"/>
        </w:rPr>
        <w:t>一、合同文件组成部分</w:t>
      </w:r>
    </w:p>
    <w:p>
      <w:pPr>
        <w:spacing w:line="360" w:lineRule="exact"/>
        <w:ind w:firstLine="480" w:firstLineChars="200"/>
        <w:rPr>
          <w:rStyle w:val="104"/>
          <w:rFonts w:ascii="仿宋" w:hAnsi="仿宋" w:eastAsia="仿宋"/>
          <w:color w:val="auto"/>
          <w:sz w:val="24"/>
          <w:highlight w:val="none"/>
        </w:rPr>
      </w:pPr>
      <w:r>
        <w:rPr>
          <w:rStyle w:val="104"/>
          <w:rFonts w:ascii="仿宋" w:hAnsi="仿宋" w:eastAsia="仿宋"/>
          <w:color w:val="auto"/>
          <w:sz w:val="24"/>
          <w:highlight w:val="none"/>
        </w:rPr>
        <w:t>合同文件包括但不限于：</w:t>
      </w:r>
    </w:p>
    <w:p>
      <w:pPr>
        <w:pStyle w:val="105"/>
        <w:spacing w:after="0" w:line="360" w:lineRule="exact"/>
        <w:ind w:firstLine="480" w:firstLineChars="200"/>
        <w:rPr>
          <w:rStyle w:val="104"/>
          <w:rFonts w:ascii="仿宋" w:hAnsi="仿宋" w:eastAsia="仿宋"/>
          <w:color w:val="auto"/>
          <w:sz w:val="24"/>
          <w:highlight w:val="none"/>
        </w:rPr>
      </w:pPr>
      <w:r>
        <w:rPr>
          <w:rStyle w:val="104"/>
          <w:rFonts w:ascii="仿宋" w:hAnsi="仿宋" w:eastAsia="仿宋"/>
          <w:color w:val="auto"/>
          <w:sz w:val="24"/>
          <w:highlight w:val="none"/>
        </w:rPr>
        <w:t>1.本合同及补充协议；</w:t>
      </w:r>
    </w:p>
    <w:p>
      <w:pPr>
        <w:spacing w:line="360" w:lineRule="exact"/>
        <w:ind w:firstLine="480" w:firstLineChars="200"/>
        <w:rPr>
          <w:rStyle w:val="104"/>
          <w:rFonts w:ascii="仿宋" w:hAnsi="仿宋" w:eastAsia="仿宋"/>
          <w:color w:val="auto"/>
          <w:sz w:val="24"/>
          <w:highlight w:val="none"/>
        </w:rPr>
      </w:pPr>
      <w:r>
        <w:rPr>
          <w:rStyle w:val="104"/>
          <w:rFonts w:ascii="仿宋" w:hAnsi="仿宋" w:eastAsia="仿宋"/>
          <w:color w:val="auto"/>
          <w:sz w:val="24"/>
          <w:highlight w:val="none"/>
        </w:rPr>
        <w:t>2.成交通知书；</w:t>
      </w:r>
    </w:p>
    <w:p>
      <w:pPr>
        <w:pStyle w:val="105"/>
        <w:spacing w:after="0" w:line="360" w:lineRule="exact"/>
        <w:ind w:firstLine="480" w:firstLineChars="200"/>
        <w:rPr>
          <w:rStyle w:val="104"/>
          <w:rFonts w:ascii="仿宋" w:hAnsi="仿宋" w:eastAsia="仿宋"/>
          <w:color w:val="auto"/>
          <w:sz w:val="24"/>
          <w:highlight w:val="none"/>
        </w:rPr>
      </w:pPr>
      <w:r>
        <w:rPr>
          <w:rStyle w:val="104"/>
          <w:rFonts w:ascii="仿宋" w:hAnsi="仿宋" w:eastAsia="仿宋"/>
          <w:color w:val="auto"/>
          <w:sz w:val="24"/>
          <w:highlight w:val="none"/>
        </w:rPr>
        <w:t>3.招标文件（另册）；</w:t>
      </w:r>
    </w:p>
    <w:p>
      <w:pPr>
        <w:spacing w:line="360" w:lineRule="exact"/>
        <w:ind w:firstLine="480" w:firstLineChars="200"/>
        <w:rPr>
          <w:rStyle w:val="104"/>
          <w:rFonts w:ascii="仿宋" w:hAnsi="仿宋" w:eastAsia="仿宋"/>
          <w:color w:val="auto"/>
          <w:sz w:val="24"/>
          <w:highlight w:val="none"/>
        </w:rPr>
      </w:pPr>
      <w:r>
        <w:rPr>
          <w:rStyle w:val="104"/>
          <w:rFonts w:ascii="仿宋" w:hAnsi="仿宋" w:eastAsia="仿宋"/>
          <w:color w:val="auto"/>
          <w:sz w:val="24"/>
          <w:highlight w:val="none"/>
        </w:rPr>
        <w:t>4.投标响应文件（另册）；</w:t>
      </w:r>
    </w:p>
    <w:p>
      <w:pPr>
        <w:pStyle w:val="105"/>
        <w:spacing w:after="0" w:line="360" w:lineRule="exact"/>
        <w:ind w:firstLine="480" w:firstLineChars="200"/>
        <w:rPr>
          <w:rStyle w:val="104"/>
          <w:rFonts w:ascii="仿宋" w:hAnsi="仿宋" w:eastAsia="仿宋"/>
          <w:color w:val="auto"/>
          <w:sz w:val="24"/>
          <w:highlight w:val="none"/>
        </w:rPr>
      </w:pPr>
      <w:r>
        <w:rPr>
          <w:rStyle w:val="104"/>
          <w:rFonts w:ascii="仿宋" w:hAnsi="仿宋" w:eastAsia="仿宋"/>
          <w:color w:val="auto"/>
          <w:sz w:val="24"/>
          <w:highlight w:val="none"/>
        </w:rPr>
        <w:t>5.甲乙双方商定的其他文件。</w:t>
      </w:r>
    </w:p>
    <w:p>
      <w:pPr>
        <w:pStyle w:val="105"/>
        <w:spacing w:after="0" w:line="360" w:lineRule="exact"/>
        <w:ind w:firstLine="480" w:firstLineChars="200"/>
        <w:rPr>
          <w:rStyle w:val="104"/>
          <w:rFonts w:ascii="仿宋" w:hAnsi="仿宋" w:eastAsia="仿宋"/>
          <w:color w:val="auto"/>
          <w:sz w:val="24"/>
          <w:highlight w:val="none"/>
        </w:rPr>
      </w:pPr>
      <w:r>
        <w:rPr>
          <w:rStyle w:val="104"/>
          <w:rFonts w:ascii="仿宋" w:hAnsi="仿宋" w:eastAsia="仿宋"/>
          <w:color w:val="auto"/>
          <w:sz w:val="24"/>
          <w:highlight w:val="none"/>
        </w:rPr>
        <w:t>组成合同的各项文件互相解释、互为说明。合同文件如有矛盾时，以签字时间后者为准；同时签字的，以排前为准。在合同实施过程中，合同双方的一切联系、通知，均以书面通知为准。</w:t>
      </w:r>
    </w:p>
    <w:p>
      <w:pPr>
        <w:widowControl/>
        <w:numPr>
          <w:ilvl w:val="0"/>
          <w:numId w:val="13"/>
        </w:numPr>
        <w:spacing w:line="360" w:lineRule="exact"/>
        <w:ind w:firstLine="482" w:firstLineChars="200"/>
        <w:textAlignment w:val="baseline"/>
        <w:rPr>
          <w:rStyle w:val="104"/>
          <w:rFonts w:ascii="仿宋" w:hAnsi="仿宋" w:eastAsia="仿宋"/>
          <w:b/>
          <w:bCs/>
          <w:color w:val="auto"/>
          <w:sz w:val="24"/>
          <w:highlight w:val="none"/>
        </w:rPr>
      </w:pPr>
      <w:r>
        <w:rPr>
          <w:rStyle w:val="104"/>
          <w:rFonts w:ascii="仿宋" w:hAnsi="仿宋" w:eastAsia="仿宋"/>
          <w:b/>
          <w:bCs/>
          <w:color w:val="auto"/>
          <w:sz w:val="24"/>
          <w:highlight w:val="none"/>
        </w:rPr>
        <w:t>采购设备</w:t>
      </w:r>
    </w:p>
    <w:tbl>
      <w:tblPr>
        <w:tblStyle w:val="35"/>
        <w:tblpPr w:leftFromText="180" w:rightFromText="180" w:vertAnchor="text" w:horzAnchor="margin" w:tblpXSpec="center" w:tblpY="152"/>
        <w:tblOverlap w:val="never"/>
        <w:tblW w:w="95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61"/>
        <w:gridCol w:w="1077"/>
        <w:gridCol w:w="1365"/>
        <w:gridCol w:w="795"/>
        <w:gridCol w:w="1185"/>
        <w:gridCol w:w="1435"/>
        <w:gridCol w:w="1130"/>
        <w:gridCol w:w="512"/>
        <w:gridCol w:w="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1" w:hRule="atLeast"/>
        </w:trPr>
        <w:tc>
          <w:tcPr>
            <w:tcW w:w="1561" w:type="dxa"/>
            <w:vAlign w:val="center"/>
          </w:tcPr>
          <w:p>
            <w:pPr>
              <w:spacing w:line="280" w:lineRule="exact"/>
              <w:jc w:val="center"/>
              <w:rPr>
                <w:rStyle w:val="104"/>
                <w:rFonts w:ascii="仿宋" w:hAnsi="仿宋" w:eastAsia="仿宋" w:cs="仿宋"/>
                <w:b/>
                <w:bCs/>
                <w:color w:val="auto"/>
                <w:sz w:val="24"/>
                <w:highlight w:val="none"/>
              </w:rPr>
            </w:pPr>
            <w:r>
              <w:rPr>
                <w:rStyle w:val="104"/>
                <w:rFonts w:ascii="仿宋" w:hAnsi="仿宋" w:eastAsia="仿宋" w:cs="仿宋"/>
                <w:b/>
                <w:bCs/>
                <w:color w:val="auto"/>
                <w:sz w:val="24"/>
                <w:highlight w:val="none"/>
              </w:rPr>
              <w:t>设备品名</w:t>
            </w:r>
          </w:p>
        </w:tc>
        <w:tc>
          <w:tcPr>
            <w:tcW w:w="1077" w:type="dxa"/>
            <w:vAlign w:val="center"/>
          </w:tcPr>
          <w:p>
            <w:pPr>
              <w:spacing w:line="280" w:lineRule="exact"/>
              <w:jc w:val="center"/>
              <w:rPr>
                <w:rStyle w:val="104"/>
                <w:rFonts w:ascii="仿宋" w:hAnsi="仿宋" w:eastAsia="仿宋" w:cs="仿宋"/>
                <w:b/>
                <w:bCs/>
                <w:color w:val="auto"/>
                <w:sz w:val="24"/>
                <w:highlight w:val="none"/>
              </w:rPr>
            </w:pPr>
            <w:r>
              <w:rPr>
                <w:rStyle w:val="104"/>
                <w:rFonts w:ascii="仿宋" w:hAnsi="仿宋" w:eastAsia="仿宋" w:cs="仿宋"/>
                <w:b/>
                <w:bCs/>
                <w:color w:val="auto"/>
                <w:sz w:val="24"/>
                <w:highlight w:val="none"/>
              </w:rPr>
              <w:t>生产厂家</w:t>
            </w:r>
          </w:p>
        </w:tc>
        <w:tc>
          <w:tcPr>
            <w:tcW w:w="1365" w:type="dxa"/>
            <w:vAlign w:val="center"/>
          </w:tcPr>
          <w:p>
            <w:pPr>
              <w:spacing w:line="280" w:lineRule="exact"/>
              <w:jc w:val="center"/>
              <w:rPr>
                <w:rStyle w:val="104"/>
                <w:rFonts w:ascii="仿宋" w:hAnsi="仿宋" w:eastAsia="仿宋" w:cs="仿宋"/>
                <w:b/>
                <w:bCs/>
                <w:color w:val="auto"/>
                <w:sz w:val="24"/>
                <w:highlight w:val="none"/>
              </w:rPr>
            </w:pPr>
            <w:r>
              <w:rPr>
                <w:rStyle w:val="104"/>
                <w:rFonts w:ascii="仿宋" w:hAnsi="仿宋" w:eastAsia="仿宋" w:cs="仿宋"/>
                <w:b/>
                <w:bCs/>
                <w:color w:val="auto"/>
                <w:sz w:val="24"/>
                <w:highlight w:val="none"/>
              </w:rPr>
              <w:t>规格</w:t>
            </w:r>
          </w:p>
          <w:p>
            <w:pPr>
              <w:spacing w:line="280" w:lineRule="exact"/>
              <w:jc w:val="center"/>
              <w:rPr>
                <w:rStyle w:val="104"/>
                <w:rFonts w:ascii="仿宋" w:hAnsi="仿宋" w:eastAsia="仿宋" w:cs="仿宋"/>
                <w:b/>
                <w:bCs/>
                <w:color w:val="auto"/>
                <w:sz w:val="24"/>
                <w:highlight w:val="none"/>
              </w:rPr>
            </w:pPr>
            <w:r>
              <w:rPr>
                <w:rStyle w:val="104"/>
                <w:rFonts w:ascii="仿宋" w:hAnsi="仿宋" w:eastAsia="仿宋" w:cs="仿宋"/>
                <w:b/>
                <w:bCs/>
                <w:color w:val="auto"/>
                <w:sz w:val="24"/>
                <w:highlight w:val="none"/>
              </w:rPr>
              <w:t>型号</w:t>
            </w:r>
          </w:p>
        </w:tc>
        <w:tc>
          <w:tcPr>
            <w:tcW w:w="795" w:type="dxa"/>
            <w:vAlign w:val="center"/>
          </w:tcPr>
          <w:p>
            <w:pPr>
              <w:spacing w:line="280" w:lineRule="exact"/>
              <w:jc w:val="center"/>
              <w:rPr>
                <w:rStyle w:val="104"/>
                <w:rFonts w:ascii="仿宋" w:hAnsi="仿宋" w:eastAsia="仿宋" w:cs="仿宋"/>
                <w:b/>
                <w:bCs/>
                <w:color w:val="auto"/>
                <w:sz w:val="24"/>
                <w:highlight w:val="none"/>
              </w:rPr>
            </w:pPr>
            <w:r>
              <w:rPr>
                <w:rStyle w:val="104"/>
                <w:rFonts w:ascii="仿宋" w:hAnsi="仿宋" w:eastAsia="仿宋" w:cs="仿宋"/>
                <w:b/>
                <w:bCs/>
                <w:color w:val="auto"/>
                <w:sz w:val="24"/>
                <w:highlight w:val="none"/>
              </w:rPr>
              <w:t>数量</w:t>
            </w:r>
          </w:p>
        </w:tc>
        <w:tc>
          <w:tcPr>
            <w:tcW w:w="1185" w:type="dxa"/>
            <w:vAlign w:val="center"/>
          </w:tcPr>
          <w:p>
            <w:pPr>
              <w:spacing w:line="280" w:lineRule="exact"/>
              <w:jc w:val="center"/>
              <w:rPr>
                <w:rStyle w:val="104"/>
                <w:rFonts w:ascii="仿宋" w:hAnsi="仿宋" w:eastAsia="仿宋" w:cs="仿宋"/>
                <w:b/>
                <w:bCs/>
                <w:color w:val="auto"/>
                <w:sz w:val="24"/>
                <w:highlight w:val="none"/>
              </w:rPr>
            </w:pPr>
            <w:r>
              <w:rPr>
                <w:rStyle w:val="104"/>
                <w:rFonts w:ascii="仿宋" w:hAnsi="仿宋" w:eastAsia="仿宋" w:cs="仿宋"/>
                <w:b/>
                <w:bCs/>
                <w:color w:val="auto"/>
                <w:sz w:val="24"/>
                <w:highlight w:val="none"/>
              </w:rPr>
              <w:t>成交</w:t>
            </w:r>
          </w:p>
          <w:p>
            <w:pPr>
              <w:spacing w:line="280" w:lineRule="exact"/>
              <w:jc w:val="center"/>
              <w:rPr>
                <w:rStyle w:val="104"/>
                <w:rFonts w:ascii="仿宋" w:hAnsi="仿宋" w:eastAsia="仿宋" w:cs="仿宋"/>
                <w:b/>
                <w:bCs/>
                <w:color w:val="auto"/>
                <w:sz w:val="24"/>
                <w:highlight w:val="none"/>
              </w:rPr>
            </w:pPr>
            <w:r>
              <w:rPr>
                <w:rStyle w:val="104"/>
                <w:rFonts w:ascii="仿宋" w:hAnsi="仿宋" w:eastAsia="仿宋" w:cs="仿宋"/>
                <w:b/>
                <w:bCs/>
                <w:color w:val="auto"/>
                <w:sz w:val="24"/>
                <w:highlight w:val="none"/>
              </w:rPr>
              <w:t>单价（元）</w:t>
            </w:r>
          </w:p>
        </w:tc>
        <w:tc>
          <w:tcPr>
            <w:tcW w:w="1435" w:type="dxa"/>
            <w:vAlign w:val="center"/>
          </w:tcPr>
          <w:p>
            <w:pPr>
              <w:spacing w:line="280" w:lineRule="exact"/>
              <w:jc w:val="center"/>
              <w:rPr>
                <w:rStyle w:val="104"/>
                <w:rFonts w:ascii="仿宋" w:hAnsi="仿宋" w:eastAsia="仿宋" w:cs="仿宋"/>
                <w:b/>
                <w:bCs/>
                <w:color w:val="auto"/>
                <w:sz w:val="24"/>
                <w:highlight w:val="none"/>
              </w:rPr>
            </w:pPr>
            <w:r>
              <w:rPr>
                <w:rStyle w:val="104"/>
                <w:rFonts w:ascii="仿宋" w:hAnsi="仿宋" w:eastAsia="仿宋" w:cs="仿宋"/>
                <w:b/>
                <w:bCs/>
                <w:color w:val="auto"/>
                <w:sz w:val="24"/>
                <w:highlight w:val="none"/>
              </w:rPr>
              <w:t>总价</w:t>
            </w:r>
          </w:p>
          <w:p>
            <w:pPr>
              <w:spacing w:line="280" w:lineRule="exact"/>
              <w:jc w:val="center"/>
              <w:rPr>
                <w:rStyle w:val="104"/>
                <w:rFonts w:ascii="仿宋" w:hAnsi="仿宋" w:eastAsia="仿宋" w:cs="仿宋"/>
                <w:b/>
                <w:bCs/>
                <w:color w:val="auto"/>
                <w:sz w:val="24"/>
                <w:highlight w:val="none"/>
              </w:rPr>
            </w:pPr>
            <w:r>
              <w:rPr>
                <w:rStyle w:val="104"/>
                <w:rFonts w:ascii="仿宋" w:hAnsi="仿宋" w:eastAsia="仿宋" w:cs="仿宋"/>
                <w:b/>
                <w:bCs/>
                <w:color w:val="auto"/>
                <w:sz w:val="24"/>
                <w:highlight w:val="none"/>
              </w:rPr>
              <w:t>（元）</w:t>
            </w:r>
          </w:p>
        </w:tc>
        <w:tc>
          <w:tcPr>
            <w:tcW w:w="1130" w:type="dxa"/>
            <w:vAlign w:val="center"/>
          </w:tcPr>
          <w:p>
            <w:pPr>
              <w:spacing w:line="280" w:lineRule="exact"/>
              <w:jc w:val="center"/>
              <w:rPr>
                <w:rStyle w:val="104"/>
                <w:rFonts w:ascii="仿宋" w:hAnsi="仿宋" w:eastAsia="仿宋" w:cs="仿宋"/>
                <w:b/>
                <w:bCs/>
                <w:color w:val="auto"/>
                <w:sz w:val="24"/>
                <w:highlight w:val="none"/>
              </w:rPr>
            </w:pPr>
            <w:r>
              <w:rPr>
                <w:rStyle w:val="104"/>
                <w:rFonts w:ascii="仿宋" w:hAnsi="仿宋" w:eastAsia="仿宋" w:cs="仿宋"/>
                <w:b/>
                <w:bCs/>
                <w:color w:val="auto"/>
                <w:sz w:val="24"/>
                <w:highlight w:val="none"/>
              </w:rPr>
              <w:t>注册证</w:t>
            </w:r>
          </w:p>
          <w:p>
            <w:pPr>
              <w:spacing w:line="280" w:lineRule="exact"/>
              <w:jc w:val="center"/>
              <w:rPr>
                <w:rStyle w:val="104"/>
                <w:rFonts w:ascii="仿宋" w:hAnsi="仿宋" w:eastAsia="仿宋" w:cs="仿宋"/>
                <w:b/>
                <w:bCs/>
                <w:color w:val="auto"/>
                <w:sz w:val="24"/>
                <w:highlight w:val="none"/>
              </w:rPr>
            </w:pPr>
            <w:r>
              <w:rPr>
                <w:rStyle w:val="104"/>
                <w:rFonts w:ascii="仿宋" w:hAnsi="仿宋" w:eastAsia="仿宋" w:cs="仿宋"/>
                <w:b/>
                <w:bCs/>
                <w:color w:val="auto"/>
                <w:sz w:val="24"/>
                <w:highlight w:val="none"/>
              </w:rPr>
              <w:t>名称</w:t>
            </w:r>
          </w:p>
        </w:tc>
        <w:tc>
          <w:tcPr>
            <w:tcW w:w="512" w:type="dxa"/>
            <w:vAlign w:val="center"/>
          </w:tcPr>
          <w:p>
            <w:pPr>
              <w:spacing w:line="280" w:lineRule="exact"/>
              <w:rPr>
                <w:rStyle w:val="104"/>
                <w:rFonts w:ascii="仿宋" w:hAnsi="仿宋" w:eastAsia="仿宋" w:cs="仿宋"/>
                <w:b/>
                <w:bCs/>
                <w:color w:val="auto"/>
                <w:sz w:val="24"/>
                <w:highlight w:val="none"/>
              </w:rPr>
            </w:pPr>
            <w:r>
              <w:rPr>
                <w:rStyle w:val="104"/>
                <w:rFonts w:hint="eastAsia" w:ascii="仿宋" w:hAnsi="仿宋" w:eastAsia="仿宋" w:cs="仿宋"/>
                <w:b/>
                <w:bCs/>
                <w:color w:val="auto"/>
                <w:sz w:val="24"/>
                <w:highlight w:val="none"/>
              </w:rPr>
              <w:t>随机配件</w:t>
            </w:r>
          </w:p>
        </w:tc>
        <w:tc>
          <w:tcPr>
            <w:tcW w:w="512" w:type="dxa"/>
            <w:vAlign w:val="center"/>
          </w:tcPr>
          <w:p>
            <w:pPr>
              <w:spacing w:line="280" w:lineRule="exact"/>
              <w:jc w:val="center"/>
              <w:rPr>
                <w:rStyle w:val="104"/>
                <w:rFonts w:ascii="仿宋" w:hAnsi="仿宋" w:eastAsia="仿宋" w:cs="仿宋"/>
                <w:b/>
                <w:bCs/>
                <w:color w:val="auto"/>
                <w:sz w:val="24"/>
                <w:highlight w:val="none"/>
              </w:rPr>
            </w:pPr>
            <w:r>
              <w:rPr>
                <w:rStyle w:val="104"/>
                <w:rFonts w:ascii="仿宋" w:hAnsi="仿宋" w:eastAsia="仿宋" w:cs="仿宋"/>
                <w:b/>
                <w:bCs/>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7" w:hRule="atLeast"/>
        </w:trPr>
        <w:tc>
          <w:tcPr>
            <w:tcW w:w="1561" w:type="dxa"/>
            <w:vAlign w:val="center"/>
          </w:tcPr>
          <w:p>
            <w:pPr>
              <w:spacing w:line="280" w:lineRule="exact"/>
              <w:rPr>
                <w:rStyle w:val="104"/>
                <w:rFonts w:ascii="仿宋" w:hAnsi="仿宋" w:eastAsia="仿宋"/>
                <w:color w:val="auto"/>
                <w:sz w:val="24"/>
                <w:highlight w:val="none"/>
              </w:rPr>
            </w:pPr>
          </w:p>
        </w:tc>
        <w:tc>
          <w:tcPr>
            <w:tcW w:w="1077" w:type="dxa"/>
            <w:vAlign w:val="center"/>
          </w:tcPr>
          <w:p>
            <w:pPr>
              <w:spacing w:line="280" w:lineRule="exact"/>
              <w:rPr>
                <w:rStyle w:val="104"/>
                <w:rFonts w:ascii="仿宋" w:hAnsi="仿宋" w:eastAsia="仿宋"/>
                <w:color w:val="auto"/>
                <w:sz w:val="24"/>
                <w:highlight w:val="none"/>
              </w:rPr>
            </w:pPr>
          </w:p>
        </w:tc>
        <w:tc>
          <w:tcPr>
            <w:tcW w:w="1365" w:type="dxa"/>
            <w:vAlign w:val="center"/>
          </w:tcPr>
          <w:p>
            <w:pPr>
              <w:spacing w:line="280" w:lineRule="exact"/>
              <w:rPr>
                <w:rStyle w:val="104"/>
                <w:rFonts w:ascii="仿宋" w:hAnsi="仿宋" w:eastAsia="仿宋"/>
                <w:color w:val="auto"/>
                <w:sz w:val="24"/>
                <w:highlight w:val="none"/>
              </w:rPr>
            </w:pPr>
          </w:p>
        </w:tc>
        <w:tc>
          <w:tcPr>
            <w:tcW w:w="795" w:type="dxa"/>
            <w:vAlign w:val="center"/>
          </w:tcPr>
          <w:p>
            <w:pPr>
              <w:spacing w:line="280" w:lineRule="exact"/>
              <w:textAlignment w:val="center"/>
              <w:rPr>
                <w:rStyle w:val="104"/>
                <w:rFonts w:ascii="仿宋" w:hAnsi="仿宋" w:eastAsia="仿宋"/>
                <w:color w:val="auto"/>
                <w:sz w:val="24"/>
                <w:highlight w:val="none"/>
              </w:rPr>
            </w:pPr>
          </w:p>
        </w:tc>
        <w:tc>
          <w:tcPr>
            <w:tcW w:w="1185" w:type="dxa"/>
            <w:vAlign w:val="center"/>
          </w:tcPr>
          <w:p>
            <w:pPr>
              <w:spacing w:line="280" w:lineRule="exact"/>
              <w:textAlignment w:val="center"/>
              <w:rPr>
                <w:rStyle w:val="104"/>
                <w:rFonts w:ascii="仿宋" w:hAnsi="仿宋" w:eastAsia="仿宋"/>
                <w:color w:val="auto"/>
                <w:sz w:val="24"/>
                <w:highlight w:val="none"/>
              </w:rPr>
            </w:pPr>
          </w:p>
        </w:tc>
        <w:tc>
          <w:tcPr>
            <w:tcW w:w="1435" w:type="dxa"/>
            <w:vAlign w:val="center"/>
          </w:tcPr>
          <w:p>
            <w:pPr>
              <w:spacing w:line="280" w:lineRule="exact"/>
              <w:textAlignment w:val="center"/>
              <w:rPr>
                <w:rStyle w:val="104"/>
                <w:rFonts w:ascii="仿宋" w:hAnsi="仿宋" w:eastAsia="仿宋"/>
                <w:color w:val="auto"/>
                <w:sz w:val="24"/>
                <w:highlight w:val="none"/>
              </w:rPr>
            </w:pPr>
          </w:p>
        </w:tc>
        <w:tc>
          <w:tcPr>
            <w:tcW w:w="1130" w:type="dxa"/>
            <w:vAlign w:val="center"/>
          </w:tcPr>
          <w:p>
            <w:pPr>
              <w:spacing w:line="280" w:lineRule="exact"/>
              <w:jc w:val="center"/>
              <w:rPr>
                <w:rStyle w:val="104"/>
                <w:rFonts w:ascii="仿宋" w:hAnsi="仿宋" w:eastAsia="仿宋"/>
                <w:color w:val="auto"/>
                <w:sz w:val="24"/>
                <w:highlight w:val="none"/>
              </w:rPr>
            </w:pPr>
          </w:p>
        </w:tc>
        <w:tc>
          <w:tcPr>
            <w:tcW w:w="512" w:type="dxa"/>
            <w:vAlign w:val="center"/>
          </w:tcPr>
          <w:p>
            <w:pPr>
              <w:spacing w:line="280" w:lineRule="exact"/>
              <w:jc w:val="center"/>
              <w:rPr>
                <w:rStyle w:val="104"/>
                <w:rFonts w:ascii="仿宋" w:hAnsi="仿宋" w:eastAsia="仿宋"/>
                <w:color w:val="auto"/>
                <w:sz w:val="24"/>
                <w:highlight w:val="none"/>
              </w:rPr>
            </w:pPr>
          </w:p>
        </w:tc>
        <w:tc>
          <w:tcPr>
            <w:tcW w:w="512" w:type="dxa"/>
            <w:vAlign w:val="center"/>
          </w:tcPr>
          <w:p>
            <w:pPr>
              <w:spacing w:line="280" w:lineRule="exact"/>
              <w:jc w:val="center"/>
              <w:textAlignment w:val="center"/>
              <w:rPr>
                <w:rStyle w:val="104"/>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7" w:hRule="atLeast"/>
        </w:trPr>
        <w:tc>
          <w:tcPr>
            <w:tcW w:w="1561" w:type="dxa"/>
            <w:vAlign w:val="center"/>
          </w:tcPr>
          <w:p>
            <w:pPr>
              <w:spacing w:line="280" w:lineRule="exact"/>
              <w:rPr>
                <w:rStyle w:val="104"/>
                <w:rFonts w:ascii="仿宋" w:hAnsi="仿宋" w:eastAsia="仿宋"/>
                <w:color w:val="auto"/>
                <w:sz w:val="24"/>
                <w:highlight w:val="none"/>
              </w:rPr>
            </w:pPr>
          </w:p>
        </w:tc>
        <w:tc>
          <w:tcPr>
            <w:tcW w:w="1077" w:type="dxa"/>
            <w:vAlign w:val="center"/>
          </w:tcPr>
          <w:p>
            <w:pPr>
              <w:spacing w:line="280" w:lineRule="exact"/>
              <w:rPr>
                <w:rStyle w:val="104"/>
                <w:rFonts w:ascii="仿宋" w:hAnsi="仿宋" w:eastAsia="仿宋"/>
                <w:color w:val="auto"/>
                <w:sz w:val="24"/>
                <w:highlight w:val="none"/>
              </w:rPr>
            </w:pPr>
          </w:p>
        </w:tc>
        <w:tc>
          <w:tcPr>
            <w:tcW w:w="1365" w:type="dxa"/>
            <w:vAlign w:val="center"/>
          </w:tcPr>
          <w:p>
            <w:pPr>
              <w:spacing w:line="280" w:lineRule="exact"/>
              <w:rPr>
                <w:rStyle w:val="104"/>
                <w:rFonts w:ascii="仿宋" w:hAnsi="仿宋" w:eastAsia="仿宋"/>
                <w:color w:val="auto"/>
                <w:sz w:val="24"/>
                <w:highlight w:val="none"/>
              </w:rPr>
            </w:pPr>
          </w:p>
        </w:tc>
        <w:tc>
          <w:tcPr>
            <w:tcW w:w="795" w:type="dxa"/>
            <w:vAlign w:val="center"/>
          </w:tcPr>
          <w:p>
            <w:pPr>
              <w:spacing w:line="280" w:lineRule="exact"/>
              <w:textAlignment w:val="center"/>
              <w:rPr>
                <w:rStyle w:val="104"/>
                <w:rFonts w:ascii="仿宋" w:hAnsi="仿宋" w:eastAsia="仿宋"/>
                <w:color w:val="auto"/>
                <w:sz w:val="24"/>
                <w:highlight w:val="none"/>
              </w:rPr>
            </w:pPr>
          </w:p>
        </w:tc>
        <w:tc>
          <w:tcPr>
            <w:tcW w:w="1185" w:type="dxa"/>
            <w:vAlign w:val="center"/>
          </w:tcPr>
          <w:p>
            <w:pPr>
              <w:spacing w:line="280" w:lineRule="exact"/>
              <w:textAlignment w:val="center"/>
              <w:rPr>
                <w:rStyle w:val="104"/>
                <w:rFonts w:ascii="仿宋" w:hAnsi="仿宋" w:eastAsia="仿宋"/>
                <w:color w:val="auto"/>
                <w:sz w:val="24"/>
                <w:highlight w:val="none"/>
              </w:rPr>
            </w:pPr>
          </w:p>
        </w:tc>
        <w:tc>
          <w:tcPr>
            <w:tcW w:w="1435" w:type="dxa"/>
            <w:vAlign w:val="center"/>
          </w:tcPr>
          <w:p>
            <w:pPr>
              <w:spacing w:line="280" w:lineRule="exact"/>
              <w:textAlignment w:val="center"/>
              <w:rPr>
                <w:rStyle w:val="104"/>
                <w:rFonts w:ascii="仿宋" w:hAnsi="仿宋" w:eastAsia="仿宋"/>
                <w:color w:val="auto"/>
                <w:sz w:val="24"/>
                <w:highlight w:val="none"/>
              </w:rPr>
            </w:pPr>
          </w:p>
        </w:tc>
        <w:tc>
          <w:tcPr>
            <w:tcW w:w="1130" w:type="dxa"/>
            <w:vAlign w:val="center"/>
          </w:tcPr>
          <w:p>
            <w:pPr>
              <w:spacing w:line="280" w:lineRule="exact"/>
              <w:jc w:val="center"/>
              <w:rPr>
                <w:rStyle w:val="104"/>
                <w:rFonts w:ascii="仿宋" w:hAnsi="仿宋" w:eastAsia="仿宋"/>
                <w:color w:val="auto"/>
                <w:sz w:val="24"/>
                <w:highlight w:val="none"/>
              </w:rPr>
            </w:pPr>
          </w:p>
        </w:tc>
        <w:tc>
          <w:tcPr>
            <w:tcW w:w="512" w:type="dxa"/>
            <w:vAlign w:val="center"/>
          </w:tcPr>
          <w:p>
            <w:pPr>
              <w:spacing w:line="280" w:lineRule="exact"/>
              <w:jc w:val="center"/>
              <w:rPr>
                <w:rStyle w:val="104"/>
                <w:rFonts w:ascii="仿宋" w:hAnsi="仿宋" w:eastAsia="仿宋"/>
                <w:color w:val="auto"/>
                <w:sz w:val="24"/>
                <w:highlight w:val="none"/>
              </w:rPr>
            </w:pPr>
          </w:p>
        </w:tc>
        <w:tc>
          <w:tcPr>
            <w:tcW w:w="512" w:type="dxa"/>
            <w:vAlign w:val="center"/>
          </w:tcPr>
          <w:p>
            <w:pPr>
              <w:spacing w:line="280" w:lineRule="exact"/>
              <w:jc w:val="center"/>
              <w:textAlignment w:val="center"/>
              <w:rPr>
                <w:rStyle w:val="104"/>
                <w:rFonts w:ascii="仿宋" w:hAnsi="仿宋" w:eastAsia="仿宋"/>
                <w:color w:val="auto"/>
                <w:sz w:val="24"/>
                <w:highlight w:val="none"/>
              </w:rPr>
            </w:pPr>
          </w:p>
        </w:tc>
      </w:tr>
    </w:tbl>
    <w:p>
      <w:pPr>
        <w:pStyle w:val="105"/>
        <w:rPr>
          <w:color w:val="auto"/>
          <w:highlight w:val="none"/>
        </w:rPr>
      </w:pPr>
    </w:p>
    <w:p>
      <w:pPr>
        <w:pStyle w:val="106"/>
        <w:spacing w:after="0" w:line="360" w:lineRule="exact"/>
        <w:ind w:firstLine="482"/>
        <w:rPr>
          <w:rStyle w:val="104"/>
          <w:rFonts w:ascii="仿宋" w:hAnsi="仿宋" w:eastAsia="仿宋"/>
          <w:b/>
          <w:bCs/>
          <w:color w:val="auto"/>
          <w:sz w:val="24"/>
          <w:highlight w:val="none"/>
        </w:rPr>
      </w:pPr>
      <w:r>
        <w:rPr>
          <w:rStyle w:val="104"/>
          <w:rFonts w:ascii="仿宋" w:hAnsi="仿宋" w:eastAsia="仿宋"/>
          <w:b/>
          <w:bCs/>
          <w:color w:val="auto"/>
          <w:sz w:val="24"/>
          <w:highlight w:val="none"/>
        </w:rPr>
        <w:t>三、合同总价</w:t>
      </w:r>
    </w:p>
    <w:p>
      <w:pPr>
        <w:pStyle w:val="106"/>
        <w:spacing w:after="0" w:line="360" w:lineRule="exact"/>
        <w:ind w:firstLine="480"/>
        <w:rPr>
          <w:rStyle w:val="104"/>
          <w:rFonts w:ascii="仿宋" w:hAnsi="仿宋" w:eastAsia="仿宋"/>
          <w:color w:val="auto"/>
          <w:sz w:val="24"/>
          <w:highlight w:val="none"/>
        </w:rPr>
      </w:pPr>
      <w:r>
        <w:rPr>
          <w:rStyle w:val="104"/>
          <w:rFonts w:ascii="仿宋" w:hAnsi="仿宋" w:eastAsia="仿宋"/>
          <w:color w:val="auto"/>
          <w:sz w:val="24"/>
          <w:highlight w:val="none"/>
        </w:rPr>
        <w:t>1.本合同项下采购设备合同总价为</w:t>
      </w:r>
      <w:r>
        <w:rPr>
          <w:rStyle w:val="104"/>
          <w:rFonts w:eastAsia="仿宋"/>
          <w:color w:val="auto"/>
          <w:sz w:val="24"/>
          <w:highlight w:val="none"/>
        </w:rPr>
        <w:t>¥</w:t>
      </w:r>
      <w:r>
        <w:rPr>
          <w:rStyle w:val="104"/>
          <w:rFonts w:eastAsia="仿宋"/>
          <w:color w:val="auto"/>
          <w:sz w:val="24"/>
          <w:highlight w:val="none"/>
          <w:u w:val="single"/>
        </w:rPr>
        <w:t xml:space="preserve"> </w:t>
      </w:r>
      <w:r>
        <w:rPr>
          <w:rStyle w:val="104"/>
          <w:rFonts w:ascii="仿宋" w:hAnsi="仿宋" w:eastAsia="仿宋"/>
          <w:color w:val="auto"/>
          <w:sz w:val="24"/>
          <w:highlight w:val="none"/>
          <w:u w:val="single"/>
        </w:rPr>
        <w:t xml:space="preserve">      </w:t>
      </w:r>
      <w:r>
        <w:rPr>
          <w:rStyle w:val="104"/>
          <w:rFonts w:eastAsia="仿宋"/>
          <w:color w:val="auto"/>
          <w:sz w:val="24"/>
          <w:highlight w:val="none"/>
        </w:rPr>
        <w:t>元整（</w:t>
      </w:r>
      <w:r>
        <w:rPr>
          <w:rStyle w:val="104"/>
          <w:rFonts w:ascii="仿宋" w:hAnsi="仿宋" w:eastAsia="仿宋"/>
          <w:color w:val="auto"/>
          <w:sz w:val="24"/>
          <w:highlight w:val="none"/>
        </w:rPr>
        <w:t>人民币大写：</w:t>
      </w:r>
      <w:r>
        <w:rPr>
          <w:rStyle w:val="104"/>
          <w:rFonts w:hint="eastAsia" w:ascii="仿宋" w:hAnsi="仿宋" w:eastAsia="仿宋"/>
          <w:b/>
          <w:bCs/>
          <w:color w:val="auto"/>
          <w:sz w:val="24"/>
          <w:highlight w:val="none"/>
          <w:u w:val="single"/>
        </w:rPr>
        <w:t xml:space="preserve"> </w:t>
      </w:r>
      <w:r>
        <w:rPr>
          <w:rStyle w:val="104"/>
          <w:rFonts w:ascii="仿宋" w:hAnsi="仿宋" w:eastAsia="仿宋"/>
          <w:b/>
          <w:bCs/>
          <w:color w:val="auto"/>
          <w:sz w:val="24"/>
          <w:highlight w:val="none"/>
          <w:u w:val="single"/>
        </w:rPr>
        <w:t xml:space="preserve">       </w:t>
      </w:r>
      <w:r>
        <w:rPr>
          <w:rStyle w:val="104"/>
          <w:rFonts w:ascii="仿宋" w:hAnsi="仿宋" w:eastAsia="仿宋"/>
          <w:color w:val="auto"/>
          <w:sz w:val="24"/>
          <w:highlight w:val="none"/>
        </w:rPr>
        <w:t>元整），该合同总价包括乙方向甲方提供本合同规定的所有设备及乙方全面履行本合同规定的责任和义务所需发生的全部费用，包括设备设计、材料、制造、包装、运输、安装、调试、检测、交货、换货、退货、保修期内保修服务、培训与备用物件、合理利润及税费等等所有有关的全部费用，并包括本合同规定应由乙方承担的一切风险（包括物价、税率等的变化及采购设备损毁灭失等风险）。除甲乙双方书面约定外，甲方为实现本合同项下所有权益，无须另向乙方支付其他任何费用。</w:t>
      </w:r>
    </w:p>
    <w:p>
      <w:pPr>
        <w:pStyle w:val="106"/>
        <w:spacing w:after="0" w:line="360" w:lineRule="exact"/>
        <w:ind w:firstLine="480"/>
        <w:rPr>
          <w:rStyle w:val="104"/>
          <w:rFonts w:ascii="仿宋" w:hAnsi="仿宋" w:eastAsia="仿宋"/>
          <w:color w:val="auto"/>
          <w:sz w:val="24"/>
          <w:highlight w:val="none"/>
        </w:rPr>
      </w:pPr>
      <w:r>
        <w:rPr>
          <w:rStyle w:val="104"/>
          <w:rFonts w:ascii="仿宋" w:hAnsi="仿宋" w:eastAsia="仿宋"/>
          <w:color w:val="auto"/>
          <w:sz w:val="24"/>
          <w:highlight w:val="none"/>
        </w:rPr>
        <w:t>2.本合同执行期间合同总价不变，乙方无权以成本、物价、税率变化等任何理由要求甲方另行支付任何费用。</w:t>
      </w:r>
    </w:p>
    <w:p>
      <w:pPr>
        <w:pStyle w:val="106"/>
        <w:spacing w:after="0" w:line="360" w:lineRule="exact"/>
        <w:ind w:firstLine="480"/>
        <w:rPr>
          <w:rStyle w:val="104"/>
          <w:rFonts w:ascii="仿宋" w:hAnsi="仿宋" w:eastAsia="仿宋"/>
          <w:color w:val="auto"/>
          <w:sz w:val="24"/>
          <w:highlight w:val="none"/>
        </w:rPr>
      </w:pPr>
      <w:r>
        <w:rPr>
          <w:rStyle w:val="104"/>
          <w:rFonts w:ascii="仿宋" w:hAnsi="仿宋" w:eastAsia="仿宋"/>
          <w:color w:val="auto"/>
          <w:sz w:val="24"/>
          <w:highlight w:val="none"/>
        </w:rPr>
        <w:t xml:space="preserve">3.当国家法定增值税税率发生变更，如增值税税率降低的，甲乙双方同意以不含税价格不变为基数，相应调整增值税税额及合同价款。如增值税税率上升，甲乙双方同意相应调整增值税税额但是合同价款保持不变。 </w:t>
      </w:r>
    </w:p>
    <w:p>
      <w:pPr>
        <w:pStyle w:val="106"/>
        <w:spacing w:after="0" w:line="360" w:lineRule="exact"/>
        <w:ind w:firstLine="482"/>
        <w:rPr>
          <w:rStyle w:val="104"/>
          <w:rFonts w:ascii="仿宋" w:hAnsi="仿宋" w:eastAsia="仿宋"/>
          <w:b/>
          <w:bCs/>
          <w:color w:val="auto"/>
          <w:sz w:val="24"/>
          <w:highlight w:val="none"/>
        </w:rPr>
      </w:pPr>
      <w:r>
        <w:rPr>
          <w:rStyle w:val="104"/>
          <w:rFonts w:ascii="仿宋" w:hAnsi="仿宋" w:eastAsia="仿宋"/>
          <w:b/>
          <w:bCs/>
          <w:color w:val="auto"/>
          <w:sz w:val="24"/>
          <w:highlight w:val="none"/>
        </w:rPr>
        <w:t>四、款项结算及支付</w:t>
      </w:r>
    </w:p>
    <w:p>
      <w:pPr>
        <w:pStyle w:val="106"/>
        <w:spacing w:after="0" w:line="360" w:lineRule="exact"/>
        <w:ind w:firstLine="480"/>
        <w:rPr>
          <w:rStyle w:val="104"/>
          <w:rFonts w:ascii="仿宋" w:hAnsi="仿宋" w:eastAsia="仿宋"/>
          <w:color w:val="auto"/>
          <w:sz w:val="24"/>
          <w:highlight w:val="none"/>
        </w:rPr>
      </w:pPr>
      <w:r>
        <w:rPr>
          <w:rStyle w:val="104"/>
          <w:rFonts w:ascii="仿宋" w:hAnsi="仿宋" w:eastAsia="仿宋"/>
          <w:color w:val="auto"/>
          <w:sz w:val="24"/>
          <w:highlight w:val="none"/>
        </w:rPr>
        <w:t>1.甲方于本合同签订后5个工作日内支付合同总价的30%作为预付款，即:</w:t>
      </w:r>
      <w:r>
        <w:rPr>
          <w:rStyle w:val="104"/>
          <w:rFonts w:eastAsia="仿宋"/>
          <w:color w:val="auto"/>
          <w:sz w:val="24"/>
          <w:highlight w:val="none"/>
        </w:rPr>
        <w:t>¥</w:t>
      </w:r>
      <w:r>
        <w:rPr>
          <w:rStyle w:val="104"/>
          <w:rFonts w:hint="eastAsia" w:ascii="仿宋" w:hAnsi="仿宋" w:eastAsia="仿宋"/>
          <w:color w:val="auto"/>
          <w:sz w:val="24"/>
          <w:highlight w:val="none"/>
        </w:rPr>
        <w:t xml:space="preserve">【 </w:t>
      </w:r>
      <w:r>
        <w:rPr>
          <w:rStyle w:val="104"/>
          <w:rFonts w:ascii="仿宋" w:hAnsi="仿宋" w:eastAsia="仿宋"/>
          <w:color w:val="auto"/>
          <w:sz w:val="24"/>
          <w:highlight w:val="none"/>
        </w:rPr>
        <w:t xml:space="preserve">  </w:t>
      </w:r>
      <w:r>
        <w:rPr>
          <w:rStyle w:val="104"/>
          <w:rFonts w:hint="eastAsia" w:ascii="仿宋" w:hAnsi="仿宋" w:eastAsia="仿宋"/>
          <w:color w:val="auto"/>
          <w:sz w:val="24"/>
          <w:highlight w:val="none"/>
        </w:rPr>
        <w:t>】</w:t>
      </w:r>
      <w:r>
        <w:rPr>
          <w:rStyle w:val="104"/>
          <w:rFonts w:ascii="仿宋" w:hAnsi="仿宋" w:eastAsia="仿宋"/>
          <w:color w:val="auto"/>
          <w:sz w:val="24"/>
          <w:highlight w:val="none"/>
        </w:rPr>
        <w:t>元（人民币大写：</w:t>
      </w:r>
      <w:r>
        <w:rPr>
          <w:rStyle w:val="104"/>
          <w:rFonts w:hint="eastAsia" w:ascii="仿宋" w:hAnsi="仿宋" w:eastAsia="仿宋"/>
          <w:color w:val="auto"/>
          <w:sz w:val="24"/>
          <w:highlight w:val="none"/>
        </w:rPr>
        <w:t xml:space="preserve">【 </w:t>
      </w:r>
      <w:r>
        <w:rPr>
          <w:rStyle w:val="104"/>
          <w:rFonts w:ascii="仿宋" w:hAnsi="仿宋" w:eastAsia="仿宋"/>
          <w:color w:val="auto"/>
          <w:sz w:val="24"/>
          <w:highlight w:val="none"/>
        </w:rPr>
        <w:t xml:space="preserve">  </w:t>
      </w:r>
      <w:r>
        <w:rPr>
          <w:rStyle w:val="104"/>
          <w:rFonts w:hint="eastAsia" w:ascii="仿宋" w:hAnsi="仿宋" w:eastAsia="仿宋"/>
          <w:color w:val="auto"/>
          <w:sz w:val="24"/>
          <w:highlight w:val="none"/>
        </w:rPr>
        <w:t>】</w:t>
      </w:r>
      <w:r>
        <w:rPr>
          <w:rStyle w:val="104"/>
          <w:rFonts w:ascii="仿宋" w:hAnsi="仿宋" w:eastAsia="仿宋"/>
          <w:color w:val="auto"/>
          <w:sz w:val="24"/>
          <w:highlight w:val="none"/>
        </w:rPr>
        <w:t>元整）；</w:t>
      </w:r>
      <w:r>
        <w:rPr>
          <w:rStyle w:val="104"/>
          <w:rFonts w:hint="eastAsia" w:ascii="仿宋" w:hAnsi="仿宋" w:eastAsia="仿宋"/>
          <w:color w:val="auto"/>
          <w:sz w:val="24"/>
          <w:highlight w:val="none"/>
        </w:rPr>
        <w:t>甲方于采购设备全部安装调试并经最终验收合格且收到发票后15日内支付合同总价的65%</w:t>
      </w:r>
      <w:r>
        <w:rPr>
          <w:rStyle w:val="104"/>
          <w:rFonts w:ascii="仿宋" w:hAnsi="仿宋" w:eastAsia="仿宋"/>
          <w:color w:val="auto"/>
          <w:sz w:val="24"/>
          <w:highlight w:val="none"/>
        </w:rPr>
        <w:t>，即:</w:t>
      </w:r>
      <w:r>
        <w:rPr>
          <w:rStyle w:val="104"/>
          <w:rFonts w:eastAsia="仿宋"/>
          <w:color w:val="auto"/>
          <w:sz w:val="24"/>
          <w:highlight w:val="none"/>
        </w:rPr>
        <w:t>¥</w:t>
      </w:r>
      <w:r>
        <w:rPr>
          <w:rStyle w:val="104"/>
          <w:rFonts w:hint="eastAsia" w:ascii="仿宋" w:hAnsi="仿宋" w:eastAsia="仿宋"/>
          <w:color w:val="auto"/>
          <w:sz w:val="24"/>
          <w:highlight w:val="none"/>
        </w:rPr>
        <w:t xml:space="preserve">【 </w:t>
      </w:r>
      <w:r>
        <w:rPr>
          <w:rStyle w:val="104"/>
          <w:rFonts w:ascii="仿宋" w:hAnsi="仿宋" w:eastAsia="仿宋"/>
          <w:color w:val="auto"/>
          <w:sz w:val="24"/>
          <w:highlight w:val="none"/>
        </w:rPr>
        <w:t xml:space="preserve">  </w:t>
      </w:r>
      <w:r>
        <w:rPr>
          <w:rStyle w:val="104"/>
          <w:rFonts w:hint="eastAsia" w:ascii="仿宋" w:hAnsi="仿宋" w:eastAsia="仿宋"/>
          <w:color w:val="auto"/>
          <w:sz w:val="24"/>
          <w:highlight w:val="none"/>
        </w:rPr>
        <w:t>】</w:t>
      </w:r>
      <w:r>
        <w:rPr>
          <w:rStyle w:val="104"/>
          <w:rFonts w:ascii="仿宋" w:hAnsi="仿宋" w:eastAsia="仿宋"/>
          <w:color w:val="auto"/>
          <w:sz w:val="24"/>
          <w:highlight w:val="none"/>
        </w:rPr>
        <w:t>元（人民币大写：</w:t>
      </w:r>
      <w:r>
        <w:rPr>
          <w:rStyle w:val="104"/>
          <w:rFonts w:hint="eastAsia" w:ascii="仿宋" w:hAnsi="仿宋" w:eastAsia="仿宋"/>
          <w:color w:val="auto"/>
          <w:sz w:val="24"/>
          <w:highlight w:val="none"/>
        </w:rPr>
        <w:t xml:space="preserve">【 </w:t>
      </w:r>
      <w:r>
        <w:rPr>
          <w:rStyle w:val="104"/>
          <w:rFonts w:ascii="仿宋" w:hAnsi="仿宋" w:eastAsia="仿宋"/>
          <w:color w:val="auto"/>
          <w:sz w:val="24"/>
          <w:highlight w:val="none"/>
        </w:rPr>
        <w:t xml:space="preserve">  </w:t>
      </w:r>
      <w:r>
        <w:rPr>
          <w:rStyle w:val="104"/>
          <w:rFonts w:hint="eastAsia" w:ascii="仿宋" w:hAnsi="仿宋" w:eastAsia="仿宋"/>
          <w:color w:val="auto"/>
          <w:sz w:val="24"/>
          <w:highlight w:val="none"/>
        </w:rPr>
        <w:t>】</w:t>
      </w:r>
      <w:r>
        <w:rPr>
          <w:rStyle w:val="104"/>
          <w:rFonts w:ascii="仿宋" w:hAnsi="仿宋" w:eastAsia="仿宋"/>
          <w:color w:val="auto"/>
          <w:sz w:val="24"/>
          <w:highlight w:val="none"/>
        </w:rPr>
        <w:t>元整）；</w:t>
      </w:r>
      <w:r>
        <w:rPr>
          <w:rStyle w:val="104"/>
          <w:rFonts w:hint="eastAsia" w:ascii="仿宋" w:hAnsi="仿宋" w:eastAsia="仿宋"/>
          <w:color w:val="auto"/>
          <w:sz w:val="24"/>
          <w:highlight w:val="none"/>
        </w:rPr>
        <w:t>质保期</w:t>
      </w:r>
      <w:r>
        <w:rPr>
          <w:rStyle w:val="104"/>
          <w:rFonts w:ascii="仿宋" w:hAnsi="仿宋" w:eastAsia="仿宋"/>
          <w:color w:val="auto"/>
          <w:sz w:val="24"/>
          <w:highlight w:val="none"/>
        </w:rPr>
        <w:t>满后，</w:t>
      </w:r>
      <w:r>
        <w:rPr>
          <w:rStyle w:val="104"/>
          <w:rFonts w:hint="eastAsia" w:ascii="仿宋" w:hAnsi="仿宋" w:eastAsia="仿宋"/>
          <w:color w:val="auto"/>
          <w:sz w:val="24"/>
          <w:highlight w:val="none"/>
        </w:rPr>
        <w:t>双方无异议，</w:t>
      </w:r>
      <w:r>
        <w:rPr>
          <w:rStyle w:val="104"/>
          <w:rFonts w:ascii="仿宋" w:hAnsi="仿宋" w:eastAsia="仿宋"/>
          <w:color w:val="auto"/>
          <w:sz w:val="24"/>
          <w:highlight w:val="none"/>
        </w:rPr>
        <w:t>甲方按本合同约定无</w:t>
      </w:r>
      <w:r>
        <w:rPr>
          <w:rStyle w:val="104"/>
          <w:rFonts w:hint="eastAsia" w:ascii="仿宋" w:hAnsi="仿宋" w:eastAsia="仿宋"/>
          <w:color w:val="auto"/>
          <w:sz w:val="24"/>
          <w:highlight w:val="none"/>
        </w:rPr>
        <w:t>向乙方支付合同总价的5%货款</w:t>
      </w:r>
      <w:r>
        <w:rPr>
          <w:rStyle w:val="104"/>
          <w:rFonts w:ascii="仿宋" w:hAnsi="仿宋" w:eastAsia="仿宋"/>
          <w:color w:val="auto"/>
          <w:sz w:val="24"/>
          <w:highlight w:val="none"/>
        </w:rPr>
        <w:t>，即:</w:t>
      </w:r>
      <w:r>
        <w:rPr>
          <w:rStyle w:val="104"/>
          <w:rFonts w:eastAsia="仿宋" w:cs="Calibri"/>
          <w:color w:val="auto"/>
          <w:sz w:val="24"/>
          <w:highlight w:val="none"/>
        </w:rPr>
        <w:t>¥</w:t>
      </w:r>
      <w:r>
        <w:rPr>
          <w:rStyle w:val="104"/>
          <w:rFonts w:hint="eastAsia" w:ascii="仿宋" w:hAnsi="仿宋" w:eastAsia="仿宋"/>
          <w:color w:val="auto"/>
          <w:sz w:val="24"/>
          <w:highlight w:val="none"/>
        </w:rPr>
        <w:t xml:space="preserve">【 </w:t>
      </w:r>
      <w:r>
        <w:rPr>
          <w:rStyle w:val="104"/>
          <w:rFonts w:ascii="仿宋" w:hAnsi="仿宋" w:eastAsia="仿宋"/>
          <w:color w:val="auto"/>
          <w:sz w:val="24"/>
          <w:highlight w:val="none"/>
        </w:rPr>
        <w:t xml:space="preserve">  </w:t>
      </w:r>
      <w:r>
        <w:rPr>
          <w:rStyle w:val="104"/>
          <w:rFonts w:hint="eastAsia" w:ascii="仿宋" w:hAnsi="仿宋" w:eastAsia="仿宋"/>
          <w:color w:val="auto"/>
          <w:sz w:val="24"/>
          <w:highlight w:val="none"/>
        </w:rPr>
        <w:t>】</w:t>
      </w:r>
      <w:r>
        <w:rPr>
          <w:rStyle w:val="104"/>
          <w:rFonts w:ascii="仿宋" w:hAnsi="仿宋" w:eastAsia="仿宋"/>
          <w:color w:val="auto"/>
          <w:sz w:val="24"/>
          <w:highlight w:val="none"/>
        </w:rPr>
        <w:t>元（人民币大写：</w:t>
      </w:r>
      <w:r>
        <w:rPr>
          <w:rStyle w:val="104"/>
          <w:rFonts w:hint="eastAsia" w:ascii="仿宋" w:hAnsi="仿宋" w:eastAsia="仿宋"/>
          <w:color w:val="auto"/>
          <w:sz w:val="24"/>
          <w:highlight w:val="none"/>
        </w:rPr>
        <w:t xml:space="preserve">【 </w:t>
      </w:r>
      <w:r>
        <w:rPr>
          <w:rStyle w:val="104"/>
          <w:rFonts w:ascii="仿宋" w:hAnsi="仿宋" w:eastAsia="仿宋"/>
          <w:color w:val="auto"/>
          <w:sz w:val="24"/>
          <w:highlight w:val="none"/>
        </w:rPr>
        <w:t xml:space="preserve">  </w:t>
      </w:r>
      <w:r>
        <w:rPr>
          <w:rStyle w:val="104"/>
          <w:rFonts w:hint="eastAsia" w:ascii="仿宋" w:hAnsi="仿宋" w:eastAsia="仿宋"/>
          <w:color w:val="auto"/>
          <w:sz w:val="24"/>
          <w:highlight w:val="none"/>
        </w:rPr>
        <w:t>】</w:t>
      </w:r>
      <w:r>
        <w:rPr>
          <w:rStyle w:val="104"/>
          <w:rFonts w:ascii="仿宋" w:hAnsi="仿宋" w:eastAsia="仿宋"/>
          <w:color w:val="auto"/>
          <w:sz w:val="24"/>
          <w:highlight w:val="none"/>
        </w:rPr>
        <w:t>元整）。</w:t>
      </w:r>
    </w:p>
    <w:p>
      <w:pPr>
        <w:pStyle w:val="106"/>
        <w:spacing w:after="0" w:line="360" w:lineRule="exact"/>
        <w:ind w:firstLine="480"/>
        <w:rPr>
          <w:rStyle w:val="104"/>
          <w:rFonts w:ascii="仿宋" w:hAnsi="仿宋" w:eastAsia="仿宋"/>
          <w:color w:val="auto"/>
          <w:sz w:val="24"/>
          <w:highlight w:val="none"/>
        </w:rPr>
      </w:pPr>
      <w:r>
        <w:rPr>
          <w:rStyle w:val="104"/>
          <w:rFonts w:ascii="仿宋" w:hAnsi="仿宋" w:eastAsia="仿宋"/>
          <w:color w:val="auto"/>
          <w:sz w:val="24"/>
          <w:highlight w:val="none"/>
        </w:rPr>
        <w:t>2.除预付款支付外，乙方向甲方申请支付每笔款项前，应当提供相应的结算资料：</w:t>
      </w:r>
    </w:p>
    <w:p>
      <w:pPr>
        <w:pStyle w:val="106"/>
        <w:spacing w:after="0" w:line="360" w:lineRule="exact"/>
        <w:ind w:firstLine="480"/>
        <w:rPr>
          <w:rStyle w:val="104"/>
          <w:rFonts w:ascii="仿宋" w:hAnsi="仿宋" w:eastAsia="仿宋"/>
          <w:color w:val="auto"/>
          <w:sz w:val="24"/>
          <w:highlight w:val="none"/>
        </w:rPr>
      </w:pPr>
      <w:r>
        <w:rPr>
          <w:rStyle w:val="104"/>
          <w:rFonts w:ascii="仿宋" w:hAnsi="仿宋" w:eastAsia="仿宋"/>
          <w:color w:val="auto"/>
          <w:sz w:val="24"/>
          <w:highlight w:val="none"/>
        </w:rPr>
        <w:t>(1)支付申请函；</w:t>
      </w:r>
    </w:p>
    <w:p>
      <w:pPr>
        <w:pStyle w:val="106"/>
        <w:spacing w:after="0" w:line="360" w:lineRule="exact"/>
        <w:ind w:firstLine="480"/>
        <w:rPr>
          <w:rStyle w:val="104"/>
          <w:rFonts w:ascii="仿宋" w:hAnsi="仿宋" w:eastAsia="仿宋"/>
          <w:color w:val="auto"/>
          <w:sz w:val="24"/>
          <w:highlight w:val="none"/>
        </w:rPr>
      </w:pPr>
      <w:r>
        <w:rPr>
          <w:rStyle w:val="104"/>
          <w:rFonts w:ascii="仿宋" w:hAnsi="仿宋" w:eastAsia="仿宋"/>
          <w:color w:val="auto"/>
          <w:sz w:val="24"/>
          <w:highlight w:val="none"/>
        </w:rPr>
        <w:t xml:space="preserve">(2)验收合格的资料； </w:t>
      </w:r>
    </w:p>
    <w:p>
      <w:pPr>
        <w:pStyle w:val="106"/>
        <w:spacing w:after="0" w:line="360" w:lineRule="exact"/>
        <w:ind w:firstLine="480"/>
        <w:rPr>
          <w:rStyle w:val="104"/>
          <w:rFonts w:ascii="仿宋" w:hAnsi="仿宋" w:eastAsia="仿宋"/>
          <w:color w:val="auto"/>
          <w:sz w:val="24"/>
          <w:highlight w:val="none"/>
        </w:rPr>
      </w:pPr>
      <w:r>
        <w:rPr>
          <w:rStyle w:val="104"/>
          <w:rFonts w:ascii="仿宋" w:hAnsi="仿宋" w:eastAsia="仿宋"/>
          <w:color w:val="auto"/>
          <w:sz w:val="24"/>
          <w:highlight w:val="none"/>
        </w:rPr>
        <w:t>（3）按甲方财务管理要求提供合法有效完整的相应的增值税发票。包括：</w:t>
      </w:r>
    </w:p>
    <w:p>
      <w:pPr>
        <w:pStyle w:val="6"/>
        <w:spacing w:line="360" w:lineRule="exact"/>
        <w:ind w:firstLine="480"/>
        <w:rPr>
          <w:rFonts w:ascii="仿宋" w:hAnsi="仿宋" w:eastAsia="仿宋"/>
          <w:color w:val="auto"/>
          <w:sz w:val="24"/>
          <w:highlight w:val="none"/>
        </w:rPr>
      </w:pPr>
      <w:r>
        <w:rPr>
          <w:rFonts w:hint="eastAsia" w:ascii="仿宋" w:hAnsi="仿宋" w:eastAsia="仿宋"/>
          <w:color w:val="auto"/>
          <w:sz w:val="24"/>
          <w:highlight w:val="none"/>
        </w:rPr>
        <w:t>开票单位名称：成都市双流区妇幼保健院</w:t>
      </w:r>
    </w:p>
    <w:p>
      <w:pPr>
        <w:pStyle w:val="6"/>
        <w:spacing w:line="360" w:lineRule="exact"/>
        <w:ind w:firstLine="480"/>
        <w:rPr>
          <w:rFonts w:ascii="仿宋" w:hAnsi="仿宋" w:eastAsia="仿宋"/>
          <w:color w:val="auto"/>
          <w:sz w:val="24"/>
          <w:highlight w:val="none"/>
        </w:rPr>
      </w:pPr>
      <w:r>
        <w:rPr>
          <w:rFonts w:hint="eastAsia" w:ascii="仿宋" w:hAnsi="仿宋" w:eastAsia="仿宋"/>
          <w:color w:val="auto"/>
          <w:sz w:val="24"/>
          <w:highlight w:val="none"/>
        </w:rPr>
        <w:t>纳税人识别号:125101224508116603</w:t>
      </w:r>
    </w:p>
    <w:p>
      <w:pPr>
        <w:pStyle w:val="6"/>
        <w:spacing w:line="360" w:lineRule="exact"/>
        <w:ind w:firstLine="480"/>
        <w:rPr>
          <w:rFonts w:ascii="仿宋" w:hAnsi="仿宋" w:eastAsia="仿宋"/>
          <w:color w:val="auto"/>
          <w:sz w:val="24"/>
          <w:highlight w:val="none"/>
        </w:rPr>
      </w:pPr>
      <w:r>
        <w:rPr>
          <w:rFonts w:hint="eastAsia" w:ascii="仿宋" w:hAnsi="仿宋" w:eastAsia="仿宋"/>
          <w:color w:val="auto"/>
          <w:sz w:val="24"/>
          <w:highlight w:val="none"/>
        </w:rPr>
        <w:t>开户银行：建设银行双流分行</w:t>
      </w:r>
    </w:p>
    <w:p>
      <w:pPr>
        <w:pStyle w:val="6"/>
        <w:spacing w:line="360" w:lineRule="exact"/>
        <w:ind w:firstLine="480"/>
        <w:rPr>
          <w:rFonts w:ascii="仿宋" w:hAnsi="仿宋" w:eastAsia="仿宋"/>
          <w:color w:val="auto"/>
          <w:sz w:val="24"/>
          <w:highlight w:val="none"/>
        </w:rPr>
      </w:pPr>
      <w:r>
        <w:rPr>
          <w:rFonts w:hint="eastAsia" w:ascii="仿宋" w:hAnsi="仿宋" w:eastAsia="仿宋"/>
          <w:color w:val="auto"/>
          <w:sz w:val="24"/>
          <w:highlight w:val="none"/>
        </w:rPr>
        <w:t>账号：51050152790800000963</w:t>
      </w:r>
    </w:p>
    <w:p>
      <w:pPr>
        <w:pStyle w:val="6"/>
        <w:spacing w:line="360" w:lineRule="exact"/>
        <w:ind w:firstLine="480"/>
        <w:rPr>
          <w:rFonts w:ascii="仿宋" w:hAnsi="仿宋" w:eastAsia="仿宋"/>
          <w:color w:val="auto"/>
          <w:sz w:val="24"/>
          <w:highlight w:val="none"/>
        </w:rPr>
      </w:pPr>
      <w:r>
        <w:rPr>
          <w:rFonts w:hint="eastAsia" w:ascii="仿宋" w:hAnsi="仿宋" w:eastAsia="仿宋"/>
          <w:color w:val="auto"/>
          <w:sz w:val="24"/>
          <w:highlight w:val="none"/>
        </w:rPr>
        <w:t>联系地址：成都市双流区涧槽中街396号</w:t>
      </w:r>
    </w:p>
    <w:p>
      <w:pPr>
        <w:spacing w:line="360" w:lineRule="exact"/>
        <w:ind w:firstLine="480" w:firstLineChars="200"/>
        <w:rPr>
          <w:rStyle w:val="104"/>
          <w:rFonts w:ascii="仿宋" w:hAnsi="仿宋" w:eastAsia="仿宋"/>
          <w:color w:val="auto"/>
          <w:sz w:val="24"/>
          <w:highlight w:val="none"/>
        </w:rPr>
      </w:pPr>
      <w:r>
        <w:rPr>
          <w:rStyle w:val="104"/>
          <w:rFonts w:ascii="仿宋" w:hAnsi="仿宋" w:eastAsia="仿宋"/>
          <w:color w:val="auto"/>
          <w:sz w:val="24"/>
          <w:highlight w:val="none"/>
        </w:rPr>
        <w:t>3.如乙方未按合同约定提供结算资料或增值税发票的，甲方有权拒绝付款且不构成违约。</w:t>
      </w:r>
    </w:p>
    <w:p>
      <w:pPr>
        <w:spacing w:line="360" w:lineRule="exact"/>
        <w:ind w:firstLine="480" w:firstLineChars="200"/>
        <w:rPr>
          <w:rStyle w:val="104"/>
          <w:rFonts w:ascii="仿宋" w:hAnsi="仿宋" w:eastAsia="仿宋"/>
          <w:color w:val="auto"/>
          <w:sz w:val="24"/>
          <w:highlight w:val="none"/>
        </w:rPr>
      </w:pPr>
      <w:r>
        <w:rPr>
          <w:rStyle w:val="104"/>
          <w:rFonts w:ascii="仿宋" w:hAnsi="仿宋" w:eastAsia="仿宋"/>
          <w:color w:val="auto"/>
          <w:sz w:val="24"/>
          <w:highlight w:val="none"/>
        </w:rPr>
        <w:t>4.甲方通过银行转账的方式支付合同款项，乙方指定收款账户信息如下：</w:t>
      </w:r>
    </w:p>
    <w:p>
      <w:pPr>
        <w:spacing w:line="360" w:lineRule="exact"/>
        <w:ind w:firstLine="480" w:firstLineChars="200"/>
        <w:rPr>
          <w:rStyle w:val="104"/>
          <w:rFonts w:ascii="仿宋" w:hAnsi="仿宋" w:eastAsia="仿宋"/>
          <w:color w:val="auto"/>
          <w:sz w:val="24"/>
          <w:highlight w:val="none"/>
        </w:rPr>
      </w:pPr>
      <w:r>
        <w:rPr>
          <w:rStyle w:val="104"/>
          <w:rFonts w:ascii="仿宋" w:hAnsi="仿宋" w:eastAsia="仿宋"/>
          <w:color w:val="auto"/>
          <w:sz w:val="24"/>
          <w:highlight w:val="none"/>
        </w:rPr>
        <w:t xml:space="preserve">（1）户名： </w:t>
      </w:r>
    </w:p>
    <w:p>
      <w:pPr>
        <w:spacing w:line="360" w:lineRule="exact"/>
        <w:ind w:firstLine="480" w:firstLineChars="200"/>
        <w:rPr>
          <w:rStyle w:val="104"/>
          <w:rFonts w:ascii="仿宋" w:hAnsi="仿宋" w:eastAsia="仿宋"/>
          <w:color w:val="auto"/>
          <w:sz w:val="24"/>
          <w:highlight w:val="none"/>
        </w:rPr>
      </w:pPr>
      <w:r>
        <w:rPr>
          <w:rStyle w:val="104"/>
          <w:rFonts w:ascii="仿宋" w:hAnsi="仿宋" w:eastAsia="仿宋"/>
          <w:color w:val="auto"/>
          <w:sz w:val="24"/>
          <w:highlight w:val="none"/>
        </w:rPr>
        <w:t xml:space="preserve">（2）开户行： </w:t>
      </w:r>
    </w:p>
    <w:p>
      <w:pPr>
        <w:pStyle w:val="105"/>
        <w:spacing w:after="0" w:line="360" w:lineRule="exact"/>
        <w:ind w:firstLine="480" w:firstLineChars="200"/>
        <w:rPr>
          <w:rStyle w:val="104"/>
          <w:rFonts w:ascii="仿宋" w:hAnsi="仿宋" w:eastAsia="仿宋"/>
          <w:color w:val="auto"/>
          <w:sz w:val="24"/>
          <w:highlight w:val="none"/>
        </w:rPr>
      </w:pPr>
      <w:r>
        <w:rPr>
          <w:rStyle w:val="104"/>
          <w:rFonts w:ascii="仿宋" w:hAnsi="仿宋" w:eastAsia="仿宋"/>
          <w:color w:val="auto"/>
          <w:sz w:val="24"/>
          <w:highlight w:val="none"/>
        </w:rPr>
        <w:t>（3）银行账号：</w:t>
      </w:r>
    </w:p>
    <w:p>
      <w:pPr>
        <w:spacing w:line="360" w:lineRule="exact"/>
        <w:ind w:firstLine="480" w:firstLineChars="200"/>
        <w:rPr>
          <w:rStyle w:val="104"/>
          <w:rFonts w:ascii="仿宋" w:hAnsi="仿宋" w:eastAsia="仿宋"/>
          <w:color w:val="auto"/>
          <w:sz w:val="24"/>
          <w:highlight w:val="none"/>
        </w:rPr>
      </w:pPr>
      <w:r>
        <w:rPr>
          <w:rStyle w:val="104"/>
          <w:rFonts w:ascii="仿宋" w:hAnsi="仿宋" w:eastAsia="仿宋"/>
          <w:color w:val="auto"/>
          <w:sz w:val="24"/>
          <w:highlight w:val="none"/>
        </w:rPr>
        <w:t>5.乙方开具的增值税发票应合法、规范，如乙方因开具的发票不规范、不合法或涉嫌虚开发票引起税务问题的，或传递不及时给甲方造成无法认证、抵扣发票等情形的，乙方需依法向甲方重新开具发票，并承担相应赔偿责任，包括但不限于税款、滞纳金、罚款及相关损失等。</w:t>
      </w:r>
    </w:p>
    <w:p>
      <w:pPr>
        <w:pStyle w:val="106"/>
        <w:spacing w:after="0" w:line="360" w:lineRule="exact"/>
        <w:ind w:firstLine="482"/>
        <w:rPr>
          <w:rStyle w:val="104"/>
          <w:rFonts w:ascii="仿宋" w:hAnsi="仿宋" w:eastAsia="仿宋"/>
          <w:b/>
          <w:bCs/>
          <w:color w:val="auto"/>
          <w:sz w:val="24"/>
          <w:highlight w:val="none"/>
        </w:rPr>
      </w:pPr>
      <w:r>
        <w:rPr>
          <w:rStyle w:val="104"/>
          <w:rFonts w:ascii="仿宋" w:hAnsi="仿宋" w:eastAsia="仿宋"/>
          <w:b/>
          <w:bCs/>
          <w:color w:val="auto"/>
          <w:sz w:val="24"/>
          <w:highlight w:val="none"/>
        </w:rPr>
        <w:t>五、交货时间及地点要求</w:t>
      </w:r>
    </w:p>
    <w:p>
      <w:pPr>
        <w:pStyle w:val="106"/>
        <w:spacing w:after="0" w:line="360" w:lineRule="exact"/>
        <w:ind w:firstLine="480"/>
        <w:rPr>
          <w:rStyle w:val="104"/>
          <w:rFonts w:ascii="仿宋" w:hAnsi="仿宋" w:eastAsia="仿宋"/>
          <w:color w:val="auto"/>
          <w:sz w:val="24"/>
          <w:highlight w:val="none"/>
        </w:rPr>
      </w:pPr>
      <w:r>
        <w:rPr>
          <w:rStyle w:val="104"/>
          <w:rFonts w:ascii="仿宋" w:hAnsi="仿宋" w:eastAsia="仿宋"/>
          <w:color w:val="auto"/>
          <w:sz w:val="24"/>
          <w:highlight w:val="none"/>
        </w:rPr>
        <w:t>1.交货时间：按医院要求供货</w:t>
      </w:r>
    </w:p>
    <w:p>
      <w:pPr>
        <w:pStyle w:val="106"/>
        <w:spacing w:after="0" w:line="360" w:lineRule="exact"/>
        <w:ind w:firstLine="480"/>
        <w:rPr>
          <w:rStyle w:val="104"/>
          <w:rFonts w:ascii="仿宋" w:hAnsi="仿宋" w:eastAsia="仿宋"/>
          <w:color w:val="auto"/>
          <w:sz w:val="24"/>
          <w:highlight w:val="none"/>
        </w:rPr>
      </w:pPr>
      <w:r>
        <w:rPr>
          <w:rStyle w:val="104"/>
          <w:rFonts w:ascii="仿宋" w:hAnsi="仿宋" w:eastAsia="仿宋"/>
          <w:color w:val="auto"/>
          <w:sz w:val="24"/>
          <w:highlight w:val="none"/>
        </w:rPr>
        <w:t>2.交货地点：成都市双流区妇幼保健院指定地点。</w:t>
      </w:r>
    </w:p>
    <w:p>
      <w:pPr>
        <w:pStyle w:val="106"/>
        <w:spacing w:after="0" w:line="360" w:lineRule="exact"/>
        <w:ind w:firstLine="480"/>
        <w:rPr>
          <w:rStyle w:val="104"/>
          <w:rFonts w:ascii="仿宋" w:hAnsi="仿宋" w:eastAsia="仿宋"/>
          <w:color w:val="auto"/>
          <w:sz w:val="24"/>
          <w:highlight w:val="none"/>
        </w:rPr>
      </w:pPr>
      <w:r>
        <w:rPr>
          <w:rStyle w:val="104"/>
          <w:rFonts w:ascii="仿宋" w:hAnsi="仿宋" w:eastAsia="仿宋"/>
          <w:color w:val="auto"/>
          <w:sz w:val="24"/>
          <w:highlight w:val="none"/>
        </w:rPr>
        <w:t>3.交货方式：送货上门并卸货至指定地点，乙方对卸货过程中货物的安全、完好性负责。</w:t>
      </w:r>
    </w:p>
    <w:p>
      <w:pPr>
        <w:pStyle w:val="106"/>
        <w:spacing w:after="0" w:line="360" w:lineRule="exact"/>
        <w:ind w:firstLine="480"/>
        <w:rPr>
          <w:rStyle w:val="104"/>
          <w:rFonts w:ascii="仿宋" w:hAnsi="仿宋" w:eastAsia="仿宋"/>
          <w:color w:val="auto"/>
          <w:sz w:val="24"/>
          <w:highlight w:val="none"/>
        </w:rPr>
      </w:pPr>
      <w:r>
        <w:rPr>
          <w:rStyle w:val="104"/>
          <w:rFonts w:hint="eastAsia" w:ascii="仿宋" w:hAnsi="仿宋" w:eastAsia="仿宋"/>
          <w:color w:val="auto"/>
          <w:sz w:val="24"/>
          <w:highlight w:val="none"/>
        </w:rPr>
        <w:t>4.交付设备生产日期：交货日前【180】日内。</w:t>
      </w:r>
    </w:p>
    <w:p>
      <w:pPr>
        <w:pStyle w:val="106"/>
        <w:spacing w:after="0" w:line="360" w:lineRule="exact"/>
        <w:ind w:firstLine="482"/>
        <w:rPr>
          <w:rStyle w:val="104"/>
          <w:rFonts w:ascii="仿宋" w:hAnsi="仿宋" w:eastAsia="仿宋"/>
          <w:b/>
          <w:bCs/>
          <w:color w:val="auto"/>
          <w:sz w:val="24"/>
          <w:highlight w:val="none"/>
        </w:rPr>
      </w:pPr>
      <w:r>
        <w:rPr>
          <w:rStyle w:val="104"/>
          <w:rFonts w:ascii="仿宋" w:hAnsi="仿宋" w:eastAsia="仿宋"/>
          <w:b/>
          <w:bCs/>
          <w:color w:val="auto"/>
          <w:sz w:val="24"/>
          <w:highlight w:val="none"/>
        </w:rPr>
        <w:t>六、质量要求</w:t>
      </w:r>
    </w:p>
    <w:p>
      <w:pPr>
        <w:pStyle w:val="106"/>
        <w:spacing w:after="0" w:line="360" w:lineRule="exact"/>
        <w:ind w:firstLine="480"/>
        <w:rPr>
          <w:rStyle w:val="104"/>
          <w:rFonts w:ascii="仿宋" w:hAnsi="仿宋" w:eastAsia="仿宋"/>
          <w:color w:val="auto"/>
          <w:sz w:val="24"/>
          <w:highlight w:val="none"/>
        </w:rPr>
      </w:pPr>
      <w:r>
        <w:rPr>
          <w:rStyle w:val="104"/>
          <w:rFonts w:ascii="仿宋" w:hAnsi="仿宋" w:eastAsia="仿宋"/>
          <w:color w:val="auto"/>
          <w:sz w:val="24"/>
          <w:highlight w:val="none"/>
        </w:rPr>
        <w:t>1.乙方保证所提供的设备的质量标准应当符合国家标准和行业标准，没有国家标准和行业标准的，按照通常标准或者符合合同目的的特定标准确定。</w:t>
      </w:r>
    </w:p>
    <w:p>
      <w:pPr>
        <w:pStyle w:val="106"/>
        <w:spacing w:after="0" w:line="360" w:lineRule="exact"/>
        <w:ind w:firstLine="480"/>
        <w:rPr>
          <w:rStyle w:val="104"/>
          <w:rFonts w:ascii="仿宋" w:hAnsi="仿宋" w:eastAsia="仿宋"/>
          <w:color w:val="auto"/>
          <w:sz w:val="24"/>
          <w:highlight w:val="none"/>
        </w:rPr>
      </w:pPr>
      <w:r>
        <w:rPr>
          <w:rStyle w:val="104"/>
          <w:rFonts w:ascii="仿宋" w:hAnsi="仿宋" w:eastAsia="仿宋"/>
          <w:color w:val="auto"/>
          <w:sz w:val="24"/>
          <w:highlight w:val="none"/>
        </w:rPr>
        <w:t>2.乙方应保证所提供的设备（含零部件、配件等）是全新的、完整的，技术水平是先进的、成熟的，且符合本合同的要求的，质量是优良的，并符合安全可靠、经济运行和易于维护的要求。</w:t>
      </w:r>
    </w:p>
    <w:p>
      <w:pPr>
        <w:pStyle w:val="106"/>
        <w:spacing w:after="0" w:line="360" w:lineRule="exact"/>
        <w:ind w:firstLine="480"/>
        <w:rPr>
          <w:rStyle w:val="104"/>
          <w:rFonts w:ascii="仿宋" w:hAnsi="仿宋" w:eastAsia="仿宋"/>
          <w:color w:val="auto"/>
          <w:sz w:val="24"/>
          <w:highlight w:val="none"/>
        </w:rPr>
      </w:pPr>
      <w:r>
        <w:rPr>
          <w:rStyle w:val="104"/>
          <w:rFonts w:ascii="仿宋" w:hAnsi="仿宋" w:eastAsia="仿宋"/>
          <w:color w:val="auto"/>
          <w:sz w:val="24"/>
          <w:highlight w:val="none"/>
        </w:rPr>
        <w:t>3.乙方应保证所提供设备的数量、质量、型号及技术性能等完全满足合同文件的约定。</w:t>
      </w:r>
    </w:p>
    <w:p>
      <w:pPr>
        <w:pStyle w:val="106"/>
        <w:spacing w:after="0" w:line="360" w:lineRule="exact"/>
        <w:ind w:firstLine="480"/>
        <w:rPr>
          <w:rStyle w:val="104"/>
          <w:rFonts w:ascii="仿宋" w:hAnsi="仿宋" w:eastAsia="仿宋"/>
          <w:color w:val="auto"/>
          <w:sz w:val="24"/>
          <w:highlight w:val="none"/>
        </w:rPr>
      </w:pPr>
      <w:r>
        <w:rPr>
          <w:rStyle w:val="104"/>
          <w:rFonts w:ascii="仿宋" w:hAnsi="仿宋" w:eastAsia="仿宋"/>
          <w:color w:val="auto"/>
          <w:sz w:val="24"/>
          <w:highlight w:val="none"/>
        </w:rPr>
        <w:t>4.如因乙方提供的设备质量等非甲方原因导致甲方、患者及他人人身损害、财产损失的，乙方应当承担全部赔偿责任。如甲方因此而承担赔偿责任的，有权向乙方全额追偿。</w:t>
      </w:r>
    </w:p>
    <w:p>
      <w:pPr>
        <w:pStyle w:val="106"/>
        <w:spacing w:after="0" w:line="360" w:lineRule="exact"/>
        <w:ind w:firstLine="480"/>
        <w:rPr>
          <w:rStyle w:val="104"/>
          <w:rFonts w:ascii="仿宋" w:hAnsi="仿宋" w:eastAsia="仿宋"/>
          <w:color w:val="auto"/>
          <w:sz w:val="24"/>
          <w:highlight w:val="none"/>
        </w:rPr>
      </w:pPr>
      <w:r>
        <w:rPr>
          <w:rStyle w:val="104"/>
          <w:rFonts w:ascii="仿宋" w:hAnsi="仿宋" w:eastAsia="仿宋"/>
          <w:color w:val="auto"/>
          <w:sz w:val="24"/>
          <w:highlight w:val="none"/>
        </w:rPr>
        <w:t>5.未经甲方书面同意，乙方不得采用任何不同于本合同规定的采购设备。如确需采用代用品（升级产品）时，则乙方应向甲方提出完整齐全的代用申请（其中应报告完整的代用品或升级产品清单、代用品或升级产品的全套技术资料、代用品或升级产品的比较说明资料、代用品或升级产品采用涉及的费用变化说明、代用品或升级产品的质量及性能符合合同要求的证明资料等），经甲方审查认可后才可允许乙方代用。除非替代指示由甲方主动提出，因采用代用品（升级产品）所增加的有关费用和造成的一切责任均由乙方承担。</w:t>
      </w:r>
    </w:p>
    <w:p>
      <w:pPr>
        <w:pStyle w:val="106"/>
        <w:spacing w:after="0" w:line="360" w:lineRule="exact"/>
        <w:ind w:firstLine="482"/>
        <w:rPr>
          <w:rStyle w:val="104"/>
          <w:rFonts w:ascii="仿宋" w:hAnsi="仿宋" w:eastAsia="仿宋"/>
          <w:b/>
          <w:bCs/>
          <w:color w:val="auto"/>
          <w:sz w:val="24"/>
          <w:highlight w:val="none"/>
        </w:rPr>
      </w:pPr>
      <w:r>
        <w:rPr>
          <w:rStyle w:val="104"/>
          <w:rFonts w:ascii="仿宋" w:hAnsi="仿宋" w:eastAsia="仿宋"/>
          <w:b/>
          <w:bCs/>
          <w:color w:val="auto"/>
          <w:sz w:val="24"/>
          <w:highlight w:val="none"/>
        </w:rPr>
        <w:t>七、质量瑕疵、知识产权瑕疵的补救措施和索赔</w:t>
      </w:r>
    </w:p>
    <w:p>
      <w:pPr>
        <w:pStyle w:val="106"/>
        <w:spacing w:after="0" w:line="360" w:lineRule="exact"/>
        <w:ind w:firstLine="480"/>
        <w:rPr>
          <w:rStyle w:val="104"/>
          <w:rFonts w:ascii="仿宋" w:hAnsi="仿宋" w:eastAsia="仿宋"/>
          <w:color w:val="auto"/>
          <w:sz w:val="24"/>
          <w:highlight w:val="none"/>
        </w:rPr>
      </w:pPr>
      <w:r>
        <w:rPr>
          <w:rStyle w:val="104"/>
          <w:rFonts w:ascii="仿宋" w:hAnsi="仿宋" w:eastAsia="仿宋"/>
          <w:color w:val="auto"/>
          <w:sz w:val="24"/>
          <w:highlight w:val="none"/>
        </w:rPr>
        <w:t>1.甲方保留将到货设备送至具备检测资质的第三方检测机构进行抽检的权利。必要时，甲方将到货设备送至具备检测资质的第三方检测机构进行抽检。如抽检结果全部合格，则由甲方承担相关送检费用。如抽检不合格的，则由乙方承担相关送检费用并负责免费退换不合格设备，同时甲方将有权向乙方收取与不合格设备同等金额的违约金。如因使用乙方提供的不符合质量标准或者存在产品质量缺陷的设备造成损失的，甲方有权向乙方提出索赔。</w:t>
      </w:r>
    </w:p>
    <w:p>
      <w:pPr>
        <w:pStyle w:val="106"/>
        <w:spacing w:after="0" w:line="360" w:lineRule="exact"/>
        <w:ind w:firstLine="480"/>
        <w:rPr>
          <w:rStyle w:val="104"/>
          <w:rFonts w:ascii="仿宋" w:hAnsi="仿宋" w:eastAsia="仿宋"/>
          <w:color w:val="auto"/>
          <w:sz w:val="24"/>
          <w:highlight w:val="none"/>
        </w:rPr>
      </w:pPr>
      <w:r>
        <w:rPr>
          <w:rStyle w:val="104"/>
          <w:rFonts w:ascii="仿宋" w:hAnsi="仿宋" w:eastAsia="仿宋"/>
          <w:color w:val="auto"/>
          <w:sz w:val="24"/>
          <w:highlight w:val="none"/>
        </w:rPr>
        <w:t>2.因供应设备品牌、规格型号、技术参数不满足本合同要求或者质量不合格时，乙方应负责免费换货或退货，同时甲方将有权向乙方收取与不满足要求或（和）不合格设备同等金额的违约金。</w:t>
      </w:r>
    </w:p>
    <w:p>
      <w:pPr>
        <w:pStyle w:val="106"/>
        <w:spacing w:after="0" w:line="360" w:lineRule="exact"/>
        <w:ind w:firstLine="480"/>
        <w:rPr>
          <w:rStyle w:val="104"/>
          <w:rFonts w:ascii="仿宋" w:hAnsi="仿宋" w:eastAsia="仿宋"/>
          <w:color w:val="auto"/>
          <w:sz w:val="24"/>
          <w:highlight w:val="none"/>
        </w:rPr>
      </w:pPr>
      <w:r>
        <w:rPr>
          <w:rStyle w:val="104"/>
          <w:rFonts w:ascii="仿宋" w:hAnsi="仿宋" w:eastAsia="仿宋"/>
          <w:color w:val="auto"/>
          <w:sz w:val="24"/>
          <w:highlight w:val="none"/>
        </w:rPr>
        <w:t>3.乙方保证甲方在使用了其产品、服务及其任何部分而不受到第三方关于侵犯专利权、商标权、代理销售权或其他工业产权和知识产权的指控。任何第三方如果提出侵权指控时，乙方须与第三方交涉并承担可能发生的一切法律上和经济上的责任。甲方因处理该等纠纷发生的费用（包括对但不限于诉讼费、律师费、差旅费等）和遭受的损失（包括但不限于向权利人支付的赔偿费用、产品无法使用造成的损失等），均由乙方承担。</w:t>
      </w:r>
    </w:p>
    <w:p>
      <w:pPr>
        <w:pStyle w:val="106"/>
        <w:spacing w:after="0" w:line="360" w:lineRule="exact"/>
        <w:ind w:firstLine="482"/>
        <w:rPr>
          <w:rStyle w:val="104"/>
          <w:rFonts w:ascii="仿宋" w:hAnsi="仿宋" w:eastAsia="仿宋"/>
          <w:b/>
          <w:bCs/>
          <w:color w:val="auto"/>
          <w:sz w:val="24"/>
          <w:highlight w:val="none"/>
        </w:rPr>
      </w:pPr>
      <w:r>
        <w:rPr>
          <w:rStyle w:val="104"/>
          <w:rFonts w:ascii="仿宋" w:hAnsi="仿宋" w:eastAsia="仿宋"/>
          <w:b/>
          <w:bCs/>
          <w:color w:val="auto"/>
          <w:sz w:val="24"/>
          <w:highlight w:val="none"/>
        </w:rPr>
        <w:t>八、采购设备验收</w:t>
      </w:r>
    </w:p>
    <w:p>
      <w:pPr>
        <w:pStyle w:val="106"/>
        <w:spacing w:after="0" w:line="360" w:lineRule="exact"/>
        <w:ind w:firstLine="480"/>
        <w:rPr>
          <w:rStyle w:val="104"/>
          <w:rFonts w:ascii="仿宋" w:hAnsi="仿宋" w:eastAsia="仿宋"/>
          <w:color w:val="auto"/>
          <w:sz w:val="24"/>
          <w:highlight w:val="none"/>
        </w:rPr>
      </w:pPr>
      <w:r>
        <w:rPr>
          <w:rStyle w:val="104"/>
          <w:rFonts w:ascii="仿宋" w:hAnsi="仿宋" w:eastAsia="仿宋"/>
          <w:color w:val="auto"/>
          <w:sz w:val="24"/>
          <w:highlight w:val="none"/>
        </w:rPr>
        <w:t>1.乙方将采购设备运输至甲方指定地点后，通知甲方组织乙方共同进行开箱验收（包括对设备的包装、外观、数量、规格、质量等的检验）并作详细记录。开箱检验结果和记录应当由合同双方指定代表（需持书面授权委托书）或本合同签字盖章处指定联系人签字确认，并双方持一份。如乙方未按时指派代表或乙方指定联系人未按时参加开箱检验，甲方有权自行开箱检验，检验结果和记录有效，对双方均具有约束力，且乙方应在其检验结果记录上补签字。</w:t>
      </w:r>
    </w:p>
    <w:p>
      <w:pPr>
        <w:pStyle w:val="106"/>
        <w:spacing w:after="0" w:line="360" w:lineRule="exact"/>
        <w:ind w:firstLine="480"/>
        <w:rPr>
          <w:rStyle w:val="104"/>
          <w:rFonts w:ascii="仿宋" w:hAnsi="仿宋" w:eastAsia="仿宋"/>
          <w:color w:val="auto"/>
          <w:sz w:val="24"/>
          <w:highlight w:val="none"/>
        </w:rPr>
      </w:pPr>
      <w:r>
        <w:rPr>
          <w:rStyle w:val="104"/>
          <w:rFonts w:ascii="仿宋" w:hAnsi="仿宋" w:eastAsia="仿宋"/>
          <w:color w:val="auto"/>
          <w:sz w:val="24"/>
          <w:highlight w:val="none"/>
        </w:rPr>
        <w:t>2.在现场开箱检验时，如发现合同采购设备有任何缺陷、短缺或不符合合同约定时，均应由乙方立即修理、更换或补齐。除属于甲方原因引起的修理或更换费用应由甲方承担外，其他任何原因引起的修理或更换等一切费用均由乙方承担。对于不符合合同约定的任何设备，甲方有权拒收，由此给甲方所造成的全部经济损失均由乙方负责赔偿。</w:t>
      </w:r>
    </w:p>
    <w:p>
      <w:pPr>
        <w:pStyle w:val="106"/>
        <w:spacing w:after="0" w:line="360" w:lineRule="exact"/>
        <w:ind w:firstLine="480"/>
        <w:rPr>
          <w:rStyle w:val="104"/>
          <w:rFonts w:ascii="仿宋" w:hAnsi="仿宋" w:eastAsia="仿宋"/>
          <w:color w:val="auto"/>
          <w:sz w:val="24"/>
          <w:highlight w:val="none"/>
        </w:rPr>
      </w:pPr>
      <w:r>
        <w:rPr>
          <w:rStyle w:val="104"/>
          <w:rFonts w:ascii="仿宋" w:hAnsi="仿宋" w:eastAsia="仿宋"/>
          <w:color w:val="auto"/>
          <w:sz w:val="24"/>
          <w:highlight w:val="none"/>
        </w:rPr>
        <w:t>3.乙方应当于采购设备经甲方开箱验收后</w:t>
      </w:r>
      <w:r>
        <w:rPr>
          <w:rStyle w:val="104"/>
          <w:rFonts w:ascii="仿宋" w:hAnsi="仿宋" w:eastAsia="仿宋"/>
          <w:color w:val="auto"/>
          <w:sz w:val="24"/>
          <w:highlight w:val="none"/>
          <w:u w:val="single"/>
        </w:rPr>
        <w:t xml:space="preserve">  7 </w:t>
      </w:r>
      <w:r>
        <w:rPr>
          <w:rStyle w:val="104"/>
          <w:rFonts w:ascii="仿宋" w:hAnsi="仿宋" w:eastAsia="仿宋"/>
          <w:color w:val="auto"/>
          <w:sz w:val="24"/>
          <w:highlight w:val="none"/>
        </w:rPr>
        <w:t>日内完成采购设备的安装调试（如需）。</w:t>
      </w:r>
    </w:p>
    <w:p>
      <w:pPr>
        <w:pStyle w:val="106"/>
        <w:spacing w:after="0" w:line="360" w:lineRule="exact"/>
        <w:ind w:firstLine="480"/>
        <w:rPr>
          <w:rStyle w:val="104"/>
          <w:rFonts w:ascii="仿宋" w:hAnsi="仿宋" w:eastAsia="仿宋"/>
          <w:color w:val="auto"/>
          <w:sz w:val="24"/>
          <w:highlight w:val="none"/>
        </w:rPr>
      </w:pPr>
      <w:r>
        <w:rPr>
          <w:rStyle w:val="104"/>
          <w:rFonts w:ascii="仿宋" w:hAnsi="仿宋" w:eastAsia="仿宋"/>
          <w:color w:val="auto"/>
          <w:sz w:val="24"/>
          <w:highlight w:val="none"/>
        </w:rPr>
        <w:t>4.乙方于采购设备安装调试完毕后</w:t>
      </w:r>
      <w:r>
        <w:rPr>
          <w:rStyle w:val="104"/>
          <w:rFonts w:ascii="仿宋" w:hAnsi="仿宋" w:eastAsia="仿宋"/>
          <w:color w:val="auto"/>
          <w:sz w:val="24"/>
          <w:highlight w:val="none"/>
          <w:u w:val="single"/>
        </w:rPr>
        <w:t xml:space="preserve">  7 </w:t>
      </w:r>
      <w:r>
        <w:rPr>
          <w:rStyle w:val="104"/>
          <w:rFonts w:ascii="仿宋" w:hAnsi="仿宋" w:eastAsia="仿宋"/>
          <w:color w:val="auto"/>
          <w:sz w:val="24"/>
          <w:highlight w:val="none"/>
        </w:rPr>
        <w:t>日内通知甲方初步验收。</w:t>
      </w:r>
    </w:p>
    <w:p>
      <w:pPr>
        <w:pStyle w:val="106"/>
        <w:spacing w:after="0" w:line="360" w:lineRule="exact"/>
        <w:ind w:firstLine="480"/>
        <w:rPr>
          <w:rStyle w:val="104"/>
          <w:rFonts w:ascii="仿宋" w:hAnsi="仿宋" w:eastAsia="仿宋"/>
          <w:color w:val="auto"/>
          <w:sz w:val="24"/>
          <w:highlight w:val="none"/>
        </w:rPr>
      </w:pPr>
      <w:r>
        <w:rPr>
          <w:rStyle w:val="104"/>
          <w:rFonts w:ascii="仿宋" w:hAnsi="仿宋" w:eastAsia="仿宋"/>
          <w:color w:val="auto"/>
          <w:sz w:val="24"/>
          <w:highlight w:val="none"/>
        </w:rPr>
        <w:t>5.初步验收合格且培训后，进入</w:t>
      </w:r>
      <w:r>
        <w:rPr>
          <w:rStyle w:val="104"/>
          <w:rFonts w:ascii="仿宋" w:hAnsi="仿宋" w:eastAsia="仿宋"/>
          <w:color w:val="auto"/>
          <w:sz w:val="24"/>
          <w:highlight w:val="none"/>
          <w:u w:val="single"/>
        </w:rPr>
        <w:t xml:space="preserve">  </w:t>
      </w:r>
      <w:r>
        <w:rPr>
          <w:rStyle w:val="104"/>
          <w:rFonts w:hint="eastAsia" w:ascii="仿宋" w:hAnsi="仿宋" w:eastAsia="仿宋"/>
          <w:color w:val="auto"/>
          <w:sz w:val="24"/>
          <w:highlight w:val="none"/>
          <w:u w:val="single"/>
        </w:rPr>
        <w:t>90</w:t>
      </w:r>
      <w:r>
        <w:rPr>
          <w:rStyle w:val="104"/>
          <w:rFonts w:ascii="仿宋" w:hAnsi="仿宋" w:eastAsia="仿宋"/>
          <w:color w:val="auto"/>
          <w:sz w:val="24"/>
          <w:highlight w:val="none"/>
          <w:u w:val="single"/>
        </w:rPr>
        <w:t xml:space="preserve">  </w:t>
      </w:r>
      <w:r>
        <w:rPr>
          <w:rStyle w:val="104"/>
          <w:rFonts w:ascii="仿宋" w:hAnsi="仿宋" w:eastAsia="仿宋"/>
          <w:color w:val="auto"/>
          <w:sz w:val="24"/>
          <w:highlight w:val="none"/>
        </w:rPr>
        <w:t>天试用期；试用期间发生一般质量问题经维修1次后仍不能正常使用的或发现重大质量问题的，乙方应免费更换新机，同时试用期相应顺延；试用期结束后 15 日内完成最终验收。</w:t>
      </w:r>
    </w:p>
    <w:p>
      <w:pPr>
        <w:pStyle w:val="106"/>
        <w:spacing w:after="0" w:line="360" w:lineRule="exact"/>
        <w:ind w:firstLine="480"/>
        <w:rPr>
          <w:rStyle w:val="104"/>
          <w:rFonts w:ascii="仿宋" w:hAnsi="仿宋" w:eastAsia="仿宋"/>
          <w:color w:val="auto"/>
          <w:sz w:val="24"/>
          <w:highlight w:val="none"/>
        </w:rPr>
      </w:pPr>
      <w:r>
        <w:rPr>
          <w:rStyle w:val="104"/>
          <w:rFonts w:ascii="仿宋" w:hAnsi="仿宋" w:eastAsia="仿宋"/>
          <w:color w:val="auto"/>
          <w:sz w:val="24"/>
          <w:highlight w:val="none"/>
        </w:rPr>
        <w:t>6.甲方于收到乙方书面验收通知后</w:t>
      </w:r>
      <w:r>
        <w:rPr>
          <w:rStyle w:val="104"/>
          <w:rFonts w:ascii="仿宋" w:hAnsi="仿宋" w:eastAsia="仿宋"/>
          <w:color w:val="auto"/>
          <w:sz w:val="24"/>
          <w:highlight w:val="none"/>
          <w:u w:val="single"/>
        </w:rPr>
        <w:t xml:space="preserve"> 7 </w:t>
      </w:r>
      <w:r>
        <w:rPr>
          <w:rStyle w:val="104"/>
          <w:rFonts w:ascii="仿宋" w:hAnsi="仿宋" w:eastAsia="仿宋"/>
          <w:color w:val="auto"/>
          <w:sz w:val="24"/>
          <w:highlight w:val="none"/>
        </w:rPr>
        <w:t>个工作日内组织验收。如非因乙方原因导致甲方未在前述期限内进行验收的，视为相应的验收阶段验收合格，如乙方怠于通知的，除外。</w:t>
      </w:r>
    </w:p>
    <w:p>
      <w:pPr>
        <w:pStyle w:val="106"/>
        <w:spacing w:after="0" w:line="360" w:lineRule="exact"/>
        <w:ind w:firstLine="480"/>
        <w:rPr>
          <w:rStyle w:val="104"/>
          <w:rFonts w:ascii="仿宋" w:hAnsi="仿宋" w:eastAsia="仿宋"/>
          <w:color w:val="auto"/>
          <w:sz w:val="24"/>
          <w:highlight w:val="none"/>
        </w:rPr>
      </w:pPr>
      <w:r>
        <w:rPr>
          <w:rStyle w:val="104"/>
          <w:rFonts w:ascii="仿宋" w:hAnsi="仿宋" w:eastAsia="仿宋"/>
          <w:color w:val="auto"/>
          <w:sz w:val="24"/>
          <w:highlight w:val="none"/>
        </w:rPr>
        <w:t>7.验收标准：按国家及行业有关法律法规规定以及招标文件的质量要求和技术指标、投标响应文件及承诺与本合同约定标准进行验收。</w:t>
      </w:r>
    </w:p>
    <w:p>
      <w:pPr>
        <w:pStyle w:val="106"/>
        <w:spacing w:after="0" w:line="360" w:lineRule="exact"/>
        <w:ind w:firstLine="480"/>
        <w:rPr>
          <w:rStyle w:val="104"/>
          <w:rFonts w:ascii="仿宋" w:hAnsi="仿宋" w:eastAsia="仿宋"/>
          <w:color w:val="auto"/>
          <w:sz w:val="24"/>
          <w:highlight w:val="none"/>
        </w:rPr>
      </w:pPr>
      <w:r>
        <w:rPr>
          <w:rStyle w:val="104"/>
          <w:rFonts w:ascii="仿宋" w:hAnsi="仿宋" w:eastAsia="仿宋"/>
          <w:color w:val="auto"/>
          <w:sz w:val="24"/>
          <w:highlight w:val="none"/>
        </w:rPr>
        <w:t>8.验收资料移交：乙方应将所提供设备的装箱清单、配件、随机工具、用户使用手册、原厂保修卡等资料交付给甲方；乙方不能完整交付采购设备及本款规定的单证和工具的，必须负责补齐，否则视为乙方未能如期交货，甲方有权追究乙方逾期交货的违约责任，且甲方有权拒绝支付全部款项。</w:t>
      </w:r>
    </w:p>
    <w:p>
      <w:pPr>
        <w:pStyle w:val="106"/>
        <w:spacing w:after="0" w:line="360" w:lineRule="exact"/>
        <w:ind w:firstLine="480"/>
        <w:rPr>
          <w:rStyle w:val="104"/>
          <w:rFonts w:ascii="仿宋" w:hAnsi="仿宋" w:eastAsia="仿宋"/>
          <w:color w:val="auto"/>
          <w:sz w:val="24"/>
          <w:highlight w:val="none"/>
        </w:rPr>
      </w:pPr>
      <w:r>
        <w:rPr>
          <w:rStyle w:val="104"/>
          <w:rFonts w:ascii="仿宋" w:hAnsi="仿宋" w:eastAsia="仿宋"/>
          <w:color w:val="auto"/>
          <w:sz w:val="24"/>
          <w:highlight w:val="none"/>
        </w:rPr>
        <w:t>9.验收时如发现所交付的采购设备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106"/>
        <w:spacing w:after="0" w:line="360" w:lineRule="exact"/>
        <w:ind w:firstLine="480"/>
        <w:rPr>
          <w:rStyle w:val="104"/>
          <w:rFonts w:ascii="仿宋" w:hAnsi="仿宋" w:eastAsia="仿宋"/>
          <w:color w:val="auto"/>
          <w:sz w:val="24"/>
          <w:highlight w:val="none"/>
        </w:rPr>
      </w:pPr>
      <w:r>
        <w:rPr>
          <w:rStyle w:val="104"/>
          <w:rFonts w:ascii="仿宋" w:hAnsi="仿宋" w:eastAsia="仿宋"/>
          <w:color w:val="auto"/>
          <w:sz w:val="24"/>
          <w:highlight w:val="none"/>
        </w:rPr>
        <w:t>10.如采购设备验收合格的，由双方各自指派指定代表（需持书面授权委托书）或本合同签字盖章处指定联系人签署最终验收报告。同时，甲方保留将到货采购设备送至具备检测资质的第三方检测机构进行抽检的权利。</w:t>
      </w:r>
    </w:p>
    <w:p>
      <w:pPr>
        <w:pStyle w:val="106"/>
        <w:spacing w:after="0" w:line="360" w:lineRule="exact"/>
        <w:ind w:firstLine="480"/>
        <w:rPr>
          <w:rStyle w:val="104"/>
          <w:rFonts w:ascii="仿宋" w:hAnsi="仿宋" w:eastAsia="仿宋"/>
          <w:color w:val="auto"/>
          <w:sz w:val="24"/>
          <w:highlight w:val="none"/>
        </w:rPr>
      </w:pPr>
      <w:r>
        <w:rPr>
          <w:rStyle w:val="104"/>
          <w:rFonts w:ascii="仿宋" w:hAnsi="仿宋" w:eastAsia="仿宋"/>
          <w:color w:val="auto"/>
          <w:sz w:val="24"/>
          <w:highlight w:val="none"/>
        </w:rPr>
        <w:t>11.其他未尽事宜应</w:t>
      </w:r>
      <w:r>
        <w:rPr>
          <w:rStyle w:val="104"/>
          <w:rFonts w:hint="eastAsia" w:ascii="仿宋" w:hAnsi="仿宋" w:eastAsia="仿宋"/>
          <w:color w:val="auto"/>
          <w:sz w:val="24"/>
          <w:highlight w:val="none"/>
        </w:rPr>
        <w:t>严格按照《财政部关于进一步加强政府采购需求和履约验收管理的指导意见》（财库〔2016〕205号）等政府采购相关法律法规的要求进行验收。</w:t>
      </w:r>
    </w:p>
    <w:p>
      <w:pPr>
        <w:pStyle w:val="106"/>
        <w:spacing w:after="0" w:line="360" w:lineRule="exact"/>
        <w:ind w:firstLine="482"/>
        <w:rPr>
          <w:rStyle w:val="104"/>
          <w:rFonts w:ascii="仿宋" w:hAnsi="仿宋" w:eastAsia="仿宋"/>
          <w:b/>
          <w:bCs/>
          <w:color w:val="auto"/>
          <w:sz w:val="24"/>
          <w:highlight w:val="none"/>
        </w:rPr>
      </w:pPr>
      <w:r>
        <w:rPr>
          <w:rStyle w:val="104"/>
          <w:rFonts w:ascii="仿宋" w:hAnsi="仿宋" w:eastAsia="仿宋"/>
          <w:b/>
          <w:bCs/>
          <w:color w:val="auto"/>
          <w:sz w:val="24"/>
          <w:highlight w:val="none"/>
        </w:rPr>
        <w:t>九、质保服务</w:t>
      </w:r>
    </w:p>
    <w:p>
      <w:pPr>
        <w:pStyle w:val="106"/>
        <w:spacing w:after="0" w:line="360" w:lineRule="exact"/>
        <w:ind w:firstLine="480"/>
        <w:rPr>
          <w:rStyle w:val="104"/>
          <w:rFonts w:ascii="仿宋" w:hAnsi="仿宋" w:eastAsia="仿宋"/>
          <w:color w:val="auto"/>
          <w:sz w:val="24"/>
          <w:highlight w:val="none"/>
        </w:rPr>
      </w:pPr>
      <w:r>
        <w:rPr>
          <w:rStyle w:val="104"/>
          <w:rFonts w:ascii="仿宋" w:hAnsi="仿宋" w:eastAsia="仿宋"/>
          <w:color w:val="auto"/>
          <w:sz w:val="24"/>
          <w:highlight w:val="none"/>
        </w:rPr>
        <w:t>1.本合同项下采购设备免费保修期为</w:t>
      </w:r>
      <w:r>
        <w:rPr>
          <w:rStyle w:val="104"/>
          <w:rFonts w:ascii="仿宋" w:hAnsi="仿宋" w:eastAsia="仿宋"/>
          <w:color w:val="auto"/>
          <w:sz w:val="24"/>
          <w:highlight w:val="none"/>
          <w:u w:val="single"/>
        </w:rPr>
        <w:t xml:space="preserve">    </w:t>
      </w:r>
      <w:r>
        <w:rPr>
          <w:rStyle w:val="104"/>
          <w:rFonts w:ascii="仿宋" w:hAnsi="仿宋" w:eastAsia="仿宋"/>
          <w:color w:val="auto"/>
          <w:sz w:val="24"/>
          <w:highlight w:val="none"/>
        </w:rPr>
        <w:t>年</w:t>
      </w:r>
      <w:r>
        <w:rPr>
          <w:rStyle w:val="104"/>
          <w:rFonts w:hint="eastAsia" w:ascii="仿宋" w:hAnsi="仿宋" w:eastAsia="仿宋"/>
          <w:color w:val="auto"/>
          <w:sz w:val="24"/>
          <w:highlight w:val="none"/>
        </w:rPr>
        <w:t>（如项目技术需求和乙方承诺长于该期限的，以最长的期限确定免费保修期）</w:t>
      </w:r>
      <w:r>
        <w:rPr>
          <w:rStyle w:val="104"/>
          <w:rFonts w:ascii="仿宋" w:hAnsi="仿宋" w:eastAsia="仿宋"/>
          <w:color w:val="auto"/>
          <w:sz w:val="24"/>
          <w:highlight w:val="none"/>
        </w:rPr>
        <w:t>，自采购设备最终验收且双方代表签署最终验收报告之日起开始计算。</w:t>
      </w:r>
    </w:p>
    <w:p>
      <w:pPr>
        <w:pStyle w:val="106"/>
        <w:spacing w:after="0" w:line="360" w:lineRule="exact"/>
        <w:ind w:firstLine="480"/>
        <w:rPr>
          <w:rStyle w:val="104"/>
          <w:rFonts w:ascii="仿宋" w:hAnsi="仿宋" w:eastAsia="仿宋"/>
          <w:color w:val="auto"/>
          <w:sz w:val="24"/>
          <w:highlight w:val="none"/>
        </w:rPr>
      </w:pPr>
      <w:r>
        <w:rPr>
          <w:rStyle w:val="104"/>
          <w:rFonts w:ascii="仿宋" w:hAnsi="仿宋" w:eastAsia="仿宋"/>
          <w:color w:val="auto"/>
          <w:sz w:val="24"/>
          <w:highlight w:val="none"/>
        </w:rPr>
        <w:t>2.免费保修期内乙方应免费负责采购设备维修及抢修，且不能以差旅、住宿等理由要求甲方支付其他任何费用。乙方接到甲方维修通知后，须2个小时内响应，在 4小时内到现场，对设备进行维修或更换并承担修理调换的费用，如因特殊原因导致不能现场完成维修或更换的，乙方最迟应于</w:t>
      </w:r>
      <w:r>
        <w:rPr>
          <w:rStyle w:val="104"/>
          <w:rFonts w:ascii="仿宋" w:hAnsi="仿宋" w:eastAsia="仿宋"/>
          <w:color w:val="auto"/>
          <w:sz w:val="24"/>
          <w:highlight w:val="none"/>
          <w:u w:val="single"/>
        </w:rPr>
        <w:t xml:space="preserve"> 2 </w:t>
      </w:r>
      <w:r>
        <w:rPr>
          <w:rStyle w:val="104"/>
          <w:rFonts w:ascii="仿宋" w:hAnsi="仿宋" w:eastAsia="仿宋"/>
          <w:color w:val="auto"/>
          <w:sz w:val="24"/>
          <w:highlight w:val="none"/>
        </w:rPr>
        <w:t>个工作日内完成维修或更换。如乙方未在前述期限内到场或未在前述期限内完成维修或更换的，采购人有权另行委托任何第三方进行维修或更换，由此产生的费用均由乙方承担。</w:t>
      </w:r>
    </w:p>
    <w:p>
      <w:pPr>
        <w:pStyle w:val="106"/>
        <w:spacing w:after="0" w:line="360" w:lineRule="exact"/>
        <w:ind w:firstLine="480"/>
        <w:rPr>
          <w:rStyle w:val="104"/>
          <w:rFonts w:ascii="仿宋" w:hAnsi="仿宋" w:eastAsia="仿宋"/>
          <w:color w:val="auto"/>
          <w:sz w:val="24"/>
          <w:highlight w:val="none"/>
        </w:rPr>
      </w:pPr>
      <w:r>
        <w:rPr>
          <w:rStyle w:val="104"/>
          <w:rFonts w:ascii="仿宋" w:hAnsi="仿宋" w:eastAsia="仿宋"/>
          <w:color w:val="auto"/>
          <w:sz w:val="24"/>
          <w:highlight w:val="none"/>
        </w:rPr>
        <w:t>3.在免费保修期内，如采购设备经</w:t>
      </w:r>
      <w:r>
        <w:rPr>
          <w:rStyle w:val="104"/>
          <w:rFonts w:ascii="仿宋" w:hAnsi="仿宋" w:eastAsia="仿宋"/>
          <w:color w:val="auto"/>
          <w:sz w:val="24"/>
          <w:highlight w:val="none"/>
          <w:u w:val="single"/>
        </w:rPr>
        <w:t xml:space="preserve"> 3 </w:t>
      </w:r>
      <w:r>
        <w:rPr>
          <w:rStyle w:val="104"/>
          <w:rFonts w:ascii="仿宋" w:hAnsi="仿宋" w:eastAsia="仿宋"/>
          <w:color w:val="auto"/>
          <w:sz w:val="24"/>
          <w:highlight w:val="none"/>
        </w:rPr>
        <w:t>次维修仍不能达到本合同约定的质量标准，则甲方有权要求乙方免费更换新机或退货，并有权要求乙方支付应退换的采购设备同等金额的违约金。</w:t>
      </w:r>
    </w:p>
    <w:p>
      <w:pPr>
        <w:pStyle w:val="107"/>
        <w:spacing w:after="0" w:line="360" w:lineRule="exact"/>
        <w:ind w:firstLine="480" w:firstLineChars="200"/>
        <w:rPr>
          <w:rStyle w:val="104"/>
          <w:rFonts w:ascii="仿宋" w:hAnsi="仿宋" w:eastAsia="仿宋"/>
          <w:color w:val="auto"/>
          <w:sz w:val="24"/>
          <w:highlight w:val="none"/>
        </w:rPr>
      </w:pPr>
      <w:r>
        <w:rPr>
          <w:rStyle w:val="104"/>
          <w:rFonts w:ascii="仿宋" w:hAnsi="仿宋" w:eastAsia="仿宋"/>
          <w:color w:val="auto"/>
          <w:sz w:val="24"/>
          <w:highlight w:val="none"/>
        </w:rPr>
        <w:t>4.免费保修期满后，若设备出现故障且甲方委托乙方维修的，乙方将无条件负责维修好设备且只收取更换零配件费用。</w:t>
      </w:r>
    </w:p>
    <w:p>
      <w:pPr>
        <w:pStyle w:val="107"/>
        <w:spacing w:after="0" w:line="360" w:lineRule="exact"/>
        <w:ind w:firstLine="480" w:firstLineChars="200"/>
        <w:rPr>
          <w:rStyle w:val="104"/>
          <w:rFonts w:ascii="仿宋" w:hAnsi="仿宋" w:eastAsia="仿宋"/>
          <w:color w:val="auto"/>
          <w:sz w:val="24"/>
          <w:highlight w:val="none"/>
        </w:rPr>
      </w:pPr>
      <w:r>
        <w:rPr>
          <w:rStyle w:val="104"/>
          <w:rFonts w:ascii="仿宋" w:hAnsi="仿宋" w:eastAsia="仿宋"/>
          <w:color w:val="auto"/>
          <w:sz w:val="24"/>
          <w:highlight w:val="none"/>
        </w:rPr>
        <w:t>5.涉及到软件需要升级的设备，乙方需终身免费升级，甲方不再另行支付费用。</w:t>
      </w:r>
    </w:p>
    <w:p>
      <w:pPr>
        <w:pStyle w:val="108"/>
        <w:spacing w:after="0" w:line="360" w:lineRule="exact"/>
        <w:ind w:firstLine="420"/>
        <w:rPr>
          <w:rStyle w:val="104"/>
          <w:rFonts w:ascii="仿宋" w:hAnsi="仿宋" w:eastAsia="仿宋"/>
          <w:color w:val="auto"/>
          <w:highlight w:val="none"/>
        </w:rPr>
      </w:pPr>
      <w:r>
        <w:rPr>
          <w:rStyle w:val="104"/>
          <w:rFonts w:ascii="仿宋" w:hAnsi="仿宋" w:eastAsia="仿宋"/>
          <w:color w:val="auto"/>
          <w:highlight w:val="none"/>
        </w:rPr>
        <w:t>6.乙方须指派专人负责与甲方联系</w:t>
      </w:r>
      <w:r>
        <w:rPr>
          <w:rStyle w:val="104"/>
          <w:rFonts w:hint="eastAsia" w:ascii="仿宋" w:hAnsi="仿宋" w:eastAsia="仿宋"/>
          <w:color w:val="auto"/>
          <w:highlight w:val="none"/>
        </w:rPr>
        <w:t>免费质保及售后</w:t>
      </w:r>
      <w:r>
        <w:rPr>
          <w:rStyle w:val="104"/>
          <w:rFonts w:ascii="仿宋" w:hAnsi="仿宋" w:eastAsia="仿宋"/>
          <w:color w:val="auto"/>
          <w:highlight w:val="none"/>
        </w:rPr>
        <w:t>服务事宜。乙方指定售后联系人姓名：</w:t>
      </w:r>
      <w:r>
        <w:rPr>
          <w:rStyle w:val="104"/>
          <w:rFonts w:ascii="仿宋" w:hAnsi="仿宋" w:eastAsia="仿宋"/>
          <w:color w:val="auto"/>
          <w:highlight w:val="none"/>
          <w:u w:val="single"/>
        </w:rPr>
        <w:t xml:space="preserve">    </w:t>
      </w:r>
      <w:r>
        <w:rPr>
          <w:rStyle w:val="104"/>
          <w:rFonts w:ascii="仿宋" w:hAnsi="仿宋" w:eastAsia="仿宋"/>
          <w:color w:val="auto"/>
          <w:highlight w:val="none"/>
        </w:rPr>
        <w:t>（公民身份证号码:</w:t>
      </w:r>
      <w:r>
        <w:rPr>
          <w:rStyle w:val="104"/>
          <w:rFonts w:ascii="仿宋" w:hAnsi="仿宋" w:eastAsia="仿宋"/>
          <w:color w:val="auto"/>
          <w:highlight w:val="none"/>
          <w:u w:val="single"/>
        </w:rPr>
        <w:t xml:space="preserve">          </w:t>
      </w:r>
      <w:r>
        <w:rPr>
          <w:rStyle w:val="104"/>
          <w:rFonts w:ascii="仿宋" w:hAnsi="仿宋" w:eastAsia="仿宋"/>
          <w:color w:val="auto"/>
          <w:highlight w:val="none"/>
        </w:rPr>
        <w:t>）,手机号码：</w:t>
      </w:r>
      <w:r>
        <w:rPr>
          <w:rStyle w:val="104"/>
          <w:rFonts w:ascii="仿宋" w:hAnsi="仿宋" w:eastAsia="仿宋"/>
          <w:color w:val="auto"/>
          <w:highlight w:val="none"/>
          <w:u w:val="single"/>
        </w:rPr>
        <w:t xml:space="preserve">            </w:t>
      </w:r>
      <w:r>
        <w:rPr>
          <w:rStyle w:val="104"/>
          <w:rFonts w:ascii="仿宋" w:hAnsi="仿宋" w:eastAsia="仿宋"/>
          <w:color w:val="auto"/>
          <w:highlight w:val="none"/>
        </w:rPr>
        <w:t>，微信号码：</w:t>
      </w:r>
      <w:r>
        <w:rPr>
          <w:rStyle w:val="104"/>
          <w:rFonts w:ascii="仿宋" w:hAnsi="仿宋" w:eastAsia="仿宋"/>
          <w:color w:val="auto"/>
          <w:highlight w:val="none"/>
          <w:u w:val="single"/>
        </w:rPr>
        <w:t xml:space="preserve">     </w:t>
      </w:r>
      <w:r>
        <w:rPr>
          <w:rStyle w:val="104"/>
          <w:rFonts w:ascii="仿宋" w:hAnsi="仿宋" w:eastAsia="仿宋"/>
          <w:color w:val="auto"/>
          <w:highlight w:val="none"/>
        </w:rPr>
        <w:t>，座机电话：</w:t>
      </w:r>
      <w:r>
        <w:rPr>
          <w:rStyle w:val="104"/>
          <w:rFonts w:ascii="仿宋" w:hAnsi="仿宋" w:eastAsia="仿宋"/>
          <w:color w:val="auto"/>
          <w:kern w:val="0"/>
          <w:highlight w:val="none"/>
          <w:u w:val="single"/>
        </w:rPr>
        <w:t xml:space="preserve">           </w:t>
      </w:r>
      <w:r>
        <w:rPr>
          <w:rStyle w:val="104"/>
          <w:rFonts w:ascii="仿宋" w:hAnsi="仿宋" w:eastAsia="仿宋"/>
          <w:color w:val="auto"/>
          <w:kern w:val="0"/>
          <w:highlight w:val="none"/>
        </w:rPr>
        <w:t>。</w:t>
      </w:r>
      <w:r>
        <w:rPr>
          <w:rStyle w:val="104"/>
          <w:rFonts w:ascii="仿宋" w:hAnsi="仿宋" w:eastAsia="仿宋"/>
          <w:color w:val="auto"/>
          <w:highlight w:val="none"/>
        </w:rPr>
        <w:t>如乙方售后联系人或联系方式发生变更，应在变更前3日内书面通知甲方，否则视为未作变更，原约定的联系信息仍为有效的信息，由此产生的不利后果均由乙方承担。</w:t>
      </w:r>
    </w:p>
    <w:p>
      <w:pPr>
        <w:pStyle w:val="106"/>
        <w:spacing w:after="0" w:line="360" w:lineRule="exact"/>
        <w:ind w:firstLine="482"/>
        <w:rPr>
          <w:rStyle w:val="104"/>
          <w:rFonts w:ascii="仿宋" w:hAnsi="仿宋" w:eastAsia="仿宋"/>
          <w:b/>
          <w:bCs/>
          <w:color w:val="auto"/>
          <w:sz w:val="24"/>
          <w:highlight w:val="none"/>
        </w:rPr>
      </w:pPr>
      <w:r>
        <w:rPr>
          <w:rStyle w:val="104"/>
          <w:rFonts w:ascii="仿宋" w:hAnsi="仿宋" w:eastAsia="仿宋"/>
          <w:b/>
          <w:bCs/>
          <w:color w:val="auto"/>
          <w:sz w:val="24"/>
          <w:highlight w:val="none"/>
        </w:rPr>
        <w:t>十、双方权利和义务</w:t>
      </w:r>
    </w:p>
    <w:p>
      <w:pPr>
        <w:pStyle w:val="106"/>
        <w:spacing w:after="0" w:line="360" w:lineRule="exact"/>
        <w:ind w:firstLine="480"/>
        <w:rPr>
          <w:rStyle w:val="104"/>
          <w:rFonts w:ascii="仿宋" w:hAnsi="仿宋" w:eastAsia="仿宋"/>
          <w:color w:val="auto"/>
          <w:sz w:val="24"/>
          <w:highlight w:val="none"/>
        </w:rPr>
      </w:pPr>
      <w:r>
        <w:rPr>
          <w:rStyle w:val="104"/>
          <w:rFonts w:ascii="仿宋" w:hAnsi="仿宋" w:eastAsia="仿宋"/>
          <w:color w:val="auto"/>
          <w:sz w:val="24"/>
          <w:highlight w:val="none"/>
        </w:rPr>
        <w:t>1.甲乙双方在实施本合同的全部工作中均应遵守与本合同有关的法律、行政法规，并承担由于其自身违反法律、法规的责任。</w:t>
      </w:r>
    </w:p>
    <w:p>
      <w:pPr>
        <w:pStyle w:val="106"/>
        <w:spacing w:after="0" w:line="360" w:lineRule="exact"/>
        <w:ind w:firstLine="480"/>
        <w:rPr>
          <w:rStyle w:val="104"/>
          <w:rFonts w:ascii="仿宋" w:hAnsi="仿宋" w:eastAsia="仿宋"/>
          <w:color w:val="auto"/>
          <w:sz w:val="24"/>
          <w:highlight w:val="none"/>
        </w:rPr>
      </w:pPr>
      <w:r>
        <w:rPr>
          <w:rStyle w:val="104"/>
          <w:rFonts w:ascii="仿宋" w:hAnsi="仿宋" w:eastAsia="仿宋"/>
          <w:color w:val="auto"/>
          <w:sz w:val="24"/>
          <w:highlight w:val="none"/>
        </w:rPr>
        <w:t>2.甲方应按照本合同约定及时组织验收，支付相应的款项。</w:t>
      </w:r>
    </w:p>
    <w:p>
      <w:pPr>
        <w:pStyle w:val="106"/>
        <w:spacing w:after="0" w:line="360" w:lineRule="exact"/>
        <w:ind w:firstLine="480"/>
        <w:rPr>
          <w:rStyle w:val="104"/>
          <w:rFonts w:ascii="仿宋" w:hAnsi="仿宋" w:eastAsia="仿宋"/>
          <w:color w:val="auto"/>
          <w:sz w:val="24"/>
          <w:highlight w:val="none"/>
        </w:rPr>
      </w:pPr>
      <w:r>
        <w:rPr>
          <w:rStyle w:val="104"/>
          <w:rFonts w:ascii="仿宋" w:hAnsi="仿宋" w:eastAsia="仿宋"/>
          <w:color w:val="auto"/>
          <w:sz w:val="24"/>
          <w:highlight w:val="none"/>
        </w:rPr>
        <w:t>3.乙方应保证具备供应本合同项下采购设备的资格、资质（包括但不限于营业执照、经营许可证等），并按照本合同约定及时供货。</w:t>
      </w:r>
    </w:p>
    <w:p>
      <w:pPr>
        <w:pStyle w:val="106"/>
        <w:spacing w:after="0" w:line="360" w:lineRule="exact"/>
        <w:ind w:firstLine="480"/>
        <w:rPr>
          <w:rStyle w:val="104"/>
          <w:rFonts w:ascii="仿宋" w:hAnsi="仿宋" w:eastAsia="仿宋"/>
          <w:color w:val="auto"/>
          <w:sz w:val="24"/>
          <w:highlight w:val="none"/>
        </w:rPr>
      </w:pPr>
      <w:r>
        <w:rPr>
          <w:rStyle w:val="104"/>
          <w:rFonts w:ascii="仿宋" w:hAnsi="仿宋" w:eastAsia="仿宋"/>
          <w:color w:val="auto"/>
          <w:sz w:val="24"/>
          <w:highlight w:val="none"/>
        </w:rPr>
        <w:t>4.未经甲方书面同意，乙方不得将本合同项下任何权利和（或）义务转让第三方。如乙方擅自转让第三方的，对甲方不发生任何法律效力，且甲方有权解除本合同。</w:t>
      </w:r>
    </w:p>
    <w:p>
      <w:pPr>
        <w:pStyle w:val="106"/>
        <w:spacing w:after="0" w:line="360" w:lineRule="exact"/>
        <w:ind w:firstLine="480"/>
        <w:rPr>
          <w:rStyle w:val="104"/>
          <w:rFonts w:ascii="仿宋" w:hAnsi="仿宋" w:eastAsia="仿宋"/>
          <w:color w:val="auto"/>
          <w:sz w:val="24"/>
          <w:highlight w:val="none"/>
        </w:rPr>
      </w:pPr>
      <w:r>
        <w:rPr>
          <w:rStyle w:val="104"/>
          <w:rFonts w:ascii="仿宋" w:hAnsi="仿宋" w:eastAsia="仿宋"/>
          <w:color w:val="auto"/>
          <w:sz w:val="24"/>
          <w:highlight w:val="none"/>
        </w:rPr>
        <w:t>5.乙方承担采购设备初步验收合格前的运输、保管责任，并承担采购设备验收合格前采购设备损毁灭失的风险。自甲方初步验收合格之日起，采购设备的损毁灭失风险转移由甲方承担。</w:t>
      </w:r>
    </w:p>
    <w:p>
      <w:pPr>
        <w:pStyle w:val="106"/>
        <w:spacing w:after="0" w:line="360" w:lineRule="exact"/>
        <w:ind w:firstLine="480"/>
        <w:rPr>
          <w:rStyle w:val="104"/>
          <w:rFonts w:ascii="仿宋" w:hAnsi="仿宋" w:eastAsia="仿宋"/>
          <w:color w:val="auto"/>
          <w:sz w:val="24"/>
          <w:highlight w:val="none"/>
        </w:rPr>
      </w:pPr>
      <w:r>
        <w:rPr>
          <w:rStyle w:val="104"/>
          <w:rFonts w:ascii="仿宋" w:hAnsi="仿宋" w:eastAsia="仿宋"/>
          <w:color w:val="auto"/>
          <w:sz w:val="24"/>
          <w:highlight w:val="none"/>
        </w:rPr>
        <w:t>6.乙方应为其雇佣的现场服务的工作人员（包括但不限于送货人员、装卸人员、验收人员、培训人员等）购买保险，提供必要的安全防护措施、劳动保护措施，保证现场人身安全，承担由自身安全措施不力造成事故的责任和费用。</w:t>
      </w:r>
    </w:p>
    <w:p>
      <w:pPr>
        <w:pStyle w:val="106"/>
        <w:spacing w:after="0" w:line="360" w:lineRule="exact"/>
        <w:ind w:firstLine="480"/>
        <w:rPr>
          <w:rStyle w:val="104"/>
          <w:rFonts w:ascii="仿宋" w:hAnsi="仿宋" w:eastAsia="仿宋"/>
          <w:color w:val="auto"/>
          <w:sz w:val="24"/>
          <w:highlight w:val="none"/>
        </w:rPr>
      </w:pPr>
      <w:r>
        <w:rPr>
          <w:rStyle w:val="104"/>
          <w:rFonts w:ascii="仿宋" w:hAnsi="仿宋" w:eastAsia="仿宋"/>
          <w:color w:val="auto"/>
          <w:sz w:val="24"/>
          <w:highlight w:val="none"/>
        </w:rPr>
        <w:t>7.乙方应就设备的安装、调试、操作、维修、保养等对甲方维修技术人员及操作人员进行培训，直至甲方的操作人员能独立操作，同时能完成一般常见故障的维修工作，所需的费用已包括在合同总价中，甲方无须另行支付。</w:t>
      </w:r>
    </w:p>
    <w:p>
      <w:pPr>
        <w:pStyle w:val="106"/>
        <w:spacing w:after="0" w:line="360" w:lineRule="exact"/>
        <w:ind w:firstLine="480"/>
        <w:rPr>
          <w:rStyle w:val="104"/>
          <w:rFonts w:ascii="仿宋" w:hAnsi="仿宋" w:eastAsia="仿宋"/>
          <w:color w:val="auto"/>
          <w:sz w:val="24"/>
          <w:highlight w:val="none"/>
        </w:rPr>
      </w:pPr>
      <w:r>
        <w:rPr>
          <w:rStyle w:val="104"/>
          <w:rFonts w:ascii="仿宋" w:hAnsi="仿宋" w:eastAsia="仿宋"/>
          <w:color w:val="auto"/>
          <w:sz w:val="24"/>
          <w:highlight w:val="none"/>
        </w:rPr>
        <w:t>8.如根据本合同约定，乙方应支付违约金、承担费用的，乙方同意甲方有权从甲方应支付乙方的货款、质保金中扣除相应的违约金、费用。</w:t>
      </w:r>
    </w:p>
    <w:p>
      <w:pPr>
        <w:pStyle w:val="107"/>
        <w:spacing w:after="0" w:line="360" w:lineRule="exact"/>
        <w:ind w:firstLine="482" w:firstLineChars="200"/>
        <w:rPr>
          <w:rStyle w:val="104"/>
          <w:rFonts w:ascii="仿宋" w:hAnsi="仿宋" w:eastAsia="仿宋" w:cs="宋体"/>
          <w:b/>
          <w:bCs/>
          <w:color w:val="auto"/>
          <w:sz w:val="24"/>
          <w:highlight w:val="none"/>
        </w:rPr>
      </w:pPr>
      <w:r>
        <w:rPr>
          <w:rStyle w:val="104"/>
          <w:rFonts w:ascii="仿宋" w:hAnsi="仿宋" w:eastAsia="仿宋" w:cs="宋体"/>
          <w:b/>
          <w:bCs/>
          <w:color w:val="auto"/>
          <w:sz w:val="24"/>
          <w:highlight w:val="none"/>
        </w:rPr>
        <w:t>十一、违约责任</w:t>
      </w:r>
    </w:p>
    <w:p>
      <w:pPr>
        <w:pStyle w:val="107"/>
        <w:spacing w:after="0" w:line="360" w:lineRule="exact"/>
        <w:ind w:firstLine="480" w:firstLineChars="200"/>
        <w:rPr>
          <w:rStyle w:val="104"/>
          <w:rFonts w:ascii="仿宋" w:hAnsi="仿宋" w:eastAsia="仿宋"/>
          <w:color w:val="auto"/>
          <w:sz w:val="24"/>
          <w:highlight w:val="none"/>
        </w:rPr>
      </w:pPr>
      <w:r>
        <w:rPr>
          <w:rStyle w:val="104"/>
          <w:rFonts w:ascii="仿宋" w:hAnsi="仿宋" w:eastAsia="仿宋"/>
          <w:color w:val="auto"/>
          <w:sz w:val="24"/>
          <w:highlight w:val="none"/>
        </w:rPr>
        <w:t>1.如非因乙方原因导致甲方逾期支付货款的，每逾期一日，乙方有权要求甲方以逾期未付款项为基数，按照中国人民银行活期存款利率（单利）的标准支付逾期付款损失。如非因乙方原因导致甲方逾期支付预付款超过90日的，乙方有权解除本合同，并要求甲方按照预付款总额的20%支付违约金。</w:t>
      </w:r>
    </w:p>
    <w:p>
      <w:pPr>
        <w:pStyle w:val="107"/>
        <w:spacing w:after="0" w:line="360" w:lineRule="exact"/>
        <w:ind w:firstLine="480" w:firstLineChars="200"/>
        <w:rPr>
          <w:rStyle w:val="104"/>
          <w:rFonts w:ascii="仿宋" w:hAnsi="仿宋" w:eastAsia="仿宋"/>
          <w:color w:val="auto"/>
          <w:sz w:val="24"/>
          <w:highlight w:val="none"/>
        </w:rPr>
      </w:pPr>
      <w:r>
        <w:rPr>
          <w:rStyle w:val="104"/>
          <w:rFonts w:ascii="仿宋" w:hAnsi="仿宋" w:eastAsia="仿宋"/>
          <w:color w:val="auto"/>
          <w:sz w:val="24"/>
          <w:highlight w:val="none"/>
        </w:rPr>
        <w:t>2.如非因甲方原因导致乙方逾期交付采购设备或逾期完成验收或逾期未免费更换或退换的，每逾期一日，甲方有权要求乙方以违约采购设备对应的设备金额为基数，按照每日万分之五的标准支付违约金。如逾期超过15日的，甲方有权部分或全部终止合同。如甲方选择部分终止合同，同意接受已按期交付且验收合格的采购设备的，甲乙双方对乙方已验收合格的采购设备据实进行结算，甲方同时有权要求乙方按照合同总价的20%支付违约金。如甲方选择全部终止合同的，乙方应退还全部预付款，甲方有权要求乙方按照合同总价的20%支付违约金。如前述违约金不足以弥补甲方损失的，乙方应当另行赔偿。</w:t>
      </w:r>
    </w:p>
    <w:p>
      <w:pPr>
        <w:pStyle w:val="107"/>
        <w:spacing w:after="0" w:line="360" w:lineRule="exact"/>
        <w:ind w:firstLine="480" w:firstLineChars="200"/>
        <w:rPr>
          <w:rStyle w:val="104"/>
          <w:rFonts w:ascii="仿宋" w:hAnsi="仿宋" w:eastAsia="仿宋"/>
          <w:color w:val="auto"/>
          <w:sz w:val="24"/>
          <w:highlight w:val="none"/>
        </w:rPr>
      </w:pPr>
      <w:r>
        <w:rPr>
          <w:rStyle w:val="104"/>
          <w:rFonts w:ascii="仿宋" w:hAnsi="仿宋" w:eastAsia="仿宋"/>
          <w:color w:val="auto"/>
          <w:sz w:val="24"/>
          <w:highlight w:val="none"/>
        </w:rPr>
        <w:t>3.本合同履行期间，如乙方出现下列情形之一的，甲方有权提前终止本合同，并要求乙方按照合同总价的20%支付违约金：</w:t>
      </w:r>
    </w:p>
    <w:p>
      <w:pPr>
        <w:pStyle w:val="107"/>
        <w:spacing w:after="0" w:line="360" w:lineRule="exact"/>
        <w:ind w:firstLine="480" w:firstLineChars="200"/>
        <w:rPr>
          <w:rStyle w:val="104"/>
          <w:rFonts w:ascii="仿宋" w:hAnsi="仿宋" w:eastAsia="仿宋"/>
          <w:color w:val="auto"/>
          <w:sz w:val="24"/>
          <w:highlight w:val="none"/>
        </w:rPr>
      </w:pPr>
      <w:r>
        <w:rPr>
          <w:rStyle w:val="104"/>
          <w:rFonts w:ascii="仿宋" w:hAnsi="仿宋" w:eastAsia="仿宋"/>
          <w:color w:val="auto"/>
          <w:sz w:val="24"/>
          <w:highlight w:val="none"/>
        </w:rPr>
        <w:t>（1）供应本合同项下采购设备所需的其中任一资格、资质（包括但不限于营业执照、经营许可证、代理商资格证、医疗器械生产企业许可证、医疗器械经营企业许可证、医疗器械产品注册证等）被吊销或注销或失效的；</w:t>
      </w:r>
    </w:p>
    <w:p>
      <w:pPr>
        <w:pStyle w:val="107"/>
        <w:spacing w:after="0" w:line="360" w:lineRule="exact"/>
        <w:ind w:firstLine="480" w:firstLineChars="200"/>
        <w:rPr>
          <w:rStyle w:val="104"/>
          <w:rFonts w:ascii="仿宋" w:hAnsi="仿宋" w:eastAsia="仿宋"/>
          <w:color w:val="auto"/>
          <w:sz w:val="24"/>
          <w:highlight w:val="none"/>
        </w:rPr>
      </w:pPr>
      <w:r>
        <w:rPr>
          <w:rStyle w:val="104"/>
          <w:rFonts w:ascii="仿宋" w:hAnsi="仿宋" w:eastAsia="仿宋"/>
          <w:color w:val="auto"/>
          <w:sz w:val="24"/>
          <w:highlight w:val="none"/>
        </w:rPr>
        <w:t>（2）被工商行政管理机关在全国企业信用信息公示系统中列入严重违法失信企业名单；</w:t>
      </w:r>
    </w:p>
    <w:p>
      <w:pPr>
        <w:pStyle w:val="107"/>
        <w:spacing w:after="0" w:line="360" w:lineRule="exact"/>
        <w:ind w:firstLine="480" w:firstLineChars="200"/>
        <w:rPr>
          <w:rStyle w:val="104"/>
          <w:rFonts w:ascii="仿宋" w:hAnsi="仿宋" w:eastAsia="仿宋"/>
          <w:color w:val="auto"/>
          <w:sz w:val="24"/>
          <w:highlight w:val="none"/>
        </w:rPr>
      </w:pPr>
      <w:r>
        <w:rPr>
          <w:rStyle w:val="104"/>
          <w:rFonts w:ascii="仿宋" w:hAnsi="仿宋" w:eastAsia="仿宋"/>
          <w:color w:val="auto"/>
          <w:sz w:val="24"/>
          <w:highlight w:val="none"/>
        </w:rPr>
        <w:t>（3）被最高人法院在“信用中国”网站（</w:t>
      </w:r>
      <w:r>
        <w:rPr>
          <w:rStyle w:val="46"/>
          <w:rFonts w:ascii="仿宋" w:hAnsi="仿宋" w:eastAsia="仿宋"/>
          <w:color w:val="auto"/>
          <w:sz w:val="24"/>
          <w:highlight w:val="none"/>
          <w:u w:color="0563C1"/>
        </w:rPr>
        <w:t>www.creditchina.gov.cn）或各级信用信息共享平台中列入失信被执行人名单；</w:t>
      </w:r>
    </w:p>
    <w:p>
      <w:pPr>
        <w:pStyle w:val="107"/>
        <w:spacing w:after="0" w:line="360" w:lineRule="exact"/>
        <w:ind w:firstLine="480" w:firstLineChars="200"/>
        <w:rPr>
          <w:rStyle w:val="104"/>
          <w:rFonts w:ascii="仿宋" w:hAnsi="仿宋" w:eastAsia="仿宋"/>
          <w:color w:val="auto"/>
          <w:sz w:val="24"/>
          <w:highlight w:val="none"/>
        </w:rPr>
      </w:pPr>
      <w:r>
        <w:rPr>
          <w:rStyle w:val="104"/>
          <w:rFonts w:ascii="仿宋" w:hAnsi="仿宋" w:eastAsia="仿宋"/>
          <w:color w:val="auto"/>
          <w:sz w:val="24"/>
          <w:highlight w:val="none"/>
        </w:rPr>
        <w:t>（4）被纳入政府采购严重违法失信行为记录名单；</w:t>
      </w:r>
    </w:p>
    <w:p>
      <w:pPr>
        <w:pStyle w:val="107"/>
        <w:spacing w:after="0" w:line="360" w:lineRule="exact"/>
        <w:ind w:firstLine="480" w:firstLineChars="200"/>
        <w:rPr>
          <w:rStyle w:val="104"/>
          <w:rFonts w:ascii="仿宋" w:hAnsi="仿宋" w:eastAsia="仿宋"/>
          <w:color w:val="auto"/>
          <w:sz w:val="24"/>
          <w:highlight w:val="none"/>
        </w:rPr>
      </w:pPr>
      <w:r>
        <w:rPr>
          <w:rStyle w:val="104"/>
          <w:rFonts w:ascii="仿宋" w:hAnsi="仿宋" w:eastAsia="仿宋"/>
          <w:color w:val="auto"/>
          <w:sz w:val="24"/>
          <w:highlight w:val="none"/>
        </w:rPr>
        <w:t>（5）被应急管理部列入安全生产领域失信行为开展联合惩戒企业名单。</w:t>
      </w:r>
    </w:p>
    <w:p>
      <w:pPr>
        <w:pStyle w:val="107"/>
        <w:spacing w:after="0" w:line="360" w:lineRule="exact"/>
        <w:ind w:firstLine="482" w:firstLineChars="200"/>
        <w:rPr>
          <w:rStyle w:val="104"/>
          <w:rFonts w:ascii="仿宋" w:hAnsi="仿宋" w:eastAsia="仿宋"/>
          <w:b/>
          <w:bCs/>
          <w:color w:val="auto"/>
          <w:sz w:val="24"/>
          <w:highlight w:val="none"/>
        </w:rPr>
      </w:pPr>
      <w:r>
        <w:rPr>
          <w:rStyle w:val="104"/>
          <w:rFonts w:ascii="仿宋" w:hAnsi="仿宋" w:eastAsia="仿宋"/>
          <w:b/>
          <w:bCs/>
          <w:color w:val="auto"/>
          <w:sz w:val="24"/>
          <w:highlight w:val="none"/>
        </w:rPr>
        <w:t>十二、不可抗力</w:t>
      </w:r>
    </w:p>
    <w:p>
      <w:pPr>
        <w:pStyle w:val="107"/>
        <w:spacing w:after="0" w:line="360" w:lineRule="exact"/>
        <w:ind w:firstLine="480" w:firstLineChars="200"/>
        <w:rPr>
          <w:rStyle w:val="104"/>
          <w:rFonts w:ascii="仿宋" w:hAnsi="仿宋" w:eastAsia="仿宋"/>
          <w:color w:val="auto"/>
          <w:sz w:val="24"/>
          <w:highlight w:val="none"/>
        </w:rPr>
      </w:pPr>
      <w:r>
        <w:rPr>
          <w:rStyle w:val="104"/>
          <w:rFonts w:ascii="仿宋" w:hAnsi="仿宋" w:eastAsia="仿宋"/>
          <w:color w:val="auto"/>
          <w:sz w:val="24"/>
          <w:highlight w:val="none"/>
        </w:rPr>
        <w:t>1.如果任何一方当事人受到不能预见、不能避免且不能克服的不可抗力事件的影响，例如战争、严重的火灾、台风、地震、洪水和合同条款约定的其他情形，而无法履行合同项下的任何义务，则受影响的一方当事人应立即将此类事件的发生通知另一方当事人，并应在不可抗力事件发生后14日内将有关当局或机构出具的证明文件提交给另一方当事人。</w:t>
      </w:r>
    </w:p>
    <w:p>
      <w:pPr>
        <w:pStyle w:val="107"/>
        <w:spacing w:after="0" w:line="360" w:lineRule="exact"/>
        <w:ind w:firstLine="480" w:firstLineChars="200"/>
        <w:rPr>
          <w:rStyle w:val="104"/>
          <w:rFonts w:ascii="仿宋" w:hAnsi="仿宋" w:eastAsia="仿宋"/>
          <w:color w:val="auto"/>
          <w:sz w:val="24"/>
          <w:highlight w:val="none"/>
        </w:rPr>
      </w:pPr>
      <w:r>
        <w:rPr>
          <w:rStyle w:val="104"/>
          <w:rFonts w:ascii="仿宋" w:hAnsi="仿宋" w:eastAsia="仿宋"/>
          <w:color w:val="auto"/>
          <w:sz w:val="24"/>
          <w:highlight w:val="none"/>
        </w:rPr>
        <w:t>2.受不可抗力事件影响的一方当事人对于不可抗力事件导致的任何合同义务的迟延履行或不能履行不承担违约责任。但该方当事人应尽快将不可抗力事件结束或消除的情况通知另一方当事人。</w:t>
      </w:r>
    </w:p>
    <w:p>
      <w:pPr>
        <w:pStyle w:val="107"/>
        <w:spacing w:after="0" w:line="360" w:lineRule="exact"/>
        <w:ind w:firstLine="480" w:firstLineChars="200"/>
        <w:rPr>
          <w:rStyle w:val="104"/>
          <w:rFonts w:ascii="仿宋" w:hAnsi="仿宋" w:eastAsia="仿宋"/>
          <w:color w:val="auto"/>
          <w:sz w:val="24"/>
          <w:highlight w:val="none"/>
        </w:rPr>
      </w:pPr>
      <w:r>
        <w:rPr>
          <w:rStyle w:val="104"/>
          <w:rFonts w:ascii="仿宋" w:hAnsi="仿宋" w:eastAsia="仿宋"/>
          <w:color w:val="auto"/>
          <w:sz w:val="24"/>
          <w:highlight w:val="none"/>
        </w:rPr>
        <w:t>3.双方当事人应在不可抗力事件结束或其影响消除后立即继续履行其合同义务，合同期限也应相应顺延。如果不可抗力事件的影响持续超过90日，则任何一方当事人均有权以书面通知解除合同。</w:t>
      </w:r>
    </w:p>
    <w:p>
      <w:pPr>
        <w:pStyle w:val="107"/>
        <w:spacing w:after="0" w:line="360" w:lineRule="exact"/>
        <w:ind w:firstLine="480" w:firstLineChars="200"/>
        <w:rPr>
          <w:rStyle w:val="104"/>
          <w:rFonts w:ascii="仿宋" w:hAnsi="仿宋" w:eastAsia="仿宋"/>
          <w:color w:val="auto"/>
          <w:sz w:val="24"/>
          <w:highlight w:val="none"/>
        </w:rPr>
      </w:pPr>
      <w:r>
        <w:rPr>
          <w:rStyle w:val="104"/>
          <w:rFonts w:ascii="仿宋" w:hAnsi="仿宋" w:eastAsia="仿宋"/>
          <w:color w:val="auto"/>
          <w:sz w:val="24"/>
          <w:highlight w:val="none"/>
        </w:rPr>
        <w:t>4.不可抗力的处理：（1）合同双方中的任何一方，由于不可抗力事件而影响合同的执行时，可相应延迟合同中受影响部分的履行时间，其延迟的时间相当于不可抗力事件影响的时间。（2）受到不可抗力事件影响的一方应在不可抗力事件发生后，尽快将发生的不可抗力事件的情况书面通知对方，并在7天内将有关当局出具的证明文件提交给对方审查确认，受影响的一方同时应尽量设法减少这种影响和由此而引起的延误，一旦不可抗力的影响消除后，应将此情况立即书面通知对方。（3）合同双方中的任何一方，由于不可抗力事件而影响合同的履行时，双方对由此产生的经济损失均不得向对方提出索赔要求。乙方也不得因不可抗力事件的影响而要求调整合同总价。（4）若因不可抗力事件的影响致使合同全部或部分无法如约履行时，应由双方协商变更或解除合同。（5）若因合同一方延迟履行合同后发生不可抗力事件的，不能免除延迟履行合同方的相应责任。</w:t>
      </w:r>
    </w:p>
    <w:p>
      <w:pPr>
        <w:pStyle w:val="107"/>
        <w:spacing w:after="0" w:line="360" w:lineRule="exact"/>
        <w:ind w:firstLine="480" w:firstLineChars="200"/>
        <w:rPr>
          <w:rStyle w:val="104"/>
          <w:rFonts w:ascii="仿宋" w:hAnsi="仿宋" w:eastAsia="仿宋"/>
          <w:color w:val="auto"/>
          <w:sz w:val="24"/>
          <w:highlight w:val="none"/>
        </w:rPr>
      </w:pPr>
      <w:r>
        <w:rPr>
          <w:rStyle w:val="104"/>
          <w:rFonts w:ascii="仿宋" w:hAnsi="仿宋" w:eastAsia="仿宋"/>
          <w:color w:val="auto"/>
          <w:sz w:val="24"/>
          <w:highlight w:val="none"/>
        </w:rPr>
        <w:t>5.乙方确认新冠肺炎疫情属于不可抗力事件，乙方在签订合同时对新冠肺炎疫情可能影响合同的履行（包括但不限于可能导致成本增加、迟延交货等）已作出全面的风险评估，乙方同意不得以新冠肺炎疫情抗辩合同的履行，否则视为未按本合同约定履行相应的义务，乙方应当承担本合同约定的相应责任。</w:t>
      </w:r>
    </w:p>
    <w:p>
      <w:pPr>
        <w:pStyle w:val="107"/>
        <w:spacing w:after="0" w:line="360" w:lineRule="exact"/>
        <w:ind w:firstLine="482" w:firstLineChars="200"/>
        <w:rPr>
          <w:rStyle w:val="104"/>
          <w:rFonts w:ascii="仿宋" w:hAnsi="仿宋" w:eastAsia="仿宋"/>
          <w:b/>
          <w:bCs/>
          <w:color w:val="auto"/>
          <w:sz w:val="24"/>
          <w:highlight w:val="none"/>
        </w:rPr>
      </w:pPr>
      <w:r>
        <w:rPr>
          <w:rStyle w:val="104"/>
          <w:rFonts w:ascii="仿宋" w:hAnsi="仿宋" w:eastAsia="仿宋"/>
          <w:b/>
          <w:bCs/>
          <w:color w:val="auto"/>
          <w:sz w:val="24"/>
          <w:highlight w:val="none"/>
        </w:rPr>
        <w:t>十三、通知与送达</w:t>
      </w:r>
    </w:p>
    <w:p>
      <w:pPr>
        <w:spacing w:line="360" w:lineRule="exact"/>
        <w:ind w:firstLine="480" w:firstLineChars="200"/>
        <w:rPr>
          <w:rStyle w:val="104"/>
          <w:rFonts w:ascii="仿宋" w:hAnsi="仿宋" w:eastAsia="仿宋"/>
          <w:color w:val="auto"/>
          <w:sz w:val="24"/>
          <w:highlight w:val="none"/>
        </w:rPr>
      </w:pPr>
      <w:r>
        <w:rPr>
          <w:rStyle w:val="104"/>
          <w:rFonts w:ascii="仿宋" w:hAnsi="仿宋" w:eastAsia="仿宋"/>
          <w:color w:val="auto"/>
          <w:sz w:val="24"/>
          <w:highlight w:val="none"/>
        </w:rPr>
        <w:t>1.甲乙双方一致确认本合同签字盖章处填写的联系地址分别为各方送达地址，该送达地址适用范围包括合同履行的各类通知、协议等文件以及就合同发生纠纷时相关文件、法律文书的送达，同时包括争议进入仲裁、民事诉讼程序后的一审、二审、再审和执行程序。</w:t>
      </w:r>
    </w:p>
    <w:p>
      <w:pPr>
        <w:spacing w:line="360" w:lineRule="exact"/>
        <w:ind w:firstLine="480" w:firstLineChars="200"/>
        <w:rPr>
          <w:rStyle w:val="104"/>
          <w:rFonts w:ascii="仿宋" w:hAnsi="仿宋" w:eastAsia="仿宋"/>
          <w:color w:val="auto"/>
          <w:sz w:val="24"/>
          <w:highlight w:val="none"/>
        </w:rPr>
      </w:pPr>
      <w:r>
        <w:rPr>
          <w:rStyle w:val="104"/>
          <w:rFonts w:ascii="仿宋" w:hAnsi="仿宋" w:eastAsia="仿宋"/>
          <w:color w:val="auto"/>
          <w:sz w:val="24"/>
          <w:highlight w:val="none"/>
        </w:rPr>
        <w:t>2.一旦发生诉讼纠纷，各方确认的送达地址将默认为当事人的司法文书的送达地址，即司法文书一旦寄出，当事人将自动承担有效送达的法律后果。如因提供或确认的送达地址不真实、不准确，或指定联系人拒绝签收等导致法律文书未能被当事人实际接收的：邮寄送达的，以文书退回之日视为送达之日；直接送达的，送达人当场在送达回证上记明情况之日视为送达之日。</w:t>
      </w:r>
    </w:p>
    <w:p>
      <w:pPr>
        <w:pStyle w:val="105"/>
        <w:spacing w:after="0" w:line="360" w:lineRule="exact"/>
        <w:ind w:firstLine="480" w:firstLineChars="200"/>
        <w:rPr>
          <w:rStyle w:val="104"/>
          <w:rFonts w:ascii="仿宋" w:hAnsi="仿宋" w:eastAsia="仿宋"/>
          <w:color w:val="auto"/>
          <w:sz w:val="24"/>
          <w:highlight w:val="none"/>
        </w:rPr>
      </w:pPr>
      <w:r>
        <w:rPr>
          <w:rStyle w:val="104"/>
          <w:rFonts w:ascii="仿宋" w:hAnsi="仿宋" w:eastAsia="仿宋"/>
          <w:color w:val="auto"/>
          <w:sz w:val="24"/>
          <w:highlight w:val="none"/>
        </w:rPr>
        <w:t>3.甲乙双方一致确认的送达地址一旦发生变动，应于发生变动之日起五个工作日内以书面形式进行通知，该书面通知中确认的新通知地址将默认为新的通知及司法文书的送达地址。如未书面通知则向原送达地址送达的通知或文件或司法文书均视为有效送达，即使通知或文书被退回，也视为送达。</w:t>
      </w:r>
    </w:p>
    <w:p>
      <w:pPr>
        <w:spacing w:line="360" w:lineRule="exact"/>
        <w:ind w:firstLine="480" w:firstLineChars="200"/>
        <w:rPr>
          <w:rStyle w:val="104"/>
          <w:rFonts w:ascii="仿宋" w:hAnsi="仿宋" w:eastAsia="仿宋"/>
          <w:color w:val="auto"/>
          <w:sz w:val="24"/>
          <w:highlight w:val="none"/>
        </w:rPr>
      </w:pPr>
      <w:r>
        <w:rPr>
          <w:rStyle w:val="104"/>
          <w:rFonts w:ascii="仿宋" w:hAnsi="仿宋" w:eastAsia="仿宋"/>
          <w:color w:val="auto"/>
          <w:sz w:val="24"/>
          <w:highlight w:val="none"/>
        </w:rPr>
        <w:t>4.甲乙双方一致确认本合同签字盖章处指定的联系人有权分别代表各方履行本合同（包括但不限于接受各类通知、函件、参与验收、提出异议等），如指定联系人发生变更的，变更方应于变更前2个工作日内书面通知另一方，如未按前述约定通知的，视为未作变更，原指定的联系人仍为有效的联系人，相应的法律责任及后果由变更方自行承担。</w:t>
      </w:r>
    </w:p>
    <w:p>
      <w:pPr>
        <w:pStyle w:val="107"/>
        <w:spacing w:after="0" w:line="360" w:lineRule="exact"/>
        <w:ind w:firstLine="482" w:firstLineChars="200"/>
        <w:rPr>
          <w:rStyle w:val="104"/>
          <w:rFonts w:ascii="仿宋" w:hAnsi="仿宋" w:eastAsia="仿宋"/>
          <w:b/>
          <w:bCs/>
          <w:color w:val="auto"/>
          <w:sz w:val="24"/>
          <w:highlight w:val="none"/>
        </w:rPr>
      </w:pPr>
      <w:r>
        <w:rPr>
          <w:rStyle w:val="104"/>
          <w:rFonts w:ascii="仿宋" w:hAnsi="仿宋" w:eastAsia="仿宋"/>
          <w:b/>
          <w:bCs/>
          <w:color w:val="auto"/>
          <w:sz w:val="24"/>
          <w:highlight w:val="none"/>
        </w:rPr>
        <w:t>十四、争议与解决</w:t>
      </w:r>
    </w:p>
    <w:p>
      <w:pPr>
        <w:pStyle w:val="108"/>
        <w:spacing w:after="0" w:line="360" w:lineRule="exact"/>
        <w:ind w:firstLine="420"/>
        <w:rPr>
          <w:rStyle w:val="104"/>
          <w:rFonts w:ascii="仿宋" w:hAnsi="仿宋" w:eastAsia="仿宋"/>
          <w:color w:val="auto"/>
          <w:highlight w:val="none"/>
        </w:rPr>
      </w:pPr>
      <w:r>
        <w:rPr>
          <w:rStyle w:val="104"/>
          <w:rFonts w:ascii="仿宋" w:hAnsi="仿宋" w:eastAsia="仿宋"/>
          <w:color w:val="auto"/>
          <w:highlight w:val="none"/>
        </w:rPr>
        <w:t>1.因采购设备的质量问题发生争议，由质量技术监督部门或其指定的质量鉴定机构进行质量鉴定，鉴定费先由乙方垫付。采购设备符合标准的，鉴定费由甲方承担；采购设备不符合质量标准的，鉴定费由乙方承担。</w:t>
      </w:r>
    </w:p>
    <w:p>
      <w:pPr>
        <w:pStyle w:val="108"/>
        <w:spacing w:after="0" w:line="360" w:lineRule="exact"/>
        <w:ind w:firstLine="420"/>
        <w:rPr>
          <w:rStyle w:val="104"/>
          <w:rFonts w:ascii="仿宋" w:hAnsi="仿宋" w:eastAsia="仿宋"/>
          <w:color w:val="auto"/>
          <w:highlight w:val="none"/>
        </w:rPr>
      </w:pPr>
      <w:r>
        <w:rPr>
          <w:rStyle w:val="104"/>
          <w:rFonts w:ascii="仿宋" w:hAnsi="仿宋" w:eastAsia="仿宋"/>
          <w:color w:val="auto"/>
          <w:highlight w:val="none"/>
        </w:rPr>
        <w:t>2.合同履行期间,若双方发生争议，可协商或由有关部门调解解决，协商或调解不成的，任何一方均可向甲方住所地有管辖权的人民法院提起诉讼。败诉方应当承担胜诉方为维护权利产生的诉讼费、保全费、公告费、律师费等。</w:t>
      </w:r>
    </w:p>
    <w:p>
      <w:pPr>
        <w:pStyle w:val="108"/>
        <w:spacing w:after="0" w:line="360" w:lineRule="exact"/>
        <w:ind w:firstLine="420"/>
        <w:rPr>
          <w:rStyle w:val="104"/>
          <w:rFonts w:ascii="仿宋" w:hAnsi="仿宋" w:eastAsia="仿宋"/>
          <w:color w:val="auto"/>
          <w:highlight w:val="none"/>
        </w:rPr>
      </w:pPr>
      <w:r>
        <w:rPr>
          <w:rStyle w:val="104"/>
          <w:rFonts w:ascii="仿宋" w:hAnsi="仿宋" w:eastAsia="仿宋"/>
          <w:color w:val="auto"/>
          <w:highlight w:val="none"/>
        </w:rPr>
        <w:t>3.如因甲方根据本合同的约定向乙方行使追偿权的，乙方同意甲方可向甲方住所地有管辖权的人民法院提起诉讼，并愿意承担甲方为实现债权产生的诉讼费、保全费、公告费、律师费、保全担保保险费等。</w:t>
      </w:r>
    </w:p>
    <w:p>
      <w:pPr>
        <w:pStyle w:val="81"/>
        <w:spacing w:line="360" w:lineRule="exact"/>
        <w:ind w:firstLine="482"/>
        <w:rPr>
          <w:rFonts w:ascii="仿宋" w:hAnsi="仿宋" w:eastAsia="仿宋"/>
          <w:b/>
          <w:bCs/>
          <w:color w:val="auto"/>
          <w:highlight w:val="none"/>
        </w:rPr>
      </w:pPr>
      <w:r>
        <w:rPr>
          <w:rFonts w:hint="eastAsia" w:ascii="仿宋" w:hAnsi="仿宋" w:eastAsia="仿宋"/>
          <w:b/>
          <w:bCs/>
          <w:color w:val="auto"/>
          <w:highlight w:val="none"/>
        </w:rPr>
        <w:t>十五、疫情防控特别约定</w:t>
      </w:r>
    </w:p>
    <w:p>
      <w:pPr>
        <w:pStyle w:val="81"/>
        <w:spacing w:line="360" w:lineRule="exact"/>
        <w:ind w:firstLine="482"/>
        <w:rPr>
          <w:rFonts w:ascii="仿宋" w:hAnsi="仿宋" w:eastAsia="仿宋"/>
          <w:b/>
          <w:bCs/>
          <w:color w:val="auto"/>
          <w:highlight w:val="none"/>
        </w:rPr>
      </w:pPr>
      <w:r>
        <w:rPr>
          <w:rFonts w:hint="eastAsia" w:ascii="仿宋" w:hAnsi="仿宋" w:eastAsia="仿宋"/>
          <w:b/>
          <w:bCs/>
          <w:color w:val="auto"/>
          <w:highlight w:val="none"/>
        </w:rPr>
        <w:t>1</w:t>
      </w:r>
      <w:r>
        <w:rPr>
          <w:rFonts w:ascii="仿宋" w:hAnsi="仿宋" w:eastAsia="仿宋"/>
          <w:b/>
          <w:bCs/>
          <w:color w:val="auto"/>
          <w:highlight w:val="none"/>
        </w:rPr>
        <w:t>.</w:t>
      </w:r>
      <w:r>
        <w:rPr>
          <w:rFonts w:hint="eastAsia" w:ascii="仿宋" w:hAnsi="仿宋" w:eastAsia="仿宋"/>
          <w:b/>
          <w:bCs/>
          <w:color w:val="auto"/>
          <w:highlight w:val="none"/>
        </w:rPr>
        <w:t>乙方在乙方指派的现场服务人员（包括但不限于送货人员、装卸人员、验收人员、培训人员等）前往医院提供现场服务前，应按照国家、省、市、区现行疫情防控政策对现场服务人员进行体温检测、健康码检查，排查是否前往过中高风险区域（以国家、四川省、成都市、双流区等有关政府部门公布的为准）、是否与确诊病例有密切接触、是否存在咳嗽、发烧等症状，并采取相应的疫情防控及处置措施。</w:t>
      </w:r>
    </w:p>
    <w:p>
      <w:pPr>
        <w:pStyle w:val="81"/>
        <w:spacing w:line="360" w:lineRule="exact"/>
        <w:ind w:firstLine="482"/>
        <w:rPr>
          <w:rFonts w:ascii="仿宋" w:hAnsi="仿宋" w:eastAsia="仿宋"/>
          <w:b/>
          <w:bCs/>
          <w:color w:val="auto"/>
          <w:highlight w:val="none"/>
        </w:rPr>
      </w:pPr>
      <w:r>
        <w:rPr>
          <w:rFonts w:hint="eastAsia" w:ascii="仿宋" w:hAnsi="仿宋" w:eastAsia="仿宋"/>
          <w:b/>
          <w:bCs/>
          <w:color w:val="auto"/>
          <w:highlight w:val="none"/>
        </w:rPr>
        <w:t>2</w:t>
      </w:r>
      <w:r>
        <w:rPr>
          <w:rFonts w:ascii="仿宋" w:hAnsi="仿宋" w:eastAsia="仿宋"/>
          <w:b/>
          <w:bCs/>
          <w:color w:val="auto"/>
          <w:highlight w:val="none"/>
        </w:rPr>
        <w:t>.</w:t>
      </w:r>
      <w:r>
        <w:rPr>
          <w:rFonts w:hint="eastAsia" w:ascii="仿宋" w:hAnsi="仿宋" w:eastAsia="仿宋"/>
          <w:b/>
          <w:bCs/>
          <w:color w:val="auto"/>
          <w:highlight w:val="none"/>
        </w:rPr>
        <w:t>乙方在每次指派的现场服务人员（包括但不限于送货人员、装卸人员、验收人员、培训人员等）前往医院提供现场服务前，应主动与甲方联系，了解医院现行的关于第三方服务人员来院的相关疫情防控规定，并严格按照医院疫情防控有关规定执行。</w:t>
      </w:r>
    </w:p>
    <w:p>
      <w:pPr>
        <w:pStyle w:val="81"/>
        <w:spacing w:line="360" w:lineRule="exact"/>
        <w:ind w:firstLine="482"/>
        <w:rPr>
          <w:rFonts w:ascii="仿宋" w:hAnsi="仿宋" w:eastAsia="仿宋"/>
          <w:b/>
          <w:bCs/>
          <w:color w:val="auto"/>
          <w:highlight w:val="none"/>
        </w:rPr>
      </w:pPr>
      <w:r>
        <w:rPr>
          <w:rFonts w:hint="eastAsia" w:ascii="仿宋" w:hAnsi="仿宋" w:eastAsia="仿宋"/>
          <w:b/>
          <w:bCs/>
          <w:color w:val="auto"/>
          <w:highlight w:val="none"/>
        </w:rPr>
        <w:t>3</w:t>
      </w:r>
      <w:r>
        <w:rPr>
          <w:rFonts w:ascii="仿宋" w:hAnsi="仿宋" w:eastAsia="仿宋"/>
          <w:b/>
          <w:bCs/>
          <w:color w:val="auto"/>
          <w:highlight w:val="none"/>
        </w:rPr>
        <w:t>.</w:t>
      </w:r>
      <w:r>
        <w:rPr>
          <w:rFonts w:hint="eastAsia" w:ascii="仿宋" w:hAnsi="仿宋" w:eastAsia="仿宋"/>
          <w:b/>
          <w:bCs/>
          <w:color w:val="auto"/>
          <w:highlight w:val="none"/>
        </w:rPr>
        <w:t>如需现场服务人员提供一定期限内的核酸检测阴性报告等证明材料的，乙方应要求并敦促现场服务人员提供真实、有效的证明材料。</w:t>
      </w:r>
    </w:p>
    <w:p>
      <w:pPr>
        <w:pStyle w:val="81"/>
        <w:spacing w:line="360" w:lineRule="exact"/>
        <w:ind w:firstLine="482"/>
        <w:rPr>
          <w:rFonts w:ascii="仿宋" w:hAnsi="仿宋" w:eastAsia="仿宋"/>
          <w:b/>
          <w:bCs/>
          <w:color w:val="auto"/>
          <w:highlight w:val="none"/>
        </w:rPr>
      </w:pPr>
      <w:r>
        <w:rPr>
          <w:rFonts w:hint="eastAsia" w:ascii="仿宋" w:hAnsi="仿宋" w:eastAsia="仿宋"/>
          <w:b/>
          <w:bCs/>
          <w:color w:val="auto"/>
          <w:highlight w:val="none"/>
        </w:rPr>
        <w:t>4.乙方不得指派国家、省、市、区和医院禁止或限制前往医院的人员至医院提供现场服务，除相关人员依法承担责任外，如因相关人员的行为导致医院损失（包括经济和声誉损失）的，甲方有权要求乙方赔偿。如损失难以确认的，乙方同意甲方有权按照合同总金额的5%-</w:t>
      </w:r>
      <w:r>
        <w:rPr>
          <w:rFonts w:ascii="仿宋" w:hAnsi="仿宋" w:eastAsia="仿宋"/>
          <w:b/>
          <w:bCs/>
          <w:color w:val="auto"/>
          <w:highlight w:val="none"/>
        </w:rPr>
        <w:t>20%确定损失数额（注：具体损失数额由甲方根据实际情况确定后另行通知乙方），乙方对此无异议。</w:t>
      </w:r>
      <w:r>
        <w:rPr>
          <w:rFonts w:hint="eastAsia" w:ascii="仿宋" w:hAnsi="仿宋" w:eastAsia="仿宋"/>
          <w:b/>
          <w:bCs/>
          <w:color w:val="auto"/>
          <w:highlight w:val="none"/>
        </w:rPr>
        <w:t xml:space="preserve"> </w:t>
      </w:r>
    </w:p>
    <w:p>
      <w:pPr>
        <w:pStyle w:val="108"/>
        <w:spacing w:after="0" w:line="360" w:lineRule="exact"/>
        <w:ind w:firstLine="422"/>
        <w:rPr>
          <w:rStyle w:val="104"/>
          <w:rFonts w:ascii="仿宋" w:hAnsi="仿宋" w:eastAsia="仿宋" w:cs="宋体"/>
          <w:b/>
          <w:bCs/>
          <w:color w:val="auto"/>
          <w:highlight w:val="none"/>
        </w:rPr>
      </w:pPr>
      <w:r>
        <w:rPr>
          <w:rStyle w:val="104"/>
          <w:rFonts w:hint="eastAsia" w:ascii="仿宋" w:hAnsi="仿宋" w:eastAsia="仿宋"/>
          <w:b/>
          <w:bCs/>
          <w:color w:val="auto"/>
          <w:highlight w:val="none"/>
        </w:rPr>
        <w:t>十六</w:t>
      </w:r>
      <w:r>
        <w:rPr>
          <w:rStyle w:val="104"/>
          <w:rFonts w:ascii="仿宋" w:hAnsi="仿宋" w:eastAsia="仿宋" w:cs="宋体"/>
          <w:b/>
          <w:bCs/>
          <w:color w:val="auto"/>
          <w:highlight w:val="none"/>
        </w:rPr>
        <w:t>、附则</w:t>
      </w:r>
    </w:p>
    <w:p>
      <w:pPr>
        <w:pStyle w:val="108"/>
        <w:spacing w:after="0" w:line="360" w:lineRule="exact"/>
        <w:ind w:firstLine="420"/>
        <w:rPr>
          <w:rStyle w:val="104"/>
          <w:rFonts w:ascii="仿宋" w:hAnsi="仿宋" w:eastAsia="仿宋"/>
          <w:color w:val="auto"/>
          <w:highlight w:val="none"/>
        </w:rPr>
      </w:pPr>
      <w:r>
        <w:rPr>
          <w:rStyle w:val="104"/>
          <w:rFonts w:ascii="仿宋" w:hAnsi="仿宋" w:eastAsia="仿宋"/>
          <w:color w:val="auto"/>
          <w:highlight w:val="none"/>
        </w:rPr>
        <w:t>1.本合同未尽事宜，由甲乙双方另行签订书面补充协议约定，如有冲突，以补充协议为准。</w:t>
      </w:r>
    </w:p>
    <w:p>
      <w:pPr>
        <w:pStyle w:val="108"/>
        <w:spacing w:after="0" w:line="360" w:lineRule="exact"/>
        <w:ind w:firstLine="420"/>
        <w:rPr>
          <w:rStyle w:val="104"/>
          <w:rFonts w:ascii="仿宋" w:hAnsi="仿宋" w:eastAsia="仿宋"/>
          <w:color w:val="auto"/>
          <w:highlight w:val="none"/>
        </w:rPr>
      </w:pPr>
      <w:r>
        <w:rPr>
          <w:rStyle w:val="104"/>
          <w:rFonts w:ascii="仿宋" w:hAnsi="仿宋" w:eastAsia="仿宋"/>
          <w:color w:val="auto"/>
          <w:highlight w:val="none"/>
        </w:rPr>
        <w:t>2.如本合同的某条款或某条款的部分内容在现在或将来成为无效，该无效条款或该无效部分并不影响本合同及本合同其他条款或该条款其他内容的有效性。</w:t>
      </w:r>
    </w:p>
    <w:p>
      <w:pPr>
        <w:pStyle w:val="108"/>
        <w:spacing w:after="0" w:line="360" w:lineRule="exact"/>
        <w:ind w:firstLine="420"/>
        <w:rPr>
          <w:rStyle w:val="104"/>
          <w:rFonts w:ascii="仿宋" w:hAnsi="仿宋" w:eastAsia="仿宋"/>
          <w:color w:val="auto"/>
          <w:highlight w:val="none"/>
        </w:rPr>
      </w:pPr>
      <w:r>
        <w:rPr>
          <w:rStyle w:val="104"/>
          <w:rFonts w:ascii="仿宋" w:hAnsi="仿宋" w:eastAsia="仿宋"/>
          <w:color w:val="auto"/>
          <w:highlight w:val="none"/>
        </w:rPr>
        <w:t>3.本合同经甲乙双方法定代表人或授权代理人签字或盖章后生效。本合同一式陆份，甲方执肆份、乙方、招采代理机构各执壹份，每份均具有同等法律效力。</w:t>
      </w:r>
    </w:p>
    <w:p>
      <w:pPr>
        <w:pStyle w:val="108"/>
        <w:spacing w:after="0" w:line="360" w:lineRule="exact"/>
        <w:ind w:firstLineChars="0"/>
        <w:jc w:val="center"/>
        <w:rPr>
          <w:rStyle w:val="104"/>
          <w:rFonts w:ascii="仿宋" w:hAnsi="仿宋" w:eastAsia="仿宋"/>
          <w:color w:val="auto"/>
          <w:highlight w:val="none"/>
        </w:rPr>
      </w:pPr>
      <w:r>
        <w:rPr>
          <w:rStyle w:val="104"/>
          <w:rFonts w:ascii="仿宋" w:hAnsi="仿宋" w:eastAsia="仿宋"/>
          <w:color w:val="auto"/>
          <w:highlight w:val="none"/>
        </w:rPr>
        <w:t>（以下为签字盖章处，无正文）</w:t>
      </w:r>
    </w:p>
    <w:p>
      <w:pPr>
        <w:pStyle w:val="108"/>
        <w:spacing w:after="0" w:line="360" w:lineRule="exact"/>
        <w:ind w:firstLineChars="0"/>
        <w:jc w:val="center"/>
        <w:rPr>
          <w:rStyle w:val="104"/>
          <w:rFonts w:ascii="仿宋" w:hAnsi="仿宋" w:eastAsia="仿宋"/>
          <w:color w:val="auto"/>
          <w:highlight w:val="none"/>
        </w:rPr>
      </w:pPr>
    </w:p>
    <w:p>
      <w:pPr>
        <w:pStyle w:val="108"/>
        <w:spacing w:after="0" w:line="360" w:lineRule="exact"/>
        <w:ind w:firstLine="0" w:firstLineChars="0"/>
        <w:rPr>
          <w:rStyle w:val="104"/>
          <w:rFonts w:ascii="仿宋" w:hAnsi="仿宋" w:eastAsia="仿宋"/>
          <w:color w:val="auto"/>
          <w:highlight w:val="none"/>
        </w:rPr>
      </w:pPr>
    </w:p>
    <w:p>
      <w:pPr>
        <w:pStyle w:val="108"/>
        <w:spacing w:after="0" w:line="360" w:lineRule="exact"/>
        <w:ind w:firstLine="420"/>
        <w:rPr>
          <w:rStyle w:val="104"/>
          <w:rFonts w:ascii="仿宋" w:hAnsi="仿宋" w:eastAsia="仿宋"/>
          <w:color w:val="auto"/>
          <w:highlight w:val="none"/>
        </w:rPr>
      </w:pPr>
      <w:r>
        <w:rPr>
          <w:rStyle w:val="104"/>
          <w:rFonts w:ascii="仿宋" w:hAnsi="仿宋" w:eastAsia="仿宋"/>
          <w:color w:val="auto"/>
          <w:highlight w:val="none"/>
        </w:rPr>
        <w:t>甲方（盖章）：</w:t>
      </w:r>
      <w:r>
        <w:rPr>
          <w:rStyle w:val="104"/>
          <w:rFonts w:ascii="仿宋" w:hAnsi="仿宋" w:eastAsia="仿宋" w:cs="宋体"/>
          <w:bCs/>
          <w:color w:val="auto"/>
          <w:highlight w:val="none"/>
        </w:rPr>
        <w:t>成都市双流区妇幼保健院</w:t>
      </w:r>
    </w:p>
    <w:p>
      <w:pPr>
        <w:pStyle w:val="108"/>
        <w:spacing w:after="0" w:line="360" w:lineRule="exact"/>
        <w:ind w:firstLine="420"/>
        <w:rPr>
          <w:rStyle w:val="104"/>
          <w:rFonts w:ascii="仿宋" w:hAnsi="仿宋" w:eastAsia="仿宋"/>
          <w:color w:val="auto"/>
          <w:highlight w:val="none"/>
        </w:rPr>
      </w:pPr>
      <w:r>
        <w:rPr>
          <w:rStyle w:val="104"/>
          <w:rFonts w:ascii="仿宋" w:hAnsi="仿宋" w:eastAsia="仿宋"/>
          <w:color w:val="auto"/>
          <w:highlight w:val="none"/>
        </w:rPr>
        <w:t xml:space="preserve">法定代表人（签字或签章）： </w:t>
      </w:r>
    </w:p>
    <w:p>
      <w:pPr>
        <w:pStyle w:val="108"/>
        <w:spacing w:after="0" w:line="360" w:lineRule="exact"/>
        <w:ind w:firstLine="420"/>
        <w:rPr>
          <w:rStyle w:val="104"/>
          <w:rFonts w:ascii="仿宋" w:hAnsi="仿宋" w:eastAsia="仿宋"/>
          <w:color w:val="auto"/>
          <w:highlight w:val="none"/>
        </w:rPr>
      </w:pPr>
      <w:r>
        <w:rPr>
          <w:rStyle w:val="104"/>
          <w:rFonts w:ascii="仿宋" w:hAnsi="仿宋" w:eastAsia="仿宋"/>
          <w:color w:val="auto"/>
          <w:highlight w:val="none"/>
        </w:rPr>
        <w:t xml:space="preserve">指定联系人： </w:t>
      </w:r>
    </w:p>
    <w:p>
      <w:pPr>
        <w:pStyle w:val="108"/>
        <w:spacing w:after="0" w:line="360" w:lineRule="exact"/>
        <w:ind w:firstLine="420"/>
        <w:rPr>
          <w:rStyle w:val="104"/>
          <w:rFonts w:ascii="仿宋" w:hAnsi="仿宋" w:eastAsia="仿宋"/>
          <w:color w:val="auto"/>
          <w:highlight w:val="none"/>
        </w:rPr>
      </w:pPr>
      <w:r>
        <w:rPr>
          <w:rStyle w:val="104"/>
          <w:rFonts w:ascii="仿宋" w:hAnsi="仿宋" w:eastAsia="仿宋"/>
          <w:color w:val="auto"/>
          <w:highlight w:val="none"/>
        </w:rPr>
        <w:t>联系地址：成都市双流区涧槽中街396号</w:t>
      </w:r>
    </w:p>
    <w:p>
      <w:pPr>
        <w:pStyle w:val="108"/>
        <w:spacing w:after="0" w:line="360" w:lineRule="exact"/>
        <w:ind w:firstLine="420"/>
        <w:rPr>
          <w:rStyle w:val="104"/>
          <w:rFonts w:ascii="仿宋" w:hAnsi="仿宋" w:eastAsia="仿宋"/>
          <w:color w:val="auto"/>
          <w:highlight w:val="none"/>
        </w:rPr>
      </w:pPr>
      <w:r>
        <w:rPr>
          <w:rStyle w:val="104"/>
          <w:rFonts w:ascii="仿宋" w:hAnsi="仿宋" w:eastAsia="仿宋"/>
          <w:color w:val="auto"/>
          <w:highlight w:val="none"/>
        </w:rPr>
        <w:t>联系电话：</w:t>
      </w:r>
    </w:p>
    <w:p>
      <w:pPr>
        <w:pStyle w:val="108"/>
        <w:spacing w:after="0" w:line="360" w:lineRule="exact"/>
        <w:ind w:firstLine="420"/>
        <w:rPr>
          <w:rStyle w:val="104"/>
          <w:rFonts w:ascii="仿宋" w:hAnsi="仿宋" w:eastAsia="仿宋"/>
          <w:color w:val="auto"/>
          <w:highlight w:val="none"/>
        </w:rPr>
      </w:pPr>
      <w:r>
        <w:rPr>
          <w:rStyle w:val="104"/>
          <w:rFonts w:ascii="仿宋" w:hAnsi="仿宋" w:eastAsia="仿宋"/>
          <w:color w:val="auto"/>
          <w:highlight w:val="none"/>
        </w:rPr>
        <w:t>签约日期：  年  月   日</w:t>
      </w:r>
    </w:p>
    <w:p>
      <w:pPr>
        <w:pStyle w:val="108"/>
        <w:spacing w:after="0" w:line="360" w:lineRule="exact"/>
        <w:ind w:firstLineChars="0"/>
        <w:rPr>
          <w:rStyle w:val="104"/>
          <w:rFonts w:ascii="仿宋" w:hAnsi="仿宋" w:eastAsia="仿宋"/>
          <w:color w:val="auto"/>
          <w:highlight w:val="none"/>
        </w:rPr>
      </w:pPr>
    </w:p>
    <w:p>
      <w:pPr>
        <w:pStyle w:val="108"/>
        <w:spacing w:after="0" w:line="360" w:lineRule="exact"/>
        <w:ind w:firstLine="420"/>
        <w:rPr>
          <w:rStyle w:val="104"/>
          <w:rFonts w:ascii="仿宋" w:hAnsi="仿宋" w:eastAsia="仿宋"/>
          <w:color w:val="auto"/>
          <w:highlight w:val="none"/>
        </w:rPr>
      </w:pPr>
      <w:r>
        <w:rPr>
          <w:rStyle w:val="104"/>
          <w:rFonts w:ascii="仿宋" w:hAnsi="仿宋" w:eastAsia="仿宋"/>
          <w:color w:val="auto"/>
          <w:highlight w:val="none"/>
        </w:rPr>
        <w:t xml:space="preserve">乙方（盖章）： </w:t>
      </w:r>
    </w:p>
    <w:p>
      <w:pPr>
        <w:pStyle w:val="108"/>
        <w:spacing w:after="0" w:line="360" w:lineRule="exact"/>
        <w:ind w:firstLine="420"/>
        <w:rPr>
          <w:rStyle w:val="104"/>
          <w:rFonts w:ascii="仿宋" w:hAnsi="仿宋" w:eastAsia="仿宋"/>
          <w:color w:val="auto"/>
          <w:highlight w:val="none"/>
        </w:rPr>
      </w:pPr>
      <w:r>
        <w:rPr>
          <w:rStyle w:val="104"/>
          <w:rFonts w:ascii="仿宋" w:hAnsi="仿宋" w:eastAsia="仿宋"/>
          <w:color w:val="auto"/>
          <w:highlight w:val="none"/>
        </w:rPr>
        <w:t>法定代表人（签字或签章）：</w:t>
      </w:r>
    </w:p>
    <w:p>
      <w:pPr>
        <w:pStyle w:val="108"/>
        <w:spacing w:after="0" w:line="360" w:lineRule="exact"/>
        <w:ind w:firstLine="420"/>
        <w:rPr>
          <w:rStyle w:val="104"/>
          <w:rFonts w:ascii="仿宋" w:hAnsi="仿宋" w:eastAsia="仿宋"/>
          <w:color w:val="auto"/>
          <w:highlight w:val="none"/>
        </w:rPr>
      </w:pPr>
      <w:r>
        <w:rPr>
          <w:rStyle w:val="104"/>
          <w:rFonts w:ascii="仿宋" w:hAnsi="仿宋" w:eastAsia="仿宋"/>
          <w:color w:val="auto"/>
          <w:highlight w:val="none"/>
        </w:rPr>
        <w:t>指定联系人：</w:t>
      </w:r>
    </w:p>
    <w:p>
      <w:pPr>
        <w:pStyle w:val="108"/>
        <w:spacing w:after="0" w:line="360" w:lineRule="exact"/>
        <w:ind w:firstLine="420"/>
        <w:rPr>
          <w:rStyle w:val="104"/>
          <w:rFonts w:ascii="仿宋" w:hAnsi="仿宋" w:eastAsia="仿宋"/>
          <w:color w:val="auto"/>
          <w:highlight w:val="none"/>
        </w:rPr>
      </w:pPr>
      <w:r>
        <w:rPr>
          <w:rStyle w:val="104"/>
          <w:rFonts w:ascii="仿宋" w:hAnsi="仿宋" w:eastAsia="仿宋"/>
          <w:color w:val="auto"/>
          <w:highlight w:val="none"/>
        </w:rPr>
        <w:t xml:space="preserve">联系地址： </w:t>
      </w:r>
    </w:p>
    <w:p>
      <w:pPr>
        <w:pStyle w:val="108"/>
        <w:spacing w:after="0" w:line="360" w:lineRule="exact"/>
        <w:ind w:firstLine="420"/>
        <w:rPr>
          <w:rStyle w:val="104"/>
          <w:rFonts w:ascii="仿宋" w:hAnsi="仿宋" w:eastAsia="仿宋"/>
          <w:color w:val="auto"/>
          <w:highlight w:val="none"/>
        </w:rPr>
      </w:pPr>
      <w:r>
        <w:rPr>
          <w:rStyle w:val="104"/>
          <w:rFonts w:ascii="仿宋" w:hAnsi="仿宋" w:eastAsia="仿宋"/>
          <w:color w:val="auto"/>
          <w:highlight w:val="none"/>
        </w:rPr>
        <w:t>联系电话：</w:t>
      </w:r>
    </w:p>
    <w:p>
      <w:pPr>
        <w:pStyle w:val="108"/>
        <w:spacing w:after="0" w:line="360" w:lineRule="exact"/>
        <w:ind w:firstLine="420"/>
        <w:rPr>
          <w:rStyle w:val="104"/>
          <w:rFonts w:ascii="仿宋" w:hAnsi="仿宋" w:eastAsia="仿宋"/>
          <w:color w:val="auto"/>
          <w:highlight w:val="none"/>
        </w:rPr>
      </w:pPr>
      <w:r>
        <w:rPr>
          <w:rStyle w:val="104"/>
          <w:rFonts w:ascii="仿宋" w:hAnsi="仿宋" w:eastAsia="仿宋"/>
          <w:color w:val="auto"/>
          <w:highlight w:val="none"/>
        </w:rPr>
        <w:t>签约日期：   年   月   日</w:t>
      </w:r>
    </w:p>
    <w:p>
      <w:pPr>
        <w:spacing w:line="360" w:lineRule="exact"/>
        <w:rPr>
          <w:rStyle w:val="104"/>
          <w:rFonts w:ascii="宋体"/>
          <w:color w:val="auto"/>
          <w:szCs w:val="21"/>
          <w:highlight w:val="none"/>
        </w:rPr>
      </w:pPr>
      <w:r>
        <w:rPr>
          <w:rStyle w:val="104"/>
          <w:rFonts w:ascii="宋体"/>
          <w:color w:val="auto"/>
          <w:highlight w:val="none"/>
        </w:rPr>
        <w:tab/>
      </w:r>
      <w:r>
        <w:rPr>
          <w:rStyle w:val="104"/>
          <w:rFonts w:ascii="宋体"/>
          <w:color w:val="auto"/>
          <w:highlight w:val="none"/>
        </w:rPr>
        <w:tab/>
      </w:r>
      <w:r>
        <w:rPr>
          <w:rStyle w:val="104"/>
          <w:rFonts w:ascii="宋体"/>
          <w:color w:val="auto"/>
          <w:highlight w:val="none"/>
        </w:rPr>
        <w:tab/>
      </w:r>
      <w:r>
        <w:rPr>
          <w:rStyle w:val="104"/>
          <w:rFonts w:ascii="宋体"/>
          <w:color w:val="auto"/>
          <w:highlight w:val="none"/>
        </w:rPr>
        <w:t xml:space="preserve">     </w:t>
      </w:r>
    </w:p>
    <w:p>
      <w:pPr>
        <w:widowControl/>
        <w:spacing w:line="360" w:lineRule="auto"/>
        <w:jc w:val="left"/>
        <w:rPr>
          <w:rFonts w:ascii="宋体" w:hAnsi="宋体" w:cs="宋体"/>
          <w:color w:val="auto"/>
          <w:sz w:val="28"/>
          <w:szCs w:val="28"/>
          <w:highlight w:val="none"/>
        </w:rPr>
        <w:sectPr>
          <w:pgSz w:w="11906" w:h="16838"/>
          <w:pgMar w:top="1440" w:right="1474" w:bottom="1440" w:left="1474" w:header="851" w:footer="992" w:gutter="0"/>
          <w:cols w:space="720" w:num="1"/>
          <w:docGrid w:type="lines" w:linePitch="312" w:charSpace="0"/>
        </w:sectPr>
      </w:pPr>
    </w:p>
    <w:p>
      <w:pPr>
        <w:widowControl/>
        <w:spacing w:line="360" w:lineRule="auto"/>
        <w:jc w:val="left"/>
        <w:rPr>
          <w:rFonts w:ascii="宋体" w:hAnsi="宋体" w:cs="宋体"/>
          <w:color w:val="auto"/>
          <w:sz w:val="30"/>
          <w:highlight w:val="none"/>
        </w:rPr>
      </w:pPr>
      <w:bookmarkStart w:id="245" w:name="_Toc15803"/>
      <w:bookmarkStart w:id="246" w:name="_Toc30589"/>
      <w:r>
        <w:rPr>
          <w:rFonts w:hint="eastAsia" w:ascii="宋体" w:hAnsi="宋体" w:cs="宋体"/>
          <w:b/>
          <w:color w:val="auto"/>
          <w:sz w:val="28"/>
          <w:szCs w:val="28"/>
          <w:highlight w:val="none"/>
        </w:rPr>
        <w:t>附件一：</w:t>
      </w:r>
      <w:bookmarkEnd w:id="245"/>
      <w:bookmarkEnd w:id="246"/>
      <w:bookmarkStart w:id="247" w:name="_Toc508800738"/>
      <w:r>
        <w:rPr>
          <w:rFonts w:hint="eastAsia" w:ascii="宋体" w:hAnsi="宋体" w:cs="宋体"/>
          <w:b/>
          <w:color w:val="auto"/>
          <w:sz w:val="28"/>
          <w:szCs w:val="28"/>
          <w:highlight w:val="none"/>
        </w:rPr>
        <w:drawing>
          <wp:anchor distT="0" distB="0" distL="114300" distR="114300" simplePos="0" relativeHeight="251660288" behindDoc="0" locked="0" layoutInCell="1" allowOverlap="1">
            <wp:simplePos x="0" y="0"/>
            <wp:positionH relativeFrom="column">
              <wp:posOffset>45720</wp:posOffset>
            </wp:positionH>
            <wp:positionV relativeFrom="paragraph">
              <wp:posOffset>495300</wp:posOffset>
            </wp:positionV>
            <wp:extent cx="1304925" cy="1304925"/>
            <wp:effectExtent l="19050" t="0" r="9525" b="0"/>
            <wp:wrapSquare wrapText="bothSides"/>
            <wp:docPr id="4" name="图片 1" descr="C:\Users\Administrator\Desktop\QQ图片20180125112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Administrator\Desktop\QQ图片20180125112943.jpg"/>
                    <pic:cNvPicPr>
                      <a:picLocks noChangeAspect="1" noChangeArrowheads="1"/>
                    </pic:cNvPicPr>
                  </pic:nvPicPr>
                  <pic:blipFill>
                    <a:blip r:embed="rId16" cstate="print"/>
                    <a:srcRect/>
                    <a:stretch>
                      <a:fillRect/>
                    </a:stretch>
                  </pic:blipFill>
                  <pic:spPr>
                    <a:xfrm>
                      <a:off x="0" y="0"/>
                      <a:ext cx="1304925" cy="1304925"/>
                    </a:xfrm>
                    <a:prstGeom prst="rect">
                      <a:avLst/>
                    </a:prstGeom>
                    <a:noFill/>
                    <a:ln w="9525">
                      <a:noFill/>
                      <a:miter lim="800000"/>
                      <a:headEnd/>
                      <a:tailEnd/>
                    </a:ln>
                  </pic:spPr>
                </pic:pic>
              </a:graphicData>
            </a:graphic>
          </wp:anchor>
        </w:drawing>
      </w:r>
      <w:r>
        <w:rPr>
          <w:rFonts w:hint="eastAsia" w:ascii="宋体" w:hAnsi="宋体" w:cs="宋体"/>
          <w:b/>
          <w:color w:val="auto"/>
          <w:sz w:val="28"/>
          <w:szCs w:val="28"/>
          <w:highlight w:val="none"/>
        </w:rPr>
        <w:t>联系方式</w:t>
      </w:r>
      <w:bookmarkEnd w:id="247"/>
    </w:p>
    <w:p>
      <w:pPr>
        <w:rPr>
          <w:rFonts w:ascii="宋体" w:hAnsi="宋体" w:cs="宋体"/>
          <w:b/>
          <w:bCs/>
          <w:color w:val="auto"/>
          <w:sz w:val="30"/>
          <w:szCs w:val="32"/>
          <w:highlight w:val="none"/>
        </w:rPr>
      </w:pPr>
    </w:p>
    <w:p>
      <w:pPr>
        <w:spacing w:line="360" w:lineRule="auto"/>
        <w:rPr>
          <w:color w:val="auto"/>
          <w:sz w:val="28"/>
          <w:szCs w:val="28"/>
          <w:highlight w:val="none"/>
        </w:rPr>
      </w:pPr>
      <w:r>
        <w:rPr>
          <w:rFonts w:hint="eastAsia"/>
          <w:color w:val="auto"/>
          <w:sz w:val="28"/>
          <w:szCs w:val="28"/>
          <w:highlight w:val="none"/>
        </w:rPr>
        <w:t>电话：028-65731881</w:t>
      </w:r>
    </w:p>
    <w:p>
      <w:pPr>
        <w:spacing w:line="360" w:lineRule="auto"/>
        <w:rPr>
          <w:color w:val="auto"/>
          <w:sz w:val="28"/>
          <w:szCs w:val="28"/>
          <w:highlight w:val="none"/>
        </w:rPr>
      </w:pPr>
      <w:r>
        <w:rPr>
          <w:rFonts w:hint="eastAsia"/>
          <w:color w:val="auto"/>
          <w:sz w:val="28"/>
          <w:szCs w:val="28"/>
          <w:highlight w:val="none"/>
        </w:rPr>
        <w:t>地址：成都市锦江区墨香路87号8栋4楼</w:t>
      </w:r>
    </w:p>
    <w:p>
      <w:pPr>
        <w:spacing w:line="360" w:lineRule="auto"/>
        <w:rPr>
          <w:color w:val="auto"/>
          <w:sz w:val="28"/>
          <w:szCs w:val="28"/>
          <w:highlight w:val="none"/>
        </w:rPr>
      </w:pPr>
      <w:r>
        <w:rPr>
          <w:rFonts w:hint="eastAsia"/>
          <w:color w:val="auto"/>
          <w:sz w:val="28"/>
          <w:szCs w:val="28"/>
          <w:highlight w:val="none"/>
        </w:rPr>
        <w:t>网址：</w:t>
      </w:r>
      <w:r>
        <w:rPr>
          <w:color w:val="auto"/>
          <w:highlight w:val="none"/>
        </w:rPr>
        <w:fldChar w:fldCharType="begin"/>
      </w:r>
      <w:r>
        <w:rPr>
          <w:color w:val="auto"/>
          <w:highlight w:val="none"/>
        </w:rPr>
        <w:instrText xml:space="preserve"> HYPERLINK "http://www.scbidding.com" </w:instrText>
      </w:r>
      <w:r>
        <w:rPr>
          <w:color w:val="auto"/>
          <w:highlight w:val="none"/>
        </w:rPr>
        <w:fldChar w:fldCharType="separate"/>
      </w:r>
      <w:r>
        <w:rPr>
          <w:rFonts w:hint="eastAsia"/>
          <w:color w:val="auto"/>
          <w:sz w:val="28"/>
          <w:szCs w:val="28"/>
          <w:highlight w:val="none"/>
        </w:rPr>
        <w:t>www.scbidding.com</w:t>
      </w:r>
      <w:r>
        <w:rPr>
          <w:rFonts w:hint="eastAsia"/>
          <w:color w:val="auto"/>
          <w:sz w:val="28"/>
          <w:szCs w:val="28"/>
          <w:highlight w:val="none"/>
        </w:rPr>
        <w:fldChar w:fldCharType="end"/>
      </w:r>
    </w:p>
    <w:p>
      <w:pPr>
        <w:spacing w:line="360" w:lineRule="auto"/>
        <w:rPr>
          <w:rFonts w:ascii="宋体" w:hAnsi="宋体" w:cs="宋体"/>
          <w:color w:val="auto"/>
          <w:sz w:val="28"/>
          <w:szCs w:val="28"/>
          <w:highlight w:val="none"/>
        </w:rPr>
        <w:sectPr>
          <w:pgSz w:w="11907" w:h="16840"/>
          <w:pgMar w:top="1134" w:right="1134" w:bottom="1134" w:left="1418" w:header="567" w:footer="567" w:gutter="0"/>
          <w:cols w:space="720" w:num="1"/>
          <w:docGrid w:linePitch="326" w:charSpace="0"/>
        </w:sectPr>
      </w:pPr>
    </w:p>
    <w:p>
      <w:pPr>
        <w:outlineLvl w:val="1"/>
        <w:rPr>
          <w:rFonts w:ascii="宋体" w:hAnsi="宋体" w:cs="宋体"/>
          <w:b/>
          <w:bCs/>
          <w:color w:val="auto"/>
          <w:sz w:val="24"/>
          <w:szCs w:val="32"/>
          <w:highlight w:val="none"/>
        </w:rPr>
      </w:pPr>
      <w:r>
        <w:rPr>
          <w:rFonts w:hint="eastAsia" w:ascii="宋体" w:hAnsi="宋体" w:cs="宋体"/>
          <w:b/>
          <w:bCs/>
          <w:color w:val="auto"/>
          <w:sz w:val="24"/>
          <w:szCs w:val="32"/>
          <w:highlight w:val="none"/>
        </w:rPr>
        <w:t>附件二：政府采购云平台使用介绍</w:t>
      </w:r>
    </w:p>
    <w:p>
      <w:pPr>
        <w:rPr>
          <w:rFonts w:ascii="宋体" w:hAnsi="宋体" w:cs="宋体"/>
          <w:b/>
          <w:bCs/>
          <w:color w:val="auto"/>
          <w:sz w:val="24"/>
          <w:szCs w:val="32"/>
          <w:highlight w:val="none"/>
        </w:rPr>
      </w:pPr>
      <w:r>
        <w:rPr>
          <w:rFonts w:hint="eastAsia" w:ascii="宋体" w:hAnsi="宋体" w:cs="宋体"/>
          <w:b/>
          <w:bCs/>
          <w:color w:val="auto"/>
          <w:sz w:val="24"/>
          <w:szCs w:val="32"/>
          <w:highlight w:val="none"/>
        </w:rPr>
        <w:t>1.输入网址：</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46"/>
          <w:rFonts w:hint="eastAsia" w:ascii="宋体" w:hAnsi="宋体" w:cs="宋体"/>
          <w:b/>
          <w:bCs/>
          <w:color w:val="auto"/>
          <w:sz w:val="24"/>
          <w:szCs w:val="32"/>
          <w:highlight w:val="none"/>
        </w:rPr>
        <w:t>https://www.zcygov.cn</w:t>
      </w:r>
      <w:r>
        <w:rPr>
          <w:rStyle w:val="46"/>
          <w:rFonts w:hint="eastAsia" w:ascii="宋体" w:hAnsi="宋体" w:cs="宋体"/>
          <w:b/>
          <w:bCs/>
          <w:color w:val="auto"/>
          <w:sz w:val="24"/>
          <w:szCs w:val="32"/>
          <w:highlight w:val="none"/>
        </w:rPr>
        <w:fldChar w:fldCharType="end"/>
      </w:r>
    </w:p>
    <w:p>
      <w:pPr>
        <w:rPr>
          <w:rFonts w:ascii="宋体" w:hAnsi="宋体" w:cs="宋体"/>
          <w:b/>
          <w:bCs/>
          <w:color w:val="auto"/>
          <w:sz w:val="24"/>
          <w:szCs w:val="32"/>
          <w:highlight w:val="none"/>
        </w:rPr>
      </w:pPr>
      <w:r>
        <w:rPr>
          <w:rFonts w:hint="eastAsia" w:ascii="宋体" w:hAnsi="宋体" w:cs="宋体"/>
          <w:b/>
          <w:bCs/>
          <w:color w:val="auto"/>
          <w:sz w:val="24"/>
          <w:szCs w:val="32"/>
          <w:highlight w:val="none"/>
        </w:rPr>
        <w:t>2.选择与项目对应的行政区域如：四川省-成都市-成都市本级</w:t>
      </w:r>
    </w:p>
    <w:p>
      <w:pPr>
        <w:rPr>
          <w:color w:val="auto"/>
          <w:highlight w:val="none"/>
        </w:rPr>
      </w:pPr>
      <w:r>
        <w:rPr>
          <w:color w:val="auto"/>
          <w:highlight w:val="none"/>
        </w:rPr>
        <w:drawing>
          <wp:inline distT="0" distB="0" distL="114300" distR="114300">
            <wp:extent cx="6691630" cy="4184650"/>
            <wp:effectExtent l="0" t="0" r="13970" b="6350"/>
            <wp:docPr id="3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
                    <pic:cNvPicPr>
                      <a:picLocks noChangeAspect="1"/>
                    </pic:cNvPicPr>
                  </pic:nvPicPr>
                  <pic:blipFill>
                    <a:blip r:embed="rId17"/>
                    <a:stretch>
                      <a:fillRect/>
                    </a:stretch>
                  </pic:blipFill>
                  <pic:spPr>
                    <a:xfrm>
                      <a:off x="0" y="0"/>
                      <a:ext cx="6691630" cy="4184650"/>
                    </a:xfrm>
                    <a:prstGeom prst="rect">
                      <a:avLst/>
                    </a:prstGeom>
                    <a:noFill/>
                    <a:ln>
                      <a:noFill/>
                    </a:ln>
                  </pic:spPr>
                </pic:pic>
              </a:graphicData>
            </a:graphic>
          </wp:inline>
        </w:drawing>
      </w:r>
    </w:p>
    <w:p>
      <w:pPr>
        <w:numPr>
          <w:ilvl w:val="0"/>
          <w:numId w:val="14"/>
        </w:numPr>
        <w:rPr>
          <w:rFonts w:ascii="宋体" w:hAnsi="宋体" w:cs="宋体"/>
          <w:b/>
          <w:bCs/>
          <w:color w:val="auto"/>
          <w:sz w:val="24"/>
          <w:szCs w:val="32"/>
          <w:highlight w:val="none"/>
        </w:rPr>
      </w:pPr>
      <w:r>
        <w:rPr>
          <w:rFonts w:hint="eastAsia" w:ascii="宋体" w:hAnsi="宋体" w:cs="宋体"/>
          <w:b/>
          <w:bCs/>
          <w:color w:val="auto"/>
          <w:sz w:val="24"/>
          <w:szCs w:val="32"/>
          <w:highlight w:val="none"/>
        </w:rPr>
        <w:t>点击操作指南-供应商</w:t>
      </w:r>
    </w:p>
    <w:p>
      <w:pPr>
        <w:rPr>
          <w:b/>
          <w:bCs/>
          <w:color w:val="auto"/>
          <w:highlight w:val="none"/>
        </w:rPr>
      </w:pPr>
      <w:r>
        <w:rPr>
          <w:color w:val="auto"/>
          <w:highlight w:val="none"/>
        </w:rPr>
        <w:drawing>
          <wp:inline distT="0" distB="0" distL="114300" distR="114300">
            <wp:extent cx="8854440" cy="4585335"/>
            <wp:effectExtent l="0" t="0" r="3810" b="5715"/>
            <wp:docPr id="3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
                    <pic:cNvPicPr>
                      <a:picLocks noChangeAspect="1"/>
                    </pic:cNvPicPr>
                  </pic:nvPicPr>
                  <pic:blipFill>
                    <a:blip r:embed="rId18"/>
                    <a:stretch>
                      <a:fillRect/>
                    </a:stretch>
                  </pic:blipFill>
                  <pic:spPr>
                    <a:xfrm>
                      <a:off x="0" y="0"/>
                      <a:ext cx="8854440" cy="4585335"/>
                    </a:xfrm>
                    <a:prstGeom prst="rect">
                      <a:avLst/>
                    </a:prstGeom>
                    <a:noFill/>
                    <a:ln>
                      <a:noFill/>
                    </a:ln>
                  </pic:spPr>
                </pic:pic>
              </a:graphicData>
            </a:graphic>
          </wp:inline>
        </w:drawing>
      </w:r>
      <w:r>
        <w:rPr>
          <w:color w:val="auto"/>
          <w:highlight w:val="none"/>
        </w:rPr>
        <w:br w:type="page"/>
      </w:r>
      <w:r>
        <w:rPr>
          <w:rFonts w:hint="eastAsia" w:ascii="宋体" w:hAnsi="宋体" w:cs="宋体"/>
          <w:b/>
          <w:bCs/>
          <w:color w:val="auto"/>
          <w:sz w:val="24"/>
          <w:szCs w:val="32"/>
          <w:highlight w:val="none"/>
        </w:rPr>
        <w:t>4.进入政采云供应商学习专题页面</w:t>
      </w:r>
      <w:r>
        <w:rPr>
          <w:rFonts w:hint="eastAsia"/>
          <w:b/>
          <w:bCs/>
          <w:color w:val="auto"/>
          <w:highlight w:val="none"/>
        </w:rPr>
        <w:t>（https://edu.zcygov.cn/luban/xxzt-chengdu-gys?utm=a0017.b1347.cl50.5.0917bc90b7bb11eb807c353645758db6）</w:t>
      </w:r>
    </w:p>
    <w:p>
      <w:pPr>
        <w:rPr>
          <w:color w:val="auto"/>
          <w:highlight w:val="none"/>
        </w:rPr>
      </w:pPr>
      <w:r>
        <w:rPr>
          <w:color w:val="auto"/>
          <w:highlight w:val="none"/>
        </w:rPr>
        <w:drawing>
          <wp:inline distT="0" distB="0" distL="114300" distR="114300">
            <wp:extent cx="9255760" cy="4606290"/>
            <wp:effectExtent l="0" t="0" r="2540" b="3810"/>
            <wp:docPr id="3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
                    <pic:cNvPicPr>
                      <a:picLocks noChangeAspect="1"/>
                    </pic:cNvPicPr>
                  </pic:nvPicPr>
                  <pic:blipFill>
                    <a:blip r:embed="rId19"/>
                    <a:stretch>
                      <a:fillRect/>
                    </a:stretch>
                  </pic:blipFill>
                  <pic:spPr>
                    <a:xfrm>
                      <a:off x="0" y="0"/>
                      <a:ext cx="9255760" cy="4606290"/>
                    </a:xfrm>
                    <a:prstGeom prst="rect">
                      <a:avLst/>
                    </a:prstGeom>
                    <a:noFill/>
                    <a:ln>
                      <a:noFill/>
                    </a:ln>
                  </pic:spPr>
                </pic:pic>
              </a:graphicData>
            </a:graphic>
          </wp:inline>
        </w:drawing>
      </w:r>
    </w:p>
    <w:p>
      <w:pPr>
        <w:rPr>
          <w:rFonts w:ascii="宋体" w:hAnsi="宋体" w:cs="宋体"/>
          <w:b/>
          <w:bCs/>
          <w:color w:val="auto"/>
          <w:sz w:val="24"/>
          <w:szCs w:val="32"/>
          <w:highlight w:val="none"/>
        </w:rPr>
      </w:pPr>
      <w:r>
        <w:rPr>
          <w:rFonts w:hint="eastAsia"/>
          <w:color w:val="auto"/>
          <w:highlight w:val="none"/>
        </w:rPr>
        <w:br w:type="page"/>
      </w:r>
      <w:r>
        <w:rPr>
          <w:rFonts w:hint="eastAsia" w:ascii="宋体" w:hAnsi="宋体" w:cs="宋体"/>
          <w:b/>
          <w:bCs/>
          <w:color w:val="auto"/>
          <w:sz w:val="24"/>
          <w:szCs w:val="32"/>
          <w:highlight w:val="none"/>
        </w:rPr>
        <w:t>5.供应商资讯服务渠道</w:t>
      </w:r>
    </w:p>
    <w:p>
      <w:pPr>
        <w:rPr>
          <w:color w:val="auto"/>
          <w:highlight w:val="none"/>
        </w:rPr>
      </w:pPr>
      <w:r>
        <w:rPr>
          <w:color w:val="auto"/>
          <w:highlight w:val="none"/>
        </w:rPr>
        <w:drawing>
          <wp:inline distT="0" distB="0" distL="114300" distR="114300">
            <wp:extent cx="9380855" cy="3362960"/>
            <wp:effectExtent l="0" t="0" r="10795" b="8890"/>
            <wp:docPr id="3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4"/>
                    <pic:cNvPicPr>
                      <a:picLocks noChangeAspect="1"/>
                    </pic:cNvPicPr>
                  </pic:nvPicPr>
                  <pic:blipFill>
                    <a:blip r:embed="rId20"/>
                    <a:stretch>
                      <a:fillRect/>
                    </a:stretch>
                  </pic:blipFill>
                  <pic:spPr>
                    <a:xfrm>
                      <a:off x="0" y="0"/>
                      <a:ext cx="9380855" cy="3362960"/>
                    </a:xfrm>
                    <a:prstGeom prst="rect">
                      <a:avLst/>
                    </a:prstGeom>
                    <a:noFill/>
                    <a:ln>
                      <a:noFill/>
                    </a:ln>
                  </pic:spPr>
                </pic:pic>
              </a:graphicData>
            </a:graphic>
          </wp:inline>
        </w:drawing>
      </w:r>
    </w:p>
    <w:p>
      <w:pPr>
        <w:rPr>
          <w:color w:val="auto"/>
          <w:highlight w:val="none"/>
        </w:rPr>
      </w:pPr>
      <w:r>
        <w:rPr>
          <w:color w:val="auto"/>
          <w:highlight w:val="none"/>
        </w:rPr>
        <w:br w:type="page"/>
      </w:r>
      <w:r>
        <w:rPr>
          <w:rFonts w:hint="eastAsia" w:ascii="宋体" w:hAnsi="宋体" w:cs="宋体"/>
          <w:b/>
          <w:bCs/>
          <w:color w:val="auto"/>
          <w:sz w:val="24"/>
          <w:szCs w:val="32"/>
          <w:highlight w:val="none"/>
        </w:rPr>
        <w:t>6.入驻政府采购云平台（注册）</w:t>
      </w:r>
    </w:p>
    <w:p>
      <w:pPr>
        <w:rPr>
          <w:color w:val="auto"/>
          <w:highlight w:val="none"/>
        </w:rPr>
      </w:pPr>
      <w:r>
        <w:rPr>
          <w:color w:val="auto"/>
          <w:highlight w:val="none"/>
        </w:rPr>
        <w:drawing>
          <wp:inline distT="0" distB="0" distL="114300" distR="114300">
            <wp:extent cx="8853805" cy="3604895"/>
            <wp:effectExtent l="0" t="0" r="4445" b="14605"/>
            <wp:docPr id="3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5"/>
                    <pic:cNvPicPr>
                      <a:picLocks noChangeAspect="1"/>
                    </pic:cNvPicPr>
                  </pic:nvPicPr>
                  <pic:blipFill>
                    <a:blip r:embed="rId21"/>
                    <a:stretch>
                      <a:fillRect/>
                    </a:stretch>
                  </pic:blipFill>
                  <pic:spPr>
                    <a:xfrm>
                      <a:off x="0" y="0"/>
                      <a:ext cx="8853805" cy="3604895"/>
                    </a:xfrm>
                    <a:prstGeom prst="rect">
                      <a:avLst/>
                    </a:prstGeom>
                    <a:noFill/>
                    <a:ln>
                      <a:noFill/>
                    </a:ln>
                  </pic:spPr>
                </pic:pic>
              </a:graphicData>
            </a:graphic>
          </wp:inline>
        </w:drawing>
      </w:r>
    </w:p>
    <w:p>
      <w:pPr>
        <w:rPr>
          <w:color w:val="auto"/>
          <w:highlight w:val="none"/>
        </w:rPr>
      </w:pPr>
      <w:r>
        <w:rPr>
          <w:color w:val="auto"/>
          <w:highlight w:val="none"/>
        </w:rPr>
        <w:br w:type="page"/>
      </w:r>
      <w:r>
        <w:rPr>
          <w:rFonts w:hint="eastAsia" w:ascii="宋体" w:hAnsi="宋体" w:cs="宋体"/>
          <w:b/>
          <w:bCs/>
          <w:color w:val="auto"/>
          <w:sz w:val="24"/>
          <w:szCs w:val="32"/>
          <w:highlight w:val="none"/>
        </w:rPr>
        <w:t>7.下载《供应商政府采购项目电子交易操作指南》</w:t>
      </w:r>
    </w:p>
    <w:p>
      <w:pPr>
        <w:pStyle w:val="52"/>
        <w:rPr>
          <w:color w:val="auto"/>
          <w:highlight w:val="none"/>
        </w:rPr>
      </w:pPr>
      <w:r>
        <w:rPr>
          <w:color w:val="auto"/>
          <w:highlight w:val="none"/>
        </w:rPr>
        <w:drawing>
          <wp:inline distT="0" distB="0" distL="114300" distR="114300">
            <wp:extent cx="8860155" cy="4909185"/>
            <wp:effectExtent l="0" t="0" r="17145" b="5715"/>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22"/>
                    <a:stretch>
                      <a:fillRect/>
                    </a:stretch>
                  </pic:blipFill>
                  <pic:spPr>
                    <a:xfrm>
                      <a:off x="0" y="0"/>
                      <a:ext cx="8860155" cy="4909185"/>
                    </a:xfrm>
                    <a:prstGeom prst="rect">
                      <a:avLst/>
                    </a:prstGeom>
                    <a:noFill/>
                    <a:ln>
                      <a:noFill/>
                    </a:ln>
                  </pic:spPr>
                </pic:pic>
              </a:graphicData>
            </a:graphic>
          </wp:inline>
        </w:drawing>
      </w:r>
    </w:p>
    <w:sectPr>
      <w:pgSz w:w="16840" w:h="11907" w:orient="landscape"/>
      <w:pgMar w:top="1418" w:right="1134" w:bottom="1134" w:left="1134" w:header="567" w:footer="567"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等线 Light">
    <w:altName w:val="宋体"/>
    <w:panose1 w:val="00000000000000000000"/>
    <w:charset w:val="86"/>
    <w:family w:val="auto"/>
    <w:pitch w:val="default"/>
    <w:sig w:usb0="00000000" w:usb1="00000000"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Eʩ">
    <w:altName w:val="微软雅黑"/>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1"/>
      </w:pBdr>
      <w:wordWrap w:val="0"/>
      <w:jc w:val="both"/>
    </w:pPr>
    <w:r>
      <w:rPr>
        <w:rFonts w:hint="eastAsia"/>
      </w:rPr>
      <w:t>地址：</w:t>
    </w:r>
    <w:r>
      <w:rPr>
        <w:rFonts w:hint="eastAsia" w:ascii="宋体" w:hAnsi="宋体" w:cs="宋体"/>
        <w:bCs/>
        <w:color w:val="000000"/>
        <w:szCs w:val="21"/>
      </w:rPr>
      <w:t>成都市锦江区墨香路87号8栋4楼</w:t>
    </w:r>
    <w:r>
      <w:rPr>
        <w:rFonts w:hint="eastAsia" w:ascii="宋体" w:hAnsi="宋体" w:eastAsia="宋体" w:cs="宋体"/>
        <w:bCs/>
        <w:color w:val="000000"/>
        <w:szCs w:val="21"/>
      </w:rPr>
      <w:t xml:space="preserve">           </w:t>
    </w:r>
    <w:r>
      <w:rPr>
        <w:rFonts w:hint="eastAsia"/>
      </w:rPr>
      <w:t>联系电话</w:t>
    </w:r>
    <w:r>
      <w:rPr>
        <w:rFonts w:hint="eastAsia" w:eastAsia="宋体"/>
      </w:rPr>
      <w:t>：</w:t>
    </w:r>
    <w:r>
      <w:rPr>
        <w:rFonts w:hint="eastAsia"/>
      </w:rPr>
      <w:t xml:space="preserve">028-65731881 </w:t>
    </w:r>
    <w:r>
      <w:rPr>
        <w:rFonts w:hint="eastAsia" w:eastAsia="宋体"/>
      </w:rPr>
      <w:t xml:space="preserve">        </w:t>
    </w:r>
    <w:r>
      <w:rPr>
        <w:rFonts w:hint="eastAsia"/>
      </w:rPr>
      <w:t xml:space="preserve">  </w:t>
    </w:r>
    <w:r>
      <w:fldChar w:fldCharType="begin"/>
    </w:r>
    <w:r>
      <w:instrText xml:space="preserve">PAGE   \* MERGEFORMAT</w:instrText>
    </w:r>
    <w:r>
      <w:fldChar w:fldCharType="separate"/>
    </w:r>
    <w:r>
      <w:rPr>
        <w:lang w:val="zh-CN"/>
      </w:rPr>
      <w:t>8</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9"/>
      </w:rPr>
    </w:pPr>
    <w:r>
      <w:fldChar w:fldCharType="begin"/>
    </w:r>
    <w:r>
      <w:rPr>
        <w:rStyle w:val="39"/>
      </w:rPr>
      <w:instrText xml:space="preserve">PAGE  </w:instrText>
    </w:r>
    <w:r>
      <w:fldChar w:fldCharType="end"/>
    </w:r>
  </w:p>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1"/>
      </w:pBdr>
      <w:wordWrap w:val="0"/>
      <w:jc w:val="both"/>
    </w:pPr>
    <w:r>
      <w:rPr>
        <w:rFonts w:hint="eastAsia"/>
      </w:rPr>
      <w:t>地址：</w:t>
    </w:r>
    <w:r>
      <w:rPr>
        <w:rFonts w:hint="eastAsia" w:ascii="宋体" w:hAnsi="宋体" w:cs="宋体"/>
        <w:bCs/>
        <w:color w:val="000000"/>
        <w:szCs w:val="21"/>
      </w:rPr>
      <w:t>成都市锦江区墨香路87号8栋4楼</w:t>
    </w:r>
    <w:r>
      <w:rPr>
        <w:rFonts w:hint="eastAsia" w:ascii="宋体" w:hAnsi="宋体" w:eastAsia="宋体" w:cs="宋体"/>
        <w:bCs/>
        <w:color w:val="000000"/>
        <w:szCs w:val="21"/>
      </w:rPr>
      <w:t xml:space="preserve">         </w:t>
    </w:r>
    <w:r>
      <w:rPr>
        <w:rFonts w:hint="eastAsia"/>
      </w:rPr>
      <w:t>联系电话</w:t>
    </w:r>
    <w:r>
      <w:rPr>
        <w:rFonts w:hint="eastAsia" w:eastAsia="宋体"/>
      </w:rPr>
      <w:t>：</w:t>
    </w:r>
    <w:r>
      <w:rPr>
        <w:rFonts w:hint="eastAsia"/>
      </w:rPr>
      <w:t xml:space="preserve">028-65731881 </w:t>
    </w:r>
    <w:r>
      <w:rPr>
        <w:rFonts w:hint="eastAsia" w:eastAsia="宋体"/>
      </w:rPr>
      <w:t xml:space="preserve">        </w:t>
    </w:r>
    <w:r>
      <w:rPr>
        <w:rFonts w:hint="eastAsia"/>
      </w:rPr>
      <w:t xml:space="preserve">  </w:t>
    </w:r>
    <w:r>
      <w:fldChar w:fldCharType="begin"/>
    </w:r>
    <w:r>
      <w:instrText xml:space="preserve">PAGE   \* MERGEFORMAT</w:instrText>
    </w:r>
    <w:r>
      <w:fldChar w:fldCharType="separate"/>
    </w:r>
    <w:r>
      <w:rPr>
        <w:lang w:val="zh-CN"/>
      </w:rPr>
      <w:t>28</w:t>
    </w:r>
    <w:r>
      <w:rPr>
        <w:lang w:val="zh-CN"/>
      </w:rPr>
      <w:fldChar w:fldCharType="end"/>
    </w: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1"/>
      </w:pBdr>
      <w:wordWrap w:val="0"/>
      <w:jc w:val="both"/>
    </w:pPr>
    <w:r>
      <w:rPr>
        <w:rFonts w:hint="eastAsia"/>
      </w:rPr>
      <w:t>地址：</w:t>
    </w:r>
    <w:r>
      <w:rPr>
        <w:rFonts w:hint="eastAsia" w:eastAsia="宋体"/>
      </w:rPr>
      <w:t>成都市锦江区墨香路87号8栋4楼</w:t>
    </w:r>
    <w:r>
      <w:rPr>
        <w:rFonts w:hint="eastAsia"/>
      </w:rPr>
      <w:t xml:space="preserve">    联系电话</w:t>
    </w:r>
    <w:r>
      <w:rPr>
        <w:rFonts w:hint="eastAsia" w:eastAsia="宋体"/>
      </w:rPr>
      <w:t>：</w:t>
    </w:r>
    <w:r>
      <w:rPr>
        <w:rFonts w:hint="eastAsia"/>
      </w:rPr>
      <w:t xml:space="preserve">028-65731881 </w:t>
    </w: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fldChar w:fldCharType="begin"/>
                          </w:r>
                          <w:r>
                            <w:instrText xml:space="preserve"> PAGE  \* MERGEFORMAT </w:instrText>
                          </w:r>
                          <w:r>
                            <w:fldChar w:fldCharType="separate"/>
                          </w:r>
                          <w:r>
                            <w:t>42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pGhU/IAQAAmQMAAA4AAAAAAAAAAQAgAAAAHgEAAGRycy9lMm9Eb2Mu&#10;eG1sUEsFBgAAAAAGAAYAWQEAAFgFAAAAAA==&#10;">
              <v:fill on="f" focussize="0,0"/>
              <v:stroke on="f"/>
              <v:imagedata o:title=""/>
              <o:lock v:ext="edit" aspectratio="f"/>
              <v:textbox inset="0mm,0mm,0mm,0mm" style="mso-fit-shape-to-text:t;">
                <w:txbxContent>
                  <w:p>
                    <w:pPr>
                      <w:pStyle w:val="22"/>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1"/>
      </w:pBdr>
      <w:wordWrap w:val="0"/>
      <w:jc w:val="both"/>
    </w:pPr>
    <w:r>
      <mc:AlternateContent>
        <mc:Choice Requires="wps">
          <w:drawing>
            <wp:anchor distT="0" distB="0" distL="114300" distR="114300" simplePos="0" relativeHeight="251665408" behindDoc="0" locked="0" layoutInCell="1" allowOverlap="1">
              <wp:simplePos x="0" y="0"/>
              <wp:positionH relativeFrom="margin">
                <wp:posOffset>-1905</wp:posOffset>
              </wp:positionH>
              <wp:positionV relativeFrom="paragraph">
                <wp:posOffset>-15875</wp:posOffset>
              </wp:positionV>
              <wp:extent cx="5705475" cy="1828800"/>
              <wp:effectExtent l="0" t="0" r="0" b="0"/>
              <wp:wrapNone/>
              <wp:docPr id="8" name="文本框 7"/>
              <wp:cNvGraphicFramePr/>
              <a:graphic xmlns:a="http://schemas.openxmlformats.org/drawingml/2006/main">
                <a:graphicData uri="http://schemas.microsoft.com/office/word/2010/wordprocessingShape">
                  <wps:wsp>
                    <wps:cNvSpPr txBox="1"/>
                    <wps:spPr>
                      <a:xfrm>
                        <a:off x="0" y="0"/>
                        <a:ext cx="5705475" cy="1828800"/>
                      </a:xfrm>
                      <a:prstGeom prst="rect">
                        <a:avLst/>
                      </a:prstGeom>
                      <a:noFill/>
                      <a:ln>
                        <a:noFill/>
                      </a:ln>
                    </wps:spPr>
                    <wps:txbx>
                      <w:txbxContent>
                        <w:p>
                          <w:pPr>
                            <w:pStyle w:val="22"/>
                            <w:pBdr>
                              <w:top w:val="none" w:color="auto" w:sz="0" w:space="1"/>
                            </w:pBdr>
                            <w:wordWrap w:val="0"/>
                            <w:jc w:val="both"/>
                          </w:pPr>
                          <w:r>
                            <w:rPr>
                              <w:rFonts w:hint="eastAsia"/>
                            </w:rPr>
                            <w:t>地址：</w:t>
                          </w:r>
                          <w:r>
                            <w:rPr>
                              <w:rFonts w:hint="eastAsia" w:eastAsia="宋体"/>
                            </w:rPr>
                            <w:t>成都市锦江区墨香路87号8栋4楼</w:t>
                          </w:r>
                          <w:r>
                            <w:rPr>
                              <w:rFonts w:hint="eastAsia"/>
                            </w:rPr>
                            <w:t xml:space="preserve">    联系电话028-65731881  </w:t>
                          </w:r>
                          <w:r>
                            <w:rPr>
                              <w:rFonts w:hint="eastAsia" w:eastAsia="宋体"/>
                            </w:rPr>
                            <w:t xml:space="preserve">                 </w:t>
                          </w:r>
                          <w:r>
                            <w:rPr>
                              <w:rFonts w:hint="eastAsia"/>
                            </w:rPr>
                            <w:t xml:space="preserve"> </w:t>
                          </w:r>
                          <w:r>
                            <w:fldChar w:fldCharType="begin"/>
                          </w:r>
                          <w:r>
                            <w:instrText xml:space="preserve">PAGE   \* MERGEFORMAT</w:instrText>
                          </w:r>
                          <w:r>
                            <w:fldChar w:fldCharType="separate"/>
                          </w:r>
                          <w:r>
                            <w:rPr>
                              <w:lang w:val="zh-CN"/>
                            </w:rPr>
                            <w:t>43</w:t>
                          </w:r>
                          <w:r>
                            <w:rPr>
                              <w:lang w:val="zh-CN"/>
                            </w:rPr>
                            <w:fldChar w:fldCharType="end"/>
                          </w:r>
                        </w:p>
                      </w:txbxContent>
                    </wps:txbx>
                    <wps:bodyPr lIns="0" tIns="0" rIns="0" bIns="0" upright="1">
                      <a:spAutoFit/>
                    </wps:bodyPr>
                  </wps:wsp>
                </a:graphicData>
              </a:graphic>
            </wp:anchor>
          </w:drawing>
        </mc:Choice>
        <mc:Fallback>
          <w:pict>
            <v:shape id="文本框 7" o:spid="_x0000_s1026" o:spt="202" type="#_x0000_t202" style="position:absolute;left:0pt;margin-left:-0.15pt;margin-top:-1.25pt;height:144pt;width:449.25pt;mso-position-horizontal-relative:margin;z-index:251665408;mso-width-relative:page;mso-height-relative:page;" filled="f" stroked="f" coordsize="21600,21600" o:gfxdata="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8bFxXWAAAACAEAAA8AAAAAAAAAAQAgAAAAIgAAAGRycy9kb3du&#10;cmV2LnhtbFBLAQIUABQAAAAIAIdO4kAB5cKlyAEAAI0DAAAOAAAAAAAAAAEAIAAAACUBAABkcnMv&#10;ZTJvRG9jLnhtbFBLBQYAAAAABgAGAFkBAABfBQAAAAA=&#10;">
              <v:fill on="f" focussize="0,0"/>
              <v:stroke on="f"/>
              <v:imagedata o:title=""/>
              <o:lock v:ext="edit" aspectratio="f"/>
              <v:textbox inset="0mm,0mm,0mm,0mm" style="mso-fit-shape-to-text:t;">
                <w:txbxContent>
                  <w:p>
                    <w:pPr>
                      <w:pStyle w:val="22"/>
                      <w:pBdr>
                        <w:top w:val="none" w:color="auto" w:sz="0" w:space="1"/>
                      </w:pBdr>
                      <w:wordWrap w:val="0"/>
                      <w:jc w:val="both"/>
                    </w:pPr>
                    <w:r>
                      <w:rPr>
                        <w:rFonts w:hint="eastAsia"/>
                      </w:rPr>
                      <w:t>地址：</w:t>
                    </w:r>
                    <w:r>
                      <w:rPr>
                        <w:rFonts w:hint="eastAsia" w:eastAsia="宋体"/>
                      </w:rPr>
                      <w:t>成都市锦江区墨香路87号8栋4楼</w:t>
                    </w:r>
                    <w:r>
                      <w:rPr>
                        <w:rFonts w:hint="eastAsia"/>
                      </w:rPr>
                      <w:t xml:space="preserve">    联系电话028-65731881  </w:t>
                    </w:r>
                    <w:r>
                      <w:rPr>
                        <w:rFonts w:hint="eastAsia" w:eastAsia="宋体"/>
                      </w:rPr>
                      <w:t xml:space="preserve">                 </w:t>
                    </w:r>
                    <w:r>
                      <w:rPr>
                        <w:rFonts w:hint="eastAsia"/>
                      </w:rPr>
                      <w:t xml:space="preserve"> </w:t>
                    </w:r>
                    <w:r>
                      <w:fldChar w:fldCharType="begin"/>
                    </w:r>
                    <w:r>
                      <w:instrText xml:space="preserve">PAGE   \* MERGEFORMAT</w:instrText>
                    </w:r>
                    <w:r>
                      <w:fldChar w:fldCharType="separate"/>
                    </w:r>
                    <w:r>
                      <w:rPr>
                        <w:lang w:val="zh-CN"/>
                      </w:rPr>
                      <w:t>43</w:t>
                    </w:r>
                    <w:r>
                      <w:rPr>
                        <w:lang w:val="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1"/>
      </w:pBdr>
      <w:wordWrap w:val="0"/>
      <w:jc w:val="both"/>
    </w:pPr>
    <w:r>
      <w:rPr>
        <w:rFonts w:hint="eastAsia"/>
      </w:rPr>
      <w:t>地址：</w:t>
    </w:r>
    <w:r>
      <w:rPr>
        <w:rFonts w:hint="eastAsia" w:eastAsia="宋体"/>
      </w:rPr>
      <w:t>成都市锦江区墨香路87号8栋4楼</w:t>
    </w:r>
    <w:r>
      <w:rPr>
        <w:rFonts w:hint="eastAsia"/>
      </w:rPr>
      <w:t xml:space="preserve">    联系电话028-65731881 </w:t>
    </w:r>
    <w: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fldChar w:fldCharType="begin"/>
                          </w:r>
                          <w:r>
                            <w:instrText xml:space="preserve"> PAGE  \* MERGEFORMAT </w:instrText>
                          </w:r>
                          <w:r>
                            <w:fldChar w:fldCharType="separate"/>
                          </w:r>
                          <w:r>
                            <w:t>79</w:t>
                          </w:r>
                          <w:r>
                            <w:fldChar w:fldCharType="end"/>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10xDiyQEAAJkDAAAOAAAAAAAAAAEAIAAAAB4BAABkcnMvZTJvRG9j&#10;LnhtbFBLBQYAAAAABgAGAFkBAABZBQAAAAA=&#10;">
              <v:fill on="f" focussize="0,0"/>
              <v:stroke on="f"/>
              <v:imagedata o:title=""/>
              <o:lock v:ext="edit" aspectratio="f"/>
              <v:textbox inset="0mm,0mm,0mm,0mm" style="mso-fit-shape-to-text:t;">
                <w:txbxContent>
                  <w:p>
                    <w:pPr>
                      <w:pStyle w:val="22"/>
                    </w:pPr>
                    <w:r>
                      <w:fldChar w:fldCharType="begin"/>
                    </w:r>
                    <w:r>
                      <w:instrText xml:space="preserve"> PAGE  \* MERGEFORMAT </w:instrText>
                    </w:r>
                    <w:r>
                      <w:fldChar w:fldCharType="separate"/>
                    </w:r>
                    <w:r>
                      <w:t>79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sz w:val="22"/>
        <w:szCs w:val="22"/>
      </w:rPr>
    </w:pPr>
    <w:r>
      <w:drawing>
        <wp:anchor distT="0" distB="0" distL="114300" distR="114300" simplePos="0" relativeHeight="251660288" behindDoc="0" locked="0" layoutInCell="1" allowOverlap="1">
          <wp:simplePos x="0" y="0"/>
          <wp:positionH relativeFrom="column">
            <wp:posOffset>22225</wp:posOffset>
          </wp:positionH>
          <wp:positionV relativeFrom="paragraph">
            <wp:posOffset>-209550</wp:posOffset>
          </wp:positionV>
          <wp:extent cx="257175" cy="392430"/>
          <wp:effectExtent l="19050" t="0" r="9525" b="0"/>
          <wp:wrapNone/>
          <wp:docPr id="1" name="图片 3" descr="未命名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未命名 -2"/>
                  <pic:cNvPicPr>
                    <a:picLocks noChangeAspect="1" noChangeArrowheads="1"/>
                  </pic:cNvPicPr>
                </pic:nvPicPr>
                <pic:blipFill>
                  <a:blip r:embed="rId1"/>
                  <a:srcRect/>
                  <a:stretch>
                    <a:fillRect/>
                  </a:stretch>
                </pic:blipFill>
                <pic:spPr>
                  <a:xfrm>
                    <a:off x="0" y="0"/>
                    <a:ext cx="257175" cy="392430"/>
                  </a:xfrm>
                  <a:prstGeom prst="rect">
                    <a:avLst/>
                  </a:prstGeom>
                  <a:noFill/>
                  <a:ln w="9525">
                    <a:noFill/>
                    <a:miter lim="800000"/>
                    <a:headEnd/>
                    <a:tailEnd/>
                  </a:ln>
                </pic:spPr>
              </pic:pic>
            </a:graphicData>
          </a:graphic>
        </wp:anchor>
      </w:drawing>
    </w:r>
    <w:r>
      <w:rPr>
        <w:rFonts w:hint="eastAsia"/>
        <w:sz w:val="22"/>
        <w:szCs w:val="22"/>
      </w:rPr>
      <w:t>四川轩辕招标代理有限公司                        公开  公平  公正  高效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rPr>
        <w:rFonts w:hint="eastAsia"/>
      </w:rPr>
      <w:t>四川省工商行政管理局数据中心建设项目政府采购—招标文件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sz w:val="22"/>
        <w:szCs w:val="22"/>
      </w:rPr>
    </w:pPr>
    <w:r>
      <w:drawing>
        <wp:anchor distT="0" distB="0" distL="114300" distR="114300" simplePos="0" relativeHeight="251661312" behindDoc="0" locked="0" layoutInCell="1" allowOverlap="1">
          <wp:simplePos x="0" y="0"/>
          <wp:positionH relativeFrom="column">
            <wp:posOffset>22225</wp:posOffset>
          </wp:positionH>
          <wp:positionV relativeFrom="paragraph">
            <wp:posOffset>-209550</wp:posOffset>
          </wp:positionV>
          <wp:extent cx="257175" cy="392430"/>
          <wp:effectExtent l="0" t="0" r="9525" b="6985"/>
          <wp:wrapNone/>
          <wp:docPr id="2" name="图片 3" descr="未命名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未命名 -2"/>
                  <pic:cNvPicPr>
                    <a:picLocks noChangeAspect="1"/>
                  </pic:cNvPicPr>
                </pic:nvPicPr>
                <pic:blipFill>
                  <a:blip r:embed="rId1"/>
                  <a:stretch>
                    <a:fillRect/>
                  </a:stretch>
                </pic:blipFill>
                <pic:spPr>
                  <a:xfrm>
                    <a:off x="0" y="0"/>
                    <a:ext cx="257175" cy="392430"/>
                  </a:xfrm>
                  <a:prstGeom prst="rect">
                    <a:avLst/>
                  </a:prstGeom>
                  <a:noFill/>
                  <a:ln>
                    <a:noFill/>
                  </a:ln>
                </pic:spPr>
              </pic:pic>
            </a:graphicData>
          </a:graphic>
        </wp:anchor>
      </w:drawing>
    </w:r>
    <w:r>
      <w:rPr>
        <w:rFonts w:hint="eastAsia"/>
        <w:sz w:val="22"/>
        <w:szCs w:val="22"/>
      </w:rPr>
      <w:t>四川轩辕招标代理有限公司                        公开  公平  公正  高效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sz w:val="22"/>
        <w:szCs w:val="22"/>
      </w:rPr>
    </w:pPr>
    <w:r>
      <w:drawing>
        <wp:anchor distT="0" distB="0" distL="114300" distR="114300" simplePos="0" relativeHeight="251663360" behindDoc="0" locked="0" layoutInCell="1" allowOverlap="1">
          <wp:simplePos x="0" y="0"/>
          <wp:positionH relativeFrom="column">
            <wp:posOffset>22225</wp:posOffset>
          </wp:positionH>
          <wp:positionV relativeFrom="paragraph">
            <wp:posOffset>-209550</wp:posOffset>
          </wp:positionV>
          <wp:extent cx="257175" cy="392430"/>
          <wp:effectExtent l="0" t="0" r="9525" b="6985"/>
          <wp:wrapNone/>
          <wp:docPr id="5" name="图片 3" descr="未命名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未命名 -2"/>
                  <pic:cNvPicPr>
                    <a:picLocks noChangeAspect="1"/>
                  </pic:cNvPicPr>
                </pic:nvPicPr>
                <pic:blipFill>
                  <a:blip r:embed="rId1"/>
                  <a:stretch>
                    <a:fillRect/>
                  </a:stretch>
                </pic:blipFill>
                <pic:spPr>
                  <a:xfrm>
                    <a:off x="0" y="0"/>
                    <a:ext cx="257175" cy="392430"/>
                  </a:xfrm>
                  <a:prstGeom prst="rect">
                    <a:avLst/>
                  </a:prstGeom>
                  <a:noFill/>
                  <a:ln>
                    <a:noFill/>
                  </a:ln>
                </pic:spPr>
              </pic:pic>
            </a:graphicData>
          </a:graphic>
        </wp:anchor>
      </w:drawing>
    </w:r>
    <w:r>
      <w:rPr>
        <w:rFonts w:hint="eastAsia"/>
        <w:sz w:val="22"/>
        <w:szCs w:val="22"/>
      </w:rPr>
      <w:t>四川轩辕招标代理有限公司                        公开  公平  公正  高效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60D4B6"/>
    <w:multiLevelType w:val="singleLevel"/>
    <w:tmpl w:val="8760D4B6"/>
    <w:lvl w:ilvl="0" w:tentative="0">
      <w:start w:val="1"/>
      <w:numFmt w:val="decimal"/>
      <w:lvlText w:val="%1."/>
      <w:lvlJc w:val="left"/>
      <w:pPr>
        <w:tabs>
          <w:tab w:val="left" w:pos="312"/>
        </w:tabs>
      </w:pPr>
    </w:lvl>
  </w:abstractNum>
  <w:abstractNum w:abstractNumId="1">
    <w:nsid w:val="9B6CE46F"/>
    <w:multiLevelType w:val="singleLevel"/>
    <w:tmpl w:val="9B6CE46F"/>
    <w:lvl w:ilvl="0" w:tentative="0">
      <w:start w:val="1"/>
      <w:numFmt w:val="decimal"/>
      <w:pStyle w:val="10"/>
      <w:lvlText w:val="%1."/>
      <w:lvlJc w:val="left"/>
      <w:pPr>
        <w:tabs>
          <w:tab w:val="left" w:pos="360"/>
        </w:tabs>
        <w:ind w:left="360" w:hanging="360"/>
      </w:pPr>
    </w:lvl>
  </w:abstractNum>
  <w:abstractNum w:abstractNumId="2">
    <w:nsid w:val="00000005"/>
    <w:multiLevelType w:val="singleLevel"/>
    <w:tmpl w:val="00000005"/>
    <w:lvl w:ilvl="0" w:tentative="0">
      <w:start w:val="3"/>
      <w:numFmt w:val="chineseCounting"/>
      <w:suff w:val="nothing"/>
      <w:lvlText w:val="%1、"/>
      <w:lvlJc w:val="left"/>
    </w:lvl>
  </w:abstractNum>
  <w:abstractNum w:abstractNumId="3">
    <w:nsid w:val="00000007"/>
    <w:multiLevelType w:val="singleLevel"/>
    <w:tmpl w:val="00000007"/>
    <w:lvl w:ilvl="0" w:tentative="0">
      <w:start w:val="4"/>
      <w:numFmt w:val="chineseCounting"/>
      <w:suff w:val="nothing"/>
      <w:lvlText w:val="%1、"/>
      <w:lvlJc w:val="left"/>
    </w:lvl>
  </w:abstractNum>
  <w:abstractNum w:abstractNumId="4">
    <w:nsid w:val="00000008"/>
    <w:multiLevelType w:val="singleLevel"/>
    <w:tmpl w:val="00000008"/>
    <w:lvl w:ilvl="0" w:tentative="0">
      <w:start w:val="1"/>
      <w:numFmt w:val="chineseCounting"/>
      <w:suff w:val="nothing"/>
      <w:lvlText w:val="%1、"/>
      <w:lvlJc w:val="left"/>
    </w:lvl>
  </w:abstractNum>
  <w:abstractNum w:abstractNumId="5">
    <w:nsid w:val="0000000A"/>
    <w:multiLevelType w:val="singleLevel"/>
    <w:tmpl w:val="0000000A"/>
    <w:lvl w:ilvl="0" w:tentative="0">
      <w:start w:val="2"/>
      <w:numFmt w:val="decimal"/>
      <w:suff w:val="nothing"/>
      <w:lvlText w:val="%1."/>
      <w:lvlJc w:val="left"/>
    </w:lvl>
  </w:abstractNum>
  <w:abstractNum w:abstractNumId="6">
    <w:nsid w:val="0000000C"/>
    <w:multiLevelType w:val="multilevel"/>
    <w:tmpl w:val="0000000C"/>
    <w:lvl w:ilvl="0" w:tentative="0">
      <w:start w:val="1"/>
      <w:numFmt w:val="decimal"/>
      <w:suff w:val="nothing"/>
      <w:lvlText w:val="%1、"/>
      <w:lvlJc w:val="left"/>
      <w:pPr>
        <w:ind w:left="0" w:firstLine="0"/>
      </w:pPr>
    </w:lvl>
    <w:lvl w:ilvl="1" w:tentative="0">
      <w:start w:val="1"/>
      <w:numFmt w:val="decimal"/>
      <w:pStyle w:val="80"/>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0000000E"/>
    <w:multiLevelType w:val="singleLevel"/>
    <w:tmpl w:val="0000000E"/>
    <w:lvl w:ilvl="0" w:tentative="0">
      <w:start w:val="1"/>
      <w:numFmt w:val="decimal"/>
      <w:suff w:val="nothing"/>
      <w:lvlText w:val="%1、"/>
      <w:lvlJc w:val="left"/>
      <w:pPr>
        <w:ind w:left="0" w:firstLine="0"/>
      </w:pPr>
    </w:lvl>
  </w:abstractNum>
  <w:abstractNum w:abstractNumId="8">
    <w:nsid w:val="00000010"/>
    <w:multiLevelType w:val="singleLevel"/>
    <w:tmpl w:val="00000010"/>
    <w:lvl w:ilvl="0" w:tentative="0">
      <w:start w:val="5"/>
      <w:numFmt w:val="chineseCounting"/>
      <w:suff w:val="nothing"/>
      <w:lvlText w:val="%1、"/>
      <w:lvlJc w:val="left"/>
    </w:lvl>
  </w:abstractNum>
  <w:abstractNum w:abstractNumId="9">
    <w:nsid w:val="00000013"/>
    <w:multiLevelType w:val="singleLevel"/>
    <w:tmpl w:val="00000013"/>
    <w:lvl w:ilvl="0" w:tentative="0">
      <w:start w:val="6"/>
      <w:numFmt w:val="chineseCounting"/>
      <w:suff w:val="nothing"/>
      <w:lvlText w:val="%1、"/>
      <w:lvlJc w:val="left"/>
    </w:lvl>
  </w:abstractNum>
  <w:abstractNum w:abstractNumId="10">
    <w:nsid w:val="1517B247"/>
    <w:multiLevelType w:val="singleLevel"/>
    <w:tmpl w:val="1517B247"/>
    <w:lvl w:ilvl="0" w:tentative="0">
      <w:start w:val="3"/>
      <w:numFmt w:val="decimal"/>
      <w:lvlText w:val="%1."/>
      <w:lvlJc w:val="left"/>
      <w:pPr>
        <w:tabs>
          <w:tab w:val="left" w:pos="312"/>
        </w:tabs>
      </w:pPr>
    </w:lvl>
  </w:abstractNum>
  <w:abstractNum w:abstractNumId="11">
    <w:nsid w:val="22F4C22B"/>
    <w:multiLevelType w:val="singleLevel"/>
    <w:tmpl w:val="22F4C22B"/>
    <w:lvl w:ilvl="0" w:tentative="0">
      <w:start w:val="2"/>
      <w:numFmt w:val="chineseCounting"/>
      <w:suff w:val="nothing"/>
      <w:lvlText w:val="%1、"/>
      <w:lvlJc w:val="left"/>
      <w:rPr>
        <w:rFonts w:hint="eastAsia"/>
      </w:rPr>
    </w:lvl>
  </w:abstractNum>
  <w:abstractNum w:abstractNumId="1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5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1"/>
  </w:num>
  <w:num w:numId="2">
    <w:abstractNumId w:val="12"/>
  </w:num>
  <w:num w:numId="3">
    <w:abstractNumId w:val="6"/>
  </w:num>
  <w:num w:numId="4">
    <w:abstractNumId w:val="8"/>
  </w:num>
  <w:num w:numId="5">
    <w:abstractNumId w:val="9"/>
  </w:num>
  <w:num w:numId="6">
    <w:abstractNumId w:val="0"/>
  </w:num>
  <w:num w:numId="7">
    <w:abstractNumId w:val="4"/>
  </w:num>
  <w:num w:numId="8">
    <w:abstractNumId w:val="2"/>
  </w:num>
  <w:num w:numId="9">
    <w:abstractNumId w:val="3"/>
  </w:num>
  <w:num w:numId="10">
    <w:abstractNumId w:val="7"/>
    <w:lvlOverride w:ilvl="0">
      <w:startOverride w:val="1"/>
    </w:lvlOverride>
  </w:num>
  <w:num w:numId="11">
    <w:abstractNumId w:val="6"/>
    <w:lvlOverride w:ilvl="0">
      <w:startOverride w:val="1"/>
    </w:lvlOverride>
  </w:num>
  <w:num w:numId="12">
    <w:abstractNumId w:val="5"/>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displayBackgroundShape w:val="1"/>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534"/>
    <w:rsid w:val="00002E34"/>
    <w:rsid w:val="000078E6"/>
    <w:rsid w:val="00011E62"/>
    <w:rsid w:val="00014B26"/>
    <w:rsid w:val="00014C44"/>
    <w:rsid w:val="00014D15"/>
    <w:rsid w:val="00026E6A"/>
    <w:rsid w:val="0003184F"/>
    <w:rsid w:val="00032C4A"/>
    <w:rsid w:val="00034F8F"/>
    <w:rsid w:val="00037047"/>
    <w:rsid w:val="000511C6"/>
    <w:rsid w:val="000525C8"/>
    <w:rsid w:val="000531C2"/>
    <w:rsid w:val="000546DF"/>
    <w:rsid w:val="00055327"/>
    <w:rsid w:val="000572EA"/>
    <w:rsid w:val="0005745D"/>
    <w:rsid w:val="00073575"/>
    <w:rsid w:val="00092514"/>
    <w:rsid w:val="00097EAA"/>
    <w:rsid w:val="000B04C0"/>
    <w:rsid w:val="000B3AEA"/>
    <w:rsid w:val="000B45F9"/>
    <w:rsid w:val="000C2E0E"/>
    <w:rsid w:val="000D04CB"/>
    <w:rsid w:val="000D2B40"/>
    <w:rsid w:val="000D48D0"/>
    <w:rsid w:val="000E11EA"/>
    <w:rsid w:val="000E1779"/>
    <w:rsid w:val="000E1C9C"/>
    <w:rsid w:val="000E7035"/>
    <w:rsid w:val="000F11D4"/>
    <w:rsid w:val="000F312E"/>
    <w:rsid w:val="000F4A31"/>
    <w:rsid w:val="00100E92"/>
    <w:rsid w:val="0010208F"/>
    <w:rsid w:val="001051A5"/>
    <w:rsid w:val="00106A91"/>
    <w:rsid w:val="00110629"/>
    <w:rsid w:val="001136A7"/>
    <w:rsid w:val="0012029A"/>
    <w:rsid w:val="00124204"/>
    <w:rsid w:val="00124F2F"/>
    <w:rsid w:val="001263E9"/>
    <w:rsid w:val="00130432"/>
    <w:rsid w:val="00130ED7"/>
    <w:rsid w:val="00132066"/>
    <w:rsid w:val="00147011"/>
    <w:rsid w:val="0015058A"/>
    <w:rsid w:val="001533EE"/>
    <w:rsid w:val="00153DE9"/>
    <w:rsid w:val="00163CC0"/>
    <w:rsid w:val="00172829"/>
    <w:rsid w:val="00172A27"/>
    <w:rsid w:val="0017313E"/>
    <w:rsid w:val="00175B77"/>
    <w:rsid w:val="00175CC7"/>
    <w:rsid w:val="00180AD6"/>
    <w:rsid w:val="001819EC"/>
    <w:rsid w:val="001857EB"/>
    <w:rsid w:val="001A7944"/>
    <w:rsid w:val="001C2342"/>
    <w:rsid w:val="001C307D"/>
    <w:rsid w:val="001C475B"/>
    <w:rsid w:val="001D6F41"/>
    <w:rsid w:val="001E32BF"/>
    <w:rsid w:val="001F6A91"/>
    <w:rsid w:val="002136A8"/>
    <w:rsid w:val="00214C74"/>
    <w:rsid w:val="002201C8"/>
    <w:rsid w:val="00220BA3"/>
    <w:rsid w:val="0022251C"/>
    <w:rsid w:val="00225CC5"/>
    <w:rsid w:val="002334D0"/>
    <w:rsid w:val="00234E0D"/>
    <w:rsid w:val="002360A0"/>
    <w:rsid w:val="002441BF"/>
    <w:rsid w:val="00245E3D"/>
    <w:rsid w:val="0025066E"/>
    <w:rsid w:val="002538E4"/>
    <w:rsid w:val="00255DCF"/>
    <w:rsid w:val="00257C47"/>
    <w:rsid w:val="002611E4"/>
    <w:rsid w:val="00263FCE"/>
    <w:rsid w:val="00264971"/>
    <w:rsid w:val="00274492"/>
    <w:rsid w:val="002838A9"/>
    <w:rsid w:val="0028441E"/>
    <w:rsid w:val="002905F8"/>
    <w:rsid w:val="00292E8B"/>
    <w:rsid w:val="002962D5"/>
    <w:rsid w:val="00296CB0"/>
    <w:rsid w:val="002A7B47"/>
    <w:rsid w:val="002B09A6"/>
    <w:rsid w:val="002B0A4E"/>
    <w:rsid w:val="002B1466"/>
    <w:rsid w:val="002C2BEB"/>
    <w:rsid w:val="002C6CD0"/>
    <w:rsid w:val="002D4623"/>
    <w:rsid w:val="002D56E0"/>
    <w:rsid w:val="002E3FA8"/>
    <w:rsid w:val="002F631C"/>
    <w:rsid w:val="00304C7E"/>
    <w:rsid w:val="0030748E"/>
    <w:rsid w:val="00314A0E"/>
    <w:rsid w:val="003161F8"/>
    <w:rsid w:val="00320026"/>
    <w:rsid w:val="00320226"/>
    <w:rsid w:val="00332AAA"/>
    <w:rsid w:val="00336828"/>
    <w:rsid w:val="0034391E"/>
    <w:rsid w:val="003517C5"/>
    <w:rsid w:val="003542D1"/>
    <w:rsid w:val="003544F6"/>
    <w:rsid w:val="00362CEE"/>
    <w:rsid w:val="00367FCC"/>
    <w:rsid w:val="0037578B"/>
    <w:rsid w:val="00376872"/>
    <w:rsid w:val="00382219"/>
    <w:rsid w:val="003905CE"/>
    <w:rsid w:val="003957BE"/>
    <w:rsid w:val="003960CD"/>
    <w:rsid w:val="003A44D8"/>
    <w:rsid w:val="003A4BC2"/>
    <w:rsid w:val="003A4C64"/>
    <w:rsid w:val="003C3A52"/>
    <w:rsid w:val="003C6979"/>
    <w:rsid w:val="003C7D9D"/>
    <w:rsid w:val="003C7E52"/>
    <w:rsid w:val="003E10B5"/>
    <w:rsid w:val="003E391E"/>
    <w:rsid w:val="003E5399"/>
    <w:rsid w:val="003E7670"/>
    <w:rsid w:val="003F0641"/>
    <w:rsid w:val="003F090A"/>
    <w:rsid w:val="003F2EEB"/>
    <w:rsid w:val="003F3BBC"/>
    <w:rsid w:val="003F5541"/>
    <w:rsid w:val="003F5F07"/>
    <w:rsid w:val="004010FB"/>
    <w:rsid w:val="00403177"/>
    <w:rsid w:val="00403531"/>
    <w:rsid w:val="00404348"/>
    <w:rsid w:val="00414144"/>
    <w:rsid w:val="00415020"/>
    <w:rsid w:val="004263D3"/>
    <w:rsid w:val="00434458"/>
    <w:rsid w:val="00441A23"/>
    <w:rsid w:val="00447F70"/>
    <w:rsid w:val="00453851"/>
    <w:rsid w:val="00461FDA"/>
    <w:rsid w:val="00462734"/>
    <w:rsid w:val="00466286"/>
    <w:rsid w:val="0047462D"/>
    <w:rsid w:val="004814A1"/>
    <w:rsid w:val="00486313"/>
    <w:rsid w:val="004905BB"/>
    <w:rsid w:val="00491736"/>
    <w:rsid w:val="00492C3C"/>
    <w:rsid w:val="00492DD6"/>
    <w:rsid w:val="00492FD7"/>
    <w:rsid w:val="004A34F4"/>
    <w:rsid w:val="004B586C"/>
    <w:rsid w:val="004C0D0D"/>
    <w:rsid w:val="004C487D"/>
    <w:rsid w:val="004D0514"/>
    <w:rsid w:val="004E5BC0"/>
    <w:rsid w:val="004E7D81"/>
    <w:rsid w:val="004F3126"/>
    <w:rsid w:val="004F47BE"/>
    <w:rsid w:val="005030C6"/>
    <w:rsid w:val="00507FE5"/>
    <w:rsid w:val="005124D7"/>
    <w:rsid w:val="00521BC9"/>
    <w:rsid w:val="00523A01"/>
    <w:rsid w:val="00523F1E"/>
    <w:rsid w:val="005261B7"/>
    <w:rsid w:val="0052648B"/>
    <w:rsid w:val="005353AF"/>
    <w:rsid w:val="005370B2"/>
    <w:rsid w:val="00537FA4"/>
    <w:rsid w:val="00547A04"/>
    <w:rsid w:val="00550342"/>
    <w:rsid w:val="00556AE5"/>
    <w:rsid w:val="00557383"/>
    <w:rsid w:val="005617AF"/>
    <w:rsid w:val="00564C97"/>
    <w:rsid w:val="0057055D"/>
    <w:rsid w:val="00581E38"/>
    <w:rsid w:val="005844F4"/>
    <w:rsid w:val="005970E7"/>
    <w:rsid w:val="005A1C27"/>
    <w:rsid w:val="005A3C7F"/>
    <w:rsid w:val="005B1D93"/>
    <w:rsid w:val="005B4F32"/>
    <w:rsid w:val="005C09F2"/>
    <w:rsid w:val="005C3393"/>
    <w:rsid w:val="005C6266"/>
    <w:rsid w:val="005C63A6"/>
    <w:rsid w:val="005D490D"/>
    <w:rsid w:val="005E606D"/>
    <w:rsid w:val="005F22F8"/>
    <w:rsid w:val="0061247F"/>
    <w:rsid w:val="006214F9"/>
    <w:rsid w:val="00631ED0"/>
    <w:rsid w:val="00634593"/>
    <w:rsid w:val="00634A7F"/>
    <w:rsid w:val="006436EC"/>
    <w:rsid w:val="00645AA7"/>
    <w:rsid w:val="00647C11"/>
    <w:rsid w:val="00650623"/>
    <w:rsid w:val="006525CB"/>
    <w:rsid w:val="006554E2"/>
    <w:rsid w:val="00660E04"/>
    <w:rsid w:val="00663A2E"/>
    <w:rsid w:val="00667B1C"/>
    <w:rsid w:val="00672242"/>
    <w:rsid w:val="006766AD"/>
    <w:rsid w:val="00680873"/>
    <w:rsid w:val="00692C76"/>
    <w:rsid w:val="00693BF6"/>
    <w:rsid w:val="006A40CC"/>
    <w:rsid w:val="006A6E64"/>
    <w:rsid w:val="006B40E1"/>
    <w:rsid w:val="006B4C48"/>
    <w:rsid w:val="006B787F"/>
    <w:rsid w:val="006B7DA2"/>
    <w:rsid w:val="006C4CD1"/>
    <w:rsid w:val="006C695C"/>
    <w:rsid w:val="006C7097"/>
    <w:rsid w:val="006E000D"/>
    <w:rsid w:val="006E044E"/>
    <w:rsid w:val="006E1BBC"/>
    <w:rsid w:val="006F0A35"/>
    <w:rsid w:val="006F67B0"/>
    <w:rsid w:val="00703B36"/>
    <w:rsid w:val="007125A4"/>
    <w:rsid w:val="007236AE"/>
    <w:rsid w:val="00726C41"/>
    <w:rsid w:val="00731F21"/>
    <w:rsid w:val="00734CA1"/>
    <w:rsid w:val="00740B4A"/>
    <w:rsid w:val="00743535"/>
    <w:rsid w:val="00743740"/>
    <w:rsid w:val="007451BC"/>
    <w:rsid w:val="00747A27"/>
    <w:rsid w:val="00750330"/>
    <w:rsid w:val="007503D7"/>
    <w:rsid w:val="00753383"/>
    <w:rsid w:val="00755244"/>
    <w:rsid w:val="00756517"/>
    <w:rsid w:val="00765E2A"/>
    <w:rsid w:val="007668A1"/>
    <w:rsid w:val="00766F33"/>
    <w:rsid w:val="00774534"/>
    <w:rsid w:val="00776AA1"/>
    <w:rsid w:val="00794182"/>
    <w:rsid w:val="007A2DFE"/>
    <w:rsid w:val="007A76EC"/>
    <w:rsid w:val="007B1CC4"/>
    <w:rsid w:val="007B334C"/>
    <w:rsid w:val="007C2363"/>
    <w:rsid w:val="007C60A1"/>
    <w:rsid w:val="007D3430"/>
    <w:rsid w:val="007D6A7D"/>
    <w:rsid w:val="007D774E"/>
    <w:rsid w:val="007E250B"/>
    <w:rsid w:val="007E4038"/>
    <w:rsid w:val="007E6320"/>
    <w:rsid w:val="007F2906"/>
    <w:rsid w:val="007F572C"/>
    <w:rsid w:val="00801A1F"/>
    <w:rsid w:val="00801CC2"/>
    <w:rsid w:val="008069EF"/>
    <w:rsid w:val="008126CE"/>
    <w:rsid w:val="00814E2F"/>
    <w:rsid w:val="00816D5D"/>
    <w:rsid w:val="00824642"/>
    <w:rsid w:val="008338C5"/>
    <w:rsid w:val="00834135"/>
    <w:rsid w:val="008423D0"/>
    <w:rsid w:val="0085458D"/>
    <w:rsid w:val="00856724"/>
    <w:rsid w:val="00857AFA"/>
    <w:rsid w:val="00860048"/>
    <w:rsid w:val="00862AE6"/>
    <w:rsid w:val="00865172"/>
    <w:rsid w:val="00870B61"/>
    <w:rsid w:val="00874E60"/>
    <w:rsid w:val="00874E7A"/>
    <w:rsid w:val="00875557"/>
    <w:rsid w:val="0087765C"/>
    <w:rsid w:val="008806FE"/>
    <w:rsid w:val="00884419"/>
    <w:rsid w:val="00887AA1"/>
    <w:rsid w:val="00892791"/>
    <w:rsid w:val="0089405A"/>
    <w:rsid w:val="008A1E5B"/>
    <w:rsid w:val="008A23BD"/>
    <w:rsid w:val="008B0675"/>
    <w:rsid w:val="008C27D4"/>
    <w:rsid w:val="008C4FF7"/>
    <w:rsid w:val="008C5229"/>
    <w:rsid w:val="008C7E43"/>
    <w:rsid w:val="008D02C7"/>
    <w:rsid w:val="008D195A"/>
    <w:rsid w:val="008E2B18"/>
    <w:rsid w:val="008E33A3"/>
    <w:rsid w:val="008E46F0"/>
    <w:rsid w:val="008E60E8"/>
    <w:rsid w:val="008E6CA4"/>
    <w:rsid w:val="008F0F6C"/>
    <w:rsid w:val="008F32D4"/>
    <w:rsid w:val="008F3553"/>
    <w:rsid w:val="008F480A"/>
    <w:rsid w:val="008F6859"/>
    <w:rsid w:val="00914BFA"/>
    <w:rsid w:val="009162C3"/>
    <w:rsid w:val="00920422"/>
    <w:rsid w:val="009223F8"/>
    <w:rsid w:val="009247D0"/>
    <w:rsid w:val="00930B1A"/>
    <w:rsid w:val="00932DCB"/>
    <w:rsid w:val="0093395C"/>
    <w:rsid w:val="00944CEB"/>
    <w:rsid w:val="00955E7D"/>
    <w:rsid w:val="009600F5"/>
    <w:rsid w:val="00961338"/>
    <w:rsid w:val="009676C7"/>
    <w:rsid w:val="00971F1E"/>
    <w:rsid w:val="009810B6"/>
    <w:rsid w:val="00984486"/>
    <w:rsid w:val="00991DB0"/>
    <w:rsid w:val="00992A78"/>
    <w:rsid w:val="00995BEF"/>
    <w:rsid w:val="00997670"/>
    <w:rsid w:val="009A0335"/>
    <w:rsid w:val="009A4801"/>
    <w:rsid w:val="009B1520"/>
    <w:rsid w:val="009B15BE"/>
    <w:rsid w:val="009B2AF3"/>
    <w:rsid w:val="009B7EE4"/>
    <w:rsid w:val="009C5AA3"/>
    <w:rsid w:val="009D0E28"/>
    <w:rsid w:val="009D42A3"/>
    <w:rsid w:val="009D7523"/>
    <w:rsid w:val="009E3551"/>
    <w:rsid w:val="009F28B1"/>
    <w:rsid w:val="009F6E83"/>
    <w:rsid w:val="009F72CB"/>
    <w:rsid w:val="009F7B57"/>
    <w:rsid w:val="00A06F4F"/>
    <w:rsid w:val="00A1014C"/>
    <w:rsid w:val="00A13D5E"/>
    <w:rsid w:val="00A15237"/>
    <w:rsid w:val="00A16553"/>
    <w:rsid w:val="00A23FE2"/>
    <w:rsid w:val="00A35C58"/>
    <w:rsid w:val="00A37004"/>
    <w:rsid w:val="00A40524"/>
    <w:rsid w:val="00A46143"/>
    <w:rsid w:val="00A537BE"/>
    <w:rsid w:val="00A541C8"/>
    <w:rsid w:val="00A56675"/>
    <w:rsid w:val="00A72D91"/>
    <w:rsid w:val="00A72F4E"/>
    <w:rsid w:val="00A76C96"/>
    <w:rsid w:val="00A81144"/>
    <w:rsid w:val="00A850F7"/>
    <w:rsid w:val="00A95499"/>
    <w:rsid w:val="00AA6A7D"/>
    <w:rsid w:val="00AB06DE"/>
    <w:rsid w:val="00AB383B"/>
    <w:rsid w:val="00AB3D60"/>
    <w:rsid w:val="00AB5AEB"/>
    <w:rsid w:val="00AC53F8"/>
    <w:rsid w:val="00AD3405"/>
    <w:rsid w:val="00AE3BF0"/>
    <w:rsid w:val="00AE5A84"/>
    <w:rsid w:val="00B0653E"/>
    <w:rsid w:val="00B1269D"/>
    <w:rsid w:val="00B14F52"/>
    <w:rsid w:val="00B204EA"/>
    <w:rsid w:val="00B2241A"/>
    <w:rsid w:val="00B24E6B"/>
    <w:rsid w:val="00B34ECE"/>
    <w:rsid w:val="00B44EFF"/>
    <w:rsid w:val="00B50103"/>
    <w:rsid w:val="00B60F80"/>
    <w:rsid w:val="00B6509C"/>
    <w:rsid w:val="00B706FF"/>
    <w:rsid w:val="00B73242"/>
    <w:rsid w:val="00B763E9"/>
    <w:rsid w:val="00B834D5"/>
    <w:rsid w:val="00B853EA"/>
    <w:rsid w:val="00B856BF"/>
    <w:rsid w:val="00B86382"/>
    <w:rsid w:val="00BA0816"/>
    <w:rsid w:val="00BA17FF"/>
    <w:rsid w:val="00BA20B1"/>
    <w:rsid w:val="00BA3242"/>
    <w:rsid w:val="00BA7E11"/>
    <w:rsid w:val="00BD455E"/>
    <w:rsid w:val="00BE24BB"/>
    <w:rsid w:val="00BE6C4F"/>
    <w:rsid w:val="00BF2E9F"/>
    <w:rsid w:val="00C1333E"/>
    <w:rsid w:val="00C17731"/>
    <w:rsid w:val="00C30A84"/>
    <w:rsid w:val="00C36B8F"/>
    <w:rsid w:val="00C4363C"/>
    <w:rsid w:val="00C55DD9"/>
    <w:rsid w:val="00C5667D"/>
    <w:rsid w:val="00C62883"/>
    <w:rsid w:val="00C71CA8"/>
    <w:rsid w:val="00C744F4"/>
    <w:rsid w:val="00C81260"/>
    <w:rsid w:val="00C81EEE"/>
    <w:rsid w:val="00C8394C"/>
    <w:rsid w:val="00C83B29"/>
    <w:rsid w:val="00C85356"/>
    <w:rsid w:val="00C95DE4"/>
    <w:rsid w:val="00C96D5C"/>
    <w:rsid w:val="00C976F8"/>
    <w:rsid w:val="00C97F71"/>
    <w:rsid w:val="00CA2125"/>
    <w:rsid w:val="00CA4E03"/>
    <w:rsid w:val="00CB3812"/>
    <w:rsid w:val="00CB6019"/>
    <w:rsid w:val="00CB734B"/>
    <w:rsid w:val="00CC77B1"/>
    <w:rsid w:val="00CD119E"/>
    <w:rsid w:val="00CD2C5E"/>
    <w:rsid w:val="00CD3F10"/>
    <w:rsid w:val="00CE12FC"/>
    <w:rsid w:val="00CE328F"/>
    <w:rsid w:val="00CE595E"/>
    <w:rsid w:val="00CE7504"/>
    <w:rsid w:val="00CF3D94"/>
    <w:rsid w:val="00CF46C1"/>
    <w:rsid w:val="00CF4B10"/>
    <w:rsid w:val="00D0259D"/>
    <w:rsid w:val="00D063D8"/>
    <w:rsid w:val="00D1395B"/>
    <w:rsid w:val="00D20394"/>
    <w:rsid w:val="00D20B9F"/>
    <w:rsid w:val="00D23205"/>
    <w:rsid w:val="00D35073"/>
    <w:rsid w:val="00D45E74"/>
    <w:rsid w:val="00D47AB4"/>
    <w:rsid w:val="00D51727"/>
    <w:rsid w:val="00D51B33"/>
    <w:rsid w:val="00D53A22"/>
    <w:rsid w:val="00D600FF"/>
    <w:rsid w:val="00D635C5"/>
    <w:rsid w:val="00D63CAC"/>
    <w:rsid w:val="00D83393"/>
    <w:rsid w:val="00D97D3C"/>
    <w:rsid w:val="00DA1771"/>
    <w:rsid w:val="00DA2981"/>
    <w:rsid w:val="00DA29F9"/>
    <w:rsid w:val="00DA3643"/>
    <w:rsid w:val="00DA7638"/>
    <w:rsid w:val="00DB6AE2"/>
    <w:rsid w:val="00DC0A9A"/>
    <w:rsid w:val="00DC32FE"/>
    <w:rsid w:val="00DC4A78"/>
    <w:rsid w:val="00DD083B"/>
    <w:rsid w:val="00DD11E1"/>
    <w:rsid w:val="00DD6BF9"/>
    <w:rsid w:val="00DE01BA"/>
    <w:rsid w:val="00DE77B3"/>
    <w:rsid w:val="00DF1FFF"/>
    <w:rsid w:val="00DF4117"/>
    <w:rsid w:val="00E07028"/>
    <w:rsid w:val="00E15B7E"/>
    <w:rsid w:val="00E20AE9"/>
    <w:rsid w:val="00E2569B"/>
    <w:rsid w:val="00E31C37"/>
    <w:rsid w:val="00E334F4"/>
    <w:rsid w:val="00E463DE"/>
    <w:rsid w:val="00E46DB4"/>
    <w:rsid w:val="00E512A0"/>
    <w:rsid w:val="00E53641"/>
    <w:rsid w:val="00E5452D"/>
    <w:rsid w:val="00E60399"/>
    <w:rsid w:val="00E6603E"/>
    <w:rsid w:val="00E95067"/>
    <w:rsid w:val="00EA149F"/>
    <w:rsid w:val="00EA1A0B"/>
    <w:rsid w:val="00EA2CEF"/>
    <w:rsid w:val="00EA570E"/>
    <w:rsid w:val="00EA5766"/>
    <w:rsid w:val="00EB0E86"/>
    <w:rsid w:val="00EB4B63"/>
    <w:rsid w:val="00EB6911"/>
    <w:rsid w:val="00EB6BBC"/>
    <w:rsid w:val="00EC05FE"/>
    <w:rsid w:val="00EC0867"/>
    <w:rsid w:val="00EC5A90"/>
    <w:rsid w:val="00ED0B91"/>
    <w:rsid w:val="00ED46F7"/>
    <w:rsid w:val="00ED760A"/>
    <w:rsid w:val="00EF450F"/>
    <w:rsid w:val="00EF6F98"/>
    <w:rsid w:val="00F11BCC"/>
    <w:rsid w:val="00F11ED5"/>
    <w:rsid w:val="00F13418"/>
    <w:rsid w:val="00F14150"/>
    <w:rsid w:val="00F142D9"/>
    <w:rsid w:val="00F14A60"/>
    <w:rsid w:val="00F22F93"/>
    <w:rsid w:val="00F25C6D"/>
    <w:rsid w:val="00F300A3"/>
    <w:rsid w:val="00F45925"/>
    <w:rsid w:val="00F50FEF"/>
    <w:rsid w:val="00F52C13"/>
    <w:rsid w:val="00F642F3"/>
    <w:rsid w:val="00F76EBC"/>
    <w:rsid w:val="00F774E8"/>
    <w:rsid w:val="00F828C7"/>
    <w:rsid w:val="00F83702"/>
    <w:rsid w:val="00F852AD"/>
    <w:rsid w:val="00F85D92"/>
    <w:rsid w:val="00F87AF8"/>
    <w:rsid w:val="00FA2F57"/>
    <w:rsid w:val="00FA489A"/>
    <w:rsid w:val="00FB148B"/>
    <w:rsid w:val="00FB360D"/>
    <w:rsid w:val="00FB6E86"/>
    <w:rsid w:val="00FC1C01"/>
    <w:rsid w:val="00FC33DA"/>
    <w:rsid w:val="00FD3854"/>
    <w:rsid w:val="00FE2FDD"/>
    <w:rsid w:val="00FE4BF3"/>
    <w:rsid w:val="00FE4F8B"/>
    <w:rsid w:val="00FF7E7C"/>
    <w:rsid w:val="015E089A"/>
    <w:rsid w:val="01AC7493"/>
    <w:rsid w:val="0247397C"/>
    <w:rsid w:val="02C65784"/>
    <w:rsid w:val="039307A9"/>
    <w:rsid w:val="0402283D"/>
    <w:rsid w:val="054A39AE"/>
    <w:rsid w:val="05FD0068"/>
    <w:rsid w:val="06A03F0F"/>
    <w:rsid w:val="07D12326"/>
    <w:rsid w:val="07E06D3A"/>
    <w:rsid w:val="0838694C"/>
    <w:rsid w:val="08660EA9"/>
    <w:rsid w:val="088D3C72"/>
    <w:rsid w:val="08E60F9B"/>
    <w:rsid w:val="0927441F"/>
    <w:rsid w:val="09AB2B3C"/>
    <w:rsid w:val="0A786347"/>
    <w:rsid w:val="0A7F5CAF"/>
    <w:rsid w:val="0AAC0AEA"/>
    <w:rsid w:val="0AFB6F13"/>
    <w:rsid w:val="0B496351"/>
    <w:rsid w:val="0BCC35FC"/>
    <w:rsid w:val="0BE5495B"/>
    <w:rsid w:val="0BEE74DC"/>
    <w:rsid w:val="0C5F2206"/>
    <w:rsid w:val="0CE3193B"/>
    <w:rsid w:val="0CF605A7"/>
    <w:rsid w:val="0D396095"/>
    <w:rsid w:val="0E29393C"/>
    <w:rsid w:val="0F15624B"/>
    <w:rsid w:val="0F81794F"/>
    <w:rsid w:val="0FA8084D"/>
    <w:rsid w:val="10157281"/>
    <w:rsid w:val="11B87DB0"/>
    <w:rsid w:val="12F73665"/>
    <w:rsid w:val="135951AA"/>
    <w:rsid w:val="13D838BD"/>
    <w:rsid w:val="142769A4"/>
    <w:rsid w:val="147B3482"/>
    <w:rsid w:val="149D53AA"/>
    <w:rsid w:val="14C44886"/>
    <w:rsid w:val="15080CCE"/>
    <w:rsid w:val="16D551B4"/>
    <w:rsid w:val="175C5CCF"/>
    <w:rsid w:val="18300E60"/>
    <w:rsid w:val="1832226D"/>
    <w:rsid w:val="18513279"/>
    <w:rsid w:val="18AD27F7"/>
    <w:rsid w:val="18E213BD"/>
    <w:rsid w:val="18E72FD9"/>
    <w:rsid w:val="19126287"/>
    <w:rsid w:val="19220F71"/>
    <w:rsid w:val="19514154"/>
    <w:rsid w:val="19AD1A74"/>
    <w:rsid w:val="19D166E6"/>
    <w:rsid w:val="1A0A5351"/>
    <w:rsid w:val="1A172AED"/>
    <w:rsid w:val="1A6140C7"/>
    <w:rsid w:val="1A713596"/>
    <w:rsid w:val="1B0024A0"/>
    <w:rsid w:val="1B8B692C"/>
    <w:rsid w:val="1BA330B7"/>
    <w:rsid w:val="1BBE4D9F"/>
    <w:rsid w:val="1BED2F93"/>
    <w:rsid w:val="1BEF12D0"/>
    <w:rsid w:val="1C355D6C"/>
    <w:rsid w:val="1C5C19E8"/>
    <w:rsid w:val="1CC63836"/>
    <w:rsid w:val="1D335BD5"/>
    <w:rsid w:val="1EF5655A"/>
    <w:rsid w:val="20B52727"/>
    <w:rsid w:val="20F004B1"/>
    <w:rsid w:val="21472871"/>
    <w:rsid w:val="225101E3"/>
    <w:rsid w:val="22693159"/>
    <w:rsid w:val="228009FF"/>
    <w:rsid w:val="23467EBF"/>
    <w:rsid w:val="23DB0D59"/>
    <w:rsid w:val="24011190"/>
    <w:rsid w:val="248F7706"/>
    <w:rsid w:val="251A163C"/>
    <w:rsid w:val="25636A6F"/>
    <w:rsid w:val="26931C0C"/>
    <w:rsid w:val="26BC356F"/>
    <w:rsid w:val="27944BEF"/>
    <w:rsid w:val="27FA387D"/>
    <w:rsid w:val="283B351B"/>
    <w:rsid w:val="288D6614"/>
    <w:rsid w:val="289346BC"/>
    <w:rsid w:val="28EB2932"/>
    <w:rsid w:val="28FF5E4F"/>
    <w:rsid w:val="29596CCA"/>
    <w:rsid w:val="29981948"/>
    <w:rsid w:val="2A964392"/>
    <w:rsid w:val="2AD81B11"/>
    <w:rsid w:val="2BDF25D1"/>
    <w:rsid w:val="2C480DDE"/>
    <w:rsid w:val="2CD074E9"/>
    <w:rsid w:val="2CE92EBA"/>
    <w:rsid w:val="30523617"/>
    <w:rsid w:val="314B2089"/>
    <w:rsid w:val="3173190E"/>
    <w:rsid w:val="31837A8B"/>
    <w:rsid w:val="323479FE"/>
    <w:rsid w:val="326358F5"/>
    <w:rsid w:val="326D0C4D"/>
    <w:rsid w:val="32D10ED5"/>
    <w:rsid w:val="32E47A2F"/>
    <w:rsid w:val="34170E79"/>
    <w:rsid w:val="34594F64"/>
    <w:rsid w:val="34D47272"/>
    <w:rsid w:val="34F00946"/>
    <w:rsid w:val="35535968"/>
    <w:rsid w:val="35B91D2F"/>
    <w:rsid w:val="35F85C88"/>
    <w:rsid w:val="3674752A"/>
    <w:rsid w:val="37EE38BF"/>
    <w:rsid w:val="389572B3"/>
    <w:rsid w:val="38FB37E8"/>
    <w:rsid w:val="39B703CE"/>
    <w:rsid w:val="3ACB101E"/>
    <w:rsid w:val="3ACF25AF"/>
    <w:rsid w:val="3BF236B2"/>
    <w:rsid w:val="3C3C51E5"/>
    <w:rsid w:val="3CA17028"/>
    <w:rsid w:val="3CEC2367"/>
    <w:rsid w:val="3D5E05AE"/>
    <w:rsid w:val="3E991E3D"/>
    <w:rsid w:val="3EA23CF6"/>
    <w:rsid w:val="3F0326B3"/>
    <w:rsid w:val="3F2428D5"/>
    <w:rsid w:val="3FAA3AB0"/>
    <w:rsid w:val="3FFF1BCC"/>
    <w:rsid w:val="402C0CC1"/>
    <w:rsid w:val="403A24D3"/>
    <w:rsid w:val="40B87151"/>
    <w:rsid w:val="40FD524D"/>
    <w:rsid w:val="41232E41"/>
    <w:rsid w:val="417F2E14"/>
    <w:rsid w:val="418F4DB6"/>
    <w:rsid w:val="41986E28"/>
    <w:rsid w:val="42AA5678"/>
    <w:rsid w:val="42DC3C20"/>
    <w:rsid w:val="43D92DF6"/>
    <w:rsid w:val="44695B78"/>
    <w:rsid w:val="450832E5"/>
    <w:rsid w:val="45D42391"/>
    <w:rsid w:val="46715CDF"/>
    <w:rsid w:val="46C62F55"/>
    <w:rsid w:val="47084399"/>
    <w:rsid w:val="474836B6"/>
    <w:rsid w:val="475D4DCE"/>
    <w:rsid w:val="479109C3"/>
    <w:rsid w:val="482A1551"/>
    <w:rsid w:val="483A6447"/>
    <w:rsid w:val="49AD07DD"/>
    <w:rsid w:val="4A761E85"/>
    <w:rsid w:val="4BDD26DC"/>
    <w:rsid w:val="4C683A5C"/>
    <w:rsid w:val="4C762948"/>
    <w:rsid w:val="4CDD5BD5"/>
    <w:rsid w:val="4D0A6C5E"/>
    <w:rsid w:val="4DD26C86"/>
    <w:rsid w:val="4DD4481A"/>
    <w:rsid w:val="4DDA68E0"/>
    <w:rsid w:val="4E3D33D4"/>
    <w:rsid w:val="50923CDC"/>
    <w:rsid w:val="5238261D"/>
    <w:rsid w:val="538C7F26"/>
    <w:rsid w:val="542E3461"/>
    <w:rsid w:val="55222650"/>
    <w:rsid w:val="55C537BC"/>
    <w:rsid w:val="561A091D"/>
    <w:rsid w:val="56D91960"/>
    <w:rsid w:val="56DE6742"/>
    <w:rsid w:val="56EE0385"/>
    <w:rsid w:val="56EE6063"/>
    <w:rsid w:val="577F6701"/>
    <w:rsid w:val="57E63DAD"/>
    <w:rsid w:val="58441098"/>
    <w:rsid w:val="58FD13E1"/>
    <w:rsid w:val="59901067"/>
    <w:rsid w:val="5A15343D"/>
    <w:rsid w:val="5A45584D"/>
    <w:rsid w:val="5A5218D9"/>
    <w:rsid w:val="5A7A1105"/>
    <w:rsid w:val="5AA46049"/>
    <w:rsid w:val="5AA52473"/>
    <w:rsid w:val="5AB22A57"/>
    <w:rsid w:val="5AB84D76"/>
    <w:rsid w:val="5BA2330D"/>
    <w:rsid w:val="5BB644E2"/>
    <w:rsid w:val="5C161618"/>
    <w:rsid w:val="5D8E3A94"/>
    <w:rsid w:val="5EDC14A6"/>
    <w:rsid w:val="5F236A6B"/>
    <w:rsid w:val="600375CE"/>
    <w:rsid w:val="61340DD3"/>
    <w:rsid w:val="616F1565"/>
    <w:rsid w:val="61C367E0"/>
    <w:rsid w:val="62002119"/>
    <w:rsid w:val="62093CEC"/>
    <w:rsid w:val="626E5388"/>
    <w:rsid w:val="63FD7C0D"/>
    <w:rsid w:val="64064285"/>
    <w:rsid w:val="64385A9F"/>
    <w:rsid w:val="65606FE1"/>
    <w:rsid w:val="65E07C81"/>
    <w:rsid w:val="668F5558"/>
    <w:rsid w:val="66F05799"/>
    <w:rsid w:val="67F13ED3"/>
    <w:rsid w:val="682820F0"/>
    <w:rsid w:val="697C4CD8"/>
    <w:rsid w:val="69C97ADD"/>
    <w:rsid w:val="69FF541E"/>
    <w:rsid w:val="6A097639"/>
    <w:rsid w:val="6A5B5D16"/>
    <w:rsid w:val="6A7C3AD5"/>
    <w:rsid w:val="6A81216E"/>
    <w:rsid w:val="6B5E15DB"/>
    <w:rsid w:val="6C343005"/>
    <w:rsid w:val="6CA1076E"/>
    <w:rsid w:val="6D2E1458"/>
    <w:rsid w:val="6E704E86"/>
    <w:rsid w:val="6EC7781B"/>
    <w:rsid w:val="6F526FA1"/>
    <w:rsid w:val="705214E1"/>
    <w:rsid w:val="70990506"/>
    <w:rsid w:val="7113498D"/>
    <w:rsid w:val="714C37EF"/>
    <w:rsid w:val="71AD2EE2"/>
    <w:rsid w:val="723317E5"/>
    <w:rsid w:val="723750A7"/>
    <w:rsid w:val="72AE5B04"/>
    <w:rsid w:val="72BC3BE2"/>
    <w:rsid w:val="731515C6"/>
    <w:rsid w:val="73E0763D"/>
    <w:rsid w:val="75771F65"/>
    <w:rsid w:val="75F90D7D"/>
    <w:rsid w:val="7639772F"/>
    <w:rsid w:val="76C87BF7"/>
    <w:rsid w:val="77746A5D"/>
    <w:rsid w:val="777F12D8"/>
    <w:rsid w:val="778D0AB0"/>
    <w:rsid w:val="77A63393"/>
    <w:rsid w:val="7862786E"/>
    <w:rsid w:val="78A66A88"/>
    <w:rsid w:val="79012788"/>
    <w:rsid w:val="79684F99"/>
    <w:rsid w:val="797231A6"/>
    <w:rsid w:val="7A574AC2"/>
    <w:rsid w:val="7AAC3491"/>
    <w:rsid w:val="7AB67217"/>
    <w:rsid w:val="7B485AA0"/>
    <w:rsid w:val="7B8D0FC7"/>
    <w:rsid w:val="7C5A3D61"/>
    <w:rsid w:val="7CA12173"/>
    <w:rsid w:val="7CDA53D0"/>
    <w:rsid w:val="7D413935"/>
    <w:rsid w:val="7E2D324C"/>
    <w:rsid w:val="7E4663DE"/>
    <w:rsid w:val="7EFC0B65"/>
    <w:rsid w:val="7F4376B2"/>
    <w:rsid w:val="7F6C609A"/>
    <w:rsid w:val="7FD571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iPriority="99" w:name="HTML Keyboard"/>
    <w:lsdException w:qFormat="1" w:unhideWhenUsed="0" w:uiPriority="0" w:semiHidden="0" w:name="HTML Preformatted"/>
    <w:lsdException w:qFormat="1" w:uiPriority="99" w:name="HTML Sample"/>
    <w:lsdException w:qFormat="1"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spacing w:line="240" w:lineRule="atLeast"/>
      <w:jc w:val="center"/>
      <w:outlineLvl w:val="0"/>
    </w:pPr>
  </w:style>
  <w:style w:type="paragraph" w:styleId="5">
    <w:name w:val="heading 2"/>
    <w:basedOn w:val="1"/>
    <w:next w:val="6"/>
    <w:link w:val="75"/>
    <w:qFormat/>
    <w:uiPriority w:val="0"/>
    <w:pPr>
      <w:keepNext/>
      <w:keepLines/>
      <w:spacing w:before="260" w:after="260" w:line="415" w:lineRule="auto"/>
      <w:outlineLvl w:val="1"/>
    </w:pPr>
    <w:rPr>
      <w:rFonts w:ascii="Arial" w:hAnsi="Arial" w:eastAsia="黑体"/>
      <w:b/>
      <w:bCs/>
      <w:sz w:val="32"/>
      <w:szCs w:val="32"/>
    </w:rPr>
  </w:style>
  <w:style w:type="paragraph" w:styleId="7">
    <w:name w:val="heading 3"/>
    <w:basedOn w:val="1"/>
    <w:next w:val="1"/>
    <w:qFormat/>
    <w:uiPriority w:val="0"/>
    <w:pPr>
      <w:keepNext/>
      <w:keepLines/>
      <w:spacing w:before="260" w:after="260" w:line="415" w:lineRule="auto"/>
      <w:outlineLvl w:val="2"/>
    </w:pPr>
    <w:rPr>
      <w:b/>
      <w:bCs/>
      <w:sz w:val="32"/>
      <w:szCs w:val="32"/>
    </w:rPr>
  </w:style>
  <w:style w:type="paragraph" w:styleId="8">
    <w:name w:val="heading 4"/>
    <w:basedOn w:val="1"/>
    <w:next w:val="1"/>
    <w:link w:val="74"/>
    <w:qFormat/>
    <w:uiPriority w:val="0"/>
    <w:pPr>
      <w:keepNext/>
      <w:keepLines/>
      <w:spacing w:before="280" w:after="290" w:line="372" w:lineRule="auto"/>
      <w:ind w:firstLine="200" w:firstLineChars="200"/>
      <w:outlineLvl w:val="3"/>
    </w:pPr>
    <w:rPr>
      <w:rFonts w:ascii="Arial" w:hAnsi="Arial" w:eastAsia="黑体"/>
      <w:b/>
      <w:sz w:val="24"/>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9"/>
    <w:qFormat/>
    <w:uiPriority w:val="0"/>
    <w:pPr>
      <w:spacing w:after="120"/>
    </w:pPr>
  </w:style>
  <w:style w:type="paragraph" w:styleId="3">
    <w:name w:val="Body Text First Indent"/>
    <w:basedOn w:val="2"/>
    <w:qFormat/>
    <w:uiPriority w:val="0"/>
    <w:pPr>
      <w:ind w:firstLine="420" w:firstLineChars="100"/>
    </w:pPr>
  </w:style>
  <w:style w:type="paragraph" w:styleId="6">
    <w:name w:val="Normal Indent"/>
    <w:basedOn w:val="1"/>
    <w:link w:val="92"/>
    <w:qFormat/>
    <w:uiPriority w:val="0"/>
    <w:pPr>
      <w:ind w:firstLine="200" w:firstLineChars="200"/>
    </w:pPr>
  </w:style>
  <w:style w:type="paragraph" w:styleId="9">
    <w:name w:val="toc 7"/>
    <w:basedOn w:val="1"/>
    <w:next w:val="1"/>
    <w:qFormat/>
    <w:uiPriority w:val="0"/>
    <w:pPr>
      <w:ind w:left="2520" w:leftChars="1200"/>
    </w:pPr>
    <w:rPr>
      <w:rFonts w:ascii="等线" w:hAnsi="等线" w:eastAsia="等线"/>
      <w:szCs w:val="22"/>
    </w:rPr>
  </w:style>
  <w:style w:type="paragraph" w:styleId="10">
    <w:name w:val="List Number"/>
    <w:basedOn w:val="1"/>
    <w:semiHidden/>
    <w:unhideWhenUsed/>
    <w:qFormat/>
    <w:uiPriority w:val="99"/>
    <w:pPr>
      <w:numPr>
        <w:ilvl w:val="0"/>
        <w:numId w:val="1"/>
      </w:numPr>
    </w:pPr>
  </w:style>
  <w:style w:type="paragraph" w:styleId="11">
    <w:name w:val="Document Map"/>
    <w:basedOn w:val="1"/>
    <w:qFormat/>
    <w:uiPriority w:val="0"/>
    <w:pPr>
      <w:shd w:val="clear" w:color="auto" w:fill="000080"/>
    </w:pPr>
  </w:style>
  <w:style w:type="paragraph" w:styleId="12">
    <w:name w:val="annotation text"/>
    <w:basedOn w:val="1"/>
    <w:link w:val="64"/>
    <w:qFormat/>
    <w:uiPriority w:val="0"/>
    <w:pPr>
      <w:jc w:val="left"/>
    </w:pPr>
  </w:style>
  <w:style w:type="paragraph" w:styleId="13">
    <w:name w:val="Salutation"/>
    <w:basedOn w:val="1"/>
    <w:next w:val="1"/>
    <w:link w:val="69"/>
    <w:qFormat/>
    <w:uiPriority w:val="0"/>
    <w:rPr>
      <w:bCs/>
      <w:sz w:val="28"/>
      <w:szCs w:val="20"/>
    </w:rPr>
  </w:style>
  <w:style w:type="paragraph" w:styleId="14">
    <w:name w:val="Body Text Indent"/>
    <w:basedOn w:val="1"/>
    <w:link w:val="60"/>
    <w:qFormat/>
    <w:uiPriority w:val="0"/>
    <w:pPr>
      <w:ind w:firstLine="630"/>
    </w:pPr>
    <w:rPr>
      <w:sz w:val="32"/>
      <w:szCs w:val="20"/>
    </w:rPr>
  </w:style>
  <w:style w:type="paragraph" w:styleId="15">
    <w:name w:val="toc 5"/>
    <w:basedOn w:val="1"/>
    <w:next w:val="1"/>
    <w:qFormat/>
    <w:uiPriority w:val="0"/>
    <w:pPr>
      <w:ind w:left="1680" w:leftChars="800"/>
    </w:pPr>
    <w:rPr>
      <w:rFonts w:ascii="等线" w:hAnsi="等线" w:eastAsia="等线"/>
      <w:szCs w:val="22"/>
    </w:rPr>
  </w:style>
  <w:style w:type="paragraph" w:styleId="16">
    <w:name w:val="toc 3"/>
    <w:basedOn w:val="1"/>
    <w:next w:val="1"/>
    <w:qFormat/>
    <w:uiPriority w:val="0"/>
    <w:pPr>
      <w:widowControl/>
      <w:spacing w:after="100" w:line="259" w:lineRule="auto"/>
      <w:ind w:left="440"/>
      <w:jc w:val="left"/>
    </w:pPr>
    <w:rPr>
      <w:rFonts w:ascii="等线" w:hAnsi="等线" w:eastAsia="等线"/>
      <w:kern w:val="0"/>
      <w:sz w:val="22"/>
      <w:szCs w:val="22"/>
    </w:rPr>
  </w:style>
  <w:style w:type="paragraph" w:styleId="17">
    <w:name w:val="Plain Text"/>
    <w:basedOn w:val="1"/>
    <w:link w:val="101"/>
    <w:qFormat/>
    <w:uiPriority w:val="99"/>
    <w:pPr>
      <w:spacing w:beforeLines="50" w:afterLines="50" w:line="400" w:lineRule="exact"/>
    </w:pPr>
    <w:rPr>
      <w:rFonts w:ascii="宋体" w:hAnsi="Courier New"/>
      <w:kern w:val="0"/>
      <w:sz w:val="20"/>
      <w:szCs w:val="21"/>
    </w:rPr>
  </w:style>
  <w:style w:type="paragraph" w:styleId="18">
    <w:name w:val="toc 8"/>
    <w:basedOn w:val="1"/>
    <w:next w:val="1"/>
    <w:qFormat/>
    <w:uiPriority w:val="0"/>
    <w:pPr>
      <w:ind w:left="2940" w:leftChars="1400"/>
    </w:pPr>
    <w:rPr>
      <w:rFonts w:ascii="等线" w:hAnsi="等线" w:eastAsia="等线"/>
      <w:szCs w:val="22"/>
    </w:rPr>
  </w:style>
  <w:style w:type="paragraph" w:styleId="19">
    <w:name w:val="Date"/>
    <w:basedOn w:val="1"/>
    <w:next w:val="1"/>
    <w:qFormat/>
    <w:uiPriority w:val="0"/>
    <w:pPr>
      <w:ind w:left="100" w:leftChars="2500"/>
    </w:pPr>
  </w:style>
  <w:style w:type="paragraph" w:styleId="20">
    <w:name w:val="Body Text Indent 2"/>
    <w:basedOn w:val="1"/>
    <w:qFormat/>
    <w:uiPriority w:val="0"/>
    <w:pPr>
      <w:spacing w:after="120" w:line="480" w:lineRule="auto"/>
      <w:ind w:left="200" w:leftChars="200"/>
    </w:pPr>
  </w:style>
  <w:style w:type="paragraph" w:styleId="21">
    <w:name w:val="Balloon Text"/>
    <w:basedOn w:val="1"/>
    <w:link w:val="58"/>
    <w:qFormat/>
    <w:uiPriority w:val="0"/>
    <w:rPr>
      <w:sz w:val="18"/>
      <w:szCs w:val="18"/>
    </w:rPr>
  </w:style>
  <w:style w:type="paragraph" w:styleId="22">
    <w:name w:val="footer"/>
    <w:basedOn w:val="1"/>
    <w:link w:val="73"/>
    <w:qFormat/>
    <w:uiPriority w:val="0"/>
    <w:pPr>
      <w:tabs>
        <w:tab w:val="center" w:pos="4153"/>
        <w:tab w:val="right" w:pos="8306"/>
      </w:tabs>
      <w:snapToGrid w:val="0"/>
      <w:jc w:val="left"/>
    </w:pPr>
    <w:rPr>
      <w:rFonts w:eastAsia="Calibri"/>
      <w:kern w:val="0"/>
      <w:szCs w:val="20"/>
    </w:rPr>
  </w:style>
  <w:style w:type="paragraph" w:styleId="23">
    <w:name w:val="header"/>
    <w:basedOn w:val="1"/>
    <w:link w:val="61"/>
    <w:qFormat/>
    <w:uiPriority w:val="0"/>
    <w:pPr>
      <w:pBdr>
        <w:bottom w:val="single" w:color="auto" w:sz="6" w:space="1"/>
      </w:pBdr>
      <w:tabs>
        <w:tab w:val="center" w:pos="4153"/>
        <w:tab w:val="right" w:pos="8306"/>
      </w:tabs>
      <w:snapToGrid w:val="0"/>
      <w:jc w:val="center"/>
    </w:pPr>
    <w:rPr>
      <w:sz w:val="18"/>
      <w:szCs w:val="20"/>
    </w:rPr>
  </w:style>
  <w:style w:type="paragraph" w:styleId="24">
    <w:name w:val="toc 1"/>
    <w:basedOn w:val="1"/>
    <w:next w:val="1"/>
    <w:qFormat/>
    <w:uiPriority w:val="39"/>
    <w:pPr>
      <w:widowControl/>
      <w:spacing w:after="100" w:line="259" w:lineRule="auto"/>
      <w:jc w:val="left"/>
    </w:pPr>
    <w:rPr>
      <w:rFonts w:ascii="等线" w:hAnsi="等线" w:eastAsia="等线"/>
      <w:kern w:val="0"/>
      <w:sz w:val="22"/>
      <w:szCs w:val="22"/>
    </w:rPr>
  </w:style>
  <w:style w:type="paragraph" w:styleId="25">
    <w:name w:val="toc 4"/>
    <w:basedOn w:val="1"/>
    <w:next w:val="1"/>
    <w:qFormat/>
    <w:uiPriority w:val="0"/>
    <w:pPr>
      <w:ind w:left="1260" w:leftChars="600"/>
    </w:pPr>
    <w:rPr>
      <w:rFonts w:ascii="等线" w:hAnsi="等线" w:eastAsia="等线"/>
      <w:szCs w:val="22"/>
    </w:rPr>
  </w:style>
  <w:style w:type="paragraph" w:styleId="26">
    <w:name w:val="Subtitle"/>
    <w:basedOn w:val="1"/>
    <w:next w:val="1"/>
    <w:qFormat/>
    <w:uiPriority w:val="0"/>
    <w:pPr>
      <w:adjustRightInd w:val="0"/>
      <w:snapToGrid w:val="0"/>
      <w:spacing w:before="240" w:after="480"/>
      <w:jc w:val="center"/>
    </w:pPr>
    <w:rPr>
      <w:rFonts w:ascii="Arial" w:hAnsi="Arial" w:eastAsia="隶书"/>
      <w:b/>
      <w:bCs/>
      <w:kern w:val="28"/>
      <w:sz w:val="44"/>
      <w:szCs w:val="32"/>
    </w:rPr>
  </w:style>
  <w:style w:type="paragraph" w:styleId="27">
    <w:name w:val="toc 6"/>
    <w:basedOn w:val="1"/>
    <w:next w:val="1"/>
    <w:qFormat/>
    <w:uiPriority w:val="0"/>
    <w:pPr>
      <w:ind w:left="2100" w:leftChars="1000"/>
    </w:pPr>
    <w:rPr>
      <w:rFonts w:ascii="等线" w:hAnsi="等线" w:eastAsia="等线"/>
      <w:szCs w:val="22"/>
    </w:rPr>
  </w:style>
  <w:style w:type="paragraph" w:styleId="28">
    <w:name w:val="Body Text Indent 3"/>
    <w:basedOn w:val="1"/>
    <w:link w:val="72"/>
    <w:qFormat/>
    <w:uiPriority w:val="0"/>
    <w:pPr>
      <w:spacing w:after="120"/>
      <w:ind w:left="200" w:leftChars="200"/>
    </w:pPr>
    <w:rPr>
      <w:kern w:val="0"/>
      <w:sz w:val="16"/>
      <w:szCs w:val="16"/>
    </w:rPr>
  </w:style>
  <w:style w:type="paragraph" w:styleId="29">
    <w:name w:val="toc 2"/>
    <w:basedOn w:val="1"/>
    <w:next w:val="1"/>
    <w:qFormat/>
    <w:uiPriority w:val="0"/>
    <w:pPr>
      <w:widowControl/>
      <w:spacing w:after="100" w:line="259" w:lineRule="auto"/>
      <w:ind w:left="220"/>
      <w:jc w:val="left"/>
    </w:pPr>
    <w:rPr>
      <w:rFonts w:ascii="等线" w:hAnsi="等线" w:eastAsia="等线"/>
      <w:kern w:val="0"/>
      <w:sz w:val="22"/>
      <w:szCs w:val="22"/>
    </w:rPr>
  </w:style>
  <w:style w:type="paragraph" w:styleId="30">
    <w:name w:val="toc 9"/>
    <w:basedOn w:val="1"/>
    <w:next w:val="1"/>
    <w:qFormat/>
    <w:uiPriority w:val="0"/>
    <w:pPr>
      <w:ind w:left="3360" w:leftChars="1600"/>
    </w:pPr>
    <w:rPr>
      <w:rFonts w:ascii="等线" w:hAnsi="等线" w:eastAsia="等线"/>
      <w:szCs w:val="22"/>
    </w:rPr>
  </w:style>
  <w:style w:type="paragraph" w:styleId="31">
    <w:name w:val="HTML Preformatted"/>
    <w:basedOn w:val="1"/>
    <w:link w:val="7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4" w:lineRule="atLeast"/>
      <w:jc w:val="left"/>
    </w:pPr>
    <w:rPr>
      <w:rFonts w:ascii="Arial" w:hAnsi="Arial"/>
      <w:kern w:val="0"/>
      <w:sz w:val="20"/>
      <w:szCs w:val="20"/>
    </w:rPr>
  </w:style>
  <w:style w:type="paragraph" w:styleId="32">
    <w:name w:val="Normal (Web)"/>
    <w:basedOn w:val="1"/>
    <w:qFormat/>
    <w:uiPriority w:val="99"/>
    <w:pPr>
      <w:widowControl/>
      <w:spacing w:before="100" w:beforeAutospacing="1" w:after="100" w:afterAutospacing="1"/>
      <w:jc w:val="left"/>
    </w:pPr>
    <w:rPr>
      <w:rFonts w:ascii="宋体"/>
      <w:kern w:val="0"/>
      <w:sz w:val="18"/>
      <w:szCs w:val="18"/>
    </w:rPr>
  </w:style>
  <w:style w:type="paragraph" w:styleId="33">
    <w:name w:val="Title"/>
    <w:basedOn w:val="1"/>
    <w:next w:val="1"/>
    <w:link w:val="76"/>
    <w:qFormat/>
    <w:uiPriority w:val="0"/>
    <w:pPr>
      <w:spacing w:before="240" w:after="60"/>
      <w:jc w:val="center"/>
      <w:outlineLvl w:val="0"/>
    </w:pPr>
    <w:rPr>
      <w:rFonts w:ascii="等线 Light" w:hAnsi="等线 Light"/>
      <w:b/>
      <w:bCs/>
      <w:sz w:val="32"/>
      <w:szCs w:val="32"/>
    </w:rPr>
  </w:style>
  <w:style w:type="paragraph" w:styleId="34">
    <w:name w:val="annotation subject"/>
    <w:basedOn w:val="12"/>
    <w:next w:val="12"/>
    <w:link w:val="71"/>
    <w:qFormat/>
    <w:uiPriority w:val="0"/>
    <w:rPr>
      <w:b/>
      <w:bCs/>
    </w:rPr>
  </w:style>
  <w:style w:type="table" w:styleId="36">
    <w:name w:val="Table Grid"/>
    <w:basedOn w:val="3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basedOn w:val="37"/>
    <w:qFormat/>
    <w:uiPriority w:val="0"/>
    <w:rPr>
      <w:b/>
      <w:bCs/>
    </w:rPr>
  </w:style>
  <w:style w:type="character" w:styleId="39">
    <w:name w:val="page number"/>
    <w:qFormat/>
    <w:uiPriority w:val="0"/>
  </w:style>
  <w:style w:type="character" w:styleId="40">
    <w:name w:val="FollowedHyperlink"/>
    <w:basedOn w:val="37"/>
    <w:qFormat/>
    <w:uiPriority w:val="0"/>
    <w:rPr>
      <w:color w:val="800080"/>
      <w:u w:val="none"/>
    </w:rPr>
  </w:style>
  <w:style w:type="character" w:styleId="41">
    <w:name w:val="Emphasis"/>
    <w:qFormat/>
    <w:uiPriority w:val="0"/>
  </w:style>
  <w:style w:type="character" w:styleId="42">
    <w:name w:val="HTML Definition"/>
    <w:qFormat/>
    <w:uiPriority w:val="0"/>
  </w:style>
  <w:style w:type="character" w:styleId="43">
    <w:name w:val="HTML Typewriter"/>
    <w:basedOn w:val="37"/>
    <w:semiHidden/>
    <w:unhideWhenUsed/>
    <w:qFormat/>
    <w:uiPriority w:val="99"/>
    <w:rPr>
      <w:rFonts w:hint="default" w:ascii="monospace" w:hAnsi="monospace" w:eastAsia="monospace" w:cs="monospace"/>
      <w:sz w:val="20"/>
    </w:rPr>
  </w:style>
  <w:style w:type="character" w:styleId="44">
    <w:name w:val="HTML Acronym"/>
    <w:basedOn w:val="37"/>
    <w:semiHidden/>
    <w:unhideWhenUsed/>
    <w:qFormat/>
    <w:uiPriority w:val="99"/>
  </w:style>
  <w:style w:type="character" w:styleId="45">
    <w:name w:val="HTML Variable"/>
    <w:qFormat/>
    <w:uiPriority w:val="0"/>
  </w:style>
  <w:style w:type="character" w:styleId="46">
    <w:name w:val="Hyperlink"/>
    <w:basedOn w:val="37"/>
    <w:qFormat/>
    <w:uiPriority w:val="99"/>
    <w:rPr>
      <w:color w:val="0563C1"/>
      <w:u w:val="single"/>
    </w:rPr>
  </w:style>
  <w:style w:type="character" w:styleId="47">
    <w:name w:val="HTML Code"/>
    <w:basedOn w:val="37"/>
    <w:qFormat/>
    <w:uiPriority w:val="0"/>
    <w:rPr>
      <w:rFonts w:hint="default" w:ascii="monospace" w:hAnsi="monospace" w:eastAsia="monospace" w:cs="monospace"/>
      <w:sz w:val="20"/>
    </w:rPr>
  </w:style>
  <w:style w:type="character" w:styleId="48">
    <w:name w:val="annotation reference"/>
    <w:qFormat/>
    <w:uiPriority w:val="0"/>
    <w:rPr>
      <w:sz w:val="21"/>
      <w:szCs w:val="21"/>
    </w:rPr>
  </w:style>
  <w:style w:type="character" w:styleId="49">
    <w:name w:val="HTML Cite"/>
    <w:qFormat/>
    <w:uiPriority w:val="0"/>
  </w:style>
  <w:style w:type="character" w:styleId="50">
    <w:name w:val="HTML Keyboard"/>
    <w:basedOn w:val="37"/>
    <w:semiHidden/>
    <w:unhideWhenUsed/>
    <w:qFormat/>
    <w:uiPriority w:val="99"/>
    <w:rPr>
      <w:rFonts w:hint="default" w:ascii="monospace" w:hAnsi="monospace" w:eastAsia="monospace" w:cs="monospace"/>
      <w:sz w:val="20"/>
    </w:rPr>
  </w:style>
  <w:style w:type="character" w:styleId="51">
    <w:name w:val="HTML Sample"/>
    <w:basedOn w:val="37"/>
    <w:semiHidden/>
    <w:unhideWhenUsed/>
    <w:qFormat/>
    <w:uiPriority w:val="99"/>
    <w:rPr>
      <w:rFonts w:ascii="monospace" w:hAnsi="monospace" w:eastAsia="monospace" w:cs="monospace"/>
    </w:rPr>
  </w:style>
  <w:style w:type="paragraph" w:customStyle="1" w:styleId="52">
    <w:name w:val="标题 5（有编号）（绿盟科技）"/>
    <w:basedOn w:val="1"/>
    <w:next w:val="53"/>
    <w:qFormat/>
    <w:uiPriority w:val="0"/>
    <w:pPr>
      <w:keepNext/>
      <w:keepLines/>
      <w:numPr>
        <w:ilvl w:val="4"/>
        <w:numId w:val="2"/>
      </w:numPr>
      <w:tabs>
        <w:tab w:val="left" w:pos="0"/>
      </w:tabs>
      <w:spacing w:before="280" w:after="156" w:line="377" w:lineRule="auto"/>
      <w:jc w:val="left"/>
      <w:outlineLvl w:val="4"/>
    </w:pPr>
    <w:rPr>
      <w:rFonts w:ascii="Arial" w:hAnsi="Arial" w:eastAsia="黑体"/>
      <w:b/>
      <w:kern w:val="0"/>
      <w:sz w:val="24"/>
      <w:szCs w:val="28"/>
    </w:rPr>
  </w:style>
  <w:style w:type="paragraph" w:customStyle="1" w:styleId="53">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54">
    <w:name w:val="正文1"/>
    <w:next w:val="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55">
    <w:name w:val="访问过的超链接1"/>
    <w:qFormat/>
    <w:uiPriority w:val="0"/>
    <w:rPr>
      <w:color w:val="333333"/>
      <w:u w:val="none"/>
    </w:rPr>
  </w:style>
  <w:style w:type="character" w:customStyle="1" w:styleId="56">
    <w:name w:val="HTML 预设格式 字符1"/>
    <w:qFormat/>
    <w:uiPriority w:val="0"/>
    <w:rPr>
      <w:rFonts w:ascii="Courier New" w:hAnsi="Courier New" w:cs="Courier New"/>
      <w:kern w:val="2"/>
    </w:rPr>
  </w:style>
  <w:style w:type="character" w:customStyle="1" w:styleId="57">
    <w:name w:val="font31"/>
    <w:qFormat/>
    <w:uiPriority w:val="0"/>
    <w:rPr>
      <w:rFonts w:hint="eastAsia" w:ascii="宋体" w:hAnsi="宋体" w:eastAsia="宋体" w:cs="宋体"/>
      <w:color w:val="000000"/>
      <w:sz w:val="21"/>
      <w:szCs w:val="21"/>
      <w:u w:val="none"/>
    </w:rPr>
  </w:style>
  <w:style w:type="character" w:customStyle="1" w:styleId="58">
    <w:name w:val="批注框文本 Char"/>
    <w:link w:val="21"/>
    <w:qFormat/>
    <w:uiPriority w:val="0"/>
    <w:rPr>
      <w:kern w:val="2"/>
      <w:sz w:val="18"/>
      <w:szCs w:val="18"/>
    </w:rPr>
  </w:style>
  <w:style w:type="character" w:customStyle="1" w:styleId="59">
    <w:name w:val="正文文本 Char1"/>
    <w:link w:val="2"/>
    <w:qFormat/>
    <w:uiPriority w:val="0"/>
    <w:rPr>
      <w:kern w:val="2"/>
      <w:sz w:val="21"/>
      <w:szCs w:val="24"/>
    </w:rPr>
  </w:style>
  <w:style w:type="character" w:customStyle="1" w:styleId="60">
    <w:name w:val="正文文本缩进 Char"/>
    <w:link w:val="14"/>
    <w:qFormat/>
    <w:uiPriority w:val="0"/>
    <w:rPr>
      <w:kern w:val="2"/>
      <w:sz w:val="32"/>
    </w:rPr>
  </w:style>
  <w:style w:type="character" w:customStyle="1" w:styleId="61">
    <w:name w:val="页眉 Char"/>
    <w:link w:val="23"/>
    <w:qFormat/>
    <w:uiPriority w:val="0"/>
    <w:rPr>
      <w:kern w:val="2"/>
      <w:sz w:val="18"/>
    </w:rPr>
  </w:style>
  <w:style w:type="character" w:customStyle="1" w:styleId="62">
    <w:name w:val="正文文本 Char"/>
    <w:qFormat/>
    <w:uiPriority w:val="0"/>
    <w:rPr>
      <w:kern w:val="2"/>
      <w:sz w:val="21"/>
      <w:szCs w:val="24"/>
    </w:rPr>
  </w:style>
  <w:style w:type="character" w:customStyle="1" w:styleId="63">
    <w:name w:val="font111"/>
    <w:qFormat/>
    <w:uiPriority w:val="0"/>
    <w:rPr>
      <w:rFonts w:hint="default" w:ascii="Eʩ" w:hAnsi="Eʩ" w:eastAsia="Eʩ" w:cs="Eʩ"/>
      <w:color w:val="000000"/>
      <w:sz w:val="21"/>
      <w:szCs w:val="21"/>
      <w:u w:val="single"/>
    </w:rPr>
  </w:style>
  <w:style w:type="character" w:customStyle="1" w:styleId="64">
    <w:name w:val="批注文字 Char"/>
    <w:link w:val="12"/>
    <w:qFormat/>
    <w:uiPriority w:val="99"/>
    <w:rPr>
      <w:kern w:val="2"/>
      <w:sz w:val="21"/>
      <w:szCs w:val="24"/>
    </w:rPr>
  </w:style>
  <w:style w:type="character" w:customStyle="1" w:styleId="65">
    <w:name w:val="无间隔 Char"/>
    <w:link w:val="66"/>
    <w:qFormat/>
    <w:uiPriority w:val="1"/>
    <w:rPr>
      <w:rFonts w:ascii="等线" w:hAnsi="等线" w:eastAsia="等线"/>
      <w:sz w:val="22"/>
      <w:szCs w:val="22"/>
      <w:lang w:val="en-US" w:eastAsia="zh-CN" w:bidi="ar-SA"/>
    </w:rPr>
  </w:style>
  <w:style w:type="paragraph" w:styleId="66">
    <w:name w:val="No Spacing"/>
    <w:link w:val="65"/>
    <w:qFormat/>
    <w:uiPriority w:val="1"/>
    <w:rPr>
      <w:rFonts w:ascii="等线" w:hAnsi="等线" w:eastAsia="等线" w:cs="Times New Roman"/>
      <w:sz w:val="22"/>
      <w:szCs w:val="22"/>
      <w:lang w:val="en-US" w:eastAsia="zh-CN" w:bidi="ar-SA"/>
    </w:rPr>
  </w:style>
  <w:style w:type="character" w:customStyle="1" w:styleId="67">
    <w:name w:val="label"/>
    <w:qFormat/>
    <w:uiPriority w:val="0"/>
    <w:rPr>
      <w:color w:val="555555"/>
    </w:rPr>
  </w:style>
  <w:style w:type="character" w:customStyle="1" w:styleId="68">
    <w:name w:val="（符号）邀请函中一、"/>
    <w:qFormat/>
    <w:uiPriority w:val="0"/>
    <w:rPr>
      <w:rFonts w:ascii="黑体" w:eastAsia="黑体"/>
      <w:b/>
      <w:bCs/>
      <w:sz w:val="24"/>
    </w:rPr>
  </w:style>
  <w:style w:type="character" w:customStyle="1" w:styleId="69">
    <w:name w:val="称呼 Char"/>
    <w:link w:val="13"/>
    <w:qFormat/>
    <w:uiPriority w:val="0"/>
    <w:rPr>
      <w:bCs/>
      <w:kern w:val="2"/>
      <w:sz w:val="28"/>
    </w:rPr>
  </w:style>
  <w:style w:type="character" w:customStyle="1" w:styleId="70">
    <w:name w:val="未处理的提及"/>
    <w:qFormat/>
    <w:uiPriority w:val="0"/>
    <w:rPr>
      <w:color w:val="808080"/>
      <w:shd w:val="clear" w:color="auto" w:fill="E6E6E6"/>
    </w:rPr>
  </w:style>
  <w:style w:type="character" w:customStyle="1" w:styleId="71">
    <w:name w:val="批注主题 Char"/>
    <w:link w:val="34"/>
    <w:qFormat/>
    <w:uiPriority w:val="0"/>
    <w:rPr>
      <w:b/>
      <w:bCs/>
      <w:kern w:val="2"/>
      <w:sz w:val="21"/>
      <w:szCs w:val="24"/>
    </w:rPr>
  </w:style>
  <w:style w:type="character" w:customStyle="1" w:styleId="72">
    <w:name w:val="正文文本缩进 3 Char"/>
    <w:link w:val="28"/>
    <w:qFormat/>
    <w:uiPriority w:val="0"/>
    <w:rPr>
      <w:sz w:val="16"/>
      <w:szCs w:val="16"/>
    </w:rPr>
  </w:style>
  <w:style w:type="character" w:customStyle="1" w:styleId="73">
    <w:name w:val="页脚 Char"/>
    <w:link w:val="22"/>
    <w:qFormat/>
    <w:uiPriority w:val="0"/>
    <w:rPr>
      <w:rFonts w:eastAsia="Calibri"/>
      <w:sz w:val="21"/>
    </w:rPr>
  </w:style>
  <w:style w:type="character" w:customStyle="1" w:styleId="74">
    <w:name w:val="标题 4 Char"/>
    <w:link w:val="8"/>
    <w:qFormat/>
    <w:uiPriority w:val="0"/>
    <w:rPr>
      <w:rFonts w:ascii="Arial" w:hAnsi="Arial" w:eastAsia="黑体"/>
      <w:b/>
      <w:kern w:val="2"/>
      <w:sz w:val="24"/>
      <w:szCs w:val="24"/>
    </w:rPr>
  </w:style>
  <w:style w:type="character" w:customStyle="1" w:styleId="75">
    <w:name w:val="标题 2 Char"/>
    <w:link w:val="5"/>
    <w:qFormat/>
    <w:uiPriority w:val="0"/>
    <w:rPr>
      <w:rFonts w:ascii="Arial" w:hAnsi="Arial" w:eastAsia="黑体"/>
      <w:b/>
      <w:bCs/>
      <w:kern w:val="2"/>
      <w:sz w:val="32"/>
      <w:szCs w:val="32"/>
    </w:rPr>
  </w:style>
  <w:style w:type="character" w:customStyle="1" w:styleId="76">
    <w:name w:val="标题 Char"/>
    <w:link w:val="33"/>
    <w:qFormat/>
    <w:uiPriority w:val="0"/>
    <w:rPr>
      <w:rFonts w:ascii="等线 Light" w:hAnsi="等线 Light" w:cs="Times New Roman"/>
      <w:b/>
      <w:bCs/>
      <w:kern w:val="2"/>
      <w:sz w:val="32"/>
      <w:szCs w:val="32"/>
    </w:rPr>
  </w:style>
  <w:style w:type="character" w:customStyle="1" w:styleId="77">
    <w:name w:val="HTML 预设格式 Char"/>
    <w:link w:val="31"/>
    <w:qFormat/>
    <w:uiPriority w:val="0"/>
    <w:rPr>
      <w:rFonts w:ascii="Arial" w:hAnsi="Arial"/>
    </w:rPr>
  </w:style>
  <w:style w:type="character" w:customStyle="1" w:styleId="78">
    <w:name w:val="modifier"/>
    <w:qFormat/>
    <w:uiPriority w:val="0"/>
    <w:rPr>
      <w:color w:val="FF0000"/>
    </w:rPr>
  </w:style>
  <w:style w:type="paragraph" w:customStyle="1" w:styleId="79">
    <w:name w:val="Table Paragraph"/>
    <w:basedOn w:val="1"/>
    <w:qFormat/>
    <w:uiPriority w:val="0"/>
    <w:pPr>
      <w:jc w:val="left"/>
    </w:pPr>
    <w:rPr>
      <w:rFonts w:ascii="Calibri" w:hAnsi="Calibri"/>
      <w:kern w:val="0"/>
      <w:sz w:val="22"/>
      <w:szCs w:val="22"/>
      <w:lang w:eastAsia="en-US"/>
    </w:rPr>
  </w:style>
  <w:style w:type="paragraph" w:customStyle="1" w:styleId="80">
    <w:name w:val="（符号）三标题1.1"/>
    <w:basedOn w:val="1"/>
    <w:qFormat/>
    <w:uiPriority w:val="0"/>
    <w:pPr>
      <w:numPr>
        <w:ilvl w:val="1"/>
        <w:numId w:val="3"/>
      </w:numPr>
      <w:spacing w:line="500" w:lineRule="exact"/>
    </w:pPr>
    <w:rPr>
      <w:rFonts w:ascii="宋体" w:hAnsi="宋体"/>
      <w:sz w:val="24"/>
    </w:rPr>
  </w:style>
  <w:style w:type="paragraph" w:customStyle="1" w:styleId="81">
    <w:name w:val="样式 首行缩进:  2 字符"/>
    <w:basedOn w:val="1"/>
    <w:qFormat/>
    <w:uiPriority w:val="0"/>
    <w:pPr>
      <w:spacing w:line="400" w:lineRule="exact"/>
      <w:ind w:firstLine="200" w:firstLineChars="200"/>
    </w:pPr>
    <w:rPr>
      <w:rFonts w:cs="宋体"/>
      <w:sz w:val="24"/>
    </w:rPr>
  </w:style>
  <w:style w:type="paragraph" w:customStyle="1" w:styleId="8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83">
    <w:name w:val="Char Char Char Char Char Char Char Char Char Char Char Char Char Char1 Char Char Char Char"/>
    <w:basedOn w:val="1"/>
    <w:qFormat/>
    <w:uiPriority w:val="0"/>
    <w:rPr>
      <w:szCs w:val="21"/>
    </w:rPr>
  </w:style>
  <w:style w:type="paragraph" w:styleId="84">
    <w:name w:val="List Paragraph"/>
    <w:basedOn w:val="1"/>
    <w:qFormat/>
    <w:uiPriority w:val="0"/>
    <w:pPr>
      <w:ind w:firstLine="420" w:firstLineChars="200"/>
    </w:pPr>
  </w:style>
  <w:style w:type="paragraph" w:customStyle="1" w:styleId="85">
    <w:name w:val="表格"/>
    <w:basedOn w:val="1"/>
    <w:qFormat/>
    <w:uiPriority w:val="0"/>
    <w:pPr>
      <w:spacing w:line="400" w:lineRule="exact"/>
    </w:pPr>
    <w:rPr>
      <w:sz w:val="24"/>
    </w:rPr>
  </w:style>
  <w:style w:type="paragraph" w:customStyle="1" w:styleId="86">
    <w:name w:val="GW-正文"/>
    <w:basedOn w:val="1"/>
    <w:qFormat/>
    <w:uiPriority w:val="0"/>
    <w:pPr>
      <w:spacing w:line="360" w:lineRule="auto"/>
      <w:ind w:firstLine="200" w:firstLineChars="200"/>
    </w:pPr>
    <w:rPr>
      <w:rFonts w:eastAsia="仿宋_GB2312"/>
      <w:sz w:val="24"/>
    </w:rPr>
  </w:style>
  <w:style w:type="paragraph" w:customStyle="1" w:styleId="87">
    <w:name w:val="正文首行缩进两字符"/>
    <w:basedOn w:val="1"/>
    <w:qFormat/>
    <w:uiPriority w:val="0"/>
    <w:pPr>
      <w:spacing w:line="360" w:lineRule="auto"/>
      <w:ind w:firstLine="200" w:firstLineChars="200"/>
    </w:pPr>
  </w:style>
  <w:style w:type="paragraph" w:customStyle="1" w:styleId="88">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89">
    <w:name w:val="_Style 10"/>
    <w:basedOn w:val="11"/>
    <w:qFormat/>
    <w:uiPriority w:val="0"/>
    <w:pPr>
      <w:adjustRightInd w:val="0"/>
      <w:snapToGrid w:val="0"/>
      <w:spacing w:line="360" w:lineRule="auto"/>
    </w:pPr>
    <w:rPr>
      <w:rFonts w:ascii="仿宋_GB2312" w:eastAsia="仿宋_GB2312"/>
      <w:sz w:val="24"/>
    </w:rPr>
  </w:style>
  <w:style w:type="paragraph" w:customStyle="1" w:styleId="90">
    <w:name w:val="TOC 标题1"/>
    <w:basedOn w:val="4"/>
    <w:next w:val="1"/>
    <w:qFormat/>
    <w:uiPriority w:val="0"/>
    <w:pPr>
      <w:widowControl/>
      <w:spacing w:before="240" w:line="259" w:lineRule="auto"/>
      <w:jc w:val="left"/>
      <w:outlineLvl w:val="9"/>
    </w:pPr>
    <w:rPr>
      <w:rFonts w:ascii="等线 Light" w:hAnsi="等线 Light" w:eastAsia="等线 Light"/>
      <w:b/>
      <w:color w:val="2F5496"/>
      <w:kern w:val="0"/>
    </w:rPr>
  </w:style>
  <w:style w:type="table" w:customStyle="1" w:styleId="91">
    <w:name w:val="网格型1"/>
    <w:basedOn w:val="35"/>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2">
    <w:name w:val="正文缩进 Char"/>
    <w:link w:val="6"/>
    <w:qFormat/>
    <w:uiPriority w:val="0"/>
    <w:rPr>
      <w:kern w:val="2"/>
      <w:sz w:val="21"/>
      <w:szCs w:val="24"/>
    </w:rPr>
  </w:style>
  <w:style w:type="paragraph" w:styleId="93">
    <w:name w:val="Quote"/>
    <w:basedOn w:val="1"/>
    <w:next w:val="1"/>
    <w:qFormat/>
    <w:uiPriority w:val="0"/>
    <w:rPr>
      <w:rFonts w:ascii="Calibri" w:hAnsi="Calibri"/>
      <w:i/>
      <w:iCs/>
      <w:color w:val="000000"/>
    </w:rPr>
  </w:style>
  <w:style w:type="paragraph" w:customStyle="1" w:styleId="94">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95">
    <w:name w:val="hover"/>
    <w:basedOn w:val="37"/>
    <w:qFormat/>
    <w:uiPriority w:val="0"/>
    <w:rPr>
      <w:color w:val="2590EB"/>
    </w:rPr>
  </w:style>
  <w:style w:type="character" w:customStyle="1" w:styleId="96">
    <w:name w:val="hover1"/>
    <w:basedOn w:val="37"/>
    <w:qFormat/>
    <w:uiPriority w:val="0"/>
    <w:rPr>
      <w:color w:val="2590EB"/>
    </w:rPr>
  </w:style>
  <w:style w:type="character" w:customStyle="1" w:styleId="97">
    <w:name w:val="hover2"/>
    <w:basedOn w:val="37"/>
    <w:qFormat/>
    <w:uiPriority w:val="0"/>
  </w:style>
  <w:style w:type="character" w:customStyle="1" w:styleId="98">
    <w:name w:val="mini-outputtext1"/>
    <w:basedOn w:val="37"/>
    <w:qFormat/>
    <w:uiPriority w:val="0"/>
  </w:style>
  <w:style w:type="character" w:customStyle="1" w:styleId="99">
    <w:name w:val="hover3"/>
    <w:basedOn w:val="37"/>
    <w:qFormat/>
    <w:uiPriority w:val="0"/>
  </w:style>
  <w:style w:type="paragraph" w:customStyle="1" w:styleId="100">
    <w:name w:val="WPSOffice手动目录 1"/>
    <w:qFormat/>
    <w:uiPriority w:val="0"/>
    <w:rPr>
      <w:rFonts w:ascii="Times New Roman" w:hAnsi="Times New Roman" w:eastAsia="宋体" w:cs="Times New Roman"/>
      <w:lang w:val="en-US" w:eastAsia="zh-CN" w:bidi="ar-SA"/>
    </w:rPr>
  </w:style>
  <w:style w:type="character" w:customStyle="1" w:styleId="101">
    <w:name w:val="纯文本 Char"/>
    <w:basedOn w:val="37"/>
    <w:link w:val="17"/>
    <w:qFormat/>
    <w:uiPriority w:val="99"/>
    <w:rPr>
      <w:rFonts w:ascii="宋体" w:hAnsi="Courier New"/>
      <w:szCs w:val="21"/>
    </w:rPr>
  </w:style>
  <w:style w:type="character" w:customStyle="1" w:styleId="102">
    <w:name w:val="img"/>
    <w:basedOn w:val="37"/>
    <w:qFormat/>
    <w:uiPriority w:val="0"/>
  </w:style>
  <w:style w:type="character" w:customStyle="1" w:styleId="103">
    <w:name w:val="img1"/>
    <w:basedOn w:val="37"/>
    <w:qFormat/>
    <w:uiPriority w:val="0"/>
  </w:style>
  <w:style w:type="character" w:customStyle="1" w:styleId="104">
    <w:name w:val="NormalCharacter"/>
    <w:qFormat/>
    <w:uiPriority w:val="0"/>
    <w:rPr>
      <w:kern w:val="2"/>
      <w:sz w:val="21"/>
      <w:szCs w:val="22"/>
      <w:lang w:val="en-US" w:eastAsia="zh-CN" w:bidi="ar-SA"/>
    </w:rPr>
  </w:style>
  <w:style w:type="paragraph" w:customStyle="1" w:styleId="105">
    <w:name w:val="BodyText"/>
    <w:basedOn w:val="1"/>
    <w:next w:val="1"/>
    <w:qFormat/>
    <w:uiPriority w:val="0"/>
    <w:pPr>
      <w:widowControl/>
      <w:spacing w:after="120" w:line="259" w:lineRule="auto"/>
      <w:textAlignment w:val="baseline"/>
    </w:pPr>
    <w:rPr>
      <w:rFonts w:ascii="Calibri" w:hAnsi="Calibri"/>
    </w:rPr>
  </w:style>
  <w:style w:type="paragraph" w:customStyle="1" w:styleId="106">
    <w:name w:val="NormalIndent"/>
    <w:basedOn w:val="1"/>
    <w:qFormat/>
    <w:uiPriority w:val="0"/>
    <w:pPr>
      <w:widowControl/>
      <w:spacing w:after="160" w:line="259" w:lineRule="auto"/>
      <w:ind w:firstLine="200" w:firstLineChars="200"/>
      <w:textAlignment w:val="baseline"/>
    </w:pPr>
    <w:rPr>
      <w:rFonts w:ascii="Calibri" w:hAnsi="Calibri"/>
    </w:rPr>
  </w:style>
  <w:style w:type="paragraph" w:customStyle="1" w:styleId="107">
    <w:name w:val="AnnotationText"/>
    <w:basedOn w:val="1"/>
    <w:qFormat/>
    <w:uiPriority w:val="0"/>
    <w:pPr>
      <w:widowControl/>
      <w:spacing w:after="160" w:line="259" w:lineRule="auto"/>
      <w:jc w:val="left"/>
      <w:textAlignment w:val="baseline"/>
    </w:pPr>
    <w:rPr>
      <w:rFonts w:ascii="Calibri" w:hAnsi="Calibri"/>
    </w:rPr>
  </w:style>
  <w:style w:type="paragraph" w:customStyle="1" w:styleId="108">
    <w:name w:val="UserStyle_5"/>
    <w:basedOn w:val="1"/>
    <w:qFormat/>
    <w:uiPriority w:val="0"/>
    <w:pPr>
      <w:widowControl/>
      <w:spacing w:after="160" w:line="400" w:lineRule="exact"/>
      <w:ind w:firstLine="200" w:firstLineChars="200"/>
      <w:textAlignment w:val="baseline"/>
    </w:pPr>
    <w:rPr>
      <w:rFonts w:ascii="Calibri" w:hAnsi="Calibri"/>
      <w:sz w:val="24"/>
    </w:rPr>
  </w:style>
  <w:style w:type="character" w:customStyle="1" w:styleId="109">
    <w:name w:val="UserStyle_23"/>
    <w:qFormat/>
    <w:uiPriority w:val="0"/>
  </w:style>
  <w:style w:type="paragraph" w:customStyle="1" w:styleId="110">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8.png"/><Relationship Id="rId21" Type="http://schemas.openxmlformats.org/officeDocument/2006/relationships/image" Target="media/image7.png"/><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jpeg"/><Relationship Id="rId15" Type="http://schemas.openxmlformats.org/officeDocument/2006/relationships/image" Target="media/image1.emf"/><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6277A6-9B84-4355-B794-E6187485CF9D}">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137</Pages>
  <Words>76794</Words>
  <Characters>83903</Characters>
  <Lines>655</Lines>
  <Paragraphs>184</Paragraphs>
  <TotalTime>1</TotalTime>
  <ScaleCrop>false</ScaleCrop>
  <LinksUpToDate>false</LinksUpToDate>
  <CharactersWithSpaces>86768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2021-09-07T10:01:00Z</dcterms:created>
  <dc:creator>雨林木风</dc:creator>
  <cp:lastModifiedBy>4Sail</cp:lastModifiedBy>
  <cp:lastPrinted>2019-03-29T04:43:00Z</cp:lastPrinted>
  <dcterms:modified xsi:type="dcterms:W3CDTF">2021-12-23T02:09:11Z</dcterms:modified>
  <dc:title>招标编号：xx政采招[xxxx] xx号</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EAB92BADDAA14FFA9DA7EF42A32B2A96</vt:lpwstr>
  </property>
</Properties>
</file>