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采购编号：510105202200008</w:t>
      </w:r>
    </w:p>
    <w:p>
      <w:pPr>
        <w:spacing w:line="360" w:lineRule="auto"/>
        <w:jc w:val="center"/>
        <w:rPr>
          <w:rFonts w:hint="eastAsia" w:ascii="宋体" w:hAnsi="宋体" w:eastAsia="宋体" w:cs="宋体"/>
          <w:b w:val="0"/>
          <w:i w:val="0"/>
          <w:caps w:val="0"/>
          <w:color w:val="000000" w:themeColor="text1"/>
          <w:spacing w:val="-2"/>
          <w:w w:val="100"/>
          <w:sz w:val="44"/>
          <w:szCs w:val="44"/>
          <w:highlight w:val="none"/>
          <w:lang w:eastAsia="zh-CN"/>
          <w14:textOutline w14:w="5791"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b w:val="0"/>
          <w:i w:val="0"/>
          <w:caps w:val="0"/>
          <w:color w:val="000000" w:themeColor="text1"/>
          <w:spacing w:val="-2"/>
          <w:w w:val="100"/>
          <w:sz w:val="44"/>
          <w:szCs w:val="44"/>
          <w:highlight w:val="none"/>
          <w:lang w:eastAsia="zh-CN"/>
          <w14:textOutline w14:w="5791" w14:cap="sq" w14:cmpd="sng" w14:algn="ctr">
            <w14:solidFill>
              <w14:srgbClr w14:val="000000"/>
            </w14:solidFill>
            <w14:prstDash w14:val="solid"/>
            <w14:bevel/>
          </w14:textOutline>
          <w14:textFill>
            <w14:solidFill>
              <w14:schemeClr w14:val="tx1"/>
            </w14:solidFill>
          </w14:textFill>
        </w:rPr>
        <w:t>成都市青羊生态环境局</w:t>
      </w:r>
    </w:p>
    <w:p>
      <w:pPr>
        <w:spacing w:line="360" w:lineRule="auto"/>
        <w:jc w:val="center"/>
        <w:rPr>
          <w:rFonts w:hint="eastAsia" w:ascii="宋体" w:hAnsi="宋体" w:eastAsia="宋体" w:cs="宋体"/>
          <w:b w:val="0"/>
          <w:i w:val="0"/>
          <w:caps w:val="0"/>
          <w:color w:val="000000" w:themeColor="text1"/>
          <w:spacing w:val="-2"/>
          <w:w w:val="100"/>
          <w:sz w:val="44"/>
          <w:szCs w:val="44"/>
          <w:highlight w:val="none"/>
          <w:lang w:eastAsia="zh-CN"/>
          <w14:textOutline w14:w="5791"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b w:val="0"/>
          <w:i w:val="0"/>
          <w:caps w:val="0"/>
          <w:color w:val="000000" w:themeColor="text1"/>
          <w:spacing w:val="-2"/>
          <w:w w:val="100"/>
          <w:sz w:val="44"/>
          <w:szCs w:val="44"/>
          <w:highlight w:val="none"/>
          <w:lang w:eastAsia="zh-CN"/>
          <w14:textOutline w14:w="5791" w14:cap="sq" w14:cmpd="sng" w14:algn="ctr">
            <w14:solidFill>
              <w14:srgbClr w14:val="000000"/>
            </w14:solidFill>
            <w14:prstDash w14:val="solid"/>
            <w14:bevel/>
          </w14:textOutline>
          <w14:textFill>
            <w14:solidFill>
              <w14:schemeClr w14:val="tx1"/>
            </w14:solidFill>
          </w14:textFill>
        </w:rPr>
        <w:t>青羊区第二批重点区域餐饮企业安装油烟</w:t>
      </w:r>
    </w:p>
    <w:p>
      <w:pPr>
        <w:spacing w:line="360" w:lineRule="auto"/>
        <w:jc w:val="center"/>
        <w:rPr>
          <w:rFonts w:hint="eastAsia" w:ascii="宋体" w:hAnsi="宋体" w:eastAsia="宋体" w:cs="宋体"/>
          <w:b w:val="0"/>
          <w:i w:val="0"/>
          <w:caps w:val="0"/>
          <w:color w:val="000000" w:themeColor="text1"/>
          <w:spacing w:val="-2"/>
          <w:w w:val="100"/>
          <w:sz w:val="44"/>
          <w:szCs w:val="44"/>
          <w:highlight w:val="none"/>
          <w14:textOutline w14:w="5791" w14:cap="sq" w14:cmpd="sng" w14:algn="ctr">
            <w14:solidFill>
              <w14:srgbClr w14:val="000000"/>
            </w14:solidFill>
            <w14:prstDash w14:val="solid"/>
            <w14:bevel/>
          </w14:textOutline>
          <w14:textFill>
            <w14:solidFill>
              <w14:schemeClr w14:val="tx1"/>
            </w14:solidFill>
          </w14:textFill>
        </w:rPr>
      </w:pPr>
      <w:r>
        <w:rPr>
          <w:rFonts w:hint="eastAsia" w:ascii="宋体" w:hAnsi="宋体" w:eastAsia="宋体" w:cs="宋体"/>
          <w:b w:val="0"/>
          <w:i w:val="0"/>
          <w:caps w:val="0"/>
          <w:color w:val="000000" w:themeColor="text1"/>
          <w:spacing w:val="-2"/>
          <w:w w:val="100"/>
          <w:sz w:val="44"/>
          <w:szCs w:val="44"/>
          <w:highlight w:val="none"/>
          <w:lang w:eastAsia="zh-CN"/>
          <w14:textOutline w14:w="5791" w14:cap="sq" w14:cmpd="sng" w14:algn="ctr">
            <w14:solidFill>
              <w14:srgbClr w14:val="000000"/>
            </w14:solidFill>
            <w14:prstDash w14:val="solid"/>
            <w14:bevel/>
          </w14:textOutline>
          <w14:textFill>
            <w14:solidFill>
              <w14:schemeClr w14:val="tx1"/>
            </w14:solidFill>
          </w14:textFill>
        </w:rPr>
        <w:t>在线监测设备项目</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竞</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争</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性</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磋</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商</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文</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件</w:t>
      </w:r>
    </w:p>
    <w:p>
      <w:pPr>
        <w:pStyle w:val="2"/>
        <w:rPr>
          <w:rFonts w:hint="eastAsia"/>
          <w:color w:val="000000" w:themeColor="text1"/>
          <w:highlight w:val="none"/>
          <w14:textFill>
            <w14:solidFill>
              <w14:schemeClr w14:val="tx1"/>
            </w14:solidFill>
          </w14:textFill>
        </w:rPr>
      </w:pPr>
    </w:p>
    <w:tbl>
      <w:tblPr>
        <w:tblStyle w:val="32"/>
        <w:tblW w:w="7450" w:type="dxa"/>
        <w:jc w:val="center"/>
        <w:tblLayout w:type="fixed"/>
        <w:tblCellMar>
          <w:top w:w="0" w:type="dxa"/>
          <w:left w:w="108" w:type="dxa"/>
          <w:bottom w:w="0" w:type="dxa"/>
          <w:right w:w="108" w:type="dxa"/>
        </w:tblCellMar>
      </w:tblPr>
      <w:tblGrid>
        <w:gridCol w:w="5710"/>
        <w:gridCol w:w="1740"/>
      </w:tblGrid>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成都市青羊生态环境局</w:t>
            </w:r>
          </w:p>
        </w:tc>
        <w:tc>
          <w:tcPr>
            <w:tcW w:w="1740" w:type="dxa"/>
            <w:vMerge w:val="restart"/>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共同编制</w:t>
            </w:r>
          </w:p>
        </w:tc>
      </w:tr>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四川协友招标代理有限公司</w:t>
            </w:r>
          </w:p>
        </w:tc>
        <w:tc>
          <w:tcPr>
            <w:tcW w:w="1740" w:type="dxa"/>
            <w:vMerge w:val="continue"/>
            <w:vAlign w:val="center"/>
          </w:tcPr>
          <w:p>
            <w:pPr>
              <w:widowControl/>
              <w:jc w:val="left"/>
              <w:rPr>
                <w:rFonts w:hint="eastAsia" w:ascii="宋体" w:hAnsi="宋体" w:eastAsia="宋体" w:cs="宋体"/>
                <w:b/>
                <w:color w:val="000000" w:themeColor="text1"/>
                <w:sz w:val="30"/>
                <w:szCs w:val="30"/>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shd w:val="clear" w:color="auto" w:fill="auto"/>
          <w:lang w:val="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二〇二二年二月</w:t>
      </w:r>
    </w:p>
    <w:p>
      <w:pPr>
        <w:widowControl/>
        <w:jc w:val="left"/>
        <w:rPr>
          <w:rFonts w:hint="eastAsia" w:ascii="宋体" w:hAnsi="宋体" w:eastAsia="宋体" w:cs="宋体"/>
          <w:b/>
          <w:color w:val="000000" w:themeColor="text1"/>
          <w:sz w:val="36"/>
          <w:szCs w:val="32"/>
          <w:highlight w:val="none"/>
          <w14:textFill>
            <w14:solidFill>
              <w14:schemeClr w14:val="tx1"/>
            </w14:solidFill>
          </w14:textFill>
        </w:rPr>
      </w:pPr>
      <w:r>
        <w:rPr>
          <w:rFonts w:hint="eastAsia" w:ascii="宋体" w:hAnsi="宋体" w:eastAsia="宋体" w:cs="宋体"/>
          <w:bCs/>
          <w:color w:val="000000" w:themeColor="text1"/>
          <w:sz w:val="36"/>
          <w:highlight w:val="none"/>
          <w14:textFill>
            <w14:solidFill>
              <w14:schemeClr w14:val="tx1"/>
            </w14:solidFill>
          </w14:textFill>
        </w:rPr>
        <w:br w:type="page"/>
      </w:r>
    </w:p>
    <w:p>
      <w:pPr>
        <w:pStyle w:val="4"/>
        <w:keepNext w:val="0"/>
        <w:keepLines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sz w:val="36"/>
          <w:highlight w:val="none"/>
          <w14:textFill>
            <w14:solidFill>
              <w14:schemeClr w14:val="tx1"/>
            </w14:solidFill>
          </w14:textFill>
        </w:rPr>
        <w:t>目    录</w:t>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\h \z \t "标题,1"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_Toc26156 </w:instrText>
      </w:r>
      <w:r>
        <w:rPr>
          <w:rFonts w:hint="eastAsia" w:ascii="宋体" w:hAnsi="宋体" w:eastAsia="宋体" w:cs="宋体"/>
          <w:highlight w:val="none"/>
        </w:rPr>
        <w:fldChar w:fldCharType="separate"/>
      </w:r>
      <w:r>
        <w:rPr>
          <w:rFonts w:hint="eastAsia" w:ascii="宋体" w:hAnsi="宋体" w:eastAsia="宋体" w:cs="宋体"/>
          <w:highlight w:val="none"/>
        </w:rPr>
        <w:t>第一章  磋商邀请</w:t>
      </w:r>
      <w:r>
        <w:tab/>
      </w:r>
      <w:r>
        <w:fldChar w:fldCharType="begin"/>
      </w:r>
      <w:r>
        <w:instrText xml:space="preserve"> PAGEREF _Toc26156 \h </w:instrText>
      </w:r>
      <w:r>
        <w:fldChar w:fldCharType="separate"/>
      </w:r>
      <w:r>
        <w:t>3</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_Toc609 </w:instrText>
      </w:r>
      <w:r>
        <w:rPr>
          <w:rFonts w:hint="eastAsia" w:ascii="宋体" w:hAnsi="宋体" w:eastAsia="宋体" w:cs="宋体"/>
          <w:highlight w:val="none"/>
        </w:rPr>
        <w:fldChar w:fldCharType="separate"/>
      </w:r>
      <w:r>
        <w:rPr>
          <w:rFonts w:hint="eastAsia" w:ascii="宋体" w:hAnsi="宋体" w:eastAsia="宋体" w:cs="宋体"/>
          <w:highlight w:val="none"/>
        </w:rPr>
        <w:t>第二章  磋商须知</w:t>
      </w:r>
      <w:r>
        <w:tab/>
      </w:r>
      <w:r>
        <w:fldChar w:fldCharType="begin"/>
      </w:r>
      <w:r>
        <w:instrText xml:space="preserve"> PAGEREF _Toc609 \h </w:instrText>
      </w:r>
      <w:r>
        <w:fldChar w:fldCharType="separate"/>
      </w:r>
      <w:r>
        <w:t>6</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_Toc14312 </w:instrText>
      </w:r>
      <w:r>
        <w:rPr>
          <w:rFonts w:hint="eastAsia" w:ascii="宋体" w:hAnsi="宋体" w:eastAsia="宋体" w:cs="宋体"/>
          <w:highlight w:val="none"/>
        </w:rPr>
        <w:fldChar w:fldCharType="separate"/>
      </w:r>
      <w:r>
        <w:rPr>
          <w:rFonts w:hint="eastAsia" w:ascii="宋体" w:hAnsi="宋体" w:eastAsia="宋体" w:cs="宋体"/>
          <w:highlight w:val="none"/>
        </w:rPr>
        <w:t>第三章  供应商和报价产品的资格、资质性及其他类似效力要求</w:t>
      </w:r>
      <w:r>
        <w:tab/>
      </w:r>
      <w:r>
        <w:fldChar w:fldCharType="begin"/>
      </w:r>
      <w:r>
        <w:instrText xml:space="preserve"> PAGEREF _Toc14312 \h </w:instrText>
      </w:r>
      <w:r>
        <w:fldChar w:fldCharType="separate"/>
      </w:r>
      <w:r>
        <w:t>23</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_Toc10323 </w:instrText>
      </w:r>
      <w:r>
        <w:rPr>
          <w:rFonts w:hint="eastAsia" w:ascii="宋体" w:hAnsi="宋体" w:eastAsia="宋体" w:cs="宋体"/>
          <w:highlight w:val="none"/>
        </w:rPr>
        <w:fldChar w:fldCharType="separate"/>
      </w:r>
      <w:r>
        <w:rPr>
          <w:rFonts w:hint="eastAsia" w:ascii="宋体" w:hAnsi="宋体" w:eastAsia="宋体" w:cs="宋体"/>
          <w:highlight w:val="none"/>
        </w:rPr>
        <w:t>第四章  供应商应当提供的资格、资质性及其他类似效力要求的相关证明材料</w:t>
      </w:r>
      <w:r>
        <w:tab/>
      </w:r>
      <w:r>
        <w:fldChar w:fldCharType="begin"/>
      </w:r>
      <w:r>
        <w:instrText xml:space="preserve"> PAGEREF _Toc10323 \h </w:instrText>
      </w:r>
      <w:r>
        <w:fldChar w:fldCharType="separate"/>
      </w:r>
      <w:r>
        <w:t>24</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_Toc21951 </w:instrText>
      </w:r>
      <w:r>
        <w:rPr>
          <w:rFonts w:hint="eastAsia" w:ascii="宋体" w:hAnsi="宋体" w:eastAsia="宋体" w:cs="宋体"/>
          <w:highlight w:val="none"/>
        </w:rPr>
        <w:fldChar w:fldCharType="separate"/>
      </w:r>
      <w:r>
        <w:rPr>
          <w:rFonts w:hint="eastAsia" w:ascii="宋体" w:hAnsi="宋体" w:eastAsia="宋体" w:cs="宋体"/>
          <w:highlight w:val="none"/>
        </w:rPr>
        <w:t>第五章  技术、服务及其他商务要求</w:t>
      </w:r>
      <w:r>
        <w:tab/>
      </w:r>
      <w:r>
        <w:fldChar w:fldCharType="begin"/>
      </w:r>
      <w:r>
        <w:instrText xml:space="preserve"> PAGEREF _Toc21951 \h </w:instrText>
      </w:r>
      <w:r>
        <w:fldChar w:fldCharType="separate"/>
      </w:r>
      <w:r>
        <w:t>27</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_Toc31842 </w:instrText>
      </w:r>
      <w:r>
        <w:rPr>
          <w:rFonts w:hint="eastAsia" w:ascii="宋体" w:hAnsi="宋体" w:eastAsia="宋体" w:cs="宋体"/>
          <w:highlight w:val="none"/>
        </w:rPr>
        <w:fldChar w:fldCharType="separate"/>
      </w:r>
      <w:r>
        <w:rPr>
          <w:rFonts w:hint="eastAsia" w:ascii="宋体" w:hAnsi="宋体" w:eastAsia="宋体" w:cs="宋体"/>
          <w:highlight w:val="none"/>
        </w:rPr>
        <w:t>第六章  磋商内容、磋商过程中可实质性变动的内容</w:t>
      </w:r>
      <w:r>
        <w:tab/>
      </w:r>
      <w:r>
        <w:fldChar w:fldCharType="begin"/>
      </w:r>
      <w:r>
        <w:instrText xml:space="preserve"> PAGEREF _Toc31842 \h </w:instrText>
      </w:r>
      <w:r>
        <w:fldChar w:fldCharType="separate"/>
      </w:r>
      <w:r>
        <w:t>31</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_Toc15094 </w:instrText>
      </w:r>
      <w:r>
        <w:rPr>
          <w:rFonts w:hint="eastAsia" w:ascii="宋体" w:hAnsi="宋体" w:eastAsia="宋体" w:cs="宋体"/>
          <w:highlight w:val="none"/>
        </w:rPr>
        <w:fldChar w:fldCharType="separate"/>
      </w:r>
      <w:r>
        <w:rPr>
          <w:rFonts w:hint="eastAsia" w:ascii="宋体" w:hAnsi="宋体" w:eastAsia="宋体" w:cs="宋体"/>
          <w:highlight w:val="none"/>
        </w:rPr>
        <w:t>第七章  响应文件格式</w:t>
      </w:r>
      <w:r>
        <w:tab/>
      </w:r>
      <w:bookmarkStart w:id="167" w:name="_GoBack"/>
      <w:bookmarkEnd w:id="167"/>
      <w:r>
        <w:fldChar w:fldCharType="begin"/>
      </w:r>
      <w:r>
        <w:instrText xml:space="preserve"> PAGEREF _Toc15094 \h </w:instrText>
      </w:r>
      <w:r>
        <w:fldChar w:fldCharType="separate"/>
      </w:r>
      <w:r>
        <w:t>32</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_Toc27185 </w:instrText>
      </w:r>
      <w:r>
        <w:rPr>
          <w:rFonts w:hint="eastAsia" w:ascii="宋体" w:hAnsi="宋体" w:eastAsia="宋体" w:cs="宋体"/>
          <w:highlight w:val="none"/>
        </w:rPr>
        <w:fldChar w:fldCharType="separate"/>
      </w:r>
      <w:r>
        <w:rPr>
          <w:rFonts w:hint="eastAsia" w:ascii="宋体" w:hAnsi="宋体" w:eastAsia="宋体" w:cs="宋体"/>
          <w:highlight w:val="none"/>
        </w:rPr>
        <w:t>第八章  评审方法</w:t>
      </w:r>
      <w:r>
        <w:tab/>
      </w:r>
      <w:r>
        <w:fldChar w:fldCharType="begin"/>
      </w:r>
      <w:r>
        <w:instrText xml:space="preserve"> PAGEREF _Toc27185 \h </w:instrText>
      </w:r>
      <w:r>
        <w:fldChar w:fldCharType="separate"/>
      </w:r>
      <w:r>
        <w:t>52</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_Toc21579 </w:instrText>
      </w:r>
      <w:r>
        <w:rPr>
          <w:rFonts w:hint="eastAsia" w:ascii="宋体" w:hAnsi="宋体" w:eastAsia="宋体" w:cs="宋体"/>
          <w:highlight w:val="none"/>
        </w:rPr>
        <w:fldChar w:fldCharType="separate"/>
      </w:r>
      <w:r>
        <w:rPr>
          <w:rFonts w:hint="eastAsia" w:ascii="宋体" w:hAnsi="宋体" w:eastAsia="宋体" w:cs="宋体"/>
          <w:bCs w:val="0"/>
          <w:kern w:val="2"/>
          <w:szCs w:val="36"/>
          <w:highlight w:val="none"/>
        </w:rPr>
        <w:t>第九章</w:t>
      </w:r>
      <w:r>
        <w:rPr>
          <w:rFonts w:hint="eastAsia" w:ascii="宋体" w:hAnsi="宋体" w:eastAsia="宋体" w:cs="宋体"/>
          <w:highlight w:val="none"/>
        </w:rPr>
        <w:t xml:space="preserve"> </w:t>
      </w:r>
      <w:r>
        <w:rPr>
          <w:rFonts w:hint="eastAsia" w:ascii="宋体" w:hAnsi="宋体" w:eastAsia="宋体" w:cs="宋体"/>
          <w:bCs w:val="0"/>
          <w:kern w:val="2"/>
          <w:szCs w:val="36"/>
          <w:highlight w:val="none"/>
        </w:rPr>
        <w:t xml:space="preserve"> 合同主要条款</w:t>
      </w:r>
      <w:r>
        <w:tab/>
      </w:r>
      <w:r>
        <w:fldChar w:fldCharType="begin"/>
      </w:r>
      <w:r>
        <w:instrText xml:space="preserve"> PAGEREF _Toc21579 \h </w:instrText>
      </w:r>
      <w:r>
        <w:fldChar w:fldCharType="separate"/>
      </w:r>
      <w:r>
        <w:t>66</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br w:type="page"/>
      </w:r>
      <w:bookmarkStart w:id="0" w:name="_Toc509579140"/>
      <w:bookmarkStart w:id="1" w:name="_Toc26156"/>
      <w:r>
        <w:rPr>
          <w:rFonts w:hint="eastAsia" w:ascii="宋体" w:hAnsi="宋体" w:eastAsia="宋体" w:cs="宋体"/>
          <w:color w:val="000000" w:themeColor="text1"/>
          <w:highlight w:val="none"/>
          <w14:textFill>
            <w14:solidFill>
              <w14:schemeClr w14:val="tx1"/>
            </w14:solidFill>
          </w14:textFill>
        </w:rPr>
        <w:t>第一章  磋商邀请</w:t>
      </w:r>
      <w:bookmarkEnd w:id="0"/>
      <w:bookmarkEnd w:id="1"/>
    </w:p>
    <w:p>
      <w:pPr>
        <w:spacing w:line="360" w:lineRule="auto"/>
        <w:ind w:firstLine="480" w:firstLineChars="200"/>
        <w:jc w:val="lef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eastAsia="宋体" w:cs="宋体"/>
          <w:color w:val="000000" w:themeColor="text1"/>
          <w:sz w:val="24"/>
          <w:highlight w:val="none"/>
          <w:u w:val="single"/>
          <w:lang w:eastAsia="zh-CN"/>
          <w14:textFill>
            <w14:solidFill>
              <w14:schemeClr w14:val="tx1"/>
            </w14:solidFill>
          </w14:textFill>
        </w:rPr>
        <w:t>成都市青羊生态环境局</w:t>
      </w:r>
      <w:r>
        <w:rPr>
          <w:rFonts w:hint="eastAsia" w:ascii="宋体" w:hAnsi="宋体" w:eastAsia="宋体" w:cs="宋体"/>
          <w:color w:val="000000" w:themeColor="text1"/>
          <w:sz w:val="24"/>
          <w:highlight w:val="none"/>
          <w14:textFill>
            <w14:solidFill>
              <w14:schemeClr w14:val="tx1"/>
            </w14:solidFill>
          </w14:textFill>
        </w:rPr>
        <w:t>委托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拟对</w:t>
      </w:r>
      <w:bookmarkStart w:id="2" w:name="PO_默认文件内容_1"/>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成都市青羊生态环境局青羊区第二批重点区域餐饮企业安装油烟在线监测设备项目</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采用竞争性磋商方式进行采购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特邀请符合本次采购要求的</w:t>
      </w:r>
      <w:r>
        <w:rPr>
          <w:rFonts w:hint="eastAsia" w:ascii="宋体" w:hAnsi="宋体" w:eastAsia="宋体" w:cs="宋体"/>
          <w:color w:val="000000" w:themeColor="text1"/>
          <w:sz w:val="24"/>
          <w:szCs w:val="28"/>
          <w:highlight w:val="none"/>
          <w14:textFill>
            <w14:solidFill>
              <w14:schemeClr w14:val="tx1"/>
            </w14:solidFill>
          </w14:textFill>
        </w:rPr>
        <w:t>供应商参加</w:t>
      </w:r>
      <w:r>
        <w:rPr>
          <w:rFonts w:hint="eastAsia" w:ascii="宋体" w:hAnsi="宋体" w:eastAsia="宋体" w:cs="宋体"/>
          <w:color w:val="000000" w:themeColor="text1"/>
          <w:sz w:val="24"/>
          <w:highlight w:val="none"/>
          <w14:textFill>
            <w14:solidFill>
              <w14:schemeClr w14:val="tx1"/>
            </w14:solidFill>
          </w14:textFill>
        </w:rPr>
        <w:t>本项目的竞争性磋商</w:t>
      </w:r>
      <w:r>
        <w:rPr>
          <w:rFonts w:hint="eastAsia" w:ascii="宋体" w:hAnsi="宋体" w:eastAsia="宋体" w:cs="宋体"/>
          <w:color w:val="000000" w:themeColor="text1"/>
          <w:sz w:val="24"/>
          <w:szCs w:val="28"/>
          <w:highlight w:val="none"/>
          <w14:textFill>
            <w14:solidFill>
              <w14:schemeClr w14:val="tx1"/>
            </w14:solidFill>
          </w14:textFill>
        </w:rPr>
        <w:t>。</w:t>
      </w:r>
      <w:bookmarkEnd w:id="2"/>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一、采购项目基本情况</w:t>
      </w:r>
    </w:p>
    <w:p>
      <w:pPr>
        <w:spacing w:line="360" w:lineRule="auto"/>
        <w:ind w:firstLine="480" w:firstLineChars="200"/>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1.项目编号：510105202200008</w:t>
      </w:r>
    </w:p>
    <w:p>
      <w:pPr>
        <w:spacing w:line="360" w:lineRule="auto"/>
        <w:ind w:firstLine="480" w:firstLineChars="200"/>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2.采购项目名称</w:t>
      </w:r>
      <w:r>
        <w:rPr>
          <w:rFonts w:hint="eastAsia" w:ascii="宋体" w:hAnsi="宋体" w:eastAsia="宋体" w:cs="宋体"/>
          <w:color w:val="000000" w:themeColor="text1"/>
          <w:sz w:val="24"/>
          <w:szCs w:val="28"/>
          <w:highlight w:val="none"/>
          <w:lang w:eastAsia="zh-CN"/>
          <w14:textFill>
            <w14:solidFill>
              <w14:schemeClr w14:val="tx1"/>
            </w14:solidFill>
          </w14:textFill>
        </w:rPr>
        <w:t>：成都市青羊生态环境局青羊区第二批重点区域餐饮企业安装油烟在线监测设备项目</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3.采购人：成都市青羊生态环境局</w:t>
      </w:r>
    </w:p>
    <w:p>
      <w:pPr>
        <w:pStyle w:val="12"/>
        <w:spacing w:line="360" w:lineRule="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4.采购代理机构：四川协友招标代理有限公司</w:t>
      </w:r>
    </w:p>
    <w:p>
      <w:pPr>
        <w:spacing w:line="360" w:lineRule="auto"/>
        <w:ind w:firstLine="480" w:firstLineChars="200"/>
        <w:rPr>
          <w:rFonts w:hint="eastAsia" w:ascii="宋体" w:hAnsi="宋体" w:eastAsia="宋体" w:cs="宋体"/>
          <w:b/>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二、资金来源：财政资金，资金预算为人民币</w:t>
      </w:r>
      <w:r>
        <w:rPr>
          <w:rFonts w:hint="eastAsia" w:ascii="宋体" w:hAnsi="宋体" w:eastAsia="宋体" w:cs="宋体"/>
          <w:color w:val="000000" w:themeColor="text1"/>
          <w:kern w:val="2"/>
          <w:sz w:val="24"/>
          <w:szCs w:val="28"/>
          <w:highlight w:val="none"/>
          <w:u w:val="single"/>
          <w:lang w:val="en-US" w:eastAsia="zh-CN" w:bidi="ar-SA"/>
          <w14:textFill>
            <w14:solidFill>
              <w14:schemeClr w14:val="tx1"/>
            </w14:solidFill>
          </w14:textFill>
        </w:rPr>
        <w:t>162万元（服务期3年）</w:t>
      </w: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三、采购项目简介：详见</w:t>
      </w:r>
      <w:r>
        <w:rPr>
          <w:rFonts w:hint="eastAsia" w:ascii="宋体" w:hAnsi="宋体" w:eastAsia="宋体" w:cs="宋体"/>
          <w:b/>
          <w:bCs/>
          <w:color w:val="000000" w:themeColor="text1"/>
          <w:sz w:val="24"/>
          <w:highlight w:val="none"/>
          <w:lang w:eastAsia="zh-CN"/>
          <w14:textFill>
            <w14:solidFill>
              <w14:schemeClr w14:val="tx1"/>
            </w14:solidFill>
          </w14:textFill>
        </w:rPr>
        <w:t>文件</w:t>
      </w:r>
      <w:r>
        <w:rPr>
          <w:rFonts w:hint="eastAsia" w:ascii="宋体" w:hAnsi="宋体" w:eastAsia="宋体" w:cs="宋体"/>
          <w:b/>
          <w:bCs/>
          <w:color w:val="000000" w:themeColor="text1"/>
          <w:sz w:val="24"/>
          <w:highlight w:val="none"/>
          <w14:textFill>
            <w14:solidFill>
              <w14:schemeClr w14:val="tx1"/>
            </w14:solidFill>
          </w14:textFill>
        </w:rPr>
        <w:t>第五章。</w:t>
      </w:r>
    </w:p>
    <w:p>
      <w:pPr>
        <w:spacing w:line="360" w:lineRule="auto"/>
        <w:ind w:firstLine="482"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四、供应商邀请方式</w:t>
      </w:r>
    </w:p>
    <w:p>
      <w:pPr>
        <w:spacing w:after="120" w:line="360" w:lineRule="auto"/>
        <w:ind w:firstLine="720" w:firstLineChars="3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本次竞争性磋商邀请在四川政府采购网上以公告形式发布；</w:t>
      </w:r>
    </w:p>
    <w:p>
      <w:pPr>
        <w:spacing w:after="120"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五、供应商参加本次政府采购活动应具备下列条件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rtl w:val="0"/>
          <w:lang w:val="en-US" w:eastAsia="zh-CN"/>
          <w14:textFill>
            <w14:solidFill>
              <w14:schemeClr w14:val="tx1"/>
            </w14:solidFill>
          </w14:textFill>
        </w:rPr>
        <w:t>本项目专门面向中小企业采购(监狱企业、残疾人福利性单位均视同小微企业)，非中小企业参与的将视为无效响应；</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3、本项目的特定资格要求：参加本次政府采购活动前三年内，供应商单位及其现任法定代表人或主要负责人无行贿犯罪记录。</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六、禁止参加本次采购活动的供应商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3" w:name="PO_默认文件内容_4"/>
      <w:r>
        <w:rPr>
          <w:rFonts w:hint="eastAsia" w:ascii="宋体" w:hAnsi="宋体" w:eastAsia="宋体" w:cs="宋体"/>
          <w:color w:val="000000" w:themeColor="text1"/>
          <w:sz w:val="24"/>
          <w:highlight w:val="none"/>
          <w:lang w:val="en-US" w:eastAsia="zh-CN"/>
          <w14:textFill>
            <w14:solidFill>
              <w14:schemeClr w14:val="tx1"/>
            </w14:solidFill>
          </w14:textFill>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3"/>
    <w:p>
      <w:pPr>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七、磋商文件获取方式、时间、地点：</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磋商文件自202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eastAsia="宋体" w:cs="宋体"/>
          <w:color w:val="000000" w:themeColor="text1"/>
          <w:sz w:val="24"/>
          <w:highlight w:val="none"/>
          <w:lang w:val="en-US" w:eastAsia="zh-CN"/>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日上午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lang w:val="en-US" w:eastAsia="zh-CN"/>
          <w14:textFill>
            <w14:solidFill>
              <w14:schemeClr w14:val="tx1"/>
            </w14:solidFill>
          </w14:textFill>
        </w:rPr>
        <w:t>：00分</w:t>
      </w:r>
      <w:r>
        <w:rPr>
          <w:rFonts w:hint="eastAsia" w:ascii="宋体" w:hAnsi="宋体" w:cs="宋体"/>
          <w:color w:val="000000" w:themeColor="text1"/>
          <w:sz w:val="24"/>
          <w:highlight w:val="none"/>
          <w:lang w:val="en-US" w:eastAsia="zh-CN"/>
          <w14:textFill>
            <w14:solidFill>
              <w14:schemeClr w14:val="tx1"/>
            </w14:solidFill>
          </w14:textFill>
        </w:rPr>
        <w:t>-12:00分14：00分</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00分（工作日除外）</w:t>
      </w:r>
      <w:r>
        <w:rPr>
          <w:rFonts w:hint="eastAsia" w:ascii="宋体" w:hAnsi="宋体" w:eastAsia="宋体" w:cs="宋体"/>
          <w:color w:val="000000" w:themeColor="text1"/>
          <w:sz w:val="24"/>
          <w:highlight w:val="none"/>
          <w:lang w:val="en-US" w:eastAsia="zh-CN"/>
          <w14:textFill>
            <w14:solidFill>
              <w14:schemeClr w14:val="tx1"/>
            </w14:solidFill>
          </w14:textFill>
        </w:rPr>
        <w:t>分在政府采购云平台(https://www.zcygov.cn/)线上获取在政府采购云平台(https://www.zcygov.cn/)线上获取。</w:t>
      </w:r>
    </w:p>
    <w:p>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获取方式：</w:t>
      </w:r>
    </w:p>
    <w:p>
      <w:pPr>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凡有意参加本项目者，在本项目磋商文件获取时间期限内，登录政府采购云平台（https://www.zcygov.cn/）获取采购文件，操作步骤：登录政府采购云平台—我的工作台—项目采购—获取采购文件—申请获取采购文件。提示：（1）供应商只有在“政府采购云平台”完成获取采购文件申请并下载采购文件后才视作依法参与本项目。如未在“政府采购云平台”内完成相关流程，引起的响应无效责任自负。（2）首次登录政府采购云平台的新用户应先点击“供应商入驻”，入驻成功后再登录。（3）磋商文件免费（磋商资格不能转让）。</w:t>
      </w:r>
    </w:p>
    <w:p>
      <w:pPr>
        <w:keepNext w:val="0"/>
        <w:keepLines w:val="0"/>
        <w:pageBreakBefore w:val="0"/>
        <w:widowControl w:val="0"/>
        <w:tabs>
          <w:tab w:val="left" w:pos="1080"/>
        </w:tabs>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提示：</w:t>
      </w:r>
    </w:p>
    <w:p>
      <w:pPr>
        <w:keepNext w:val="0"/>
        <w:keepLines w:val="0"/>
        <w:pageBreakBefore w:val="0"/>
        <w:widowControl w:val="0"/>
        <w:numPr>
          <w:ilvl w:val="0"/>
          <w:numId w:val="2"/>
        </w:numPr>
        <w:tabs>
          <w:tab w:val="left" w:pos="1080"/>
        </w:tabs>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14:textFill>
            <w14:solidFill>
              <w14:schemeClr w14:val="tx1"/>
            </w14:solidFill>
          </w14:textFill>
        </w:rPr>
        <w:t>供应商只有在“政府采购云平台”完成获取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文件申请并下载</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文件后才视作依法参与本项目。如未在“政府采购云平台”内完成相关流程，引起的无效相应责任自负。</w:t>
      </w:r>
    </w:p>
    <w:p>
      <w:pPr>
        <w:pStyle w:val="17"/>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本项目为电子招标投标项目，</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参与本项目全过程中凡涉及系统操作请详见《供应商政府采购项目电子交易操作指南</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——供应商版</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》。（操作指南以政府采购云平台网站发布为准</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获取方式详见：附件-政府采购云平台使用介绍）</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lang w:eastAsia="zh-CN"/>
          <w14:textFill>
            <w14:solidFill>
              <w14:schemeClr w14:val="tx1"/>
            </w14:solidFill>
          </w14:textFill>
        </w:rPr>
        <w:t>八、</w:t>
      </w:r>
      <w:r>
        <w:rPr>
          <w:rFonts w:hint="eastAsia" w:ascii="宋体" w:hAnsi="宋体" w:eastAsia="宋体" w:cs="宋体"/>
          <w:b/>
          <w:color w:val="000000" w:themeColor="text1"/>
          <w:sz w:val="24"/>
          <w:szCs w:val="28"/>
          <w:highlight w:val="none"/>
          <w14:textFill>
            <w14:solidFill>
              <w14:schemeClr w14:val="tx1"/>
            </w14:solidFill>
          </w14:textFill>
        </w:rPr>
        <w:t>递交响应文件</w:t>
      </w:r>
      <w:r>
        <w:rPr>
          <w:rFonts w:hint="eastAsia" w:ascii="宋体" w:hAnsi="宋体" w:eastAsia="宋体" w:cs="宋体"/>
          <w:b/>
          <w:color w:val="000000" w:themeColor="text1"/>
          <w:sz w:val="24"/>
          <w:szCs w:val="28"/>
          <w:highlight w:val="none"/>
          <w:lang w:eastAsia="zh-CN"/>
          <w14:textFill>
            <w14:solidFill>
              <w14:schemeClr w14:val="tx1"/>
            </w14:solidFill>
          </w14:textFill>
        </w:rPr>
        <w:t>截</w:t>
      </w:r>
      <w:r>
        <w:rPr>
          <w:rFonts w:hint="eastAsia" w:ascii="宋体" w:hAnsi="宋体" w:eastAsia="宋体" w:cs="宋体"/>
          <w:b/>
          <w:color w:val="000000" w:themeColor="text1"/>
          <w:sz w:val="24"/>
          <w:szCs w:val="28"/>
          <w:highlight w:val="none"/>
          <w14:textFill>
            <w14:solidFill>
              <w14:schemeClr w14:val="tx1"/>
            </w14:solidFill>
          </w14:textFill>
        </w:rPr>
        <w:t>止</w:t>
      </w: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lang w:eastAsia="zh-CN"/>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3月</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日10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szCs w:val="28"/>
          <w:highlight w:val="none"/>
          <w:lang w:eastAsia="zh-CN"/>
          <w14:textFill>
            <w14:solidFill>
              <w14:schemeClr w14:val="tx1"/>
            </w14:solidFill>
          </w14:textFill>
        </w:rPr>
        <w:t>九</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递交响应文件地点：响应文件递交截止时间前，供应商应将加密的响应文件递交至“政府采购云平台”对应项目（包件）</w:t>
      </w:r>
      <w:r>
        <w:rPr>
          <w:rFonts w:hint="eastAsia" w:ascii="宋体" w:hAnsi="宋体" w:eastAsia="宋体" w:cs="宋体"/>
          <w:b/>
          <w:color w:val="000000" w:themeColor="text1"/>
          <w:sz w:val="24"/>
          <w:highlight w:val="none"/>
          <w:lang w:eastAsia="zh-CN"/>
          <w14:textFill>
            <w14:solidFill>
              <w14:schemeClr w14:val="tx1"/>
            </w14:solidFill>
          </w14:textFill>
        </w:rPr>
        <w:t>。</w:t>
      </w:r>
    </w:p>
    <w:p>
      <w:pPr>
        <w:pStyle w:val="93"/>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十、磋商地点：</w:t>
      </w:r>
    </w:p>
    <w:p>
      <w:pPr>
        <w:spacing w:line="560" w:lineRule="exact"/>
        <w:ind w:firstLine="480"/>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本项目为不见面开标项目。</w:t>
      </w:r>
    </w:p>
    <w:p>
      <w:pPr>
        <w:spacing w:line="56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地点：政府采购云平台(https://www.zcygov.cn)</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w:t>
      </w:r>
    </w:p>
    <w:p>
      <w:pPr>
        <w:spacing w:line="560" w:lineRule="exact"/>
        <w:ind w:firstLine="48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本项目只接受</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加密并递交至“政府采购云平台”的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w:t>
      </w:r>
    </w:p>
    <w:p>
      <w:pPr>
        <w:pStyle w:val="93"/>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w:t>
      </w:r>
      <w:r>
        <w:rPr>
          <w:rFonts w:hint="eastAsia" w:ascii="宋体" w:hAnsi="宋体" w:eastAsia="宋体" w:cs="宋体"/>
          <w:b/>
          <w:color w:val="000000" w:themeColor="text1"/>
          <w:sz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供应商信用融资：</w:t>
      </w:r>
    </w:p>
    <w:p>
      <w:pPr>
        <w:pStyle w:val="93"/>
        <w:spacing w:line="420" w:lineRule="exact"/>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pStyle w:val="93"/>
        <w:spacing w:line="420" w:lineRule="exact"/>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成财采发〔2020〕20号”）。</w:t>
      </w:r>
    </w:p>
    <w:p>
      <w:pPr>
        <w:rPr>
          <w:rFonts w:hint="eastAsia"/>
          <w:color w:val="000000" w:themeColor="text1"/>
          <w:highlight w:val="none"/>
          <w:lang w:val="en-US" w:eastAsia="zh-CN"/>
          <w14:textFill>
            <w14:solidFill>
              <w14:schemeClr w14:val="tx1"/>
            </w14:solidFill>
          </w14:textFill>
        </w:rPr>
      </w:pPr>
    </w:p>
    <w:p>
      <w:pPr>
        <w:pStyle w:val="93"/>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十二</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联系方式</w:t>
      </w:r>
    </w:p>
    <w:p>
      <w:pPr>
        <w:pStyle w:val="93"/>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采购人：成都市青羊生态环境局</w:t>
      </w:r>
    </w:p>
    <w:p>
      <w:pPr>
        <w:pStyle w:val="93"/>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通讯地址：成都市青羊区石人南路38号</w:t>
      </w:r>
    </w:p>
    <w:p>
      <w:pPr>
        <w:pStyle w:val="93"/>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w:t>
      </w:r>
      <w:r>
        <w:rPr>
          <w:rFonts w:hint="eastAsia" w:ascii="宋体" w:hAnsi="宋体" w:eastAsia="宋体" w:cs="宋体"/>
          <w:color w:val="000000" w:themeColor="text1"/>
          <w:sz w:val="24"/>
          <w:highlight w:val="none"/>
          <w:lang w:val="en-US" w:eastAsia="zh-CN"/>
          <w14:textFill>
            <w14:solidFill>
              <w14:schemeClr w14:val="tx1"/>
            </w14:solidFill>
          </w14:textFill>
        </w:rPr>
        <w:t>秦老师</w:t>
      </w:r>
    </w:p>
    <w:p>
      <w:pPr>
        <w:pStyle w:val="93"/>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lang w:eastAsia="zh-CN"/>
          <w14:textFill>
            <w14:solidFill>
              <w14:schemeClr w14:val="tx1"/>
            </w14:solidFill>
          </w14:textFill>
        </w:rPr>
        <w:t>028-87310872</w:t>
      </w:r>
    </w:p>
    <w:p>
      <w:pPr>
        <w:pStyle w:val="93"/>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pStyle w:val="93"/>
        <w:ind w:firstLine="1068" w:firstLineChars="4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pStyle w:val="93"/>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通讯地址：成都市金牛区蜀西路48号西城国际506室</w:t>
      </w:r>
    </w:p>
    <w:p>
      <w:pPr>
        <w:pStyle w:val="93"/>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 系 人：何女士</w:t>
      </w:r>
    </w:p>
    <w:p>
      <w:pPr>
        <w:pStyle w:val="93"/>
        <w:ind w:firstLine="1068" w:firstLineChars="4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bookmarkStart w:id="4" w:name="_Toc509579141"/>
      <w:bookmarkStart w:id="5" w:name="_Toc213496267"/>
      <w:bookmarkStart w:id="6" w:name="_Toc213396945"/>
      <w:bookmarkStart w:id="7" w:name="_Toc213397009"/>
      <w:bookmarkStart w:id="8" w:name="_Toc217446031"/>
      <w:bookmarkStart w:id="9" w:name="_Toc213396759"/>
      <w:r>
        <w:rPr>
          <w:rFonts w:hint="eastAsia" w:ascii="宋体" w:hAnsi="宋体" w:eastAsia="宋体" w:cs="宋体"/>
          <w:color w:val="000000" w:themeColor="text1"/>
          <w:sz w:val="24"/>
          <w:highlight w:val="none"/>
          <w:lang w:eastAsia="zh-CN"/>
          <w14:textFill>
            <w14:solidFill>
              <w14:schemeClr w14:val="tx1"/>
            </w14:solidFill>
          </w14:textFill>
        </w:rPr>
        <w:t>8751</w:t>
      </w:r>
      <w:r>
        <w:rPr>
          <w:rFonts w:hint="eastAsia" w:ascii="宋体" w:hAnsi="宋体" w:eastAsia="宋体" w:cs="宋体"/>
          <w:color w:val="000000" w:themeColor="text1"/>
          <w:sz w:val="24"/>
          <w:highlight w:val="none"/>
          <w:lang w:val="en-US" w:eastAsia="zh-CN"/>
          <w14:textFill>
            <w14:solidFill>
              <w14:schemeClr w14:val="tx1"/>
            </w14:solidFill>
          </w14:textFill>
        </w:rPr>
        <w:t>7716</w:t>
      </w: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0" w:name="_Toc609"/>
      <w:r>
        <w:rPr>
          <w:rFonts w:hint="eastAsia" w:ascii="宋体" w:hAnsi="宋体" w:eastAsia="宋体" w:cs="宋体"/>
          <w:color w:val="000000" w:themeColor="text1"/>
          <w:highlight w:val="none"/>
          <w14:textFill>
            <w14:solidFill>
              <w14:schemeClr w14:val="tx1"/>
            </w14:solidFill>
          </w14:textFill>
        </w:rPr>
        <w:t>第二章  磋商须知</w:t>
      </w:r>
      <w:bookmarkEnd w:id="4"/>
      <w:bookmarkEnd w:id="5"/>
      <w:bookmarkEnd w:id="6"/>
      <w:bookmarkEnd w:id="7"/>
      <w:bookmarkEnd w:id="8"/>
      <w:bookmarkEnd w:id="9"/>
      <w:bookmarkEnd w:id="10"/>
    </w:p>
    <w:p>
      <w:pPr>
        <w:pStyle w:val="4"/>
        <w:keepNext w:val="0"/>
        <w:keepLines w:val="0"/>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一、供应商须知附表</w:t>
      </w:r>
    </w:p>
    <w:tbl>
      <w:tblPr>
        <w:tblStyle w:val="3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9"/>
        <w:gridCol w:w="2410"/>
        <w:gridCol w:w="63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18" w:space="0"/>
              <w:left w:val="single" w:color="auto" w:sz="18" w:space="0"/>
              <w:bottom w:val="single" w:color="auto" w:sz="8" w:space="0"/>
              <w:right w:val="single" w:color="auto" w:sz="8" w:space="0"/>
            </w:tcBorders>
            <w:vAlign w:val="center"/>
          </w:tcPr>
          <w:p>
            <w:pPr>
              <w:pStyle w:val="110"/>
              <w:spacing w:line="360" w:lineRule="auto"/>
              <w:ind w:left="9"/>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序号</w:t>
            </w:r>
          </w:p>
        </w:tc>
        <w:tc>
          <w:tcPr>
            <w:tcW w:w="2410" w:type="dxa"/>
            <w:tcBorders>
              <w:top w:val="single" w:color="auto" w:sz="1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应知事项</w:t>
            </w:r>
          </w:p>
        </w:tc>
        <w:tc>
          <w:tcPr>
            <w:tcW w:w="6357" w:type="dxa"/>
            <w:tcBorders>
              <w:top w:val="single" w:color="auto" w:sz="18" w:space="0"/>
              <w:left w:val="single" w:color="auto" w:sz="8" w:space="0"/>
              <w:bottom w:val="single" w:color="auto" w:sz="8" w:space="0"/>
              <w:right w:val="single" w:color="auto" w:sz="18" w:space="0"/>
            </w:tcBorders>
            <w:vAlign w:val="center"/>
          </w:tcPr>
          <w:p>
            <w:pPr>
              <w:pStyle w:val="11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采购预算及最高限价</w:t>
            </w:r>
          </w:p>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采购预算：</w:t>
            </w:r>
            <w:r>
              <w:rPr>
                <w:rFonts w:hint="eastAsia" w:ascii="宋体" w:hAnsi="宋体" w:eastAsia="宋体" w:cs="宋体"/>
                <w:color w:val="000000" w:themeColor="text1"/>
                <w:sz w:val="21"/>
                <w:szCs w:val="21"/>
                <w:highlight w:val="none"/>
                <w:lang w:val="en-US" w:eastAsia="zh-CN"/>
                <w14:textFill>
                  <w14:solidFill>
                    <w14:schemeClr w14:val="tx1"/>
                  </w14:solidFill>
                </w14:textFill>
              </w:rPr>
              <w:t>162万元</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1"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最高限价（实质性要求）</w:t>
            </w:r>
          </w:p>
        </w:tc>
        <w:tc>
          <w:tcPr>
            <w:tcW w:w="6357" w:type="dxa"/>
            <w:tcBorders>
              <w:top w:val="single" w:color="auto" w:sz="8" w:space="0"/>
              <w:left w:val="single" w:color="auto" w:sz="8" w:space="0"/>
              <w:bottom w:val="single" w:color="auto" w:sz="8" w:space="0"/>
              <w:right w:val="single" w:color="auto" w:sz="18" w:space="0"/>
            </w:tcBorders>
          </w:tcPr>
          <w:p>
            <w:pPr>
              <w:spacing w:line="360" w:lineRule="auto"/>
              <w:ind w:firstLine="210" w:firstLineChars="1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最高限价：</w:t>
            </w:r>
            <w:r>
              <w:rPr>
                <w:rFonts w:hint="eastAsia" w:ascii="宋体" w:hAnsi="宋体" w:eastAsia="宋体" w:cs="宋体"/>
                <w:color w:val="000000" w:themeColor="text1"/>
                <w:sz w:val="21"/>
                <w:szCs w:val="21"/>
                <w:highlight w:val="none"/>
                <w:lang w:val="en-US" w:eastAsia="zh-CN"/>
                <w14:textFill>
                  <w14:solidFill>
                    <w14:schemeClr w14:val="tx1"/>
                  </w14:solidFill>
                </w14:textFill>
              </w:rPr>
              <w:t>3000元/点/年。</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超过最高限价的报价,其响应文件按无效处理。</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联合体（实质性要求）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低于成本价</w:t>
            </w:r>
          </w:p>
          <w:p>
            <w:pPr>
              <w:pStyle w:val="110"/>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不正当竞争预防措施</w:t>
            </w:r>
          </w:p>
          <w:p>
            <w:pPr>
              <w:pStyle w:val="110"/>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bookmarkStart w:id="11" w:name="PO_默认文件内容_12"/>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 供应商书面说明应当签字确认或者加盖公章，否则无效。书面说明的签字确认，由其法定代表人/主要负责人/本人或者其授权代表签字确认。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小微企业（监狱企业、残疾人福利性单位视同小微企业）价格扣除</w:t>
            </w:r>
          </w:p>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6357" w:type="dxa"/>
            <w:tcBorders>
              <w:top w:val="single" w:color="auto" w:sz="8" w:space="0"/>
              <w:left w:val="single" w:color="auto" w:sz="8" w:space="0"/>
              <w:bottom w:val="single" w:color="auto" w:sz="8" w:space="0"/>
              <w:right w:val="single" w:color="auto" w:sz="18" w:space="0"/>
            </w:tcBorders>
          </w:tcPr>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一、小微企业（监狱企业、残疾人福利性单位视同小微企业）价</w:t>
            </w:r>
          </w:p>
          <w:p>
            <w:pPr>
              <w:adjustRightInd w:val="0"/>
              <w:snapToGrid w:val="0"/>
              <w:spacing w:before="80" w:after="80"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格扣除。</w:t>
            </w:r>
            <w:r>
              <w:rPr>
                <w:rFonts w:hint="eastAsia" w:ascii="宋体" w:hAnsi="宋体" w:eastAsia="宋体" w:cs="宋体"/>
                <w:b/>
                <w:bCs/>
                <w:color w:val="000000" w:themeColor="text1"/>
                <w:szCs w:val="21"/>
                <w:highlight w:val="none"/>
                <w14:textFill>
                  <w14:solidFill>
                    <w14:schemeClr w14:val="tx1"/>
                  </w14:solidFill>
                </w14:textFill>
              </w:rPr>
              <w:t>（本项目不适用）</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1、根据《政府采购促进中小企业发展管理办法》（财库〔2020〕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46 号）的规定，对小型和微型企业报价给予 10%的价格扣除，用扣除后的价格参与评标。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2、参加政府采购活动的中小微企业应当提供《中小企业声明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函》原件。若为监狱企业应当提供《监狱企业证明》。若为残疾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人福利性单位应当提供《残疾人福利性单位声明函》。 </w:t>
            </w:r>
          </w:p>
          <w:p>
            <w:pPr>
              <w:spacing w:line="360" w:lineRule="auto"/>
              <w:ind w:left="105" w:leftChars="50" w:right="105" w:rightChars="50"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二、本项目采购内容对应的中小企业划分标准所属行业为</w:t>
            </w:r>
            <w:r>
              <w:rPr>
                <w:rFonts w:hint="eastAsia" w:ascii="宋体" w:hAnsi="宋体" w:eastAsia="宋体" w:cs="宋体"/>
                <w:color w:val="000000" w:themeColor="text1"/>
                <w:kern w:val="0"/>
                <w:sz w:val="21"/>
                <w:szCs w:val="21"/>
                <w:highlight w:val="none"/>
                <w:u w:val="single"/>
                <w:lang w:val="zh-CN" w:eastAsia="zh-CN" w:bidi="ar-SA"/>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lang w:val="zh-CN" w:eastAsia="zh-CN" w:bidi="ar-SA"/>
                <w14:textFill>
                  <w14:solidFill>
                    <w14:schemeClr w14:val="tx1"/>
                  </w14:solidFill>
                </w14:textFill>
              </w:rPr>
              <w:t>其他未列明行业</w:t>
            </w:r>
            <w:r>
              <w:rPr>
                <w:rFonts w:hint="eastAsia" w:ascii="宋体" w:hAnsi="宋体" w:eastAsia="宋体" w:cs="宋体"/>
                <w:color w:val="000000" w:themeColor="text1"/>
                <w:kern w:val="0"/>
                <w:sz w:val="21"/>
                <w:szCs w:val="21"/>
                <w:highlight w:val="none"/>
                <w:u w:val="single"/>
                <w:lang w:val="zh-CN"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国家规定的强制采购范围 （实质性要求）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政府强制/优先采购的节能、环保产品</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规定，政府采购节能产品、环境标志产品实施品目清单管理。</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2.投标产品属于品目清单范围的，投标人提供国家确定的认证机构出具的、处于有效期之内的节能产品、环境标志产品认证证书，本项目对获得证书的产品实施政府优先采购或强制采购。</w:t>
            </w:r>
          </w:p>
          <w:p>
            <w:pPr>
              <w:spacing w:line="360" w:lineRule="auto"/>
              <w:ind w:left="105" w:leftChars="50" w:right="105" w:rightChars="50"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3.节能产品认证应依据相关国家标准的最新版本，依据国家标准中二级能效（水效）指标。节能产品政府采购品目清单“★”标注的为政府强制采购产品，投标产品属于政府强制采购产品的，供应商应当提供国家确定的认证机构出具的、处于有效期之内的节能产品产品认证证书，否则以符合性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2"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p>
            <w:pPr>
              <w:pStyle w:val="110"/>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磋商情况公告</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2" w:name="PO_默认文件内容_15"/>
            <w:r>
              <w:rPr>
                <w:rFonts w:hint="eastAsia" w:ascii="宋体" w:hAnsi="宋体" w:eastAsia="宋体" w:cs="宋体"/>
                <w:color w:val="000000" w:themeColor="text1"/>
                <w:sz w:val="21"/>
                <w:szCs w:val="21"/>
                <w:highlight w:val="none"/>
                <w:lang w:val="zh-CN"/>
                <w14:textFill>
                  <w14:solidFill>
                    <w14:schemeClr w14:val="tx1"/>
                  </w14:solidFill>
                </w14:textFill>
              </w:rPr>
              <w:t>供应商资格审查情况、磋商情况、报价情况、磋商结果等在四川省政府采购网上采购结果公告栏中予以公告。</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履约保证金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磋商文件咨询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联系人：何女士</w:t>
            </w:r>
          </w:p>
          <w:p>
            <w:pPr>
              <w:pStyle w:val="110"/>
              <w:spacing w:line="240" w:lineRule="auto"/>
              <w:ind w:firstLine="210" w:firstLineChars="10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w:t>
            </w:r>
            <w:r>
              <w:rPr>
                <w:rFonts w:hint="eastAsia" w:ascii="宋体" w:hAnsi="宋体" w:eastAsia="宋体" w:cs="宋体"/>
                <w:color w:val="000000" w:themeColor="text1"/>
                <w:sz w:val="21"/>
                <w:szCs w:val="21"/>
                <w:highlight w:val="none"/>
                <w:lang w:val="en-US" w:eastAsia="zh-CN"/>
                <w14:textFill>
                  <w14:solidFill>
                    <w14:schemeClr w14:val="tx1"/>
                  </w14:solidFill>
                </w14:textFill>
              </w:rPr>
              <w:t>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磋商过程、结果工作咨询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联系人：何女士</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w:t>
            </w:r>
            <w:r>
              <w:rPr>
                <w:rFonts w:hint="eastAsia" w:ascii="宋体" w:hAnsi="宋体" w:eastAsia="宋体" w:cs="宋体"/>
                <w:color w:val="000000" w:themeColor="text1"/>
                <w:sz w:val="21"/>
                <w:szCs w:val="21"/>
                <w:highlight w:val="none"/>
                <w:lang w:val="en-US" w:eastAsia="zh-CN"/>
                <w14:textFill>
                  <w14:solidFill>
                    <w14:schemeClr w14:val="tx1"/>
                  </w14:solidFill>
                </w14:textFill>
              </w:rPr>
              <w:t>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成交通知书领取</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3" w:name="PO_默认文件内容_18"/>
            <w:r>
              <w:rPr>
                <w:rFonts w:hint="eastAsia" w:ascii="宋体" w:hAnsi="宋体" w:eastAsia="宋体" w:cs="宋体"/>
                <w:color w:val="000000" w:themeColor="text1"/>
                <w:sz w:val="21"/>
                <w:szCs w:val="21"/>
                <w:highlight w:val="none"/>
                <w:lang w:val="zh-CN"/>
                <w14:textFill>
                  <w14:solidFill>
                    <w14:schemeClr w14:val="tx1"/>
                  </w14:solidFill>
                </w14:textFill>
              </w:rPr>
              <w:t>采购结果公告在网上发布后，请成交供应商凭有效身份证明证件到采购代理机构领取成交通知书。</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 系 人：毛老师。</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联系电话：028-87510677</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供应商询问</w:t>
            </w:r>
          </w:p>
        </w:tc>
        <w:tc>
          <w:tcPr>
            <w:tcW w:w="6357" w:type="dxa"/>
            <w:tcBorders>
              <w:top w:val="single" w:color="auto" w:sz="8" w:space="0"/>
              <w:left w:val="single" w:color="auto" w:sz="8" w:space="0"/>
              <w:bottom w:val="single" w:color="auto" w:sz="8" w:space="0"/>
              <w:right w:val="single" w:color="auto" w:sz="18" w:space="0"/>
            </w:tcBorders>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4" w:name="PO_默认文件内容_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根据委托代理协议约定，供应商询问由采购代理机构负责答复。</w:t>
            </w:r>
          </w:p>
          <w:bookmarkEnd w:id="14"/>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联系人：何女士</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w:t>
            </w:r>
            <w:r>
              <w:rPr>
                <w:rFonts w:hint="eastAsia" w:ascii="宋体" w:hAnsi="宋体" w:eastAsia="宋体" w:cs="宋体"/>
                <w:color w:val="000000" w:themeColor="text1"/>
                <w:sz w:val="21"/>
                <w:szCs w:val="21"/>
                <w:highlight w:val="none"/>
                <w:lang w:val="en-US" w:eastAsia="zh-CN"/>
                <w14:textFill>
                  <w14:solidFill>
                    <w14:schemeClr w14:val="tx1"/>
                  </w14:solidFill>
                </w14:textFill>
              </w:rPr>
              <w:t>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5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供应商质疑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5" w:name="PO_默认文件内容_1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根据委托代理协议约定，供应商质疑由采购代理机构负责答复。</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联系人：何女士</w:t>
            </w:r>
          </w:p>
          <w:p>
            <w:pPr>
              <w:pStyle w:val="110"/>
              <w:spacing w:line="360" w:lineRule="auto"/>
              <w:ind w:firstLine="210" w:firstLineChars="1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w:t>
            </w:r>
            <w:r>
              <w:rPr>
                <w:rFonts w:hint="eastAsia" w:ascii="宋体" w:hAnsi="宋体" w:eastAsia="宋体" w:cs="宋体"/>
                <w:color w:val="000000" w:themeColor="text1"/>
                <w:sz w:val="21"/>
                <w:szCs w:val="21"/>
                <w:highlight w:val="none"/>
                <w:lang w:val="en-US" w:eastAsia="zh-CN"/>
                <w14:textFill>
                  <w14:solidFill>
                    <w14:schemeClr w14:val="tx1"/>
                  </w14:solidFill>
                </w14:textFill>
              </w:rPr>
              <w:t>7716</w:t>
            </w:r>
          </w:p>
          <w:p>
            <w:pPr>
              <w:pStyle w:val="110"/>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根据《中华人民共和国政府采购法》等规定，供应商质疑不得超出磋商文件、磋商过程、磋商结果的范围，供应商质疑不得超出采购文件、采购过程、采购结果的范围,供应商针对同一采购程序环节的质疑应在法定质疑期内一次性提出。</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供应商投诉</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投诉受理单位：本项目同级财政部门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Style w:val="110"/>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注：根据《中华人民共和国政府采购法实施条例》等规定，供应商投诉事项不得超出已质疑事项的范围，供应商针对同一采购程序环节的投诉应在法定投诉期内一次性提出。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政府采购合同公告备案</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招标代理服务费</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本项目招标代理服务费按照成本支出加合理利润的原则收取，招标代理服务费金额为人民币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17964</w:t>
            </w:r>
            <w:r>
              <w:rPr>
                <w:rFonts w:hint="eastAsia" w:ascii="宋体" w:hAnsi="宋体" w:eastAsia="宋体" w:cs="宋体"/>
                <w:color w:val="000000" w:themeColor="text1"/>
                <w:sz w:val="21"/>
                <w:szCs w:val="21"/>
                <w:highlight w:val="none"/>
                <w:lang w:val="zh-CN"/>
                <w14:textFill>
                  <w14:solidFill>
                    <w14:schemeClr w14:val="tx1"/>
                  </w14:solidFill>
                </w14:textFill>
              </w:rPr>
              <w:t>元，由成交供应商在领取成交通知书前向采购代理机构一次性支付。</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收款单位：四川协友招标代理有限公司。</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 户 行：中国建设银行股份有限公司成都蜀西路支行</w:t>
            </w:r>
          </w:p>
          <w:p>
            <w:pPr>
              <w:pStyle w:val="110"/>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银行账号：51050110198200000285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zh-CN"/>
                <w14:textFill>
                  <w14:solidFill>
                    <w14:schemeClr w14:val="tx1"/>
                  </w14:solidFill>
                </w14:textFill>
              </w:rPr>
              <w:t>文件的递交</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使用CA证书在递交响应文件截止时间前，将电子</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zh-CN" w:eastAsia="zh-CN"/>
                <w14:textFill>
                  <w14:solidFill>
                    <w14:schemeClr w14:val="tx1"/>
                  </w14:solidFill>
                </w14:textFill>
              </w:rPr>
              <w:t>文件上传至政府采购云平台，上传前须对电子</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zh-CN" w:eastAsia="zh-CN"/>
                <w14:textFill>
                  <w14:solidFill>
                    <w14:schemeClr w14:val="tx1"/>
                  </w14:solidFill>
                </w14:textFill>
              </w:rPr>
              <w:t>文件每页是否都有电子签章等进行核对。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开标及开标程序</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0"/>
              <w:spacing w:line="360" w:lineRule="auto"/>
              <w:ind w:firstLine="210" w:firstLineChars="100"/>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响应文件解密：开启解密后，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应在系统提示的解密开始时间后60分钟内 ，使用对</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zh-CN" w:eastAsia="zh-CN"/>
                <w14:textFill>
                  <w14:solidFill>
                    <w14:schemeClr w14:val="tx1"/>
                  </w14:solidFill>
                </w14:textFill>
              </w:rPr>
              <w:t>文件进行加密的CA证书在线完成对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递交至政府采购云平台的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zh-CN" w:eastAsia="zh-CN"/>
                <w14:textFill>
                  <w14:solidFill>
                    <w14:schemeClr w14:val="tx1"/>
                  </w14:solidFill>
                </w14:textFill>
              </w:rPr>
              <w:t>文件的解密。</w:t>
            </w:r>
          </w:p>
          <w:p>
            <w:pPr>
              <w:pStyle w:val="110"/>
              <w:spacing w:line="360" w:lineRule="auto"/>
              <w:ind w:firstLine="210" w:firstLineChars="100"/>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电脑终端等硬件设备和软件系统配置：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电脑终端等硬件设备和软件系统配置应符合开标大厅</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电脑终端配置要求并运行正常，</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承担因未尽职责产生的不利后果。</w:t>
            </w:r>
          </w:p>
          <w:p>
            <w:pPr>
              <w:pStyle w:val="11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开标、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zh-CN" w:eastAsia="zh-CN"/>
                <w14:textFill>
                  <w14:solidFill>
                    <w14:schemeClr w14:val="tx1"/>
                  </w14:solidFill>
                </w14:textFill>
              </w:rPr>
              <w:t>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0"/>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2410" w:type="dxa"/>
            <w:tcBorders>
              <w:top w:val="single" w:color="auto" w:sz="8" w:space="0"/>
              <w:left w:val="single" w:color="auto" w:sz="8" w:space="0"/>
              <w:bottom w:val="single" w:color="auto" w:sz="8" w:space="0"/>
              <w:right w:val="single" w:color="auto" w:sz="8" w:space="0"/>
            </w:tcBorders>
            <w:vAlign w:val="center"/>
          </w:tcPr>
          <w:p>
            <w:pPr>
              <w:pStyle w:val="110"/>
              <w:spacing w:line="360" w:lineRule="auto"/>
              <w:ind w:left="96"/>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其他说明</w:t>
            </w:r>
          </w:p>
        </w:tc>
        <w:tc>
          <w:tcPr>
            <w:tcW w:w="6357" w:type="dxa"/>
            <w:tcBorders>
              <w:top w:val="single" w:color="auto" w:sz="8" w:space="0"/>
              <w:left w:val="single" w:color="auto" w:sz="8" w:space="0"/>
              <w:bottom w:val="single" w:color="auto" w:sz="8" w:space="0"/>
              <w:right w:val="single" w:color="auto" w:sz="18" w:space="0"/>
            </w:tcBorders>
            <w:vAlign w:val="top"/>
          </w:tcPr>
          <w:p>
            <w:pPr>
              <w:pStyle w:val="110"/>
              <w:spacing w:line="360" w:lineRule="auto"/>
              <w:ind w:left="96"/>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eastAsia="zh-CN"/>
                <w14:textFill>
                  <w14:solidFill>
                    <w14:schemeClr w14:val="tx1"/>
                  </w14:solidFill>
                </w14:textFill>
              </w:rPr>
              <w:t>供应商需准备全流程所必需的硬件设备包括电脑（版本 win7 64位及以上）、麦克风、摄像头、CA证书等。建议使用同一台电脑完成投标、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开</w:t>
            </w:r>
            <w:r>
              <w:rPr>
                <w:rFonts w:hint="eastAsia" w:ascii="宋体" w:hAnsi="宋体" w:eastAsia="宋体" w:cs="宋体"/>
                <w:color w:val="000000" w:themeColor="text1"/>
                <w:sz w:val="21"/>
                <w:szCs w:val="21"/>
                <w:highlight w:val="none"/>
                <w:lang w:val="zh-CN" w:eastAsia="zh-CN"/>
                <w14:textFill>
                  <w14:solidFill>
                    <w14:schemeClr w14:val="tx1"/>
                  </w14:solidFill>
                </w14:textFill>
              </w:rPr>
              <w:t>标相关事宜，推荐安装 chrome 浏览器，且解密CA必须和加密CA为同一把。</w:t>
            </w:r>
          </w:p>
          <w:p>
            <w:pPr>
              <w:pStyle w:val="110"/>
              <w:spacing w:line="360" w:lineRule="auto"/>
              <w:ind w:left="96"/>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eastAsia="zh-CN"/>
                <w14:textFill>
                  <w14:solidFill>
                    <w14:schemeClr w14:val="tx1"/>
                  </w14:solidFill>
                </w14:textFill>
              </w:rPr>
              <w:t>政府采购云平台供应商注册地址：</w:t>
            </w:r>
          </w:p>
          <w:p>
            <w:pPr>
              <w:pStyle w:val="110"/>
              <w:spacing w:line="360" w:lineRule="auto"/>
              <w:ind w:left="96"/>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eastAsia="zh-CN"/>
                <w14:textFill>
                  <w14:solidFill>
                    <w14:schemeClr w14:val="tx1"/>
                  </w14:solidFill>
                </w14:textFill>
              </w:rPr>
              <w:t>https://middle.zcygov.cn/v-settle-front/registry?settleCategory=1&amp;entranceType=119&amp;utm=a0017.b1347.cl50.3.c0de9400b91b11eb870ad7da87d69c97</w:t>
            </w:r>
          </w:p>
        </w:tc>
      </w:tr>
    </w:tbl>
    <w:p>
      <w:pPr>
        <w:rPr>
          <w:rFonts w:hint="eastAsia" w:ascii="宋体" w:hAnsi="宋体" w:eastAsia="宋体" w:cs="宋体"/>
          <w:bCs w:val="0"/>
          <w:color w:val="000000" w:themeColor="text1"/>
          <w:highlight w:val="none"/>
          <w14:textFill>
            <w14:solidFill>
              <w14:schemeClr w14:val="tx1"/>
            </w14:solidFill>
          </w14:textFill>
        </w:rPr>
      </w:pPr>
      <w:r>
        <w:rPr>
          <w:rFonts w:hint="eastAsia" w:ascii="宋体" w:hAnsi="宋体" w:eastAsia="宋体" w:cs="宋体"/>
          <w:bCs w:val="0"/>
          <w:color w:val="000000" w:themeColor="text1"/>
          <w:highlight w:val="none"/>
          <w14:textFill>
            <w14:solidFill>
              <w14:schemeClr w14:val="tx1"/>
            </w14:solidFill>
          </w14:textFill>
        </w:rPr>
        <w:br w:type="page"/>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二、总  则</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16" w:name="_Toc183582205"/>
      <w:bookmarkStart w:id="17" w:name="_Toc183682342"/>
      <w:bookmarkStart w:id="18" w:name="_Toc217446034"/>
      <w:bookmarkStart w:id="19" w:name="PO_默认文件内容_23"/>
      <w:r>
        <w:rPr>
          <w:rFonts w:hint="eastAsia" w:ascii="宋体" w:hAnsi="宋体" w:eastAsia="宋体" w:cs="宋体"/>
          <w:color w:val="000000" w:themeColor="text1"/>
          <w:sz w:val="24"/>
          <w:highlight w:val="none"/>
          <w14:textFill>
            <w14:solidFill>
              <w14:schemeClr w14:val="tx1"/>
            </w14:solidFill>
          </w14:textFill>
        </w:rPr>
        <w:t>1.</w:t>
      </w:r>
      <w:bookmarkEnd w:id="16"/>
      <w:bookmarkEnd w:id="17"/>
      <w:r>
        <w:rPr>
          <w:rFonts w:hint="eastAsia" w:ascii="宋体" w:hAnsi="宋体" w:eastAsia="宋体" w:cs="宋体"/>
          <w:color w:val="000000" w:themeColor="text1"/>
          <w:sz w:val="24"/>
          <w:szCs w:val="24"/>
          <w:highlight w:val="none"/>
          <w14:textFill>
            <w14:solidFill>
              <w14:schemeClr w14:val="tx1"/>
            </w14:solidFill>
          </w14:textFill>
        </w:rPr>
        <w:t>适用范围</w:t>
      </w:r>
      <w:bookmarkEnd w:id="18"/>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本磋商文件仅适用于本次磋商采购项目。</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本磋商文件的解释权归采购人和采购代理机构所有。</w:t>
      </w:r>
      <w:bookmarkEnd w:id="19"/>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0" w:name="_Toc183582206"/>
      <w:bookmarkStart w:id="21" w:name="_Toc217446035"/>
      <w:bookmarkStart w:id="22" w:name="_Toc183682343"/>
      <w:r>
        <w:rPr>
          <w:rFonts w:hint="eastAsia" w:ascii="宋体" w:hAnsi="宋体" w:eastAsia="宋体" w:cs="宋体"/>
          <w:color w:val="000000" w:themeColor="text1"/>
          <w:sz w:val="24"/>
          <w:highlight w:val="none"/>
          <w14:textFill>
            <w14:solidFill>
              <w14:schemeClr w14:val="tx1"/>
            </w14:solidFill>
          </w14:textFill>
        </w:rPr>
        <w:t>2.</w:t>
      </w:r>
      <w:bookmarkEnd w:id="20"/>
      <w:bookmarkEnd w:id="21"/>
      <w:bookmarkEnd w:id="22"/>
      <w:r>
        <w:rPr>
          <w:rFonts w:hint="eastAsia" w:ascii="宋体" w:hAnsi="宋体" w:eastAsia="宋体" w:cs="宋体"/>
          <w:color w:val="000000" w:themeColor="text1"/>
          <w:sz w:val="24"/>
          <w:highlight w:val="none"/>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2.1本次磋商的采购人是</w:t>
      </w:r>
      <w:r>
        <w:rPr>
          <w:rFonts w:hint="eastAsia" w:ascii="宋体" w:hAnsi="宋体" w:eastAsia="宋体" w:cs="宋体"/>
          <w:color w:val="000000" w:themeColor="text1"/>
          <w:sz w:val="24"/>
          <w:highlight w:val="none"/>
          <w:u w:val="single"/>
          <w:lang w:eastAsia="zh-CN"/>
          <w14:textFill>
            <w14:solidFill>
              <w14:schemeClr w14:val="tx1"/>
            </w14:solidFill>
          </w14:textFill>
        </w:rPr>
        <w:t>成都市青羊生态环境局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3" w:name="PO_默认文件内容_24"/>
      <w:r>
        <w:rPr>
          <w:rFonts w:hint="eastAsia" w:ascii="宋体" w:hAnsi="宋体" w:eastAsia="宋体" w:cs="宋体"/>
          <w:color w:val="000000" w:themeColor="text1"/>
          <w:sz w:val="24"/>
          <w:highlight w:val="none"/>
          <w14:textFill>
            <w14:solidFill>
              <w14:schemeClr w14:val="tx1"/>
            </w14:solidFill>
          </w14:textFill>
        </w:rPr>
        <w:t>2.2本次磋商的采购代理机构是</w:t>
      </w: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4" w:name="_Toc217446036"/>
      <w:bookmarkStart w:id="25" w:name="_Toc183682344"/>
      <w:bookmarkStart w:id="26" w:name="_Toc183582207"/>
      <w:bookmarkStart w:id="27" w:name="_Toc217390843"/>
      <w:r>
        <w:rPr>
          <w:rFonts w:hint="eastAsia" w:ascii="宋体" w:hAnsi="宋体" w:eastAsia="宋体" w:cs="宋体"/>
          <w:color w:val="000000" w:themeColor="text1"/>
          <w:sz w:val="24"/>
          <w:highlight w:val="none"/>
          <w14:textFill>
            <w14:solidFill>
              <w14:schemeClr w14:val="tx1"/>
            </w14:solidFill>
          </w14:textFill>
        </w:rPr>
        <w:t>3. 合格</w:t>
      </w:r>
      <w:bookmarkEnd w:id="24"/>
      <w:bookmarkEnd w:id="25"/>
      <w:bookmarkEnd w:id="26"/>
      <w:bookmarkEnd w:id="27"/>
      <w:r>
        <w:rPr>
          <w:rFonts w:hint="eastAsia" w:ascii="宋体" w:hAnsi="宋体" w:eastAsia="宋体" w:cs="宋体"/>
          <w:color w:val="000000" w:themeColor="text1"/>
          <w:sz w:val="24"/>
          <w:highlight w:val="none"/>
          <w14:textFill>
            <w14:solidFill>
              <w14:schemeClr w14:val="tx1"/>
            </w14:solidFill>
          </w14:textFill>
        </w:rPr>
        <w:t>供应商（实质性要求）</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合格供应商应具备以下条件：</w:t>
      </w:r>
    </w:p>
    <w:p>
      <w:pPr>
        <w:tabs>
          <w:tab w:val="left" w:pos="7665"/>
        </w:tabs>
        <w:spacing w:line="360" w:lineRule="auto"/>
        <w:ind w:firstLine="480"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具备法律法规和本采购文件规定的资格条件</w:t>
      </w:r>
      <w:r>
        <w:rPr>
          <w:rFonts w:hint="eastAsia" w:ascii="宋体" w:hAnsi="宋体" w:eastAsia="宋体" w:cs="宋体"/>
          <w:color w:val="000000" w:themeColor="text1"/>
          <w:spacing w:val="-4"/>
          <w:sz w:val="24"/>
          <w:highlight w:val="none"/>
          <w14:textFill>
            <w14:solidFill>
              <w14:schemeClr w14:val="tx1"/>
            </w14:solidFill>
          </w14:textFill>
        </w:rPr>
        <w:t>；</w:t>
      </w:r>
    </w:p>
    <w:p>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3.2 不属于禁止参加本项目采购活动的供应商；</w:t>
      </w:r>
    </w:p>
    <w:p>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3.3 按照规定</w:t>
      </w:r>
      <w:r>
        <w:rPr>
          <w:rFonts w:hint="eastAsia" w:ascii="宋体" w:hAnsi="宋体" w:eastAsia="宋体" w:cs="宋体"/>
          <w:color w:val="000000" w:themeColor="text1"/>
          <w:sz w:val="24"/>
          <w:highlight w:val="none"/>
          <w14:textFill>
            <w14:solidFill>
              <w14:schemeClr w14:val="tx1"/>
            </w14:solidFill>
          </w14:textFill>
        </w:rPr>
        <w:t>获取了磋商文件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属于实质性参加政府采购活动的供应商。</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8" w:name="_Toc217446037"/>
      <w:bookmarkStart w:id="29" w:name="_Toc183682345"/>
      <w:bookmarkStart w:id="30" w:name="_Toc183582208"/>
      <w:r>
        <w:rPr>
          <w:rFonts w:hint="eastAsia" w:ascii="宋体" w:hAnsi="宋体" w:eastAsia="宋体" w:cs="宋体"/>
          <w:color w:val="000000" w:themeColor="text1"/>
          <w:sz w:val="24"/>
          <w:highlight w:val="none"/>
          <w14:textFill>
            <w14:solidFill>
              <w14:schemeClr w14:val="tx1"/>
            </w14:solidFill>
          </w14:textFill>
        </w:rPr>
        <w:t>4. 磋商费用</w:t>
      </w:r>
      <w:bookmarkEnd w:id="28"/>
      <w:bookmarkEnd w:id="29"/>
      <w:bookmarkEnd w:id="30"/>
      <w:r>
        <w:rPr>
          <w:rFonts w:hint="eastAsia" w:ascii="宋体" w:hAnsi="宋体" w:eastAsia="宋体" w:cs="宋体"/>
          <w:color w:val="000000" w:themeColor="text1"/>
          <w:sz w:val="24"/>
          <w:highlight w:val="none"/>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供应商应自行承担参加磋商活动的全部费用。</w:t>
      </w:r>
    </w:p>
    <w:p>
      <w:pPr>
        <w:pStyle w:val="108"/>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5.充分、公平竞争保障措施（实质性要求）</w:t>
      </w:r>
    </w:p>
    <w:p>
      <w:pPr>
        <w:pStyle w:val="108"/>
        <w:spacing w:line="360" w:lineRule="auto"/>
        <w:ind w:left="1" w:firstLine="48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5.1利害关系供应商处理。单位负责人为同一人或者存在直接控股、管理关系的不同供应商不得参加同一合同项下的政府采购活动。采购项目实行资格预审的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单位负责人为同一人或者存在直接控股、管理关系的不同供应商可以参加资格预审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但只能由供应商确定其中一家符合条件的供应商参加后续的政府采购活动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5.2利害关系授权代表处理。两家以上的供应商不得在同一合同项下的采购项目中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委托同一个自然人、同一家庭的人员、同一单位的人员作为其授权代表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5.3前期参与供应商处理。为采购项目提供整体设计、规范编制或者项目管理、监理、检测等服务的供应商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不得再参加该采购项目的其他采购活动。供应商为采购人、采购代理机构在确定采购需求、编制采购文件过程中提供咨询论证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其提供的咨询论证意见成为采购文件中规定的供应商资格条件、技术服务商务要求、评审因素和标准、政府采购合同等实质性内容条款的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视同为采购项目提供规范编制。</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5.4供应商实际控制人或者中高级管理人员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同时是采购代理机构工作人员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不得参与本项目政府采购活动。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5.5同一母公司的两家以上的子公司只能组成联合体参加本项目同一合同项下的采购活动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5.6供应商与采购代理机构存在关联关系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或者是采购代理机构的母公司或子公司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不得参加本项目政府采购活动。</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5.7回避。政府采购活动中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采购人员及相关人员与供应商有下列利害关系之一的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应当回避：</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（1）参加采购活动前3年内与供应商存在劳动关系；</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（2）参加采购活动前3年内担任供应商的董事、监事；</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（3）参加采购活动前3年内是供应商的控股股东或者实际控制人；</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（5）与供应商有其他可能影响政府采购活动公平、公正进行的关系。</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本项目政府采购活动中需要依法回避的采购人员是指采购人内部负责采购项目的具体经办工作人员和直接分管采购项目的负责人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以及采购代理机构负责采购项目的具体经办工作人员和直接分管采购活动的负责人。本项目政府采购活动中需要依法回避的相关人员是指磋商小组成员。</w:t>
      </w:r>
    </w:p>
    <w:p>
      <w:pPr>
        <w:pStyle w:val="108"/>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供应商认为采购人员及相关人员与其他供应商有利害关系的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可以向采购代理机构书面提出回避申请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并说明理由。采购代理机构将及时询问被申请回避人员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有利害关系的被申请回避人员应当回避。</w:t>
      </w:r>
    </w:p>
    <w:p>
      <w:pPr>
        <w:pStyle w:val="108"/>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6.联合体竞争性磋商（实质性要求）</w:t>
      </w:r>
    </w:p>
    <w:p>
      <w:pPr>
        <w:pStyle w:val="108"/>
        <w:spacing w:line="360" w:lineRule="auto"/>
        <w:ind w:left="1"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本项目不接受联合体。</w:t>
      </w:r>
    </w:p>
    <w:p>
      <w:pPr>
        <w:pStyle w:val="108"/>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7.磋商保证金（实质性要求）</w:t>
      </w:r>
    </w:p>
    <w:p>
      <w:pPr>
        <w:spacing w:line="360" w:lineRule="auto"/>
        <w:ind w:firstLine="470" w:firstLineChars="196"/>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本项目不需要缴纳磋商保证金。</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8.响应文件有效期（实质性要求）</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本项目响应文件有效期为递交磋商响应文件截止之日起90天。供应商响应文件中必须载明响应文件有效期</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响应文件中载明的响应文件有效期可以长于磋商文件规定的期限</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但不得短于磋商文件规定的期限。否则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其响应文件将作为无效处理。</w:t>
      </w:r>
    </w:p>
    <w:p>
      <w:pPr>
        <w:pStyle w:val="18"/>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知识产权（实质性要求）</w:t>
      </w:r>
    </w:p>
    <w:p>
      <w:pPr>
        <w:pStyle w:val="1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应保证在本项目中使用的任何产品和服务（包括部分使用）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不会产生因第三方提出侵犯其专利权、商标权或其它知识产权而引起的法律和经济纠纷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如因专利权、商标权或其它知识产权而引起法律和经济纠纷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承担所有相关责任。</w:t>
      </w:r>
    </w:p>
    <w:p>
      <w:pPr>
        <w:pStyle w:val="1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除非磋商文件特别规定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9.3供应商将在采购项目实施过程中采用自有或者第三方知识成果的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使用该知识成果后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供应商需提供开发接口和开发手册等技术资料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并承诺提供无限期支持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采购人享有使用权（含采购人委托第三方在该项目后续开发的使用权）。</w:t>
      </w:r>
    </w:p>
    <w:p>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9.4 如采用供应商所不拥有的知识产权</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则在报价中必须包括合法获取该知识产权的相关费用。</w:t>
      </w:r>
      <w:bookmarkEnd w:id="23"/>
      <w:r>
        <w:rPr>
          <w:rFonts w:hint="eastAsia" w:ascii="宋体" w:hAnsi="宋体" w:eastAsia="宋体" w:cs="宋体"/>
          <w:color w:val="000000" w:themeColor="text1"/>
          <w:sz w:val="24"/>
          <w:highlight w:val="none"/>
          <w14:textFill>
            <w14:solidFill>
              <w14:schemeClr w14:val="tx1"/>
            </w14:solidFill>
          </w14:textFill>
        </w:rPr>
        <w:t xml:space="preserve"> </w:t>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31" w:name="_Toc183582209"/>
      <w:bookmarkStart w:id="32" w:name="_Toc183682346"/>
      <w:bookmarkStart w:id="33" w:name="_Toc89075875"/>
      <w:bookmarkStart w:id="34" w:name="_Toc77400779"/>
      <w:bookmarkStart w:id="35" w:name="_Toc217446038"/>
      <w:r>
        <w:rPr>
          <w:rFonts w:hint="eastAsia" w:ascii="宋体" w:hAnsi="宋体" w:eastAsia="宋体" w:cs="宋体"/>
          <w:b/>
          <w:bCs/>
          <w:color w:val="000000" w:themeColor="text1"/>
          <w:highlight w:val="none"/>
          <w14:textFill>
            <w14:solidFill>
              <w14:schemeClr w14:val="tx1"/>
            </w14:solidFill>
          </w14:textFill>
        </w:rPr>
        <w:t>三、磋商文件</w:t>
      </w:r>
      <w:bookmarkEnd w:id="31"/>
      <w:bookmarkEnd w:id="32"/>
      <w:bookmarkEnd w:id="33"/>
      <w:bookmarkEnd w:id="34"/>
      <w:bookmarkEnd w:id="35"/>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36" w:name="_Toc183582210"/>
      <w:bookmarkStart w:id="37" w:name="_Toc183682347"/>
      <w:bookmarkStart w:id="38" w:name="_Toc217446039"/>
      <w:bookmarkStart w:id="39" w:name="PO_默认文件内容_25"/>
      <w:r>
        <w:rPr>
          <w:rFonts w:hint="eastAsia" w:ascii="宋体" w:hAnsi="宋体" w:eastAsia="宋体" w:cs="宋体"/>
          <w:color w:val="000000" w:themeColor="text1"/>
          <w:sz w:val="24"/>
          <w:highlight w:val="none"/>
          <w14:textFill>
            <w14:solidFill>
              <w14:schemeClr w14:val="tx1"/>
            </w14:solidFill>
          </w14:textFill>
        </w:rPr>
        <w:t>10．磋商文件的构成</w:t>
      </w:r>
      <w:bookmarkEnd w:id="36"/>
      <w:bookmarkEnd w:id="37"/>
      <w:bookmarkEnd w:id="38"/>
      <w:r>
        <w:rPr>
          <w:rFonts w:hint="eastAsia" w:ascii="宋体" w:hAnsi="宋体" w:eastAsia="宋体" w:cs="宋体"/>
          <w:color w:val="000000" w:themeColor="text1"/>
          <w:sz w:val="24"/>
          <w:highlight w:val="none"/>
          <w14:textFill>
            <w14:solidFill>
              <w14:schemeClr w14:val="tx1"/>
            </w14:solidFill>
          </w14:textFill>
        </w:rPr>
        <w:t>（实质性要求）</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 磋商文件是供应商准备响应文件和参加磋商的依据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 供应商应认真阅读和充分理解磋商文件中所有的事项、格式条款和规范要求。供应商应详细阅读磋商文件的全部内容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按照磋商文件的要求提供响应文件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并保证所提供的全部资料的真实性和有效性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一经发现有虚假行为的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将取消其参加磋商或成交资格</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并承担相应的法律责任。</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40" w:name="_Toc183682348"/>
      <w:bookmarkStart w:id="41" w:name="_Toc183582211"/>
      <w:bookmarkStart w:id="42" w:name="_Toc217446040"/>
      <w:r>
        <w:rPr>
          <w:rFonts w:hint="eastAsia" w:ascii="宋体" w:hAnsi="宋体" w:eastAsia="宋体" w:cs="宋体"/>
          <w:color w:val="000000" w:themeColor="text1"/>
          <w:sz w:val="24"/>
          <w:highlight w:val="none"/>
          <w14:textFill>
            <w14:solidFill>
              <w14:schemeClr w14:val="tx1"/>
            </w14:solidFill>
          </w14:textFill>
        </w:rPr>
        <w:t>11. 磋商文件的澄清</w:t>
      </w:r>
      <w:bookmarkEnd w:id="40"/>
      <w:bookmarkEnd w:id="41"/>
      <w:r>
        <w:rPr>
          <w:rFonts w:hint="eastAsia" w:ascii="宋体" w:hAnsi="宋体" w:eastAsia="宋体" w:cs="宋体"/>
          <w:color w:val="000000" w:themeColor="text1"/>
          <w:sz w:val="24"/>
          <w:highlight w:val="none"/>
          <w14:textFill>
            <w14:solidFill>
              <w14:schemeClr w14:val="tx1"/>
            </w14:solidFill>
          </w14:textFill>
        </w:rPr>
        <w:t>和修改</w:t>
      </w:r>
      <w:bookmarkEnd w:id="42"/>
    </w:p>
    <w:p>
      <w:pPr>
        <w:numPr>
          <w:ilvl w:val="1"/>
          <w:numId w:val="3"/>
        </w:numPr>
        <w:tabs>
          <w:tab w:val="left" w:pos="0"/>
        </w:tabs>
        <w:spacing w:line="520" w:lineRule="exact"/>
        <w:ind w:left="0" w:firstLine="480"/>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pPr>
      <w:bookmarkStart w:id="43" w:name="_Toc217446041"/>
      <w:bookmarkStart w:id="44" w:name="_Toc208848971"/>
      <w:r>
        <w:rPr>
          <w:rFonts w:hint="eastAsia" w:ascii="宋体" w:hAnsi="宋体" w:eastAsia="宋体" w:cs="宋体"/>
          <w:b w:val="0"/>
          <w:color w:val="000000" w:themeColor="text1"/>
          <w:kern w:val="2"/>
          <w:sz w:val="24"/>
          <w:szCs w:val="24"/>
          <w:highlight w:val="none"/>
          <w:lang w:val="en-US"/>
          <w14:textFill>
            <w14:solidFill>
              <w14:schemeClr w14:val="tx1"/>
            </w14:solidFill>
          </w14:textFill>
        </w:rPr>
        <w:t>采购人或者采购代理机构可以依法对已发出的</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文件进行必要的澄清或者修改，但不得</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改变采购标的和资格条件。</w:t>
      </w:r>
    </w:p>
    <w:p>
      <w:pPr>
        <w:numPr>
          <w:ilvl w:val="1"/>
          <w:numId w:val="3"/>
        </w:numPr>
        <w:tabs>
          <w:tab w:val="left" w:pos="0"/>
        </w:tabs>
        <w:spacing w:line="520" w:lineRule="exact"/>
        <w:ind w:left="0" w:firstLine="480"/>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澄清或者修改的内</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容，采购人或采购代理机构</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将在“四川政府采购网”上发布澄清</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（更正）</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公告，同时通过政府采购云平台将澄清或者修改的内容告知所有在系统中成功获取</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文件的潜在</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通过账号或CA证书登录云平台查看）</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w:t>
      </w:r>
    </w:p>
    <w:p>
      <w:pPr>
        <w:numPr>
          <w:ilvl w:val="1"/>
          <w:numId w:val="3"/>
        </w:numPr>
        <w:tabs>
          <w:tab w:val="left" w:pos="0"/>
        </w:tabs>
        <w:spacing w:line="520" w:lineRule="exact"/>
        <w:ind w:left="0" w:firstLine="480"/>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14:textFill>
            <w14:solidFill>
              <w14:schemeClr w14:val="tx1"/>
            </w14:solidFill>
          </w14:textFill>
        </w:rPr>
        <w:t>澄清或者修改的内容可能影响投标文件编制的，采购人或者采购代理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机构应当在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截止时间至少5日前，通过政府采购云平台通知所有获取</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文件的潜在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；不足5日的，采购人或者采购代理机构应当顺延提交</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文件的截止时间。同时在四川政府采购网上发布更正公告。该澄清或者修改的内容为</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文件的组成部分。</w:t>
      </w:r>
    </w:p>
    <w:p>
      <w:pPr>
        <w:numPr>
          <w:ilvl w:val="1"/>
          <w:numId w:val="3"/>
        </w:numPr>
        <w:tabs>
          <w:tab w:val="left" w:pos="0"/>
        </w:tabs>
        <w:spacing w:line="520" w:lineRule="exact"/>
        <w:ind w:left="0" w:firstLine="480"/>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要求对</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文件进行澄清的，均应按</w:t>
      </w:r>
      <w:r>
        <w:rPr>
          <w:rFonts w:hint="eastAsia" w:ascii="宋体" w:hAnsi="宋体" w:eastAsia="宋体" w:cs="宋体"/>
          <w:color w:val="000000" w:themeColor="text1"/>
          <w:sz w:val="24"/>
          <w:highlight w:val="none"/>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文件中的联系方式，以书面形式向采购人或者采购代理机构提出申请，但采购人或者采购代理机构可以决定是否采纳</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的申请事项。</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答疑会和现场考察</w:t>
      </w:r>
      <w:bookmarkEnd w:id="43"/>
      <w:bookmarkEnd w:id="44"/>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根据采购项目和具体情况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采购人、采购代理机构认为有必要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可以在磋商文件提供期限截止后响应文件提交截止前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组织已获取磋商文件的潜在供应商现场考察或者召开答疑会。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12.2采购人、采购代理机构组织现场考察或者召开答疑会的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将以书面形式通知所有获取磋商文件的潜在供应商。供应商接到通知后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不按照要求参加现场考察或者答疑会的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视同放弃参加现场考察或者答疑的权利</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采购人、采购代理机构不再对该供应商重新组织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但也不会以此限制供应商提交响应文件或者以此将供应商响应文件直接作为无效处理。</w:t>
      </w:r>
    </w:p>
    <w:p>
      <w:pPr>
        <w:adjustRightInd w:val="0"/>
        <w:snapToGrid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供应商考察现场或者参加答疑会所发生的一切费用由供应商自己承担。</w:t>
      </w:r>
      <w:bookmarkEnd w:id="39"/>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bookmarkStart w:id="45" w:name="_Toc183582214"/>
      <w:bookmarkStart w:id="46" w:name="_Toc77400780"/>
      <w:bookmarkStart w:id="47" w:name="_Toc217446042"/>
      <w:bookmarkStart w:id="48" w:name="_Toc89075876"/>
      <w:bookmarkStart w:id="49" w:name="_Toc183682351"/>
      <w:r>
        <w:rPr>
          <w:rFonts w:hint="eastAsia" w:ascii="宋体" w:hAnsi="宋体" w:eastAsia="宋体" w:cs="宋体"/>
          <w:b/>
          <w:bCs/>
          <w:color w:val="000000" w:themeColor="text1"/>
          <w:highlight w:val="none"/>
          <w14:textFill>
            <w14:solidFill>
              <w14:schemeClr w14:val="tx1"/>
            </w14:solidFill>
          </w14:textFill>
        </w:rPr>
        <w:t>四、响应文件</w:t>
      </w:r>
      <w:bookmarkEnd w:id="45"/>
      <w:bookmarkEnd w:id="46"/>
      <w:bookmarkEnd w:id="47"/>
      <w:bookmarkEnd w:id="48"/>
      <w:bookmarkEnd w:id="49"/>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50" w:name="_Toc183682352"/>
      <w:bookmarkStart w:id="51" w:name="_Toc183582215"/>
      <w:bookmarkStart w:id="52" w:name="_Toc217446043"/>
      <w:bookmarkStart w:id="53" w:name="PO_默认文件内容_26"/>
      <w:r>
        <w:rPr>
          <w:rFonts w:hint="eastAsia" w:ascii="宋体" w:hAnsi="宋体" w:eastAsia="宋体" w:cs="宋体"/>
          <w:color w:val="000000" w:themeColor="text1"/>
          <w:sz w:val="24"/>
          <w:highlight w:val="none"/>
          <w14:textFill>
            <w14:solidFill>
              <w14:schemeClr w14:val="tx1"/>
            </w14:solidFill>
          </w14:textFill>
        </w:rPr>
        <w:t>13.响应文件的组成</w:t>
      </w:r>
    </w:p>
    <w:p>
      <w:pPr>
        <w:spacing w:line="360" w:lineRule="auto"/>
        <w:ind w:left="2" w:leftChars="1"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供应商应按照磋商文件的规定和要求编制响应文件。供应商在成交后将成交项目的非主体、非关键性工作分包他人完成的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应当在响应文件中载明或磋商过程中澄清。供应商编写的响应文件应包括资格性响应文件和其他响应文件两</w:t>
      </w:r>
      <w:r>
        <w:rPr>
          <w:rFonts w:hint="eastAsia" w:ascii="宋体" w:hAnsi="宋体" w:eastAsia="宋体" w:cs="宋体"/>
          <w:color w:val="000000" w:themeColor="text1"/>
          <w:sz w:val="24"/>
          <w:highlight w:val="none"/>
          <w:lang w:eastAsia="zh-CN"/>
          <w14:textFill>
            <w14:solidFill>
              <w14:schemeClr w14:val="tx1"/>
            </w14:solidFill>
          </w14:textFill>
        </w:rPr>
        <w:t>部分。</w:t>
      </w:r>
    </w:p>
    <w:p>
      <w:pPr>
        <w:pStyle w:val="5"/>
        <w:keepNext w:val="0"/>
        <w:keepLines w:val="0"/>
        <w:spacing w:before="0" w:after="0" w:line="360" w:lineRule="auto"/>
        <w:ind w:firstLine="482" w:firstLineChars="200"/>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14.响应文件的语言</w:t>
      </w:r>
      <w:bookmarkEnd w:id="50"/>
      <w:bookmarkEnd w:id="51"/>
      <w:bookmarkEnd w:id="52"/>
      <w:r>
        <w:rPr>
          <w:rFonts w:hint="eastAsia" w:ascii="宋体" w:hAnsi="宋体" w:eastAsia="宋体" w:cs="宋体"/>
          <w:bCs w:val="0"/>
          <w:color w:val="000000" w:themeColor="text1"/>
          <w:sz w:val="24"/>
          <w:highlight w:val="none"/>
          <w14:textFill>
            <w14:solidFill>
              <w14:schemeClr w14:val="tx1"/>
            </w14:solidFill>
          </w14:textFill>
        </w:rPr>
        <w:t>（实质性要求）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4" w:name="_Toc183682353"/>
      <w:bookmarkStart w:id="55" w:name="_Toc217446044"/>
      <w:bookmarkStart w:id="56" w:name="_Toc183582216"/>
      <w:r>
        <w:rPr>
          <w:rFonts w:hint="eastAsia" w:ascii="宋体" w:hAnsi="宋体" w:eastAsia="宋体" w:cs="宋体"/>
          <w:color w:val="000000" w:themeColor="text1"/>
          <w:sz w:val="24"/>
          <w:highlight w:val="none"/>
          <w14:textFill>
            <w14:solidFill>
              <w14:schemeClr w14:val="tx1"/>
            </w14:solidFill>
          </w14:textFill>
        </w:rPr>
        <w:t>14.1</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提交的投标文件以及</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与招标采购单位就有关投标的所有来往文件均须使用中文。投标文件中如附有外文资料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必须逐一对应翻译成中文并加盖投标人公章后附在相关外文资料后面</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所提供的外文资料将可能被视为无效材料。（说明：供应商的法定代表人为外籍人士的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法定代表人的签字和护照除外。）。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r>
        <w:rPr>
          <w:rFonts w:hint="eastAsia" w:ascii="宋体" w:hAnsi="宋体" w:eastAsia="宋体" w:cs="宋体"/>
          <w:color w:val="000000" w:themeColor="text1"/>
          <w:sz w:val="24"/>
          <w:highlight w:val="none"/>
          <w14:textFill>
            <w14:solidFill>
              <w14:schemeClr w14:val="tx1"/>
            </w14:solidFill>
          </w14:textFill>
        </w:rPr>
        <w:t xml:space="preserve"> 翻译的中文资料与外文资料如果出现差异和矛盾时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以中文为准。涉嫌虚假响应的按照相关法律法规处理。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14.3</w:t>
      </w:r>
      <w:r>
        <w:rPr>
          <w:rFonts w:hint="eastAsia" w:ascii="宋体" w:hAnsi="宋体" w:eastAsia="宋体" w:cs="宋体"/>
          <w:color w:val="000000" w:themeColor="text1"/>
          <w:sz w:val="24"/>
          <w:highlight w:val="none"/>
          <w14:textFill>
            <w14:solidFill>
              <w14:schemeClr w14:val="tx1"/>
            </w14:solidFill>
          </w14:textFill>
        </w:rPr>
        <w:t xml:space="preserve"> 如因未翻译而造成的废标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承担。</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15．计量单位</w:t>
      </w:r>
      <w:bookmarkEnd w:id="54"/>
      <w:bookmarkEnd w:id="55"/>
      <w:bookmarkEnd w:id="56"/>
      <w:r>
        <w:rPr>
          <w:rFonts w:hint="eastAsia" w:ascii="宋体" w:hAnsi="宋体" w:eastAsia="宋体" w:cs="宋体"/>
          <w:color w:val="000000" w:themeColor="text1"/>
          <w:sz w:val="24"/>
          <w:highlight w:val="none"/>
          <w14:textFill>
            <w14:solidFill>
              <w14:schemeClr w14:val="tx1"/>
            </w14:solidFill>
          </w14:textFill>
        </w:rPr>
        <w:t>（实质性要求）</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除磋商文件中另有规定外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本次采购项目所有合同项下的报价均采用国家法定的计量单位。</w:t>
      </w:r>
    </w:p>
    <w:p>
      <w:pPr>
        <w:spacing w:line="360" w:lineRule="auto"/>
        <w:ind w:firstLine="470" w:firstLineChars="195"/>
        <w:rPr>
          <w:rFonts w:hint="eastAsia" w:ascii="宋体" w:hAnsi="宋体" w:eastAsia="宋体" w:cs="宋体"/>
          <w:b/>
          <w:bCs/>
          <w:color w:val="000000" w:themeColor="text1"/>
          <w:sz w:val="24"/>
          <w:highlight w:val="none"/>
          <w14:textFill>
            <w14:solidFill>
              <w14:schemeClr w14:val="tx1"/>
            </w14:solidFill>
          </w14:textFill>
        </w:rPr>
      </w:pPr>
      <w:bookmarkStart w:id="57" w:name="_Toc217446045"/>
      <w:r>
        <w:rPr>
          <w:rFonts w:hint="eastAsia" w:ascii="宋体" w:hAnsi="宋体" w:eastAsia="宋体" w:cs="宋体"/>
          <w:b/>
          <w:bCs/>
          <w:color w:val="000000" w:themeColor="text1"/>
          <w:sz w:val="24"/>
          <w:highlight w:val="none"/>
          <w14:textFill>
            <w14:solidFill>
              <w14:schemeClr w14:val="tx1"/>
            </w14:solidFill>
          </w14:textFill>
        </w:rPr>
        <w:t xml:space="preserve">16. </w:t>
      </w:r>
      <w:r>
        <w:rPr>
          <w:rFonts w:hint="eastAsia" w:ascii="宋体" w:hAnsi="宋体" w:eastAsia="宋体" w:cs="宋体"/>
          <w:b/>
          <w:color w:val="000000" w:themeColor="text1"/>
          <w:sz w:val="24"/>
          <w:highlight w:val="none"/>
          <w14:textFill>
            <w14:solidFill>
              <w14:schemeClr w14:val="tx1"/>
            </w14:solidFill>
          </w14:textFill>
        </w:rPr>
        <w:t>报价</w:t>
      </w:r>
      <w:r>
        <w:rPr>
          <w:rFonts w:hint="eastAsia" w:ascii="宋体" w:hAnsi="宋体" w:eastAsia="宋体" w:cs="宋体"/>
          <w:b/>
          <w:bCs/>
          <w:color w:val="000000" w:themeColor="text1"/>
          <w:sz w:val="24"/>
          <w:highlight w:val="none"/>
          <w14:textFill>
            <w14:solidFill>
              <w14:schemeClr w14:val="tx1"/>
            </w14:solidFill>
          </w14:textFill>
        </w:rPr>
        <w:t>（实质性要求）</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16.1本次磋商项目的报价货币为人民币</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报价以磋商文件规定为准。</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16.2 供应商的报价是其响应本项目要求的全部工作内容的价格体现</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包括供应商完成本项目所需的一切费用。</w:t>
      </w:r>
    </w:p>
    <w:bookmarkEnd w:id="57"/>
    <w:p>
      <w:pPr>
        <w:spacing w:line="360" w:lineRule="auto"/>
        <w:ind w:left="2" w:leftChars="1"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17.响应文件格式</w:t>
      </w:r>
    </w:p>
    <w:p>
      <w:pPr>
        <w:spacing w:line="360" w:lineRule="auto"/>
        <w:ind w:left="2" w:leftChars="1"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17.1 供应商应执行磋商文件第七章的规定要求。</w:t>
      </w:r>
    </w:p>
    <w:p>
      <w:pPr>
        <w:spacing w:line="360" w:lineRule="auto"/>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对于没有格式要求的磋商文件由供应商自行编写。</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bookmarkStart w:id="58" w:name="_Toc183582224"/>
      <w:bookmarkStart w:id="59" w:name="_Toc217446051"/>
      <w:bookmarkStart w:id="60" w:name="_Toc183682361"/>
      <w:r>
        <w:rPr>
          <w:rFonts w:hint="eastAsia" w:ascii="宋体" w:hAnsi="宋体" w:eastAsia="宋体" w:cs="宋体"/>
          <w:b/>
          <w:color w:val="000000" w:themeColor="text1"/>
          <w:sz w:val="24"/>
          <w:highlight w:val="none"/>
          <w14:textFill>
            <w14:solidFill>
              <w14:schemeClr w14:val="tx1"/>
            </w14:solidFill>
          </w14:textFill>
        </w:rPr>
        <w:t>18.</w:t>
      </w:r>
      <w:r>
        <w:rPr>
          <w:rFonts w:hint="eastAsia" w:ascii="宋体" w:hAnsi="宋体" w:eastAsia="宋体" w:cs="宋体"/>
          <w:b/>
          <w:color w:val="000000" w:themeColor="text1"/>
          <w:sz w:val="24"/>
          <w:highlight w:val="none"/>
          <w14:textFill>
            <w14:solidFill>
              <w14:schemeClr w14:val="tx1"/>
            </w14:solidFill>
          </w14:textFill>
        </w:rPr>
        <w:t>响应文件的</w:t>
      </w:r>
      <w:r>
        <w:rPr>
          <w:rFonts w:hint="eastAsia" w:ascii="宋体" w:hAnsi="宋体" w:eastAsia="宋体" w:cs="宋体"/>
          <w:b/>
          <w:color w:val="000000" w:themeColor="text1"/>
          <w:sz w:val="24"/>
          <w:highlight w:val="none"/>
          <w:lang w:val="en-US"/>
          <w14:textFill>
            <w14:solidFill>
              <w14:schemeClr w14:val="tx1"/>
            </w14:solidFill>
          </w14:textFill>
        </w:rPr>
        <w:t>制作和签章、加密</w:t>
      </w:r>
    </w:p>
    <w:bookmarkEnd w:id="58"/>
    <w:bookmarkEnd w:id="59"/>
    <w:bookmarkEnd w:id="60"/>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0" w:firstLineChars="192"/>
        <w:rPr>
          <w:rFonts w:hint="eastAsia" w:ascii="宋体" w:hAnsi="宋体" w:eastAsia="宋体" w:cs="宋体"/>
          <w:color w:val="000000" w:themeColor="text1"/>
          <w:sz w:val="24"/>
          <w:highlight w:val="none"/>
          <w:lang w:eastAsia="zh-CN"/>
          <w14:textFill>
            <w14:solidFill>
              <w14:schemeClr w14:val="tx1"/>
            </w14:solidFill>
          </w14:textFill>
        </w:rPr>
      </w:pPr>
      <w:bookmarkStart w:id="61" w:name="_Toc183582226"/>
      <w:bookmarkStart w:id="62" w:name="_Toc217446053"/>
      <w:bookmarkStart w:id="63" w:name="_Toc183682363"/>
      <w:bookmarkStart w:id="64" w:name="_Toc89075877"/>
      <w:bookmarkStart w:id="65" w:name="_Toc77400781"/>
      <w:r>
        <w:rPr>
          <w:rFonts w:hint="eastAsia" w:ascii="宋体" w:hAnsi="宋体" w:eastAsia="宋体" w:cs="宋体"/>
          <w:color w:val="000000" w:themeColor="text1"/>
          <w:sz w:val="24"/>
          <w:highlight w:val="none"/>
          <w:lang w:val="en-US" w:eastAsia="zh-CN"/>
          <w14:textFill>
            <w14:solidFill>
              <w14:schemeClr w14:val="tx1"/>
            </w14:solidFill>
          </w14:textFill>
        </w:rPr>
        <w:t>18.1</w:t>
      </w:r>
      <w:r>
        <w:rPr>
          <w:rFonts w:hint="eastAsia" w:ascii="宋体" w:hAnsi="宋体" w:eastAsia="宋体" w:cs="宋体"/>
          <w:b/>
          <w:bCs/>
          <w:color w:val="000000" w:themeColor="text1"/>
          <w:sz w:val="24"/>
          <w:highlight w:val="none"/>
          <w:lang w:val="zh-CN"/>
          <w14:textFill>
            <w14:solidFill>
              <w14:schemeClr w14:val="tx1"/>
            </w14:solidFill>
          </w14:textFill>
        </w:rPr>
        <w:t>（实质性要求）</w:t>
      </w:r>
      <w:r>
        <w:rPr>
          <w:rFonts w:hint="eastAsia" w:ascii="宋体" w:hAnsi="宋体" w:eastAsia="宋体" w:cs="宋体"/>
          <w:color w:val="000000" w:themeColor="text1"/>
          <w:sz w:val="24"/>
          <w:highlight w:val="none"/>
          <w14:textFill>
            <w14:solidFill>
              <w14:schemeClr w14:val="tx1"/>
            </w14:solidFill>
          </w14:textFill>
        </w:rPr>
        <w:t>响应文件应根据磋商文件的要求进行制作。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说明：1、响应文件中要求提供复印件证明材料的，包含提供原件的影印件或复印件。2、要求提供复印件的证明材料须清晰可辨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如因</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上传的图片清晰度使</w:t>
      </w:r>
      <w:r>
        <w:rPr>
          <w:rFonts w:hint="eastAsia" w:ascii="宋体" w:hAnsi="宋体" w:eastAsia="宋体" w:cs="宋体"/>
          <w:color w:val="000000" w:themeColor="text1"/>
          <w:sz w:val="24"/>
          <w:highlight w:val="none"/>
          <w:lang w:eastAsia="zh-CN"/>
          <w14:textFill>
            <w14:solidFill>
              <w14:schemeClr w14:val="tx1"/>
            </w14:solidFill>
          </w14:textFill>
        </w:rPr>
        <w:t>磋商小组</w:t>
      </w:r>
      <w:r>
        <w:rPr>
          <w:rFonts w:hint="eastAsia" w:ascii="宋体" w:hAnsi="宋体" w:eastAsia="宋体" w:cs="宋体"/>
          <w:color w:val="000000" w:themeColor="text1"/>
          <w:sz w:val="24"/>
          <w:highlight w:val="none"/>
          <w14:textFill>
            <w14:solidFill>
              <w14:schemeClr w14:val="tx1"/>
            </w14:solidFill>
          </w14:textFill>
        </w:rPr>
        <w:t>无法辨别、不予认可，由</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自行承担可能产生的一切后果）。</w:t>
      </w:r>
      <w:r>
        <w:rPr>
          <w:rFonts w:hint="eastAsia" w:ascii="宋体" w:hAnsi="宋体" w:eastAsia="宋体" w:cs="宋体"/>
          <w:color w:val="000000" w:themeColor="text1"/>
          <w:sz w:val="24"/>
          <w:highlight w:val="none"/>
          <w:lang w:eastAsia="zh-CN"/>
          <w14:textFill>
            <w14:solidFill>
              <w14:schemeClr w14:val="tx1"/>
            </w14:solidFill>
          </w14:textFill>
        </w:rPr>
        <w:t>】</w:t>
      </w:r>
    </w:p>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18.2</w:t>
      </w:r>
      <w:r>
        <w:rPr>
          <w:rFonts w:hint="eastAsia" w:ascii="宋体" w:hAnsi="宋体" w:eastAsia="宋体" w:cs="宋体"/>
          <w:color w:val="000000" w:themeColor="text1"/>
          <w:sz w:val="24"/>
          <w:highlight w:val="none"/>
          <w14:textFill>
            <w14:solidFill>
              <w14:schemeClr w14:val="tx1"/>
            </w14:solidFill>
          </w14:textFill>
        </w:rPr>
        <w:t>响应文件制作详情：</w:t>
      </w:r>
    </w:p>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1、本项目实行电子采购。供应商应先安装“政采云投标客户端”（下载地址下载地址：政府采购云平台—CA管理—绑定CA—下载驱动—“政采云投标客户端”立即下载）。供应商人应按</w:t>
      </w:r>
      <w:r>
        <w:rPr>
          <w:rFonts w:hint="eastAsia" w:ascii="宋体" w:hAnsi="宋体" w:eastAsia="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文件要求，通过“政采云投标客户端”制作、加密并提交响应文件。</w:t>
      </w:r>
    </w:p>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lang w:val="zh-CN"/>
          <w14:textFill>
            <w14:solidFill>
              <w14:schemeClr w14:val="tx1"/>
            </w14:solidFill>
          </w14:textFill>
        </w:rPr>
        <w:t>（实质性要求）</w:t>
      </w:r>
      <w:r>
        <w:rPr>
          <w:rFonts w:hint="eastAsia" w:ascii="宋体" w:hAnsi="宋体" w:eastAsia="宋体" w:cs="宋体"/>
          <w:color w:val="000000" w:themeColor="text1"/>
          <w:sz w:val="24"/>
          <w:highlight w:val="none"/>
          <w14:textFill>
            <w14:solidFill>
              <w14:schemeClr w14:val="tx1"/>
            </w14:solidFill>
          </w14:textFill>
        </w:rPr>
        <w:t>响应文件应加盖供应商（法定名称）电子签章，不得使用供应商专用章（如经济合同章、投标专用章等）或下属单位印章代替。</w:t>
      </w:r>
    </w:p>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3、磋商文件有修改的，供应商须重新下载修改后的磋商文件（修改后的磋商文件在更正公告中下载），根据修改后的磋商文件制作、撤回修改，并递交响应文件。</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19.</w:t>
      </w:r>
      <w:r>
        <w:rPr>
          <w:rFonts w:hint="eastAsia" w:ascii="宋体" w:hAnsi="宋体" w:eastAsia="宋体" w:cs="宋体"/>
          <w:b/>
          <w:color w:val="000000" w:themeColor="text1"/>
          <w:sz w:val="24"/>
          <w:highlight w:val="none"/>
          <w14:textFill>
            <w14:solidFill>
              <w14:schemeClr w14:val="tx1"/>
            </w14:solidFill>
          </w14:textFill>
        </w:rPr>
        <w:t>响应文件的递交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19.1供应商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应当在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文件截止时间前，将生成的已加密的电子</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文件成功递交至“政府采购云平台”。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19.2</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因</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文件的修改推迟</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文件截止日期的，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按</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采购人或采购代理机构</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在“四川政府采购网”上发布的澄清</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（更正）</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公告中修改的时间递交</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b w:val="0"/>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19.3供应商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应充分考虑递交文件的不可预见因素，未在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文件截止时间前完成递交的，在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文件截止时间后将无法递交。</w:t>
      </w:r>
    </w:p>
    <w:bookmarkEnd w:id="61"/>
    <w:bookmarkEnd w:id="62"/>
    <w:bookmarkEnd w:id="63"/>
    <w:bookmarkEnd w:id="64"/>
    <w:bookmarkEnd w:id="65"/>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bookmarkStart w:id="66" w:name="_Toc183582228"/>
      <w:bookmarkStart w:id="67" w:name="_Toc183682365"/>
      <w:bookmarkStart w:id="68" w:name="_Toc217446055"/>
      <w:r>
        <w:rPr>
          <w:rFonts w:hint="eastAsia" w:ascii="宋体" w:hAnsi="宋体" w:eastAsia="宋体" w:cs="宋体"/>
          <w:b/>
          <w:color w:val="000000" w:themeColor="text1"/>
          <w:sz w:val="24"/>
          <w:highlight w:val="none"/>
          <w:lang w:val="en-US" w:eastAsia="zh-CN"/>
          <w14:textFill>
            <w14:solidFill>
              <w14:schemeClr w14:val="tx1"/>
            </w14:solidFill>
          </w14:textFill>
        </w:rPr>
        <w:t>20</w:t>
      </w:r>
      <w:r>
        <w:rPr>
          <w:rFonts w:hint="eastAsia" w:ascii="宋体" w:hAnsi="宋体" w:eastAsia="宋体" w:cs="宋体"/>
          <w:b/>
          <w:color w:val="000000" w:themeColor="text1"/>
          <w:sz w:val="24"/>
          <w:highlight w:val="none"/>
          <w14:textFill>
            <w14:solidFill>
              <w14:schemeClr w14:val="tx1"/>
            </w14:solidFill>
          </w14:textFill>
        </w:rPr>
        <w:t>.响应文件的修改和撤回</w:t>
      </w:r>
    </w:p>
    <w:bookmarkEnd w:id="66"/>
    <w:bookmarkEnd w:id="67"/>
    <w:bookmarkEnd w:id="68"/>
    <w:p>
      <w:pPr>
        <w:tabs>
          <w:tab w:val="left" w:pos="0"/>
        </w:tabs>
        <w:spacing w:line="520" w:lineRule="exact"/>
        <w:ind w:firstLine="480"/>
        <w:rPr>
          <w:rFonts w:hint="eastAsia" w:ascii="宋体" w:hAnsi="宋体" w:eastAsia="宋体" w:cs="宋体"/>
          <w:b w:val="0"/>
          <w:bCs/>
          <w:color w:val="000000" w:themeColor="text1"/>
          <w:kern w:val="2"/>
          <w:sz w:val="24"/>
          <w:szCs w:val="24"/>
          <w:highlight w:val="none"/>
          <w:lang w:val="en-US"/>
          <w14:textFill>
            <w14:solidFill>
              <w14:schemeClr w14:val="tx1"/>
            </w14:solidFill>
          </w14:textFill>
        </w:rPr>
      </w:pPr>
      <w:bookmarkStart w:id="69" w:name="_Toc77400782"/>
      <w:bookmarkStart w:id="70" w:name="_Toc89075878"/>
      <w:bookmarkStart w:id="71" w:name="_Toc183682368"/>
      <w:bookmarkStart w:id="72" w:name="_Toc183582231"/>
      <w:bookmarkStart w:id="73" w:name="_Toc217446056"/>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20.1</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递交响应文件</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截止时间之前，</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可对已递交的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文件进行补充、修改。补充或者修改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文件的，应当先撤回已递交的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文件，在“政采云投标客户端”补充、修改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文件并签章、加密后重新递交。撤回</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文件进行补充、修改，在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递交响应文件</w:t>
      </w:r>
      <w:r>
        <w:rPr>
          <w:rFonts w:hint="eastAsia" w:ascii="宋体" w:hAnsi="宋体" w:eastAsia="宋体" w:cs="宋体"/>
          <w:b w:val="0"/>
          <w:color w:val="000000" w:themeColor="text1"/>
          <w:kern w:val="2"/>
          <w:sz w:val="24"/>
          <w:szCs w:val="24"/>
          <w:highlight w:val="none"/>
          <w:lang w:val="en-US"/>
          <w14:textFill>
            <w14:solidFill>
              <w14:schemeClr w14:val="tx1"/>
            </w14:solidFill>
          </w14:textFill>
        </w:rPr>
        <w:t>截止时间前未重新递交的，</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视为撤回</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文件。</w:t>
      </w:r>
    </w:p>
    <w:p>
      <w:pPr>
        <w:tabs>
          <w:tab w:val="left" w:pos="0"/>
        </w:tabs>
        <w:spacing w:line="520" w:lineRule="exact"/>
        <w:ind w:firstLine="480"/>
        <w:rPr>
          <w:rFonts w:hint="eastAsia" w:ascii="宋体" w:hAnsi="宋体" w:eastAsia="宋体" w:cs="宋体"/>
          <w:b w:val="0"/>
          <w:bCs/>
          <w:color w:val="000000" w:themeColor="text1"/>
          <w:kern w:val="2"/>
          <w:sz w:val="24"/>
          <w:szCs w:val="24"/>
          <w:highlight w:val="none"/>
          <w:lang w:val="en-US"/>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20.2</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递交响应文件</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截止时间之后，</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不得对其递交的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文件做任何补充、修改。</w:t>
      </w:r>
    </w:p>
    <w:p>
      <w:pPr>
        <w:keepLines w:val="0"/>
        <w:pageBreakBefore w:val="0"/>
        <w:widowControl w:val="0"/>
        <w:kinsoku/>
        <w:wordWrap/>
        <w:overflowPunct/>
        <w:topLinePunct w:val="0"/>
        <w:autoSpaceDE/>
        <w:autoSpaceDN/>
        <w:bidi w:val="0"/>
        <w:adjustRightInd w:val="0"/>
        <w:snapToGrid w:val="0"/>
        <w:spacing w:line="560" w:lineRule="exact"/>
        <w:ind w:left="0" w:leftChars="0"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20.3</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递交响应文件</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截止时间之前，</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可对已递交的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文件进行撤回。在</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递交响应文件</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截止时间之后，</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不得撤回</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 w:val="0"/>
          <w:bCs/>
          <w:color w:val="000000" w:themeColor="text1"/>
          <w:kern w:val="2"/>
          <w:sz w:val="24"/>
          <w:szCs w:val="24"/>
          <w:highlight w:val="none"/>
          <w:lang w:val="en-US"/>
          <w14:textFill>
            <w14:solidFill>
              <w14:schemeClr w14:val="tx1"/>
            </w14:solidFill>
          </w14:textFill>
        </w:rPr>
        <w:t>文件</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w:t>
      </w:r>
    </w:p>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3" w:firstLineChars="19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21.</w:t>
      </w:r>
      <w:r>
        <w:rPr>
          <w:rFonts w:hint="eastAsia" w:ascii="宋体" w:hAnsi="宋体" w:eastAsia="宋体" w:cs="宋体"/>
          <w:b/>
          <w:color w:val="000000" w:themeColor="text1"/>
          <w:sz w:val="24"/>
          <w:highlight w:val="none"/>
          <w14:textFill>
            <w14:solidFill>
              <w14:schemeClr w14:val="tx1"/>
            </w14:solidFill>
          </w14:textFill>
        </w:rPr>
        <w:t>响应文件的解密</w:t>
      </w:r>
      <w:r>
        <w:rPr>
          <w:rFonts w:hint="eastAsia" w:ascii="宋体" w:hAnsi="宋体" w:eastAsia="宋体" w:cs="宋体"/>
          <w:b/>
          <w:color w:val="000000" w:themeColor="text1"/>
          <w:sz w:val="24"/>
          <w:highlight w:val="none"/>
          <w:lang w:val="zh-CN"/>
          <w14:textFill>
            <w14:solidFill>
              <w14:schemeClr w14:val="tx1"/>
            </w14:solidFill>
          </w14:textFill>
        </w:rPr>
        <w:t>（实质性要求）</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供应商登录政府采购云平台，点击“项目采购—开标评标”模块，找到对应项目，进入“开标大厅”，等待</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开启解密后，供应商应在60分钟内，使用加密该响应文件的CA数字证书在线完成响应文件的解密。除因</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断电、断网、系统故障或其他不可抗力等因素，导致系统无法使用外，供应商在规定的解密时间内，未成功解密的响应文件将视为无效响应文件。</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五、评</w:t>
      </w:r>
      <w:r>
        <w:rPr>
          <w:rFonts w:hint="eastAsia" w:ascii="宋体" w:hAnsi="宋体" w:eastAsia="宋体" w:cs="宋体"/>
          <w:b/>
          <w:bCs/>
          <w:color w:val="000000" w:themeColor="text1"/>
          <w:highlight w:val="none"/>
          <w:lang w:eastAsia="zh-CN"/>
          <w14:textFill>
            <w14:solidFill>
              <w14:schemeClr w14:val="tx1"/>
            </w14:solidFill>
          </w14:textFill>
        </w:rPr>
        <w:t>开标及评审</w:t>
      </w:r>
    </w:p>
    <w:p>
      <w:pPr>
        <w:keepLines w:val="0"/>
        <w:pageBreakBefore w:val="0"/>
        <w:widowControl w:val="0"/>
        <w:tabs>
          <w:tab w:val="left" w:pos="1080"/>
        </w:tabs>
        <w:kinsoku/>
        <w:wordWrap/>
        <w:overflowPunct/>
        <w:topLinePunct w:val="0"/>
        <w:autoSpaceDE/>
        <w:autoSpaceDN/>
        <w:bidi w:val="0"/>
        <w:adjustRightInd w:val="0"/>
        <w:snapToGrid w:val="0"/>
        <w:spacing w:line="560" w:lineRule="exact"/>
        <w:ind w:left="0" w:leftChars="0" w:firstLine="463" w:firstLineChars="192"/>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22.</w:t>
      </w:r>
      <w:bookmarkStart w:id="74" w:name="_Toc4545"/>
      <w:r>
        <w:rPr>
          <w:rFonts w:hint="eastAsia" w:ascii="宋体" w:hAnsi="宋体" w:eastAsia="宋体" w:cs="宋体"/>
          <w:b/>
          <w:color w:val="000000" w:themeColor="text1"/>
          <w:sz w:val="24"/>
          <w:highlight w:val="none"/>
          <w:lang w:val="en-US" w:eastAsia="zh-CN"/>
          <w14:textFill>
            <w14:solidFill>
              <w14:schemeClr w14:val="tx1"/>
            </w14:solidFill>
          </w14:textFill>
        </w:rPr>
        <w:t>开标、开标程序</w:t>
      </w:r>
      <w:bookmarkEnd w:id="74"/>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22.1递交响应文件的供应商不足3家的，不予开标。</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22.2开标准备工作。供应商需在开标当日、递交响应文件截止时间前登录“政府采购云平台”，通过“开标大厅”参与开标。登录政府采购云平台—项目采购—开标评标—开标大厅（找到对应项目）。</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提示：供应商未按时登录不见面开标系统，错过开标解密时间的，由供应商自行承担不利后果。</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22.3解密响应文件。等待代理机构开启解密后，供应商进行线上解密。除因代理机构断电、断网、系统故障或其他不可抗力等因素，导致系统无法使用外，供应商在规定的解密时间内，未成功解密的响应文件将视为无效响应文件。</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22.4确认开标记录。解密时间截止或者所有供应商响应文件均完成解密后（以发生在先的时间为准），由“政府采购云平台”系统展示供应商名称、响应文件解密情况等内容。供应商对开标记录（包含解密情况、其他情况等）在规定时间内确认，如未确认，视为认同开标记录。</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22.5供应商对开标过程和开标记录有疑义，以及认为采购人、代理机构相关工作人员有需要回避的情形的，及时向工作人员提出询问或者回避申请。采购人、代理机构对供应商提出的询问或者回避申请应当及时处理。</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22.6供应商电脑终端等硬件设备和软件系统配置：供应商电脑终端等硬件设备和软件系统配置应符合电子投标（含不见面开标大厅）供应商电脑终端配置要求并运行正常，供应商承担因未尽职责产生的不利后果。</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22.7因代理机构断电、断网、系统故障或其他不可抗力等因素导致不见面开标系统无法正常运行的，开标活动中止或延迟，待系统恢复正常后继续进行开标活动。</w:t>
      </w:r>
    </w:p>
    <w:p>
      <w:pPr>
        <w:tabs>
          <w:tab w:val="left" w:pos="0"/>
        </w:tabs>
        <w:spacing w:line="520" w:lineRule="exact"/>
        <w:ind w:firstLine="480"/>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22.8不见面开标过程中，各方主体均应遵守互联网有关规定，不得发表与交易活动无关的言论。</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六、成交事项</w:t>
      </w:r>
    </w:p>
    <w:p>
      <w:pPr>
        <w:pStyle w:val="4"/>
        <w:keepNext w:val="0"/>
        <w:keepLines w:val="0"/>
        <w:spacing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23.1</w:t>
      </w:r>
      <w:r>
        <w:rPr>
          <w:rFonts w:hint="eastAsia" w:ascii="宋体" w:hAnsi="宋体" w:eastAsia="宋体" w:cs="宋体"/>
          <w:b w:val="0"/>
          <w:color w:val="000000" w:themeColor="text1"/>
          <w:sz w:val="24"/>
          <w:szCs w:val="24"/>
          <w:highlight w:val="none"/>
          <w14:textFill>
            <w14:solidFill>
              <w14:schemeClr w14:val="tx1"/>
            </w14:solidFill>
          </w14:textFill>
        </w:rPr>
        <w:t>采购人将按磋商小组推荐的成交候选供应商顺序确定成交供应商。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采购代理机构自评审结束后2个工作日内将磋商报告及有关资料送交采购人确定成交供应商。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采购人收到磋商报告及有关资料后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将在5个工作日内按照磋商报告中推荐的成交候选供应商顺序确定成交供应商。成交候选供应商并列的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采购人自主采取公平、择优的方式选择成交供应商。采购人逾期未确定成交供应商且不提出异议的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视为确定磋商报告提出的排序第一的供应商为成交供应商。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采购人确定成交供应商过程中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发现成交候选供应商有下列情形之一的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应当不予确定其为成交供应商：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（1）发现成交候选供应商存在禁止参加本项目采购活动的违法行为的；</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（2）成交候选供应商因不可抗力</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不能继续参加政府采购活动；</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（5）成交候选供应商恶意串通。</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成交候选供应商有本条情形之一的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采购人可以确定后一位成交候选供应商为成交供应商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依次类推。无法确定成交供应商的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应当重新组织采购。</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24.行贿犯罪档案查询</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24.1</w:t>
      </w:r>
      <w:r>
        <w:rPr>
          <w:rFonts w:hint="eastAsia" w:ascii="宋体" w:hAnsi="宋体" w:eastAsia="宋体" w:cs="宋体"/>
          <w:color w:val="000000" w:themeColor="text1"/>
          <w:sz w:val="24"/>
          <w:szCs w:val="24"/>
          <w:highlight w:val="none"/>
          <w:lang w:eastAsia="zh-CN"/>
          <w14:textFill>
            <w14:solidFill>
              <w14:schemeClr w14:val="tx1"/>
            </w14:solidFill>
          </w14:textFill>
        </w:rPr>
        <w:t>根据《最高人民检察院关于行</w:t>
      </w:r>
      <w:r>
        <w:rPr>
          <w:rFonts w:hint="eastAsia" w:ascii="宋体" w:hAnsi="宋体" w:eastAsia="宋体" w:cs="宋体"/>
          <w:b w:val="0"/>
          <w:color w:val="000000" w:themeColor="text1"/>
          <w:sz w:val="24"/>
          <w:szCs w:val="24"/>
          <w:highlight w:val="none"/>
          <w14:textFill>
            <w14:solidFill>
              <w14:schemeClr w14:val="tx1"/>
            </w14:solidFill>
          </w14:textFill>
        </w:rPr>
        <w:t>贿犯罪档案查询工作的规定》和《关于在政府采购活动中全面开展行贿犯罪档案查询的通知》（川检会[2016]5号）的要求</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采购人确定成交供应商期间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采购人/采购代理机构将向人民检察院查询成交候选供应商单位及其现任法定代表人、主要负责人是否存在行贿犯罪记录。</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24.2成交候选供应商应按检察院要求及时向采购人/采购代理机构提供查询所需资料。</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24.3成交候选供应商单位及其现任法定代表人、主要负责人存在行贿犯罪记录的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成交后未签订政府采购合同的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将认定成交无效；成交后签订政府采购合同未履行的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将认定成交无效</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同时撤销政府采购合同；成交后签订政府采购合同且已经履行的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将认定采购活动违法</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由相关当事人承担赔偿责任。</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25.成交结果</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25.1采购人确定成交供应商后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将及时书面通知采购代理机构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发出成交通知书并在四川政府采购网发布成交结果公告。</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25.2成交供应商应当及时领取成交通知书。本项目需要交纳履约保证金的</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成交供应商应当及时向采购人交纳。</w:t>
      </w:r>
    </w:p>
    <w:p>
      <w:pPr>
        <w:spacing w:line="360" w:lineRule="auto"/>
        <w:ind w:firstLine="46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25.3成交供应商不能及时领取成交通知书</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采购人或者采购代理机应当通过邮寄、快递等方式将项目成交通知书送达成交供应商。</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26.成交通知书</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26.1成交通知书为签订政府采购合同的依据之一</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是合同的有效组成部分。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26.2成交通知书对采购人和成交供应商均具有法律效力。成交通知书发出后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采购人无正当理由改变成交结果</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或者成交供应商无正当理由放弃成交的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将承担相应的法律责任。</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26.3成交供应商的响应文件作为无效响应文件处理或者有政府采购法律法规规章制度规定的成交无效情形的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采购人/采购代理机构在取得有权主体的认定以后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有权宣布发出的成交通知书无效</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并收回发出的成交通知书</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依法重新确定成交供应商或者重新开展采购活动。</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七、合同事项</w:t>
      </w:r>
    </w:p>
    <w:p>
      <w:pPr>
        <w:pStyle w:val="4"/>
        <w:keepNext w:val="0"/>
        <w:keepLines w:val="0"/>
        <w:spacing w:before="0" w:after="0" w:line="360" w:lineRule="auto"/>
        <w:ind w:firstLine="472" w:firstLineChars="196"/>
        <w:rPr>
          <w:rFonts w:hint="eastAsia" w:ascii="宋体" w:hAnsi="宋体" w:eastAsia="宋体" w:cs="宋体"/>
          <w:b/>
          <w:bCs/>
          <w:color w:val="000000" w:themeColor="text1"/>
          <w:sz w:val="24"/>
          <w:szCs w:val="24"/>
          <w:highlight w:val="none"/>
          <w14:textFill>
            <w14:solidFill>
              <w14:schemeClr w14:val="tx1"/>
            </w14:solidFill>
          </w14:textFill>
        </w:rPr>
      </w:pPr>
      <w:bookmarkStart w:id="75" w:name="_Toc430773927"/>
      <w:bookmarkStart w:id="76" w:name="_Toc209847069"/>
      <w:bookmarkStart w:id="77" w:name="_Toc101338364"/>
      <w:bookmarkStart w:id="78" w:name="_Toc101250646"/>
      <w:bookmarkStart w:id="79" w:name="_Toc101174151"/>
      <w:r>
        <w:rPr>
          <w:rFonts w:hint="eastAsia" w:ascii="宋体" w:hAnsi="宋体" w:eastAsia="宋体" w:cs="宋体"/>
          <w:b/>
          <w:bCs/>
          <w:color w:val="000000" w:themeColor="text1"/>
          <w:sz w:val="24"/>
          <w:szCs w:val="24"/>
          <w:highlight w:val="none"/>
          <w14:textFill>
            <w14:solidFill>
              <w14:schemeClr w14:val="tx1"/>
            </w14:solidFill>
          </w14:textFill>
        </w:rPr>
        <w:t>27.签订合同</w:t>
      </w:r>
      <w:bookmarkEnd w:id="75"/>
      <w:bookmarkEnd w:id="76"/>
      <w:bookmarkEnd w:id="77"/>
      <w:bookmarkEnd w:id="78"/>
      <w:bookmarkEnd w:id="79"/>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成交供应商应在成交通知书发出之日起三十日内与采购人签订采购合同。由于成交供应商的原因逾期未与采购人签订采购合同的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将视为放弃成交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取消其成交资格并将按相关规定进行处理。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磋商文件、成交供应商的响应文件及双方确认的澄清文件等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均为有法律约束力的合同组成部分。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27.3 采购人不得向成交供应商提出任何不合理的要求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作为签订合同的条件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不得与成交供应商私下订立背离合同实质性内容的任何协议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所签订的合同不得对磋商文件和成交供应商响应文件确定的事项进行修改。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27.4 成交供应商因不可抗力原因不能履行采购合同或放弃成交的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采购人可以与排在成交供应商之后第一位的成交候选人签订采购合同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以此类推。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27.5竞争性磋商文件、成交供应商提交的响应文件、磋商中的最后报价、成交供应商承诺书、成交通知书等均称为有法律约束力的合同组成内容。</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28.合同分包（实质性要求）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 经采购人同意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成交供应商可以依法采取分包方式履行合同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但必须在响应文件中事前载明。这种要求应当在合同签订之前征得采购人同意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并且分包供应商履行的分包项目的品牌、规格型号及技术要求等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必须与成交的一致。</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分包履行合同的部分应当为采购项目的非主体、非关键性工作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不属于成交供应商的主要合同义务。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28.2 采购合同实行分包履行的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成交供应商就采购项目和分包项目向采购人负责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分包供应商就分包项目承担责任。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28.3 中小企业依据《政府采购促进中小企业发展</w:t>
      </w:r>
      <w:r>
        <w:rPr>
          <w:rFonts w:hint="eastAsia" w:ascii="宋体" w:hAnsi="宋体" w:eastAsia="宋体" w:cs="宋体"/>
          <w:color w:val="000000" w:themeColor="text1"/>
          <w:sz w:val="24"/>
          <w:highlight w:val="none"/>
          <w:lang w:eastAsia="zh-CN"/>
          <w14:textFill>
            <w14:solidFill>
              <w14:schemeClr w14:val="tx1"/>
            </w14:solidFill>
          </w14:textFill>
        </w:rPr>
        <w:t>管理</w:t>
      </w:r>
      <w:r>
        <w:rPr>
          <w:rFonts w:hint="eastAsia" w:ascii="宋体" w:hAnsi="宋体" w:eastAsia="宋体" w:cs="宋体"/>
          <w:color w:val="000000" w:themeColor="text1"/>
          <w:sz w:val="24"/>
          <w:highlight w:val="none"/>
          <w14:textFill>
            <w14:solidFill>
              <w14:schemeClr w14:val="tx1"/>
            </w14:solidFill>
          </w14:textFill>
        </w:rPr>
        <w:t>办法》（财库[20</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46</w:t>
      </w:r>
      <w:r>
        <w:rPr>
          <w:rFonts w:hint="eastAsia" w:ascii="宋体" w:hAnsi="宋体" w:eastAsia="宋体" w:cs="宋体"/>
          <w:color w:val="000000" w:themeColor="text1"/>
          <w:sz w:val="24"/>
          <w:highlight w:val="none"/>
          <w14:textFill>
            <w14:solidFill>
              <w14:schemeClr w14:val="tx1"/>
            </w14:solidFill>
          </w14:textFill>
        </w:rPr>
        <w:t>号）规定的政策获取政府采购合同后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小型、微型企业不得分包或转包给大型、中型企业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中型企业不得分包或转包给大型企业。</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29.合同转包（实质性要求）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本采购项目严禁成交供应商将任何政府采购合同义务转包。本项目所称转包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是指成交供应商将政府采购合同义务转让给第三人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并退出现有政府采购合同当事人双方的权利义务关系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受让人（即第三人）成为政府采购合同的另一方当事人的行为。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成交供应商转包的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视同拒绝履行政府采购合同义务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将依法追究法律责任。</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30.补充合同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采购人需要追加与合同标的相同的货物、工程或者服务的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在不改变合同其他条款的前提下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可以与成交供应商协商签订补充合同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但所有补充合同的采购金额不得超过原合同采购金额的百分之十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该补充合同应当在原政府采购合同履行过程中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不得在原政府采购合同履行结束后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且采购货物、工程和服务的名称、价格、履约方式、验收标准等必须与原政府采购合同一致。 </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31.履约保证金（实质性要求）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成交供应商应在合同签订之前交纳竞争性磋商文件规定数额的履约保证金。</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 如果成交供应商在规定的合同签订时间内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没有按照采购文件的规定交纳履约保证金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且又无正当理由的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将视为放弃成交。</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32.合同公告</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采购人应当自政府采购合同签订（双方当事人均已签字盖章）之日起2个工作日内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将政府采购合同在四川省政府采购网上公告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但政府采购合同中涉及国家秘密、商业秘密的内容除外。</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33.合同备案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34.履行合同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成交供应商与采购人签订合同后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合同双方应严格执行合同条款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履行合同规定的义务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保证合同的顺利完成。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 在合同履行过程中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如发生合同纠纷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合同双方应按照合同约定</w:t>
      </w:r>
      <w:r>
        <w:rPr>
          <w:rFonts w:hint="eastAsia" w:ascii="宋体" w:hAnsi="宋体" w:eastAsia="宋体" w:cs="宋体"/>
          <w:color w:val="000000" w:themeColor="text1"/>
          <w:sz w:val="24"/>
          <w:highlight w:val="none"/>
          <w:lang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有关规定进行处理。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35.验收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35.1本项目采购人及其委托的采购代理机构将严格按照政府采购相关法律法规以及</w:t>
      </w:r>
      <w:r>
        <w:rPr>
          <w:rFonts w:hint="eastAsia" w:ascii="宋体" w:hAnsi="宋体" w:eastAsia="宋体" w:cs="宋体"/>
          <w:color w:val="000000" w:themeColor="text1"/>
          <w:sz w:val="24"/>
          <w:highlight w:val="none"/>
          <w:lang w:eastAsia="zh-CN"/>
          <w14:textFill>
            <w14:solidFill>
              <w14:schemeClr w14:val="tx1"/>
            </w14:solidFill>
          </w14:textFill>
        </w:rPr>
        <w:t>《财政部关于进一步加强政府采购需求和履约验收管理的指导意见》（财库〔2016〕205号）</w:t>
      </w:r>
      <w:r>
        <w:rPr>
          <w:rFonts w:hint="eastAsia" w:ascii="宋体" w:hAnsi="宋体" w:eastAsia="宋体" w:cs="宋体"/>
          <w:color w:val="000000" w:themeColor="text1"/>
          <w:sz w:val="24"/>
          <w:highlight w:val="none"/>
          <w14:textFill>
            <w14:solidFill>
              <w14:schemeClr w14:val="tx1"/>
            </w14:solidFill>
          </w14:textFill>
        </w:rPr>
        <w:t>的要求进行验收。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35.2 验收结果合格的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成交供应商凭验收报告办理相关手续；验收结果不合格的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履约保证金将不予退还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也将不予支付采购资金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还可能会报本项目同级财政部门按照政府采购法律法规等有关规定给予行政处罚或者以失信行为记入诚信档案。</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36.资金支付</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采购人将按照政府采购合同规定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及时向成交供应商支付采购资金。本项目采购资金付款详见第五章规定的付款方式。</w:t>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八、磋商纪律要求</w:t>
      </w:r>
    </w:p>
    <w:p>
      <w:pPr>
        <w:tabs>
          <w:tab w:val="left" w:pos="851"/>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37.供应商不得具有的情形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供应商参加本项目磋商不得有下列情形：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（1）提供虚假材料谋取成交；</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（2）采取不正当手段诋毁、排挤其他供应商；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（8）将政府采购合同转包或者违规分包；</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（9）提供假冒伪劣产品；</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（10）擅自变更、中止或者终止政府采购合同；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（12）法律法规规定的其他情形。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供应商有上述情形的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按照规定追究法律责任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具备（1）-（10）条情形之一的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同时将取消被确认为成交供应商的资格或者认定成交无效。</w:t>
      </w:r>
    </w:p>
    <w:p>
      <w:pPr>
        <w:tabs>
          <w:tab w:val="left" w:pos="851"/>
        </w:tabs>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九、询问、质疑和投诉</w:t>
      </w:r>
    </w:p>
    <w:p>
      <w:pPr>
        <w:tabs>
          <w:tab w:val="left" w:pos="851"/>
        </w:tabs>
        <w:spacing w:line="360" w:lineRule="auto"/>
        <w:ind w:firstLine="4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询问、质疑、投诉的接收和处理严格按照《中华人民共和国政府采购法》 、《中华人民共和国政府采购法实施条例》 、《财政部关于加强政府采购供应商投诉受理审查工作的通知》 、《</w:t>
      </w:r>
      <w:r>
        <w:rPr>
          <w:rFonts w:hint="eastAsia" w:ascii="宋体" w:hAnsi="宋体" w:eastAsia="宋体" w:cs="宋体"/>
          <w:bCs/>
          <w:color w:val="000000" w:themeColor="text1"/>
          <w:sz w:val="24"/>
          <w:highlight w:val="none"/>
          <w14:textFill>
            <w14:solidFill>
              <w14:schemeClr w14:val="tx1"/>
            </w14:solidFill>
          </w14:textFill>
        </w:rPr>
        <w:t>政府采购质疑和投诉办法</w:t>
      </w:r>
      <w:r>
        <w:rPr>
          <w:rFonts w:hint="eastAsia" w:ascii="宋体" w:hAnsi="宋体" w:eastAsia="宋体" w:cs="宋体"/>
          <w:color w:val="000000" w:themeColor="text1"/>
          <w:sz w:val="24"/>
          <w:highlight w:val="none"/>
          <w14:textFill>
            <w14:solidFill>
              <w14:schemeClr w14:val="tx1"/>
            </w14:solidFill>
          </w14:textFill>
        </w:rPr>
        <w:t>》和四川省的有关规定办理和四川省的有关规定办理（详细规定请在四川政府采购网政策法规模块查询）。</w:t>
      </w:r>
    </w:p>
    <w:p>
      <w:pPr>
        <w:tabs>
          <w:tab w:val="left" w:pos="851"/>
        </w:tabs>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十、其  他</w:t>
      </w:r>
    </w:p>
    <w:p>
      <w:pPr>
        <w:tabs>
          <w:tab w:val="left" w:pos="851"/>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本磋商文件中所引相关法律制度规定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在政府采购中有变化的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按照变化后的相关法律制度规定执行。本章规定的内容条款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在本项目递交响应文件截止时间届满后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因相关法律制度规定的变化导致不符合相关法律制度规定的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直接按照变化后的相关法律制度规定执行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本磋商文件不再做调整。</w:t>
      </w:r>
    </w:p>
    <w:p>
      <w:pPr>
        <w:shd w:val="clear" w:fill="CCE8CF" w:themeFill="background1"/>
        <w:tabs>
          <w:tab w:val="left" w:pos="851"/>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hd w:val="clear" w:fill="CCE8CF" w:themeFill="background1"/>
        <w:tabs>
          <w:tab w:val="left" w:pos="851"/>
        </w:tabs>
        <w:spacing w:line="360" w:lineRule="auto"/>
        <w:ind w:firstLine="480"/>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40、（</w:t>
      </w:r>
      <w:r>
        <w:rPr>
          <w:rFonts w:hint="eastAsia" w:ascii="宋体" w:hAnsi="宋体" w:eastAsia="宋体" w:cs="宋体"/>
          <w:b/>
          <w:color w:val="000000" w:themeColor="text1"/>
          <w:sz w:val="24"/>
          <w:highlight w:val="none"/>
          <w:shd w:val="clear" w:fill="CCE8CF" w:themeFill="background1"/>
          <w14:textFill>
            <w14:solidFill>
              <w14:schemeClr w14:val="tx1"/>
            </w14:solidFill>
          </w14:textFill>
        </w:rPr>
        <w:t>实质性要求）</w:t>
      </w:r>
      <w:r>
        <w:rPr>
          <w:rFonts w:hint="eastAsia" w:ascii="宋体" w:hAnsi="宋体" w:eastAsia="宋体" w:cs="宋体"/>
          <w:color w:val="000000" w:themeColor="text1"/>
          <w:sz w:val="24"/>
          <w:highlight w:val="none"/>
          <w:shd w:val="clear" w:fill="CCE8CF" w:themeFill="background1"/>
          <w14:textFill>
            <w14:solidFill>
              <w14:schemeClr w14:val="tx1"/>
            </w14:solidFill>
          </w14:textFill>
        </w:rPr>
        <w:t>在本次递交响应文件之前一周年内</w:t>
      </w:r>
      <w:r>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t>，</w:t>
      </w:r>
      <w:r>
        <w:rPr>
          <w:rFonts w:hint="eastAsia" w:ascii="宋体" w:hAnsi="宋体" w:eastAsia="宋体" w:cs="宋体"/>
          <w:color w:val="000000" w:themeColor="text1"/>
          <w:sz w:val="24"/>
          <w:highlight w:val="none"/>
          <w:shd w:val="clear" w:fill="CCE8CF" w:themeFill="background1"/>
          <w14:textFill>
            <w14:solidFill>
              <w14:schemeClr w14:val="tx1"/>
            </w14:solidFill>
          </w14:textFill>
        </w:rPr>
        <w:t>供应商本次磋商中对同一品牌同一型号的产品报价与其在中国境内其他地方的最低报价相比不得高于20%</w:t>
      </w:r>
      <w:r>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41.（实质性要求）</w:t>
      </w:r>
      <w:r>
        <w:rPr>
          <w:rFonts w:hint="eastAsia" w:ascii="宋体" w:hAnsi="宋体" w:eastAsia="宋体" w:cs="宋体"/>
          <w:color w:val="000000" w:themeColor="text1"/>
          <w:sz w:val="24"/>
          <w:highlight w:val="none"/>
          <w14:textFill>
            <w14:solidFill>
              <w14:schemeClr w14:val="tx1"/>
            </w14:solidFill>
          </w14:textFill>
        </w:rPr>
        <w:t>国家或行业主管部门对供应商和采购产品的技术标准、质量标准和资格资质条件等有强制性规定的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必须符合其要求。</w:t>
      </w:r>
    </w:p>
    <w:p>
      <w:pPr>
        <w:widowControl/>
        <w:jc w:val="left"/>
        <w:rPr>
          <w:rFonts w:hint="eastAsia" w:ascii="宋体" w:hAnsi="宋体" w:eastAsia="宋体" w:cs="宋体"/>
          <w:color w:val="000000" w:themeColor="text1"/>
          <w:sz w:val="2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pgNumType w:fmt="decimal" w:start="1"/>
          <w:cols w:space="720" w:num="1"/>
        </w:sectPr>
      </w:pPr>
    </w:p>
    <w:p>
      <w:pPr>
        <w:pStyle w:val="29"/>
        <w:rPr>
          <w:rFonts w:hint="eastAsia" w:ascii="宋体" w:hAnsi="宋体" w:eastAsia="宋体" w:cs="宋体"/>
          <w:color w:val="000000" w:themeColor="text1"/>
          <w:highlight w:val="none"/>
          <w14:textFill>
            <w14:solidFill>
              <w14:schemeClr w14:val="tx1"/>
            </w14:solidFill>
          </w14:textFill>
        </w:rPr>
      </w:pPr>
      <w:bookmarkStart w:id="80" w:name="_Toc509579142"/>
      <w:bookmarkStart w:id="81" w:name="_Toc14312"/>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bookmarkEnd w:id="80"/>
      <w:bookmarkEnd w:id="81"/>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参加磋商的供应商应具备下列资格条件：</w:t>
      </w:r>
    </w:p>
    <w:p>
      <w:pPr>
        <w:spacing w:line="360" w:lineRule="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（一）资格要求：</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highlight w:val="none"/>
          <w:rtl w:val="0"/>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rtl w:val="0"/>
          <w:lang w:val="en-US" w:eastAsia="zh-CN"/>
          <w14:textFill>
            <w14:solidFill>
              <w14:schemeClr w14:val="tx1"/>
            </w14:solidFill>
          </w14:textFill>
        </w:rPr>
        <w:t>本项目专门面向中小企业采购(监狱企业、残疾人福利性单位均视同小微企业)，非中小企业参与的将视为无效响应；</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3、本项目的特定资格要求：参加本次政府采购活动前三年内，供应商单位及其现任法定代表人或主要负责人无行贿犯罪记录。</w:t>
      </w:r>
    </w:p>
    <w:p>
      <w:pPr>
        <w:numPr>
          <w:ilvl w:val="0"/>
          <w:numId w:val="0"/>
        </w:num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（二）其他类似效力要求：</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授权参加本次采购活动的供应商代表证明材料。</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二、报价产品的资格、资质性及其他类似效力要求：无</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注：1.本项目确定供应商重大违法记录中较大数额罚款的金额标准是指：根据《财政部关于〈中华人民共和国政府采购法实施条例〉第十九条第一款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2.供应商在参加政府采购活动前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被纳入法院、工商行政管理部门、税务部门、银行认定的失信名单且在有效期内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或者在前三年政府采购合同履约过程中及其他经营活动履约过程中未依法履约被有关行政部门处罚（处理）的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本项目不认定其具有良好的商业信誉。</w:t>
      </w:r>
    </w:p>
    <w:p>
      <w:pPr>
        <w:pStyle w:val="2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82" w:name="_Toc509579143"/>
      <w:bookmarkStart w:id="83" w:name="_Toc10323"/>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bookmarkEnd w:id="82"/>
      <w:bookmarkEnd w:id="83"/>
    </w:p>
    <w:tbl>
      <w:tblPr>
        <w:tblStyle w:val="32"/>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78"/>
        <w:gridCol w:w="2704"/>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auto"/>
              <w:ind w:firstLine="542" w:firstLineChars="225"/>
              <w:jc w:val="center"/>
              <w:rPr>
                <w:rFonts w:hint="eastAsia" w:ascii="宋体" w:hAnsi="宋体" w:eastAsia="宋体" w:cs="宋体"/>
                <w:b/>
                <w:bCs/>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号</w:t>
            </w:r>
          </w:p>
        </w:tc>
        <w:tc>
          <w:tcPr>
            <w:tcW w:w="2704" w:type="dxa"/>
            <w:noWrap w:val="0"/>
            <w:vAlign w:val="center"/>
          </w:tcPr>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投标人资格、资质性及其他类似效力要求</w:t>
            </w:r>
          </w:p>
        </w:tc>
        <w:tc>
          <w:tcPr>
            <w:tcW w:w="4763" w:type="dxa"/>
            <w:noWrap w:val="0"/>
            <w:vAlign w:val="center"/>
          </w:tcPr>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投标人应当提供的相关证明材料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80" w:type="dxa"/>
            <w:vMerge w:val="restart"/>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求</w:t>
            </w: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具备独立的承担民事责任能力；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供应商若为企业法人：提供“统一社会信用代码营业执照”；未换证的提供“营业执照、税务登记证、组织机构代码证或三证合一的营业执照”；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若为事业法人：提供“统一社会信用代码法人登记证书”；未换证的提交“事业法人登记证书、组织机构代码证”；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若为其他组织：提供“对应主管部门颁发的准许执业证明文件或营业执照”；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若为自然人：提供“身份证明材料”</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具有良好的商业信誉和健全的财务会计制度</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（1）具有良好的商业信誉承诺函（供应商在参加采购活动前被纳入法院、工商行政管理部门、税务部门、银行认定的失信名单且在有效期内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或者在前三年采购合同履约过程中及其他经营活动履约过程中未依法履约被有关部门处罚（处理）的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不能认定为具有良好的商业信誉）。</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有健全的财务会计制度【提供2019或2020年度经审计的财务报告复印件（包含审计报告和审计报告中所涉及的财务报表附注）或者提供2019或2020年度供应商内部的财务报表复印件（至少包含资产负债表）或者提供距文件递交截止日一年内银行出具的资信证明（复印件）或者提供在工商备案的公司章程（适用于供应商注册时间至文件递交截止日不足一年的）】</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具有依法缴纳税收和社会保障资金的良好记录；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可提供近一年内任意时间段的缴纳税收的银行电子回单（票据）或者税务部门出具的纳税证明复印件</w:t>
            </w:r>
            <w:r>
              <w:rPr>
                <w:rFonts w:hint="eastAsia" w:ascii="宋体" w:hAnsi="宋体" w:eastAsia="宋体" w:cs="宋体"/>
                <w:color w:val="000000" w:themeColor="text1"/>
                <w:sz w:val="24"/>
                <w:highlight w:val="none"/>
                <w:lang w:eastAsia="zh-CN"/>
                <w14:textFill>
                  <w14:solidFill>
                    <w14:schemeClr w14:val="tx1"/>
                  </w14:solidFill>
                </w14:textFill>
              </w:rPr>
              <w:t>或承诺函</w:t>
            </w:r>
            <w:r>
              <w:rPr>
                <w:rFonts w:hint="eastAsia" w:ascii="宋体" w:hAnsi="宋体" w:eastAsia="宋体" w:cs="宋体"/>
                <w:color w:val="000000" w:themeColor="text1"/>
                <w:sz w:val="24"/>
                <w:highlight w:val="none"/>
                <w14:textFill>
                  <w14:solidFill>
                    <w14:schemeClr w14:val="tx1"/>
                  </w14:solidFill>
                </w14:textFill>
              </w:rPr>
              <w:t>、投标人近一年内任意时段的缴纳社保的银行电子回单（票据）或</w:t>
            </w:r>
            <w:r>
              <w:rPr>
                <w:rFonts w:hint="eastAsia" w:ascii="宋体" w:hAnsi="宋体" w:eastAsia="宋体" w:cs="宋体"/>
                <w:color w:val="000000" w:themeColor="text1"/>
                <w:sz w:val="24"/>
                <w:highlight w:val="none"/>
                <w:lang w:val="en-US" w:eastAsia="zh-CN"/>
                <w14:textFill>
                  <w14:solidFill>
                    <w14:schemeClr w14:val="tx1"/>
                  </w14:solidFill>
                </w14:textFill>
              </w:rPr>
              <w:t>承诺函</w:t>
            </w: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具有履行合同所必须的设备和专业技术能力；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投标人提供单位能力情况说明或同等效力的其他证明材料或承诺函</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在经营活动中没有重大违法违规记录的承诺。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法律和行政法规规定的其他条件；</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提供承诺函</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rtl w:val="0"/>
                <w:lang w:val="en-US" w:eastAsia="zh-CN" w:bidi="ar-SA"/>
                <w14:textFill>
                  <w14:solidFill>
                    <w14:schemeClr w14:val="tx1"/>
                  </w14:solidFill>
                </w14:textFill>
              </w:rPr>
              <w:t>本项目专门面向中小企业采购(监狱企业、残疾人福利性单位均视同小微企业)</w:t>
            </w:r>
            <w:r>
              <w:rPr>
                <w:rFonts w:hint="eastAsia" w:ascii="宋体" w:hAnsi="宋体" w:cs="宋体"/>
                <w:color w:val="000000" w:themeColor="text1"/>
                <w:kern w:val="2"/>
                <w:sz w:val="24"/>
                <w:szCs w:val="24"/>
                <w:highlight w:val="none"/>
                <w:rtl w:val="0"/>
                <w:lang w:val="en-US" w:eastAsia="zh-CN" w:bidi="ar-SA"/>
                <w14:textFill>
                  <w14:solidFill>
                    <w14:schemeClr w14:val="tx1"/>
                  </w14:solidFill>
                </w14:textFill>
              </w:rPr>
              <w:t>；</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提供中小企业声明函或残疾人福利性单位声明函或监狱企业的证明文件</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供应商单位及其现任法定代表人或主要负责人无行贿犯罪记录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供应商单位及其现任法定代表人或主要负责人不具有行贿犯罪记录的承诺。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80" w:type="dxa"/>
            <w:vMerge w:val="restart"/>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他</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效</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力</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求</w:t>
            </w: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法定代表人身份证明书及身份证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法定代表人参加投标时提供</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法定代表人身份证明书原件及身份证复印件</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法定代表人授权书及被授权代表身份证（非法定代表人参加投标时提供）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法定代表人授权书原件（格式见第</w:t>
            </w:r>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章）及被授权代表身份证复印件（非法定代表人参加投标时提供）</w:t>
            </w:r>
            <w:r>
              <w:rPr>
                <w:rFonts w:hint="eastAsia" w:ascii="宋体" w:hAnsi="宋体" w:cs="宋体"/>
                <w:color w:val="000000" w:themeColor="text1"/>
                <w:sz w:val="24"/>
                <w:highlight w:val="none"/>
                <w:lang w:eastAsia="zh-CN"/>
                <w14:textFill>
                  <w14:solidFill>
                    <w14:schemeClr w14:val="tx1"/>
                  </w14:solidFill>
                </w14:textFill>
              </w:rPr>
              <w:t>。</w:t>
            </w:r>
          </w:p>
        </w:tc>
      </w:tr>
    </w:tbl>
    <w:p>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注：1、以上要求的资料复印件</w:t>
      </w:r>
      <w:r>
        <w:rPr>
          <w:rFonts w:hint="eastAsia" w:ascii="宋体" w:hAnsi="宋体" w:eastAsia="宋体" w:cs="宋体"/>
          <w:b/>
          <w:bCs/>
          <w:color w:val="000000" w:themeColor="text1"/>
          <w:sz w:val="24"/>
          <w:highlight w:val="none"/>
          <w:lang w:val="en-US" w:eastAsia="zh-CN"/>
          <w14:textFill>
            <w14:solidFill>
              <w14:schemeClr w14:val="tx1"/>
            </w14:solidFill>
          </w14:textFill>
        </w:rPr>
        <w:t>及证明材料</w:t>
      </w:r>
      <w:r>
        <w:rPr>
          <w:rFonts w:hint="eastAsia" w:ascii="宋体" w:hAnsi="宋体" w:eastAsia="宋体" w:cs="宋体"/>
          <w:b/>
          <w:bCs/>
          <w:color w:val="000000" w:themeColor="text1"/>
          <w:sz w:val="24"/>
          <w:highlight w:val="none"/>
          <w14:textFill>
            <w14:solidFill>
              <w14:schemeClr w14:val="tx1"/>
            </w14:solidFill>
          </w14:textFill>
        </w:rPr>
        <w:t>均须加盖供应商单位的公章（鲜章）。</w:t>
      </w:r>
    </w:p>
    <w:p>
      <w:pPr>
        <w:spacing w:line="360" w:lineRule="auto"/>
        <w:ind w:firstLine="463" w:firstLineChars="192"/>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2、根据国务院办公厅关于加快推进“多证合一”改革的指导意见（国办发【2017】41号）等政策要求</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若资格要求涉及的登记、备案等有关事项和各类证照已实行多证合一导致供应商无法提供该类证明材料的</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供应商须提供“多证合一”的营业执照</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并就被“多证合一”整合的相关登记、备案和各类证照的真实性作出承诺（承诺函格式详见第七章）。</w:t>
      </w:r>
    </w:p>
    <w:p>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84" w:name="_Toc509579144"/>
      <w:bookmarkStart w:id="85" w:name="_Toc21951"/>
      <w:r>
        <w:rPr>
          <w:rFonts w:hint="eastAsia" w:ascii="宋体" w:hAnsi="宋体" w:eastAsia="宋体" w:cs="宋体"/>
          <w:color w:val="000000" w:themeColor="text1"/>
          <w:highlight w:val="none"/>
          <w14:textFill>
            <w14:solidFill>
              <w14:schemeClr w14:val="tx1"/>
            </w14:solidFill>
          </w14:textFill>
        </w:rPr>
        <w:t>第五章  技术、服务及其他商务要求</w:t>
      </w:r>
      <w:bookmarkEnd w:id="84"/>
      <w:bookmarkEnd w:id="85"/>
    </w:p>
    <w:bookmarkEnd w:id="69"/>
    <w:bookmarkEnd w:id="70"/>
    <w:bookmarkEnd w:id="71"/>
    <w:bookmarkEnd w:id="72"/>
    <w:bookmarkEnd w:id="73"/>
    <w:p>
      <w:pPr>
        <w:widowControl w:val="0"/>
        <w:spacing w:after="120"/>
        <w:ind w:firstLine="240" w:firstLineChars="100"/>
        <w:jc w:val="both"/>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bookmarkStart w:id="86" w:name="_Toc509579145"/>
      <w:bookmarkStart w:id="87" w:name="_Toc183582232"/>
      <w:bookmarkStart w:id="88" w:name="_Toc217446057"/>
      <w:bookmarkStart w:id="89" w:name="_Toc183682369"/>
    </w:p>
    <w:p>
      <w:pPr>
        <w:pStyle w:val="3"/>
        <w:keepNext w:val="0"/>
        <w:keepLines w:val="0"/>
        <w:spacing w:before="0" w:after="0" w:line="360" w:lineRule="auto"/>
        <w:ind w:firstLine="482" w:firstLineChars="20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一、项目概述</w:t>
      </w:r>
    </w:p>
    <w:p>
      <w:pPr>
        <w:pStyle w:val="17"/>
        <w:spacing w:before="173" w:line="374" w:lineRule="auto"/>
        <w:ind w:right="279" w:firstLine="48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成都市餐饮服务业油烟污染防治管理办法》（成办发〔2021〕67号）安装餐饮油烟在线监测系统的要求，现需以购买第三方服务的形式开展第二批重点管控区域餐饮单位安装油烟在线监测设备项目，建设运维周期为三年，实现监测数据实时共享。</w:t>
      </w:r>
    </w:p>
    <w:p>
      <w:pPr>
        <w:pStyle w:val="3"/>
        <w:keepNext w:val="0"/>
        <w:keepLines w:val="0"/>
        <w:spacing w:before="0" w:after="0" w:line="360" w:lineRule="auto"/>
        <w:ind w:firstLine="482"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二、安装点位要求</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根据前期重点区域餐饮企业安装油烟在线监测情况，目前还需安装约180家餐饮单位的在线监测设备。</w:t>
      </w:r>
    </w:p>
    <w:p>
      <w:pPr>
        <w:pStyle w:val="3"/>
        <w:keepNext w:val="0"/>
        <w:keepLines w:val="0"/>
        <w:spacing w:before="0" w:after="0" w:line="360" w:lineRule="auto"/>
        <w:ind w:firstLine="482"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eastAsia="宋体"/>
          <w:color w:val="000000" w:themeColor="text1"/>
          <w:sz w:val="24"/>
          <w:szCs w:val="24"/>
          <w:highlight w:val="none"/>
          <w:lang w:eastAsia="zh-CN"/>
          <w14:textFill>
            <w14:solidFill>
              <w14:schemeClr w14:val="tx1"/>
            </w14:solidFill>
          </w14:textFill>
        </w:rPr>
        <w:t>清单及服务要求</w:t>
      </w:r>
    </w:p>
    <w:p>
      <w:pPr>
        <w:numPr>
          <w:ilvl w:val="0"/>
          <w:numId w:val="0"/>
        </w:numPr>
        <w:ind w:left="480" w:lef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（一）</w:t>
      </w:r>
      <w:r>
        <w:rPr>
          <w:rFonts w:hint="eastAsia"/>
          <w:b/>
          <w:bCs/>
          <w:color w:val="000000" w:themeColor="text1"/>
          <w:highlight w:val="none"/>
          <w:vertAlign w:val="baseline"/>
          <w:lang w:eastAsia="zh-CN"/>
          <w14:textFill>
            <w14:solidFill>
              <w14:schemeClr w14:val="tx1"/>
            </w14:solidFill>
          </w14:textFill>
        </w:rPr>
        <w:t>清单及服务内容</w:t>
      </w:r>
    </w:p>
    <w:p>
      <w:pPr>
        <w:numPr>
          <w:ilvl w:val="0"/>
          <w:numId w:val="0"/>
        </w:numPr>
        <w:ind w:left="480" w:leftChars="0"/>
        <w:rPr>
          <w:rFonts w:hint="eastAsia"/>
          <w:color w:val="000000" w:themeColor="text1"/>
          <w:highlight w:val="none"/>
          <w:lang w:eastAsia="zh-CN"/>
          <w14:textFill>
            <w14:solidFill>
              <w14:schemeClr w14:val="tx1"/>
            </w14:solidFill>
          </w14:textFill>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50"/>
        <w:gridCol w:w="1212"/>
        <w:gridCol w:w="875"/>
        <w:gridCol w:w="5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22" w:type="dxa"/>
            <w:gridSpan w:val="5"/>
            <w:vAlign w:val="center"/>
          </w:tcPr>
          <w:p>
            <w:pPr>
              <w:pStyle w:val="17"/>
              <w:jc w:val="center"/>
              <w:rPr>
                <w:rFonts w:hint="eastAsia" w:eastAsia="宋体"/>
                <w:b/>
                <w:bCs/>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14:textFill>
                  <w14:solidFill>
                    <w14:schemeClr w14:val="tx1"/>
                  </w14:solidFill>
                </w14:textFill>
              </w:rPr>
              <w:t>第二批餐饮油烟在线监测服务项目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64" w:type="dxa"/>
            <w:vAlign w:val="center"/>
          </w:tcPr>
          <w:p>
            <w:pPr>
              <w:pStyle w:val="17"/>
              <w:jc w:val="center"/>
              <w:rPr>
                <w:rFonts w:hint="eastAsia" w:eastAsia="宋体"/>
                <w:b/>
                <w:bCs/>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序号</w:t>
            </w:r>
          </w:p>
        </w:tc>
        <w:tc>
          <w:tcPr>
            <w:tcW w:w="1962" w:type="dxa"/>
            <w:gridSpan w:val="2"/>
            <w:vAlign w:val="center"/>
          </w:tcPr>
          <w:p>
            <w:pPr>
              <w:pStyle w:val="17"/>
              <w:jc w:val="center"/>
              <w:rPr>
                <w:rFonts w:hint="eastAsia" w:eastAsia="宋体"/>
                <w:b/>
                <w:bCs/>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清单及服务内容</w:t>
            </w:r>
          </w:p>
        </w:tc>
        <w:tc>
          <w:tcPr>
            <w:tcW w:w="875" w:type="dxa"/>
            <w:vAlign w:val="center"/>
          </w:tcPr>
          <w:p>
            <w:pPr>
              <w:pStyle w:val="17"/>
              <w:jc w:val="center"/>
              <w:rPr>
                <w:rFonts w:hint="eastAsia" w:eastAsia="宋体"/>
                <w:b/>
                <w:bCs/>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单位</w:t>
            </w:r>
          </w:p>
        </w:tc>
        <w:tc>
          <w:tcPr>
            <w:tcW w:w="5021" w:type="dxa"/>
            <w:vAlign w:val="center"/>
          </w:tcPr>
          <w:p>
            <w:pPr>
              <w:pStyle w:val="17"/>
              <w:jc w:val="center"/>
              <w:rPr>
                <w:rFonts w:hint="eastAsia" w:eastAsia="宋体"/>
                <w:b/>
                <w:bCs/>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64" w:type="dxa"/>
            <w:vAlign w:val="center"/>
          </w:tcPr>
          <w:p>
            <w:pPr>
              <w:pStyle w:val="17"/>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w:t>
            </w:r>
          </w:p>
        </w:tc>
        <w:tc>
          <w:tcPr>
            <w:tcW w:w="1962" w:type="dxa"/>
            <w:gridSpan w:val="2"/>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多光源光散射油烟在线监测仪</w:t>
            </w:r>
          </w:p>
        </w:tc>
        <w:tc>
          <w:tcPr>
            <w:tcW w:w="875" w:type="dxa"/>
            <w:vAlign w:val="center"/>
          </w:tcPr>
          <w:p>
            <w:pPr>
              <w:pStyle w:val="17"/>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台</w:t>
            </w:r>
          </w:p>
        </w:tc>
        <w:tc>
          <w:tcPr>
            <w:tcW w:w="5021" w:type="dxa"/>
            <w:vAlign w:val="center"/>
          </w:tcPr>
          <w:p>
            <w:pPr>
              <w:pStyle w:val="17"/>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2代+光散射监测技术。</w:t>
            </w:r>
          </w:p>
          <w:p>
            <w:pPr>
              <w:numPr>
                <w:ilvl w:val="0"/>
                <w:numId w:val="4"/>
              </w:num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测量原理：激光散射法测量油烟含量。 （有资质(CMA)的第三方检测机构出具的检测报告，报告中注明为光散射原理）；</w:t>
            </w:r>
          </w:p>
          <w:p>
            <w:pPr>
              <w:pStyle w:val="17"/>
              <w:numPr>
                <w:ilvl w:val="0"/>
                <w:numId w:val="4"/>
              </w:numP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量程</w:t>
            </w:r>
            <w:r>
              <w:rPr>
                <w:rFonts w:hint="eastAsia"/>
                <w:color w:val="000000" w:themeColor="text1"/>
                <w:highlight w:val="none"/>
                <w:lang w:val="en-US" w:eastAsia="zh-CN"/>
                <w14:textFill>
                  <w14:solidFill>
                    <w14:schemeClr w14:val="tx1"/>
                  </w14:solidFill>
                </w14:textFill>
              </w:rPr>
              <w:t>：①油烟浓度：0~8mg/m³ （有资质(CMA)的第三方检测机构出具的检测报告）②颗粒物浓度：0~30mg/m³③非甲烷总烃浓度：0~50mg/m³</w:t>
            </w:r>
          </w:p>
          <w:p>
            <w:pPr>
              <w:numPr>
                <w:ilvl w:val="0"/>
                <w:numId w:val="4"/>
              </w:numPr>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油烟检测误差：≤±10%（有资质(CMA)的第三方检测机构出具的检测报告）</w:t>
            </w:r>
          </w:p>
          <w:p>
            <w:pPr>
              <w:pStyle w:val="17"/>
              <w:numPr>
                <w:ilvl w:val="0"/>
                <w:numId w:val="4"/>
              </w:numPr>
              <w:ind w:left="0" w:leftChars="0" w:firstLine="0" w:firstLineChars="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油烟检测1 小时零点漂移</w:t>
            </w:r>
            <w:r>
              <w:rPr>
                <w:rFonts w:hint="eastAsia"/>
                <w:color w:val="000000" w:themeColor="text1"/>
                <w:highlight w:val="none"/>
                <w:lang w:val="en-US" w:eastAsia="zh-CN"/>
                <w14:textFill>
                  <w14:solidFill>
                    <w14:schemeClr w14:val="tx1"/>
                  </w14:solidFill>
                </w14:textFill>
              </w:rPr>
              <w:t>：≤±0.1mg/m3（有资质(CMA)的第三方检测机构出具的检测报告）</w:t>
            </w:r>
          </w:p>
          <w:p>
            <w:pPr>
              <w:numPr>
                <w:ilvl w:val="0"/>
                <w:numId w:val="4"/>
              </w:numPr>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线性误差：≤±10%（有资质(CMA)的第三方检测机构出具的检测报告）</w:t>
            </w:r>
          </w:p>
          <w:p>
            <w:pPr>
              <w:pStyle w:val="17"/>
              <w:numPr>
                <w:ilvl w:val="0"/>
                <w:numId w:val="4"/>
              </w:numPr>
              <w:ind w:left="0" w:leftChars="0" w:firstLine="0" w:firstLineChars="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油烟检测响应时间</w:t>
            </w:r>
            <w:r>
              <w:rPr>
                <w:rFonts w:hint="eastAsia"/>
                <w:color w:val="000000" w:themeColor="text1"/>
                <w:highlight w:val="none"/>
                <w:lang w:val="en-US" w:eastAsia="zh-CN"/>
                <w14:textFill>
                  <w14:solidFill>
                    <w14:schemeClr w14:val="tx1"/>
                  </w14:solidFill>
                </w14:textFill>
              </w:rPr>
              <w:t>：T90≤10S</w:t>
            </w:r>
          </w:p>
          <w:p>
            <w:pPr>
              <w:numPr>
                <w:ilvl w:val="0"/>
                <w:numId w:val="4"/>
              </w:numPr>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工作温度：-10~55℃</w:t>
            </w:r>
          </w:p>
          <w:p>
            <w:pPr>
              <w:pStyle w:val="17"/>
              <w:numPr>
                <w:ilvl w:val="0"/>
                <w:numId w:val="4"/>
              </w:numPr>
              <w:ind w:left="0" w:leftChars="0" w:firstLine="0" w:firstLineChars="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传输方式</w:t>
            </w:r>
            <w:r>
              <w:rPr>
                <w:rFonts w:hint="eastAsia"/>
                <w:color w:val="000000" w:themeColor="text1"/>
                <w:highlight w:val="none"/>
                <w:lang w:val="en-US" w:eastAsia="zh-CN"/>
                <w14:textFill>
                  <w14:solidFill>
                    <w14:schemeClr w14:val="tx1"/>
                  </w14:solidFill>
                </w14:textFill>
              </w:rPr>
              <w:t>：带有 4G/5G 等无线通信接口，以及最少 1 路 RS-232 接口</w:t>
            </w:r>
          </w:p>
          <w:p>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9）数字接口：预留数据接口传输至甲方指定其他管理平台。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64" w:type="dxa"/>
            <w:vMerge w:val="restart"/>
            <w:vAlign w:val="center"/>
          </w:tcPr>
          <w:p>
            <w:pPr>
              <w:pStyle w:val="17"/>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w:t>
            </w:r>
          </w:p>
        </w:tc>
        <w:tc>
          <w:tcPr>
            <w:tcW w:w="750" w:type="dxa"/>
            <w:vMerge w:val="restart"/>
            <w:vAlign w:val="center"/>
          </w:tcPr>
          <w:p>
            <w:pPr>
              <w:pStyle w:val="17"/>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软 件</w:t>
            </w:r>
          </w:p>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p>
        </w:tc>
        <w:tc>
          <w:tcPr>
            <w:tcW w:w="1212" w:type="dxa"/>
            <w:vAlign w:val="center"/>
          </w:tcPr>
          <w:p>
            <w:pPr>
              <w:pStyle w:val="17"/>
              <w:numPr>
                <w:ilvl w:val="0"/>
                <w:numId w:val="0"/>
              </w:num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餐饮油烟管理服务平台</w:t>
            </w:r>
          </w:p>
        </w:tc>
        <w:tc>
          <w:tcPr>
            <w:tcW w:w="875" w:type="dxa"/>
            <w:vAlign w:val="center"/>
          </w:tcPr>
          <w:p>
            <w:pPr>
              <w:pStyle w:val="17"/>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含</w:t>
            </w:r>
            <w:r>
              <w:rPr>
                <w:rFonts w:hint="eastAsia"/>
                <w:color w:val="000000" w:themeColor="text1"/>
                <w:highlight w:val="none"/>
                <w:vertAlign w:val="baseline"/>
                <w14:textFill>
                  <w14:solidFill>
                    <w14:schemeClr w14:val="tx1"/>
                  </w14:solidFill>
                </w14:textFill>
              </w:rPr>
              <w:t>平台，收取人工和技术支持费，配备2位技术人员。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64" w:type="dxa"/>
            <w:vMerge w:val="continue"/>
            <w:vAlign w:val="center"/>
          </w:tcPr>
          <w:p>
            <w:pPr>
              <w:pStyle w:val="17"/>
              <w:jc w:val="center"/>
              <w:rPr>
                <w:rFonts w:hint="eastAsia"/>
                <w:color w:val="000000" w:themeColor="text1"/>
                <w:highlight w:val="none"/>
                <w:vertAlign w:val="baseline"/>
                <w:lang w:val="en-US" w:eastAsia="zh-CN"/>
                <w14:textFill>
                  <w14:solidFill>
                    <w14:schemeClr w14:val="tx1"/>
                  </w14:solidFill>
                </w14:textFill>
              </w:rPr>
            </w:pPr>
          </w:p>
        </w:tc>
        <w:tc>
          <w:tcPr>
            <w:tcW w:w="750" w:type="dxa"/>
            <w:vMerge w:val="continue"/>
            <w:vAlign w:val="center"/>
          </w:tcPr>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p>
        </w:tc>
        <w:tc>
          <w:tcPr>
            <w:tcW w:w="1212" w:type="dxa"/>
            <w:vAlign w:val="center"/>
          </w:tcPr>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数据储存</w:t>
            </w:r>
          </w:p>
        </w:tc>
        <w:tc>
          <w:tcPr>
            <w:tcW w:w="875"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含</w:t>
            </w:r>
            <w:r>
              <w:rPr>
                <w:rFonts w:hint="eastAsia"/>
                <w:color w:val="000000" w:themeColor="text1"/>
                <w:highlight w:val="none"/>
                <w:vertAlign w:val="baseline"/>
                <w14:textFill>
                  <w14:solidFill>
                    <w14:schemeClr w14:val="tx1"/>
                  </w14:solidFill>
                </w14:textFill>
              </w:rPr>
              <w:t>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4" w:type="dxa"/>
            <w:vMerge w:val="continue"/>
            <w:vAlign w:val="center"/>
          </w:tcPr>
          <w:p>
            <w:pPr>
              <w:pStyle w:val="17"/>
              <w:jc w:val="center"/>
              <w:rPr>
                <w:rFonts w:hint="eastAsia"/>
                <w:color w:val="000000" w:themeColor="text1"/>
                <w:highlight w:val="none"/>
                <w:vertAlign w:val="baseline"/>
                <w:lang w:val="en-US" w:eastAsia="zh-CN"/>
                <w14:textFill>
                  <w14:solidFill>
                    <w14:schemeClr w14:val="tx1"/>
                  </w14:solidFill>
                </w14:textFill>
              </w:rPr>
            </w:pPr>
          </w:p>
        </w:tc>
        <w:tc>
          <w:tcPr>
            <w:tcW w:w="750" w:type="dxa"/>
            <w:vMerge w:val="continue"/>
            <w:vAlign w:val="center"/>
          </w:tcPr>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p>
        </w:tc>
        <w:tc>
          <w:tcPr>
            <w:tcW w:w="1212" w:type="dxa"/>
            <w:vAlign w:val="center"/>
          </w:tcPr>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移动终端</w:t>
            </w:r>
          </w:p>
        </w:tc>
        <w:tc>
          <w:tcPr>
            <w:tcW w:w="875"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含</w:t>
            </w:r>
            <w:r>
              <w:rPr>
                <w:rFonts w:hint="eastAsia"/>
                <w:color w:val="000000" w:themeColor="text1"/>
                <w:highlight w:val="none"/>
                <w:vertAlign w:val="baseline"/>
                <w14:textFill>
                  <w14:solidFill>
                    <w14:schemeClr w14:val="tx1"/>
                  </w14:solidFill>
                </w14:textFill>
              </w:rPr>
              <w:t>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64" w:type="dxa"/>
            <w:vMerge w:val="continue"/>
            <w:vAlign w:val="center"/>
          </w:tcPr>
          <w:p>
            <w:pPr>
              <w:pStyle w:val="17"/>
              <w:jc w:val="center"/>
              <w:rPr>
                <w:rFonts w:hint="eastAsia"/>
                <w:color w:val="000000" w:themeColor="text1"/>
                <w:highlight w:val="none"/>
                <w:vertAlign w:val="baseline"/>
                <w:lang w:val="en-US" w:eastAsia="zh-CN"/>
                <w14:textFill>
                  <w14:solidFill>
                    <w14:schemeClr w14:val="tx1"/>
                  </w14:solidFill>
                </w14:textFill>
              </w:rPr>
            </w:pPr>
          </w:p>
        </w:tc>
        <w:tc>
          <w:tcPr>
            <w:tcW w:w="750" w:type="dxa"/>
            <w:vMerge w:val="continue"/>
            <w:vAlign w:val="center"/>
          </w:tcPr>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p>
        </w:tc>
        <w:tc>
          <w:tcPr>
            <w:tcW w:w="1212" w:type="dxa"/>
            <w:vAlign w:val="center"/>
          </w:tcPr>
          <w:p>
            <w:pPr>
              <w:pStyle w:val="31"/>
              <w:numPr>
                <w:ilvl w:val="0"/>
                <w:numId w:val="0"/>
              </w:numPr>
              <w:ind w:leftChars="0"/>
              <w:jc w:val="cente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培训</w:t>
            </w:r>
          </w:p>
        </w:tc>
        <w:tc>
          <w:tcPr>
            <w:tcW w:w="875"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平台培训1人</w:t>
            </w:r>
            <w:r>
              <w:rPr>
                <w:rFonts w:hint="eastAsia"/>
                <w:color w:val="000000" w:themeColor="text1"/>
                <w:highlight w:val="none"/>
                <w:vertAlign w:val="baseline"/>
                <w:lang w:eastAsia="zh-CN"/>
                <w14:textFill>
                  <w14:solidFill>
                    <w14:schemeClr w14:val="tx1"/>
                  </w14:solidFill>
                </w14:textFill>
              </w:rPr>
              <w:t>，</w:t>
            </w:r>
            <w:r>
              <w:rPr>
                <w:rFonts w:hint="eastAsia"/>
                <w:color w:val="000000" w:themeColor="text1"/>
                <w:highlight w:val="none"/>
                <w:vertAlign w:val="baseline"/>
                <w14:textFill>
                  <w14:solidFill>
                    <w14:schemeClr w14:val="tx1"/>
                  </w14:solidFill>
                </w14:textFill>
              </w:rPr>
              <w:t>点位现场培训1人。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4" w:type="dxa"/>
            <w:vMerge w:val="restart"/>
            <w:vAlign w:val="center"/>
          </w:tcPr>
          <w:p>
            <w:pPr>
              <w:pStyle w:val="17"/>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3</w:t>
            </w:r>
          </w:p>
        </w:tc>
        <w:tc>
          <w:tcPr>
            <w:tcW w:w="750" w:type="dxa"/>
            <w:vMerge w:val="restart"/>
            <w:vAlign w:val="center"/>
          </w:tcPr>
          <w:p>
            <w:pPr>
              <w:pStyle w:val="17"/>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运 维</w:t>
            </w:r>
          </w:p>
        </w:tc>
        <w:tc>
          <w:tcPr>
            <w:tcW w:w="1212" w:type="dxa"/>
            <w:vAlign w:val="center"/>
          </w:tcPr>
          <w:p>
            <w:pPr>
              <w:pStyle w:val="31"/>
              <w:numPr>
                <w:ilvl w:val="0"/>
                <w:numId w:val="0"/>
              </w:num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安装耗材</w:t>
            </w:r>
          </w:p>
        </w:tc>
        <w:tc>
          <w:tcPr>
            <w:tcW w:w="875"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线缆、套线管等耗材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64" w:type="dxa"/>
            <w:vMerge w:val="continue"/>
            <w:vAlign w:val="center"/>
          </w:tcPr>
          <w:p>
            <w:pPr>
              <w:pStyle w:val="17"/>
              <w:jc w:val="center"/>
              <w:rPr>
                <w:rFonts w:hint="eastAsia"/>
                <w:color w:val="000000" w:themeColor="text1"/>
                <w:highlight w:val="none"/>
                <w:vertAlign w:val="baseline"/>
                <w:lang w:val="en-US" w:eastAsia="zh-CN"/>
                <w14:textFill>
                  <w14:solidFill>
                    <w14:schemeClr w14:val="tx1"/>
                  </w14:solidFill>
                </w14:textFill>
              </w:rPr>
            </w:pPr>
          </w:p>
        </w:tc>
        <w:tc>
          <w:tcPr>
            <w:tcW w:w="750" w:type="dxa"/>
            <w:vMerge w:val="continue"/>
            <w:vAlign w:val="center"/>
          </w:tcPr>
          <w:p>
            <w:pPr>
              <w:pStyle w:val="31"/>
              <w:numPr>
                <w:ilvl w:val="0"/>
                <w:numId w:val="0"/>
              </w:numPr>
              <w:jc w:val="center"/>
              <w:rPr>
                <w:rFonts w:hint="eastAsia"/>
                <w:color w:val="000000" w:themeColor="text1"/>
                <w:highlight w:val="none"/>
                <w:lang w:eastAsia="zh-CN"/>
                <w14:textFill>
                  <w14:solidFill>
                    <w14:schemeClr w14:val="tx1"/>
                  </w14:solidFill>
                </w14:textFill>
              </w:rPr>
            </w:pPr>
          </w:p>
        </w:tc>
        <w:tc>
          <w:tcPr>
            <w:tcW w:w="1212" w:type="dxa"/>
            <w:vAlign w:val="center"/>
          </w:tcPr>
          <w:p>
            <w:pPr>
              <w:pStyle w:val="31"/>
              <w:numPr>
                <w:ilvl w:val="0"/>
                <w:numId w:val="0"/>
              </w:num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人工</w:t>
            </w:r>
          </w:p>
        </w:tc>
        <w:tc>
          <w:tcPr>
            <w:tcW w:w="875"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配备5位人员进行巡检，</w:t>
            </w:r>
          </w:p>
          <w:p>
            <w:pPr>
              <w:pStyle w:val="17"/>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其中1位项目负责人，</w:t>
            </w:r>
          </w:p>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4位安装走访人员。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64" w:type="dxa"/>
            <w:vMerge w:val="continue"/>
            <w:vAlign w:val="center"/>
          </w:tcPr>
          <w:p>
            <w:pPr>
              <w:pStyle w:val="17"/>
              <w:jc w:val="center"/>
              <w:rPr>
                <w:rFonts w:hint="eastAsia"/>
                <w:color w:val="000000" w:themeColor="text1"/>
                <w:highlight w:val="none"/>
                <w:vertAlign w:val="baseline"/>
                <w:lang w:val="en-US" w:eastAsia="zh-CN"/>
                <w14:textFill>
                  <w14:solidFill>
                    <w14:schemeClr w14:val="tx1"/>
                  </w14:solidFill>
                </w14:textFill>
              </w:rPr>
            </w:pPr>
          </w:p>
        </w:tc>
        <w:tc>
          <w:tcPr>
            <w:tcW w:w="750" w:type="dxa"/>
            <w:vMerge w:val="continue"/>
            <w:vAlign w:val="center"/>
          </w:tcPr>
          <w:p>
            <w:pPr>
              <w:pStyle w:val="31"/>
              <w:numPr>
                <w:ilvl w:val="0"/>
                <w:numId w:val="0"/>
              </w:numPr>
              <w:jc w:val="center"/>
              <w:rPr>
                <w:rFonts w:hint="eastAsia"/>
                <w:color w:val="000000" w:themeColor="text1"/>
                <w:highlight w:val="none"/>
                <w:lang w:eastAsia="zh-CN"/>
                <w14:textFill>
                  <w14:solidFill>
                    <w14:schemeClr w14:val="tx1"/>
                  </w14:solidFill>
                </w14:textFill>
              </w:rPr>
            </w:pPr>
          </w:p>
        </w:tc>
        <w:tc>
          <w:tcPr>
            <w:tcW w:w="1212" w:type="dxa"/>
            <w:vAlign w:val="center"/>
          </w:tcPr>
          <w:p>
            <w:pPr>
              <w:pStyle w:val="31"/>
              <w:numPr>
                <w:ilvl w:val="0"/>
                <w:numId w:val="0"/>
              </w:num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清洗设备</w:t>
            </w:r>
          </w:p>
        </w:tc>
        <w:tc>
          <w:tcPr>
            <w:tcW w:w="875" w:type="dxa"/>
            <w:vAlign w:val="center"/>
          </w:tcPr>
          <w:p>
            <w:pPr>
              <w:pStyle w:val="17"/>
              <w:jc w:val="cente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点</w:t>
            </w:r>
            <w:r>
              <w:rPr>
                <w:rFonts w:hint="eastAsia"/>
                <w:color w:val="000000" w:themeColor="text1"/>
                <w:highlight w:val="none"/>
                <w:vertAlign w:val="baseline"/>
                <w:lang w:val="en-US" w:eastAsia="zh-CN"/>
                <w14:textFill>
                  <w14:solidFill>
                    <w14:schemeClr w14:val="tx1"/>
                  </w14:solidFill>
                </w14:textFill>
              </w:rPr>
              <w:t>/3年</w:t>
            </w:r>
          </w:p>
        </w:tc>
        <w:tc>
          <w:tcPr>
            <w:tcW w:w="5021" w:type="dxa"/>
            <w:vAlign w:val="center"/>
          </w:tcPr>
          <w:p>
            <w:pPr>
              <w:pStyle w:val="17"/>
              <w:jc w:val="both"/>
              <w:rPr>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配备3人定期对监测设备清洗，保持数据准确、正常运转。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pStyle w:val="17"/>
              <w:jc w:val="both"/>
              <w:rPr>
                <w:rFonts w:hint="eastAsia" w:eastAsia="宋体"/>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注：</w:t>
            </w:r>
            <w:r>
              <w:rPr>
                <w:rFonts w:hint="eastAsia"/>
                <w:b/>
                <w:bCs/>
                <w:color w:val="000000" w:themeColor="text1"/>
                <w:highlight w:val="none"/>
                <w:vertAlign w:val="baseline"/>
                <w14:textFill>
                  <w14:solidFill>
                    <w14:schemeClr w14:val="tx1"/>
                  </w14:solidFill>
                </w14:textFill>
              </w:rPr>
              <w:t>服务周期三年，</w:t>
            </w:r>
            <w:r>
              <w:rPr>
                <w:rFonts w:hint="eastAsia"/>
                <w:b/>
                <w:bCs/>
                <w:color w:val="000000" w:themeColor="text1"/>
                <w:highlight w:val="none"/>
                <w:vertAlign w:val="baseline"/>
                <w:lang w:eastAsia="zh-CN"/>
                <w14:textFill>
                  <w14:solidFill>
                    <w14:schemeClr w14:val="tx1"/>
                  </w14:solidFill>
                </w14:textFill>
              </w:rPr>
              <w:t>安装点位共计约</w:t>
            </w:r>
            <w:r>
              <w:rPr>
                <w:rFonts w:hint="eastAsia"/>
                <w:b/>
                <w:bCs/>
                <w:color w:val="000000" w:themeColor="text1"/>
                <w:highlight w:val="none"/>
                <w:vertAlign w:val="baseline"/>
                <w:lang w:val="en-US" w:eastAsia="zh-CN"/>
                <w14:textFill>
                  <w14:solidFill>
                    <w14:schemeClr w14:val="tx1"/>
                  </w14:solidFill>
                </w14:textFill>
              </w:rPr>
              <w:t>180个，</w:t>
            </w:r>
            <w:r>
              <w:rPr>
                <w:rFonts w:hint="eastAsia"/>
                <w:b/>
                <w:bCs/>
                <w:color w:val="000000" w:themeColor="text1"/>
                <w:highlight w:val="none"/>
                <w:vertAlign w:val="baseline"/>
                <w14:textFill>
                  <w14:solidFill>
                    <w14:schemeClr w14:val="tx1"/>
                  </w14:solidFill>
                </w14:textFill>
              </w:rPr>
              <w:t>以上含交通、通讯和运费</w:t>
            </w:r>
            <w:r>
              <w:rPr>
                <w:rFonts w:hint="eastAsia"/>
                <w:b/>
                <w:bCs/>
                <w:color w:val="000000" w:themeColor="text1"/>
                <w:highlight w:val="none"/>
                <w:vertAlign w:val="baseline"/>
                <w:lang w:eastAsia="zh-CN"/>
                <w14:textFill>
                  <w14:solidFill>
                    <w14:schemeClr w14:val="tx1"/>
                  </w14:solidFill>
                </w14:textFill>
              </w:rPr>
              <w:t>等完成本项目的所有费用。</w:t>
            </w:r>
          </w:p>
        </w:tc>
      </w:tr>
    </w:tbl>
    <w:p>
      <w:pPr>
        <w:pStyle w:val="31"/>
        <w:spacing w:line="360" w:lineRule="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（二）运维要求</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1、运维单位（在线数据供应商）必须建立完善的运行维护工作规范与质量管理体系，确保提供及时、准确和有效的在线监测数据</w:t>
      </w:r>
      <w:bookmarkStart w:id="90" w:name="_Hlk86762445"/>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（含净化器电流值）</w:t>
      </w:r>
      <w:bookmarkEnd w:id="90"/>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2、平台系统以及监测设备的正常工作，数据传输符合《污染物在线自动监控(监测)系统数据传输标准》(HJ 212-2017)要求；</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3、数据购买服务周期为：3年 ；</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4、运维单位保证当监测设备出现故障时，应在 12小时内响应，24小时内到达现场解决（通讯线路、电力线路故障除外，但应及时与相关部门联系并积极解决）。若设备故障无法排除，运维单位必须在72小时内提供并更换相应的备机，保证系统正常运行；</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运维单位须自行付费负责修理和更换任何由于设备自身质量问题造成的损坏及故障。修好后，运维单位需一式两份报告给采购人或在平台输入故障解决台账，包括故障原因，解决措施，完成修理所需时间及恢复正常运行周期；</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6、服务期内，非人为原因损坏、失效或已达到报废标准的零部件除无偿更换外，设备本身缺陷造成各种故障也应由运维单位免费技术服务和维修，以保障在线数据服务的有效性；</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7、服务期内，采购人应加强对安装在线监测设备餐饮单位的宣传、教育和监管，以杜绝监测设备的人为</w:t>
      </w:r>
      <w:bookmarkStart w:id="91" w:name="_Hlk85122491"/>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损坏、丢失</w:t>
      </w:r>
      <w:bookmarkEnd w:id="91"/>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。如有损坏、丢失，由采购人责令餐饮单位照价赔偿；</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8、对于因洪水、地震、飓风、台风、火灾、爆炸、恐怖袭击、武装冲突、蓄意破环等不可抗力所造成的仪器损坏导致的仪器报废，运维单位要先行提供备机开展监测，随后进行更换并及时报告采购人；</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9、运维单位需对产品的专利等著作权负责，并保证不伤害采购人的利益。 在法律范围内，所有文字、商标和技术侵权造成的相关费用，采购人概不负责；在本项目使用的任何产品（包括部分使用）时，不会产生因第三方提出侵犯其专利权、商标权或其它知识产权而引起的法律和经济纠</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纷</w:t>
      </w:r>
      <w:r>
        <w:rPr>
          <w:rFonts w:hint="eastAsia" w:cs="Times New Roman"/>
          <w:b/>
          <w:bCs/>
          <w:color w:val="000000" w:themeColor="text1"/>
          <w:kern w:val="2"/>
          <w:sz w:val="24"/>
          <w:szCs w:val="24"/>
          <w:highlight w:val="none"/>
          <w:lang w:val="en-US" w:eastAsia="zh-CN" w:bidi="ar-SA"/>
          <w14:textFill>
            <w14:solidFill>
              <w14:schemeClr w14:val="tx1"/>
            </w14:solidFill>
          </w14:textFill>
        </w:rPr>
        <w:t>（提供承诺函）</w:t>
      </w:r>
      <w:r>
        <w:rPr>
          <w:rFonts w:hint="eastAsia" w:cs="Times New Roman"/>
          <w:color w:val="000000" w:themeColor="text1"/>
          <w:kern w:val="2"/>
          <w:sz w:val="24"/>
          <w:szCs w:val="24"/>
          <w:highlight w:val="none"/>
          <w:lang w:val="en-US" w:eastAsia="zh-CN" w:bidi="ar-SA"/>
          <w14:textFill>
            <w14:solidFill>
              <w14:schemeClr w14:val="tx1"/>
            </w14:solidFill>
          </w14:textFill>
        </w:rPr>
        <w:t>；</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10、运维单位必须严格遵守国家法律、法规，严格按照国家标准、环境监测 技术规范开展监测工作，保证和维护监测工作的科学性、公正性、诚实性、判断 独立性、保密性，确保高质量地完成监测任务；</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11、运维单位应承担监测数据的保密责任，不得利用本项目的数据、档案或有关资料对外开展技术交流、业务联系、数据交换或其它工商业活动等；</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12、运维期间，运维单位应按安全生产有关规定，建立安全生产制度，切实消除安全隐患；</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13、培训要求。运维单位有义务对采购人采购数据的正确查看和手机APP的正常使用提供必要的培训，包括监测设备工作原理、工作状态、数据传输和使用、配置管理、性能优化以及硬件等基础知识</w:t>
      </w:r>
      <w:r>
        <w:rPr>
          <w:rFonts w:hint="eastAsia" w:cs="Times New Roman"/>
          <w:color w:val="000000" w:themeColor="text1"/>
          <w:kern w:val="2"/>
          <w:sz w:val="24"/>
          <w:szCs w:val="24"/>
          <w:highlight w:val="none"/>
          <w:lang w:val="en-US" w:eastAsia="zh-CN" w:bidi="ar-SA"/>
          <w14:textFill>
            <w14:solidFill>
              <w14:schemeClr w14:val="tx1"/>
            </w14:solidFill>
          </w14:textFill>
        </w:rPr>
        <w:t>。</w:t>
      </w:r>
    </w:p>
    <w:p>
      <w:pPr>
        <w:pStyle w:val="3"/>
        <w:keepNext w:val="0"/>
        <w:keepLines w:val="0"/>
        <w:spacing w:before="0" w:after="0" w:line="360" w:lineRule="auto"/>
        <w:ind w:firstLine="482"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四、</w:t>
      </w:r>
      <w:r>
        <w:rPr>
          <w:rFonts w:hint="eastAsia" w:ascii="宋体" w:hAnsi="宋体" w:eastAsia="宋体"/>
          <w:color w:val="000000" w:themeColor="text1"/>
          <w:sz w:val="24"/>
          <w:szCs w:val="24"/>
          <w:highlight w:val="none"/>
          <w14:textFill>
            <w14:solidFill>
              <w14:schemeClr w14:val="tx1"/>
            </w14:solidFill>
          </w14:textFill>
        </w:rPr>
        <w:t>成果要求</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1、建立监测区域油烟排放清单和台账；</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2、实现手机移动端和平台软件进行实时监测，并具备异常预、报警功能和油烟排放健康码功能；</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3、形成可复制的第三方数据服务运维模式，以便在全区推广。</w:t>
      </w:r>
    </w:p>
    <w:p>
      <w:pPr>
        <w:pStyle w:val="3"/>
        <w:keepNext w:val="0"/>
        <w:keepLines w:val="0"/>
        <w:spacing w:before="0" w:after="0" w:line="360" w:lineRule="auto"/>
        <w:ind w:firstLine="482"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eastAsia="zh-CN"/>
          <w14:textFill>
            <w14:solidFill>
              <w14:schemeClr w14:val="tx1"/>
            </w14:solidFill>
          </w14:textFill>
        </w:rPr>
        <w:t>五</w:t>
      </w:r>
      <w:r>
        <w:rPr>
          <w:rFonts w:hint="eastAsia" w:ascii="宋体" w:hAnsi="宋体" w:eastAsia="宋体"/>
          <w:color w:val="000000" w:themeColor="text1"/>
          <w:sz w:val="24"/>
          <w:szCs w:val="24"/>
          <w:highlight w:val="none"/>
          <w14:textFill>
            <w14:solidFill>
              <w14:schemeClr w14:val="tx1"/>
            </w14:solidFill>
          </w14:textFill>
        </w:rPr>
        <w:t>、商务要求</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、服务期限</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合同签订生效之日起120天内完成硬件建设和验收合格正式运行，并提供连续3年在线数据服务。</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、履约地点：采购人指定地点</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、付款方式</w:t>
      </w:r>
    </w:p>
    <w:p>
      <w:pPr>
        <w:snapToGrid w:val="0"/>
        <w:spacing w:before="0" w:beforeAutospacing="0" w:after="0" w:afterAutospacing="0" w:line="360" w:lineRule="auto"/>
        <w:ind w:firstLine="238" w:firstLineChars="100"/>
        <w:textAlignment w:val="baseline"/>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b w:val="0"/>
          <w:i w:val="0"/>
          <w:caps w:val="0"/>
          <w:color w:val="000000" w:themeColor="text1"/>
          <w:spacing w:val="-1"/>
          <w:w w:val="100"/>
          <w:sz w:val="24"/>
          <w:szCs w:val="24"/>
          <w:highlight w:val="none"/>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）项目签订合同后收到供应商开具正式发票后1个月内，支付项目总金额费用的50%，项目验收合格并签署验收报告后进入服务期；剩余50%费用</w:t>
      </w:r>
      <w:r>
        <w:rPr>
          <w:rFonts w:hint="eastAsia" w:cs="Times New Roman"/>
          <w:color w:val="000000" w:themeColor="text1"/>
          <w:kern w:val="2"/>
          <w:sz w:val="24"/>
          <w:szCs w:val="24"/>
          <w:highlight w:val="none"/>
          <w:lang w:val="en-US" w:eastAsia="zh-CN" w:bidi="ar-SA"/>
          <w14:textFill>
            <w14:solidFill>
              <w14:schemeClr w14:val="tx1"/>
            </w14:solidFill>
          </w14:textFill>
        </w:rPr>
        <w:t>经采</w:t>
      </w:r>
      <w:r>
        <w:rPr>
          <w:rFonts w:hint="eastAsia" w:cs="Times New Roman"/>
          <w:color w:val="000000" w:themeColor="text1"/>
          <w:kern w:val="2"/>
          <w:sz w:val="24"/>
          <w:szCs w:val="24"/>
          <w:highlight w:val="none"/>
          <w:lang w:val="en-US" w:eastAsia="zh-CN" w:bidi="ar-SA"/>
          <w14:textFill>
            <w14:solidFill>
              <w14:schemeClr w14:val="tx1"/>
            </w14:solidFill>
          </w14:textFill>
        </w:rPr>
        <w:t>购人年度考核合格后</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分三年付清，第一年支付15%，第二年支付20%，第三年支付15%。</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2）成交人须向采购人出具合法有效完整的完税发票及凭证资料后进行支付结算，付款方式均采用公对公的银行转账，采购人接受转账的开户信息以采购合同载明的为准。</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、在线数据服务期（3年）届满前一个月，成交人应和采购人确定的运维服务单位进行无缝对接。</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、验收方法和标准</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成交供应商与采购人应严格按照国家现行有关行业规定、技术规范和要求、《财政部关于进一步加强政府采购需求和履约验收管理的指导意见》（财库〔2016〕205号）</w:t>
      </w:r>
      <w:r>
        <w:rPr>
          <w:rFonts w:hint="eastAsia" w:cs="Times New Roman"/>
          <w:color w:val="000000" w:themeColor="text1"/>
          <w:kern w:val="2"/>
          <w:sz w:val="24"/>
          <w:szCs w:val="24"/>
          <w:highlight w:val="none"/>
          <w:lang w:val="en-US" w:eastAsia="zh-CN" w:bidi="ar-SA"/>
          <w14:textFill>
            <w14:solidFill>
              <w14:schemeClr w14:val="tx1"/>
            </w14:solidFill>
          </w14:textFill>
        </w:rPr>
        <w:t>以及采购文件和供应商的响应文件来进行履约验收</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pPr>
        <w:pStyle w:val="31"/>
        <w:spacing w:line="360" w:lineRule="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pPr>
        <w:pStyle w:val="16"/>
        <w:ind w:firstLine="482" w:firstLineChars="200"/>
        <w:rPr>
          <w:rFonts w:hint="eastAsia" w:eastAsia="仿宋"/>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注：以上打★内容均为实质性要求，不允许负偏离。</w:t>
      </w:r>
      <w:r>
        <w:rPr>
          <w:rFonts w:hint="eastAsia" w:ascii="仿宋" w:hAnsi="仿宋" w:eastAsia="仿宋"/>
          <w:b/>
          <w:color w:val="000000" w:themeColor="text1"/>
          <w:sz w:val="24"/>
          <w:szCs w:val="24"/>
          <w:highlight w:val="none"/>
          <w:lang w:eastAsia="zh-CN"/>
          <w14:textFill>
            <w14:solidFill>
              <w14:schemeClr w14:val="tx1"/>
            </w14:solidFill>
          </w14:textFill>
        </w:rPr>
        <w:t>若出现负偏离，将作为无效响应处理。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9"/>
        <w:jc w:val="center"/>
        <w:rPr>
          <w:rFonts w:hint="eastAsia" w:ascii="宋体" w:hAnsi="宋体" w:eastAsia="宋体" w:cs="宋体"/>
          <w:color w:val="000000" w:themeColor="text1"/>
          <w:highlight w:val="none"/>
          <w14:textFill>
            <w14:solidFill>
              <w14:schemeClr w14:val="tx1"/>
            </w14:solidFill>
          </w14:textFill>
        </w:rPr>
      </w:pPr>
      <w:bookmarkStart w:id="92" w:name="_Toc31842"/>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bookmarkEnd w:id="86"/>
      <w:bookmarkEnd w:id="92"/>
    </w:p>
    <w:p>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tabs>
          <w:tab w:val="left" w:pos="7665"/>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通过政采云系统通知所有参加磋商的供应商，</w:t>
      </w:r>
      <w:r>
        <w:rPr>
          <w:rFonts w:hint="eastAsia" w:ascii="宋体" w:hAnsi="宋体" w:eastAsia="宋体" w:cs="宋体"/>
          <w:b/>
          <w:bCs/>
          <w:color w:val="000000" w:themeColor="text1"/>
          <w:sz w:val="24"/>
          <w:szCs w:val="24"/>
          <w:highlight w:val="none"/>
          <w14:textFill>
            <w14:solidFill>
              <w14:schemeClr w14:val="tx1"/>
            </w14:solidFill>
          </w14:textFill>
        </w:rPr>
        <w:t>供应商应随时关注系统提示，及时通过“政府采购云平台”在线响应磋商小组发出的澄清、说明或补正要求，签章并确认提交成功。逾时回复将不能提交，视为供应商自行放弃，其损失由供应商承担。</w:t>
      </w:r>
    </w:p>
    <w:p>
      <w:pPr>
        <w:tabs>
          <w:tab w:val="left" w:pos="7665"/>
        </w:tabs>
        <w:spacing w:line="400" w:lineRule="exact"/>
        <w:ind w:firstLine="480"/>
        <w:rPr>
          <w:rFonts w:hint="eastAsia" w:ascii="宋体" w:hAnsi="宋体" w:eastAsia="宋体" w:cs="宋体"/>
          <w:bCs/>
          <w:color w:val="000000" w:themeColor="text1"/>
          <w:sz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
          <w:bCs/>
          <w:color w:val="000000" w:themeColor="text1"/>
          <w:sz w:val="32"/>
          <w:szCs w:val="32"/>
          <w:highlight w:val="none"/>
          <w14:textFill>
            <w14:solidFill>
              <w14:schemeClr w14:val="tx1"/>
            </w14:solidFill>
          </w14:textFill>
        </w:rPr>
      </w:pP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93" w:name="_Toc509579146"/>
      <w:bookmarkStart w:id="94" w:name="_Toc15094"/>
      <w:r>
        <w:rPr>
          <w:rFonts w:hint="eastAsia" w:ascii="宋体" w:hAnsi="宋体" w:eastAsia="宋体" w:cs="宋体"/>
          <w:color w:val="000000" w:themeColor="text1"/>
          <w:highlight w:val="none"/>
          <w14:textFill>
            <w14:solidFill>
              <w14:schemeClr w14:val="tx1"/>
            </w14:solidFill>
          </w14:textFill>
        </w:rPr>
        <w:t>第七章  响应文件格式</w:t>
      </w:r>
      <w:bookmarkEnd w:id="93"/>
      <w:bookmarkEnd w:id="94"/>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一、本章所制响应文件格式，除格式中明确将该格式作为实质性要求的，一律不具有强制性。</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对于没有格式要求的</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由供应商</w:t>
      </w:r>
      <w:r>
        <w:rPr>
          <w:rFonts w:hint="eastAsia" w:ascii="宋体" w:hAnsi="宋体" w:eastAsia="宋体" w:cs="宋体"/>
          <w:color w:val="000000" w:themeColor="text1"/>
          <w:sz w:val="24"/>
          <w:highlight w:val="none"/>
          <w:lang w:val="en-US" w:eastAsia="zh-CN"/>
          <w14:textFill>
            <w14:solidFill>
              <w14:schemeClr w14:val="tx1"/>
            </w14:solidFill>
          </w14:textFill>
        </w:rPr>
        <w:t>根据本项目资格审查要求和项目技术、服务及其他商务要求及综合评分表要求</w:t>
      </w:r>
      <w:r>
        <w:rPr>
          <w:rFonts w:hint="eastAsia" w:ascii="宋体" w:hAnsi="宋体" w:eastAsia="宋体" w:cs="宋体"/>
          <w:color w:val="000000" w:themeColor="text1"/>
          <w:sz w:val="24"/>
          <w:highlight w:val="none"/>
          <w14:textFill>
            <w14:solidFill>
              <w14:schemeClr w14:val="tx1"/>
            </w14:solidFill>
          </w14:textFill>
        </w:rPr>
        <w:t>自行编写</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highlight w:val="none"/>
          <w14:textFill>
            <w14:solidFill>
              <w14:schemeClr w14:val="tx1"/>
            </w14:solidFill>
          </w14:textFill>
        </w:rPr>
        <w:t>第一部分     “资格性响应文件”格式</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格式1-1</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u w:val="single"/>
          <w14:textFill>
            <w14:solidFill>
              <w14:schemeClr w14:val="tx1"/>
            </w14:solidFill>
          </w14:textFill>
        </w:rPr>
        <w:t>XX</w:t>
      </w:r>
      <w:r>
        <w:rPr>
          <w:rFonts w:hint="eastAsia" w:ascii="宋体" w:hAnsi="宋体" w:eastAsia="宋体" w:cs="宋体"/>
          <w:b/>
          <w:color w:val="000000" w:themeColor="text1"/>
          <w:sz w:val="40"/>
          <w:szCs w:val="48"/>
          <w:highlight w:val="none"/>
          <w14:textFill>
            <w14:solidFill>
              <w14:schemeClr w14:val="tx1"/>
            </w14:solidFill>
          </w14:textFill>
        </w:rPr>
        <w:t>项目</w:t>
      </w:r>
    </w:p>
    <w:p>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资格性响应文件</w:t>
      </w: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pPr>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日期 ：</w:t>
      </w:r>
      <w:r>
        <w:rPr>
          <w:rFonts w:hint="eastAsia" w:ascii="宋体" w:hAnsi="宋体" w:eastAsia="宋体" w:cs="宋体"/>
          <w:b/>
          <w:color w:val="000000" w:themeColor="text1"/>
          <w:sz w:val="32"/>
          <w:highlight w:val="none"/>
          <w:lang w:eastAsia="zh-CN"/>
          <w14:textFill>
            <w14:solidFill>
              <w14:schemeClr w14:val="tx1"/>
            </w14:solidFill>
          </w14:textFill>
        </w:rPr>
        <w:t>2021年</w:t>
      </w:r>
      <w:r>
        <w:rPr>
          <w:rFonts w:hint="eastAsia" w:ascii="宋体" w:hAnsi="宋体" w:eastAsia="宋体" w:cs="宋体"/>
          <w:b/>
          <w:color w:val="000000" w:themeColor="text1"/>
          <w:sz w:val="32"/>
          <w:highlight w:val="none"/>
          <w14:textFill>
            <w14:solidFill>
              <w14:schemeClr w14:val="tx1"/>
            </w14:solidFill>
          </w14:textFill>
        </w:rPr>
        <w:t>XX月XX日</w:t>
      </w: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格式1-2</w:t>
      </w:r>
    </w:p>
    <w:p>
      <w:pPr>
        <w:pStyle w:val="4"/>
        <w:spacing w:line="340" w:lineRule="exact"/>
        <w:ind w:firstLine="643"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szCs w:val="28"/>
          <w:highlight w:val="none"/>
          <w14:textFill>
            <w14:solidFill>
              <w14:schemeClr w14:val="tx1"/>
            </w14:solidFill>
          </w14:textFill>
        </w:rPr>
        <w:t>法定代表人身份证明书</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u w:val="single"/>
          <w14:textFill>
            <w14:solidFill>
              <w14:schemeClr w14:val="tx1"/>
            </w14:solidFill>
          </w14:textFill>
        </w:rPr>
      </w:pPr>
      <w:r>
        <w:rPr>
          <w:rStyle w:val="155"/>
          <w:rFonts w:hint="eastAsia" w:ascii="宋体" w:hAnsi="宋体" w:eastAsia="宋体" w:cs="宋体"/>
          <w:color w:val="000000" w:themeColor="text1"/>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单位名称：</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单位性质：</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地    址：</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成立时间：</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u w:val="singl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经营期限：</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u w:val="singl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姓名：</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55"/>
          <w:rFonts w:hint="eastAsia" w:ascii="宋体" w:hAnsi="宋体" w:eastAsia="宋体" w:cs="宋体"/>
          <w:color w:val="000000" w:themeColor="text1"/>
          <w:sz w:val="24"/>
          <w:highlight w:val="none"/>
          <w14:textFill>
            <w14:solidFill>
              <w14:schemeClr w14:val="tx1"/>
            </w14:solidFill>
          </w14:textFill>
        </w:rPr>
        <w:t>性别：</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55"/>
          <w:rFonts w:hint="eastAsia" w:ascii="宋体" w:hAnsi="宋体" w:eastAsia="宋体" w:cs="宋体"/>
          <w:color w:val="000000" w:themeColor="text1"/>
          <w:sz w:val="24"/>
          <w:highlight w:val="none"/>
          <w14:textFill>
            <w14:solidFill>
              <w14:schemeClr w14:val="tx1"/>
            </w14:solidFill>
          </w14:textFill>
        </w:rPr>
        <w:t>身份证号码：</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55"/>
          <w:rFonts w:hint="eastAsia" w:ascii="宋体" w:hAnsi="宋体" w:eastAsia="宋体" w:cs="宋体"/>
          <w:color w:val="000000" w:themeColor="text1"/>
          <w:sz w:val="24"/>
          <w:highlight w:val="none"/>
          <w14:textFill>
            <w14:solidFill>
              <w14:schemeClr w14:val="tx1"/>
            </w14:solidFill>
          </w14:textFill>
        </w:rPr>
        <w:t>年龄：</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职务：</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55"/>
          <w:rFonts w:hint="eastAsia" w:ascii="宋体" w:hAnsi="宋体" w:eastAsia="宋体" w:cs="宋体"/>
          <w:color w:val="000000" w:themeColor="text1"/>
          <w:sz w:val="24"/>
          <w:highlight w:val="none"/>
          <w14:textFill>
            <w14:solidFill>
              <w14:schemeClr w14:val="tx1"/>
            </w14:solidFill>
          </w14:textFill>
        </w:rPr>
        <w:t>系</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（供应商名称）</w:t>
      </w:r>
      <w:r>
        <w:rPr>
          <w:rStyle w:val="155"/>
          <w:rFonts w:hint="eastAsia" w:ascii="宋体" w:hAnsi="宋体" w:eastAsia="宋体" w:cs="宋体"/>
          <w:color w:val="000000" w:themeColor="text1"/>
          <w:sz w:val="24"/>
          <w:highlight w:val="none"/>
          <w14:textFill>
            <w14:solidFill>
              <w14:schemeClr w14:val="tx1"/>
            </w14:solidFill>
          </w14:textFill>
        </w:rPr>
        <w:t>的法定代表人。</w:t>
      </w: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法定代表人联系地址</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55"/>
          <w:rFonts w:hint="eastAsia" w:ascii="宋体" w:hAnsi="宋体" w:eastAsia="宋体" w:cs="宋体"/>
          <w:color w:val="000000" w:themeColor="text1"/>
          <w:sz w:val="24"/>
          <w:highlight w:val="none"/>
          <w14:textFill>
            <w14:solidFill>
              <w14:schemeClr w14:val="tx1"/>
            </w14:solidFill>
          </w14:textFill>
        </w:rPr>
        <w:t>联系电话：</w:t>
      </w:r>
      <w:r>
        <w:rPr>
          <w:rStyle w:val="155"/>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u w:val="single"/>
          <w14:textFill>
            <w14:solidFill>
              <w14:schemeClr w14:val="tx1"/>
            </w14:solidFill>
          </w14:textFill>
        </w:rPr>
      </w:pP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特此证明。</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供应商名称：（盖章）</w:t>
      </w:r>
    </w:p>
    <w:p>
      <w:pPr>
        <w:pStyle w:val="17"/>
        <w:tabs>
          <w:tab w:val="left" w:pos="402"/>
          <w:tab w:val="center" w:pos="5656"/>
        </w:tabs>
        <w:spacing w:line="360" w:lineRule="auto"/>
        <w:jc w:val="left"/>
        <w:rPr>
          <w:rStyle w:val="155"/>
          <w:rFonts w:hint="eastAsia" w:ascii="宋体" w:hAnsi="宋体" w:eastAsia="宋体" w:cs="宋体"/>
          <w:color w:val="000000" w:themeColor="text1"/>
          <w:sz w:val="24"/>
          <w:highlight w:val="none"/>
          <w14:textFill>
            <w14:solidFill>
              <w14:schemeClr w14:val="tx1"/>
            </w14:solidFill>
          </w14:textFill>
        </w:rPr>
      </w:pPr>
      <w:r>
        <w:rPr>
          <w:rStyle w:val="155"/>
          <w:rFonts w:hint="eastAsia" w:ascii="宋体" w:hAnsi="宋体" w:eastAsia="宋体" w:cs="宋体"/>
          <w:color w:val="000000" w:themeColor="text1"/>
          <w:sz w:val="24"/>
          <w:highlight w:val="none"/>
          <w14:textFill>
            <w14:solidFill>
              <w14:schemeClr w14:val="tx1"/>
            </w14:solidFill>
          </w14:textFill>
        </w:rPr>
        <w:tab/>
      </w:r>
      <w:r>
        <w:rPr>
          <w:rStyle w:val="155"/>
          <w:rFonts w:hint="eastAsia" w:ascii="宋体" w:hAnsi="宋体" w:eastAsia="宋体" w:cs="宋体"/>
          <w:color w:val="000000" w:themeColor="text1"/>
          <w:sz w:val="24"/>
          <w:highlight w:val="none"/>
          <w14:textFill>
            <w14:solidFill>
              <w14:schemeClr w14:val="tx1"/>
            </w14:solidFill>
          </w14:textFill>
        </w:rPr>
        <w:t>日  期：    年    月    日</w:t>
      </w:r>
    </w:p>
    <w:p>
      <w:pPr>
        <w:spacing w:beforeLines="0" w:afterLines="0"/>
        <w:jc w:val="left"/>
        <w:rPr>
          <w:rFonts w:hint="eastAsia" w:ascii="宋体" w:hAnsi="宋体" w:eastAsia="宋体" w:cs="宋体"/>
          <w:color w:val="000000" w:themeColor="text1"/>
          <w:sz w:val="24"/>
          <w:highlight w:val="none"/>
          <w14:textFill>
            <w14:solidFill>
              <w14:schemeClr w14:val="tx1"/>
            </w14:solidFill>
          </w14:textFill>
        </w:rPr>
      </w:pPr>
    </w:p>
    <w:p>
      <w:pPr>
        <w:spacing w:beforeLines="0" w:afterLine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）法定代表人参与而非委托代理人参与适用。</w:t>
      </w:r>
    </w:p>
    <w:p>
      <w:pPr>
        <w:spacing w:beforeLines="0" w:afterLines="0"/>
        <w:ind w:firstLine="480" w:firstLineChars="2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）附法定代表人身份证复印件（提供其在有效期的材料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居民身份证正、反面复印件）加盖供应商公章。</w:t>
      </w: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格式1-3</w:t>
      </w:r>
    </w:p>
    <w:p>
      <w:pPr>
        <w:spacing w:line="360" w:lineRule="auto"/>
        <w:ind w:firstLine="790" w:firstLineChars="246"/>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二、法定代表人/单位负责人授权书</w:t>
      </w:r>
    </w:p>
    <w:p>
      <w:pPr>
        <w:widowControl/>
        <w:spacing w:line="360" w:lineRule="auto"/>
        <w:ind w:firstLine="472" w:firstLineChars="196"/>
        <w:jc w:val="left"/>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ind w:firstLine="472" w:firstLineChars="196"/>
        <w:jc w:val="left"/>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本授权声明： XXXX（供应商名称）XXXX（法定代表人/单位负责人姓名、职务）授权XXXX（被授权人姓名、职务）为我方 “XXXXXXXX” 项目（采购项目编号：XXXX）磋商采购活动的合法代表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以我方名义全权处理该项目有关磋商采购、签订合同以及执行合同等一切事宜。</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法定代表人（委托人）签字或加盖个人印章：XXXX。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授权代表（被授权人）签字：XXXX。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期：XXXX。</w:t>
      </w:r>
    </w:p>
    <w:p>
      <w:pPr>
        <w:widowControl/>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bookmarkStart w:id="95" w:name="_Toc217446084"/>
    </w:p>
    <w:p>
      <w:pPr>
        <w:widowControl/>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left="840" w:hanging="840" w:hangingChars="350"/>
        <w:jc w:val="left"/>
        <w:rPr>
          <w:rFonts w:hint="eastAsia" w:ascii="宋体" w:hAnsi="宋体" w:eastAsia="宋体" w:cs="宋体"/>
          <w:color w:val="000000" w:themeColor="text1"/>
          <w:sz w:val="24"/>
          <w:highlight w:val="none"/>
          <w14:textFill>
            <w14:solidFill>
              <w14:schemeClr w14:val="tx1"/>
            </w14:solidFill>
          </w14:textFill>
        </w:rPr>
      </w:pPr>
    </w:p>
    <w:bookmarkEnd w:id="95"/>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注：（1）法定代表人不参与投标而委托代理人投标适用。 </w:t>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（2）附法定代表人、授权代表身份证</w:t>
      </w:r>
      <w:r>
        <w:rPr>
          <w:rFonts w:hint="eastAsia" w:ascii="宋体" w:hAnsi="宋体" w:eastAsia="宋体" w:cs="宋体"/>
          <w:color w:val="000000" w:themeColor="text1"/>
          <w:sz w:val="24"/>
          <w:highlight w:val="none"/>
          <w:lang w:val="en-US" w:eastAsia="zh-CN"/>
          <w14:textFill>
            <w14:solidFill>
              <w14:schemeClr w14:val="tx1"/>
            </w14:solidFill>
          </w14:textFill>
        </w:rPr>
        <w:t>正反面</w:t>
      </w:r>
      <w:r>
        <w:rPr>
          <w:rFonts w:hint="eastAsia" w:ascii="宋体" w:hAnsi="宋体" w:eastAsia="宋体" w:cs="宋体"/>
          <w:color w:val="000000" w:themeColor="text1"/>
          <w:sz w:val="24"/>
          <w:highlight w:val="none"/>
          <w14:textFill>
            <w14:solidFill>
              <w14:schemeClr w14:val="tx1"/>
            </w14:solidFill>
          </w14:textFill>
        </w:rPr>
        <w:t>复印件加盖投标人公章</w:t>
      </w:r>
      <w:r>
        <w:rPr>
          <w:rFonts w:hint="eastAsia" w:ascii="宋体" w:hAnsi="宋体" w:eastAsia="宋体" w:cs="宋体"/>
          <w:color w:val="000000" w:themeColor="text1"/>
          <w:sz w:val="23"/>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格式1-4</w:t>
      </w:r>
    </w:p>
    <w:p>
      <w:pPr>
        <w:spacing w:line="360" w:lineRule="auto"/>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三、承诺函</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XXXX（采购代理机构名称）：</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我单位作为本次采购项目的供应商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现郑重承诺如下：</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（七）根据采购项目提出的特殊条件。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我单位及其现任法定代表人/主要负责人不具有行贿犯罪记录。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四、我单位完全理解并接受采购代理服务费用由成交供应商在领取成交通知书前向代理机构支付的要求。</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本单位对上述承诺的内容事项真实性负责。如经查实上述承诺的内容事项存在虚假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我单位愿意接受以提供虚假材料谋取成交追究法律责任。</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供应商名称：XXXX（单位公章）。</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期：XXXX。</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格式1-5</w:t>
      </w:r>
    </w:p>
    <w:p>
      <w:pPr>
        <w:spacing w:line="360" w:lineRule="auto"/>
        <w:ind w:firstLine="790" w:firstLineChars="246"/>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四、供应商和报价产品其他资格、资质性及其他类似效力要求的相关证明材料</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注：供应商应按磋商文件第四章相关要求提供佐证材料</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有格式要求的从其要求</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无格式要求的格式自拟。</w:t>
      </w:r>
    </w:p>
    <w:p>
      <w:pPr>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格式1-6</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五、承诺函（如涉及）</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四川协友招标代理有限公司：</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我单位作为本次采购项目的供应商</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现郑重承诺如下：</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根据本项目磋商文件第三章资格证明要求中第</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我单位应具备</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（备案、登记、其他证照）。但因我单位所在地已对上述备案、登记、其他证照实行“多证合一”</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故在此次采购活动中提供满足资格要求：</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（营业执照中对该备案、登记、其他证照的描述）的“多证合一”营业执照。</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我单位对上述承诺的内容事项真实性负责。如经查实上述承诺内容存在虚假</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我单位愿意接受以提供虚假材料谋取成交追究法律责任。</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供应商名称：XXXX（单位公章）。</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法定代表人或授权代表（签字或加盖个人印章）：XXXX。</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期：XXXX。</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注：1.根据国务院办公厅关于加快推进“多证合一”改革的指导意见（国办发【2017】41号）等政策要求</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若资格要求涉及的登记、备案等有关事项和各类证照已实行多证合一导致供应商无法提供该类证明材料的</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供应商须提供该承诺。</w:t>
      </w:r>
    </w:p>
    <w:p>
      <w:pPr>
        <w:spacing w:line="360" w:lineRule="auto"/>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2.若已提供资格要求涉及的登记、备案等有关事项和各类证照的证明材料</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无需提供该承诺。</w:t>
      </w:r>
    </w:p>
    <w:p>
      <w:pPr>
        <w:widowControl/>
        <w:spacing w:line="360" w:lineRule="auto"/>
        <w:ind w:firstLine="360" w:firstLineChars="15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3.若本项目资格要求不涉及</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无需提供该承诺。</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widowControl/>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p>
    <w:p>
      <w:pPr>
        <w:widowControl/>
        <w:spacing w:line="360" w:lineRule="atLeast"/>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、中小企业声明函</w:t>
      </w:r>
    </w:p>
    <w:p>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 xml:space="preserve">（单位名称） </w:t>
      </w:r>
      <w:r>
        <w:rPr>
          <w:rFonts w:hint="eastAsia" w:ascii="宋体" w:hAnsi="宋体" w:eastAsia="宋体" w:cs="宋体"/>
          <w:color w:val="000000" w:themeColor="text1"/>
          <w:sz w:val="24"/>
          <w:highlight w:val="none"/>
          <w14:textFill>
            <w14:solidFill>
              <w14:schemeClr w14:val="tx1"/>
            </w14:solidFill>
          </w14:textFill>
        </w:rPr>
        <w:t xml:space="preserve"> 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pPr>
        <w:pStyle w:val="1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leftChars="200" w:firstLine="5760" w:firstLineChars="2400"/>
        <w:rPr>
          <w:rFonts w:hint="eastAsia" w:ascii="宋体" w:hAnsi="宋体" w:eastAsia="宋体" w:cs="宋体"/>
          <w:bCs/>
          <w:color w:val="000000" w:themeColor="text1"/>
          <w:sz w:val="24"/>
          <w:highlight w:val="none"/>
          <w14:textFill>
            <w14:solidFill>
              <w14:schemeClr w14:val="tx1"/>
            </w14:solidFill>
          </w14:textFill>
        </w:rPr>
      </w:pPr>
    </w:p>
    <w:p>
      <w:pPr>
        <w:spacing w:line="360" w:lineRule="auto"/>
        <w:ind w:left="420" w:leftChars="200" w:firstLine="5760" w:firstLineChars="2400"/>
        <w:rPr>
          <w:rFonts w:hint="eastAsia" w:ascii="宋体" w:hAnsi="宋体" w:eastAsia="宋体" w:cs="宋体"/>
          <w:bCs/>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pPr>
        <w:pStyle w:val="2"/>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2、本项目所属行业：具体详见磋商文件“第二章  磋商须知 一、供应商须知附表”。</w:t>
      </w:r>
    </w:p>
    <w:p>
      <w:pPr>
        <w:pStyle w:val="2"/>
        <w:rPr>
          <w:rFonts w:hint="eastAsia" w:eastAsia="宋体"/>
          <w:lang w:val="en-US" w:eastAsia="zh-CN"/>
        </w:rPr>
      </w:pPr>
    </w:p>
    <w:p>
      <w:pPr>
        <w:spacing w:line="360" w:lineRule="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8</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、残疾人福利性单位声明函</w:t>
      </w:r>
      <w:r>
        <w:rPr>
          <w:rFonts w:hint="eastAsia" w:ascii="宋体" w:hAnsi="宋体" w:eastAsia="宋体" w:cs="宋体"/>
          <w:b/>
          <w:color w:val="000000" w:themeColor="text1"/>
          <w:sz w:val="32"/>
          <w:szCs w:val="32"/>
          <w:highlight w:val="none"/>
          <w:lang w:eastAsia="zh-CN"/>
          <w14:textFill>
            <w14:solidFill>
              <w14:schemeClr w14:val="tx1"/>
            </w14:solidFill>
          </w14:textFill>
        </w:rPr>
        <w:t>（如涉及）</w:t>
      </w:r>
    </w:p>
    <w:p>
      <w:pPr>
        <w:spacing w:line="360" w:lineRule="auto"/>
        <w:rPr>
          <w:rFonts w:hint="eastAsia" w:ascii="宋体" w:hAnsi="宋体" w:eastAsia="宋体" w:cs="宋体"/>
          <w:b/>
          <w:color w:val="000000" w:themeColor="text1"/>
          <w:spacing w:val="6"/>
          <w:sz w:val="24"/>
          <w:highlight w:val="none"/>
          <w14:textFill>
            <w14:solidFill>
              <w14:schemeClr w14:val="tx1"/>
            </w14:solidFill>
          </w14:textFill>
        </w:rPr>
      </w:pPr>
    </w:p>
    <w:p>
      <w:pPr>
        <w:spacing w:line="360" w:lineRule="auto"/>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本单位为符合条件的残疾人福利性单位</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且本单位参加</w:t>
      </w:r>
      <w:r>
        <w:rPr>
          <w:rFonts w:hint="eastAsia" w:ascii="宋体" w:hAnsi="宋体" w:eastAsia="宋体" w:cs="宋体"/>
          <w:color w:val="000000" w:themeColor="text1"/>
          <w:sz w:val="24"/>
          <w:highlight w:val="none"/>
          <w:u w:val="single"/>
          <w14:textFill>
            <w14:solidFill>
              <w14:schemeClr w14:val="tx1"/>
            </w14:solidFill>
          </w14:textFill>
        </w:rPr>
        <w:t>XXXX</w:t>
      </w:r>
      <w:r>
        <w:rPr>
          <w:rFonts w:hint="eastAsia" w:ascii="宋体" w:hAnsi="宋体" w:eastAsia="宋体" w:cs="宋体"/>
          <w:color w:val="000000" w:themeColor="text1"/>
          <w:spacing w:val="6"/>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XXXX</w:t>
      </w:r>
      <w:r>
        <w:rPr>
          <w:rFonts w:hint="eastAsia" w:ascii="宋体" w:hAnsi="宋体" w:eastAsia="宋体" w:cs="宋体"/>
          <w:color w:val="000000" w:themeColor="text1"/>
          <w:spacing w:val="6"/>
          <w:sz w:val="24"/>
          <w:highlight w:val="none"/>
          <w14:textFill>
            <w14:solidFill>
              <w14:schemeClr w14:val="tx1"/>
            </w14:solidFill>
          </w14:textFill>
        </w:rPr>
        <w:t>项目采购活动提供本单位制造的货物（由本单位承担工程/提供服务）</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将依法承担相应责任。</w:t>
      </w:r>
    </w:p>
    <w:p>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单位名称：XXXX（盖单位公章）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日期：XXXX</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numPr>
          <w:ilvl w:val="0"/>
          <w:numId w:val="5"/>
        </w:numPr>
        <w:spacing w:after="16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残疾人福利性单位视同小型、微型企业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享受预留份额、评审中价格扣除等促进中小企业发展的政府采购政策。残疾人福利性单位属于小型、微型企业的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不重复享受政策。</w:t>
      </w:r>
    </w:p>
    <w:p>
      <w:pPr>
        <w:numPr>
          <w:ilvl w:val="0"/>
          <w:numId w:val="5"/>
        </w:numPr>
        <w:spacing w:after="16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供应商为非残疾人福利性单位的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可不提供此声明。</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sectPr>
          <w:pgSz w:w="11907" w:h="16840"/>
          <w:pgMar w:top="1440" w:right="1758" w:bottom="1440" w:left="1758" w:header="851" w:footer="992" w:gutter="0"/>
          <w:pgNumType w:fmt="decimal"/>
          <w:cols w:space="720" w:num="1"/>
        </w:sectPr>
      </w:pPr>
    </w:p>
    <w:p>
      <w:pPr>
        <w:tabs>
          <w:tab w:val="left" w:pos="900"/>
        </w:tabs>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第二部分     “其他响应文件”格式</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格式2-1</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封面：</w:t>
      </w:r>
    </w:p>
    <w:p>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14:textFill>
            <w14:solidFill>
              <w14:schemeClr w14:val="tx1"/>
            </w14:solidFill>
          </w14:textFill>
        </w:rPr>
        <w:t>XX项目</w:t>
      </w:r>
    </w:p>
    <w:p>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其他响应文件</w:t>
      </w: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pPr>
        <w:spacing w:line="360" w:lineRule="auto"/>
        <w:ind w:firstLine="790" w:firstLineChars="246"/>
        <w:jc w:val="center"/>
        <w:rPr>
          <w:rFonts w:hint="eastAsia" w:ascii="宋体" w:hAnsi="宋体" w:eastAsia="宋体" w:cs="宋体"/>
          <w:b/>
          <w:color w:val="000000" w:themeColor="text1"/>
          <w:sz w:val="32"/>
          <w:highlight w:val="none"/>
          <w14:textFill>
            <w14:solidFill>
              <w14:schemeClr w14:val="tx1"/>
            </w14:solidFill>
          </w14:textFill>
        </w:rPr>
      </w:pPr>
    </w:p>
    <w:p>
      <w:pPr>
        <w:spacing w:line="360" w:lineRule="auto"/>
        <w:ind w:firstLine="790" w:firstLineChars="246"/>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时间：</w:t>
      </w:r>
      <w:r>
        <w:rPr>
          <w:rFonts w:hint="eastAsia" w:ascii="宋体" w:hAnsi="宋体" w:eastAsia="宋体" w:cs="宋体"/>
          <w:b/>
          <w:color w:val="000000" w:themeColor="text1"/>
          <w:sz w:val="32"/>
          <w:highlight w:val="none"/>
          <w:lang w:eastAsia="zh-CN"/>
          <w14:textFill>
            <w14:solidFill>
              <w14:schemeClr w14:val="tx1"/>
            </w14:solidFill>
          </w14:textFill>
        </w:rPr>
        <w:t>2021年</w:t>
      </w:r>
      <w:r>
        <w:rPr>
          <w:rFonts w:hint="eastAsia" w:ascii="宋体" w:hAnsi="宋体" w:eastAsia="宋体" w:cs="宋体"/>
          <w:b/>
          <w:color w:val="000000" w:themeColor="text1"/>
          <w:sz w:val="32"/>
          <w:highlight w:val="none"/>
          <w14:textFill>
            <w14:solidFill>
              <w14:schemeClr w14:val="tx1"/>
            </w14:solidFill>
          </w14:textFill>
        </w:rPr>
        <w:t>XX月XX日</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格式2-2</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bookmarkStart w:id="96" w:name="_Toc308164824"/>
      <w:r>
        <w:rPr>
          <w:rFonts w:hint="eastAsia" w:ascii="宋体" w:hAnsi="宋体" w:eastAsia="宋体" w:cs="宋体"/>
          <w:b/>
          <w:color w:val="000000" w:themeColor="text1"/>
          <w:sz w:val="32"/>
          <w:szCs w:val="32"/>
          <w:highlight w:val="none"/>
          <w14:textFill>
            <w14:solidFill>
              <w14:schemeClr w14:val="tx1"/>
            </w14:solidFill>
          </w14:textFill>
        </w:rPr>
        <w:t>一、报价函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1．我方己仔细研究了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（项目名称）磋商文件的全部内容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愿意以人民币</w:t>
      </w:r>
      <w:r>
        <w:rPr>
          <w:rFonts w:hint="eastAsia" w:ascii="宋体" w:hAnsi="宋体" w:eastAsia="宋体" w:cs="宋体"/>
          <w:color w:val="000000" w:themeColor="text1"/>
          <w:sz w:val="24"/>
          <w:highlight w:val="none"/>
          <w14:textFill>
            <w14:solidFill>
              <w14:schemeClr w14:val="tx1"/>
            </w14:solidFill>
          </w14:textFill>
        </w:rPr>
        <w:t>（大写）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点</w:t>
      </w:r>
      <w:r>
        <w:rPr>
          <w:rFonts w:hint="eastAsia" w:ascii="宋体" w:hAnsi="宋体" w:eastAsia="宋体" w:cs="宋体"/>
          <w:color w:val="000000" w:themeColor="text1"/>
          <w:sz w:val="24"/>
          <w:highlight w:val="none"/>
          <w:lang w:val="en-US" w:eastAsia="zh-CN"/>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的总报价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按合同约定实施和完成本采购项目所有内容。</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2．我方承诺在响应文件有效期内不修改、撤销响应文件。</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3．如我方成交：</w:t>
      </w:r>
    </w:p>
    <w:p>
      <w:pPr>
        <w:spacing w:line="360" w:lineRule="auto"/>
        <w:ind w:firstLine="120" w:firstLineChar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(l）我方承诺在收到成交通知书后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在成交通知书规定的期限内与你方签订合同。</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（2）我方承诺按照磋商文件规定向你方递交履约担保。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（3）我方将严格履行政府采购合同规定的责任和义务。</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（4）我方愿意提供贵单位可能另外要求的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与磋商报价有关的文件资料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并保证我方已提供和将要提供的文件资料是真实、准确的。</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（5）响应文件有效期为：递交截止之日起90天。</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（其他补充说明）。</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真：XXX</w:t>
      </w:r>
    </w:p>
    <w:p>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期：XXX年XXX月XXX日</w:t>
      </w:r>
      <w:r>
        <w:rPr>
          <w:rFonts w:hint="eastAsia" w:ascii="宋体" w:hAnsi="宋体" w:eastAsia="宋体" w:cs="宋体"/>
          <w:b/>
          <w:color w:val="000000" w:themeColor="text1"/>
          <w:sz w:val="32"/>
          <w:szCs w:val="32"/>
          <w:highlight w:val="none"/>
          <w14:textFill>
            <w14:solidFill>
              <w14:schemeClr w14:val="tx1"/>
            </w14:solidFill>
          </w14:textFill>
        </w:rPr>
        <w:br w:type="page"/>
      </w:r>
    </w:p>
    <w:p>
      <w:pPr>
        <w:jc w:val="both"/>
        <w:rPr>
          <w:rFonts w:hint="eastAsia" w:ascii="宋体" w:hAnsi="宋体" w:eastAsia="宋体" w:cs="宋体"/>
          <w:b/>
          <w:color w:val="000000" w:themeColor="text1"/>
          <w:sz w:val="32"/>
          <w:szCs w:val="32"/>
          <w:highlight w:val="none"/>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（二）</w:t>
      </w:r>
      <w:r>
        <w:rPr>
          <w:rFonts w:hint="eastAsia" w:ascii="宋体" w:hAnsi="宋体" w:eastAsia="宋体" w:cs="宋体"/>
          <w:b/>
          <w:color w:val="000000" w:themeColor="text1"/>
          <w:sz w:val="32"/>
          <w:highlight w:val="none"/>
          <w14:textFill>
            <w14:solidFill>
              <w14:schemeClr w14:val="tx1"/>
            </w14:solidFill>
          </w14:textFill>
        </w:rPr>
        <w:t>分项报价</w:t>
      </w:r>
      <w:r>
        <w:rPr>
          <w:rFonts w:hint="eastAsia" w:ascii="宋体" w:hAnsi="宋体" w:eastAsia="宋体" w:cs="宋体"/>
          <w:b/>
          <w:color w:val="000000" w:themeColor="text1"/>
          <w:sz w:val="32"/>
          <w:highlight w:val="none"/>
          <w:lang w:eastAsia="zh-CN"/>
          <w14:textFill>
            <w14:solidFill>
              <w14:schemeClr w14:val="tx1"/>
            </w14:solidFill>
          </w14:textFill>
        </w:rPr>
        <w:t>明细</w:t>
      </w:r>
      <w:r>
        <w:rPr>
          <w:rFonts w:hint="eastAsia" w:ascii="宋体" w:hAnsi="宋体" w:eastAsia="宋体" w:cs="宋体"/>
          <w:b/>
          <w:color w:val="000000" w:themeColor="text1"/>
          <w:sz w:val="32"/>
          <w:highlight w:val="none"/>
          <w14:textFill>
            <w14:solidFill>
              <w14:schemeClr w14:val="tx1"/>
            </w14:solidFill>
          </w14:textFill>
        </w:rPr>
        <w:t>表</w:t>
      </w: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格式自拟</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注：1、“分项报价明细表”各分项报价合计应当与“</w:t>
      </w:r>
      <w:r>
        <w:rPr>
          <w:rFonts w:hint="eastAsia" w:ascii="宋体" w:hAnsi="宋体" w:eastAsia="宋体" w:cs="宋体"/>
          <w:b/>
          <w:bCs/>
          <w:color w:val="000000" w:themeColor="text1"/>
          <w:sz w:val="24"/>
          <w:szCs w:val="24"/>
          <w:highlight w:val="none"/>
          <w:lang w:eastAsia="zh-CN"/>
          <w14:textFill>
            <w14:solidFill>
              <w14:schemeClr w14:val="tx1"/>
            </w14:solidFill>
          </w14:textFill>
        </w:rPr>
        <w:t>报价函</w:t>
      </w:r>
      <w:r>
        <w:rPr>
          <w:rFonts w:hint="eastAsia" w:ascii="宋体" w:hAnsi="宋体" w:eastAsia="宋体" w:cs="宋体"/>
          <w:b/>
          <w:bCs/>
          <w:color w:val="000000" w:themeColor="text1"/>
          <w:sz w:val="24"/>
          <w:szCs w:val="24"/>
          <w:highlight w:val="none"/>
          <w14:textFill>
            <w14:solidFill>
              <w14:schemeClr w14:val="tx1"/>
            </w14:solidFill>
          </w14:textFill>
        </w:rPr>
        <w:t>”报价合计相等。</w:t>
      </w:r>
    </w:p>
    <w:p>
      <w:pPr>
        <w:pStyle w:val="17"/>
        <w:ind w:firstLine="482" w:firstLineChars="2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2、以供应商最终单项报价为评审价。</w:t>
      </w: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供应商名称 （盖章）：</w:t>
      </w:r>
    </w:p>
    <w:p>
      <w:pPr>
        <w:spacing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法定代表人或授权代表（签字）：</w:t>
      </w:r>
    </w:p>
    <w:p>
      <w:pPr>
        <w:spacing w:line="360" w:lineRule="auto"/>
        <w:jc w:val="both"/>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日期：</w:t>
      </w:r>
      <w:r>
        <w:rPr>
          <w:rFonts w:hint="eastAsia" w:ascii="宋体" w:hAnsi="宋体" w:eastAsia="宋体" w:cs="宋体"/>
          <w:b w:val="0"/>
          <w:bCs w:val="0"/>
          <w:color w:val="000000" w:themeColor="text1"/>
          <w:sz w:val="32"/>
          <w:szCs w:val="32"/>
          <w:highlight w:val="none"/>
          <w14:textFill>
            <w14:solidFill>
              <w14:schemeClr w14:val="tx1"/>
            </w14:solidFill>
          </w14:textFill>
        </w:rPr>
        <w:br w:type="page"/>
      </w:r>
    </w:p>
    <w:p>
      <w:pPr>
        <w:spacing w:line="360" w:lineRule="auto"/>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格式2-3</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二、承诺函</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XXX（采购代理机构名称）：</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我公司作为本次采购项目的供应商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现郑重承诺如下：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（七）根据采购项目提出的特殊条件。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如对磋商文件有异议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已经在递交响应文件截止时间届满前依法进行维权救济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不存在对磋商文件有异议的同时又参加磋商以求侥幸成交或者为实现其他非法目的的行为。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三、在参加本次采购活动中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四、在参加本次采购活动中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不存在和其他供应商在同一合同项下的采购项目中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同时委托同一个自然人、同一家庭的人员、同一单位的人员作为代理人的行为。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五、如果有《四川省政府采购当事人诚信管理办法》（川财采[2015]33号）规定的记入诚信档案的失信行为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将在响应文件中全面如实反映。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六、响应文件中提供的任何资料和技术、服务、商务等响应承诺情况都是真实的、有效的、合法的。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如本项目磋商采购过程中需要提供样品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则我公司提供的样品即为成交后将要提供的成交产品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我公司对提供样品的性能和质量负责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因样品存在缺陷或者不符合磋商文件要求导致未能成交的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我公司愿意承担相应不利后果。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本公司对上述承诺的内容事项真实性负责。如经查实上述承诺的内容事项存在虚假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我公司愿意接受以提供虚假材料谋取成交的法律责任。</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法定代表人签字或加盖个人印章：XXXX</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授权代表签字：XXXX</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供应商名称：XXXX（盖章）</w:t>
      </w:r>
    </w:p>
    <w:p>
      <w:pPr>
        <w:spacing w:line="360" w:lineRule="auto"/>
        <w:ind w:firstLine="480" w:firstLineChars="200"/>
        <w:rPr>
          <w:rFonts w:hint="eastAsia" w:ascii="宋体" w:hAnsi="宋体" w:eastAsia="宋体" w:cs="宋体"/>
          <w:bCs/>
          <w:color w:val="000000" w:themeColor="text1"/>
          <w:sz w:val="24"/>
          <w:szCs w:val="3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期：XXX年XXX月XXX日</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bookmarkEnd w:id="96"/>
      <w:bookmarkStart w:id="97" w:name="_Toc217446087"/>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格式2-4</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三、供应商基本情况介绍</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供应商名称</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注册地址</w:t>
            </w:r>
          </w:p>
        </w:tc>
        <w:tc>
          <w:tcPr>
            <w:tcW w:w="468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邮政编码</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联系人</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传真</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网址</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组织结构</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法定代表人/单位负责人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成立时间</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5040"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企业资质等级</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其中</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项目经理</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营业执照</w:t>
            </w:r>
            <w:r>
              <w:rPr>
                <w:rFonts w:hint="eastAsia" w:ascii="宋体" w:hAnsi="宋体" w:eastAsia="宋体" w:cs="宋体"/>
                <w:color w:val="000000" w:themeColor="text1"/>
                <w:highlight w:val="none"/>
                <w14:textFill>
                  <w14:solidFill>
                    <w14:schemeClr w14:val="tx1"/>
                  </w14:solidFill>
                </w14:textFill>
              </w:rPr>
              <w:t>号</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高级职称人员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注册资金</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中级职称人员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初级职称人员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账号</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技工</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经营范围</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bl>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adjustRightInd w:val="0"/>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（签字或加盖个人印章）</w:t>
      </w:r>
      <w:r>
        <w:rPr>
          <w:rFonts w:hint="eastAsia" w:ascii="宋体" w:hAnsi="宋体" w:eastAsia="宋体" w:cs="宋体"/>
          <w:bCs/>
          <w:color w:val="000000" w:themeColor="text1"/>
          <w:sz w:val="24"/>
          <w:highlight w:val="none"/>
          <w14:textFill>
            <w14:solidFill>
              <w14:schemeClr w14:val="tx1"/>
            </w14:solidFill>
          </w14:textFill>
        </w:rPr>
        <w:t>：XXX</w:t>
      </w:r>
    </w:p>
    <w:p>
      <w:pPr>
        <w:adjustRightInd w:val="0"/>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期：XXX年XXX月XXX日</w:t>
      </w:r>
    </w:p>
    <w:p>
      <w:pPr>
        <w:spacing w:line="360" w:lineRule="auto"/>
        <w:jc w:val="left"/>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四</w:t>
      </w:r>
      <w:r>
        <w:rPr>
          <w:rFonts w:hint="eastAsia" w:ascii="宋体" w:hAnsi="宋体" w:eastAsia="宋体" w:cs="宋体"/>
          <w:b/>
          <w:bCs/>
          <w:color w:val="000000" w:themeColor="text1"/>
          <w:sz w:val="32"/>
          <w:szCs w:val="32"/>
          <w:highlight w:val="none"/>
          <w14:textFill>
            <w14:solidFill>
              <w14:schemeClr w14:val="tx1"/>
            </w14:solidFill>
          </w14:textFill>
        </w:rPr>
        <w:t>、技术、服务、商务要求应答表</w:t>
      </w:r>
    </w:p>
    <w:tbl>
      <w:tblPr>
        <w:tblStyle w:val="32"/>
        <w:tblW w:w="8613" w:type="dxa"/>
        <w:tblInd w:w="0"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磋商文件要求</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kern w:val="0"/>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kern w:val="0"/>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注：  </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1.本表至少要填写响应文件中与磋商文件第五章有偏离（包括正偏离和负偏离）的内容，响应文件中规格、技术指标响应与磋商文件第五章要求完全一致的，可以不用在此表中列出。 </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2．投标人必须据实填写，不得虚假响应，若虚假响应，投标文件无效并按规定追究其相关责任。</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adjustRightInd w:val="0"/>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（签字或加盖个人印章）</w:t>
      </w:r>
      <w:r>
        <w:rPr>
          <w:rFonts w:hint="eastAsia" w:ascii="宋体" w:hAnsi="宋体" w:eastAsia="宋体" w:cs="宋体"/>
          <w:bCs/>
          <w:color w:val="000000" w:themeColor="text1"/>
          <w:sz w:val="24"/>
          <w:highlight w:val="none"/>
          <w14:textFill>
            <w14:solidFill>
              <w14:schemeClr w14:val="tx1"/>
            </w14:solidFill>
          </w14:textFill>
        </w:rPr>
        <w:t>：XXX</w:t>
      </w:r>
    </w:p>
    <w:p>
      <w:pPr>
        <w:adjustRightInd w:val="0"/>
        <w:spacing w:line="360" w:lineRule="auto"/>
        <w:ind w:firstLine="540" w:firstLineChars="225"/>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XXX年XXX月XXX日</w:t>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6</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、供应商类似项目业绩一览表</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tbl>
      <w:tblPr>
        <w:tblStyle w:val="32"/>
        <w:tblpPr w:leftFromText="180" w:rightFromText="180" w:vertAnchor="text" w:horzAnchor="page" w:tblpX="1155" w:tblpY="591"/>
        <w:tblOverlap w:val="never"/>
        <w:tblW w:w="9777" w:type="dxa"/>
        <w:tblInd w:w="0" w:type="dxa"/>
        <w:tblLayout w:type="fixed"/>
        <w:tblCellMar>
          <w:top w:w="0" w:type="dxa"/>
          <w:left w:w="108" w:type="dxa"/>
          <w:bottom w:w="0" w:type="dxa"/>
          <w:right w:w="108" w:type="dxa"/>
        </w:tblCellMar>
      </w:tblPr>
      <w:tblGrid>
        <w:gridCol w:w="658"/>
        <w:gridCol w:w="1232"/>
        <w:gridCol w:w="2513"/>
        <w:gridCol w:w="2114"/>
        <w:gridCol w:w="1843"/>
        <w:gridCol w:w="1417"/>
      </w:tblGrid>
      <w:tr>
        <w:tblPrEx>
          <w:tblCellMar>
            <w:top w:w="0" w:type="dxa"/>
            <w:left w:w="108" w:type="dxa"/>
            <w:bottom w:w="0" w:type="dxa"/>
            <w:right w:w="108"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序号</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项目业主</w:t>
            </w:r>
          </w:p>
        </w:tc>
        <w:tc>
          <w:tcPr>
            <w:tcW w:w="251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项目名称</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完成时间</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合同价格（元）</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备注</w:t>
            </w:r>
          </w:p>
        </w:tc>
      </w:tr>
      <w:tr>
        <w:tblPrEx>
          <w:tblCellMar>
            <w:top w:w="0" w:type="dxa"/>
            <w:left w:w="108" w:type="dxa"/>
            <w:bottom w:w="0" w:type="dxa"/>
            <w:right w:w="108"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XXXX</w:t>
      </w: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注：1、以上业绩需提供磋商文件要求的有关证明材料。</w:t>
      </w:r>
    </w:p>
    <w:p>
      <w:pPr>
        <w:spacing w:line="360" w:lineRule="auto"/>
        <w:ind w:firstLine="840" w:firstLineChars="3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2、表中所有空格内容均须填写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如确实不须填写或无法填写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应在空格中填写“/”。</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w:t>
      </w:r>
      <w:bookmarkStart w:id="98" w:name="_Toc217446091"/>
      <w:r>
        <w:rPr>
          <w:rFonts w:hint="eastAsia" w:ascii="宋体" w:hAnsi="宋体" w:eastAsia="宋体" w:cs="宋体"/>
          <w:b/>
          <w:color w:val="000000" w:themeColor="text1"/>
          <w:sz w:val="32"/>
          <w:szCs w:val="32"/>
          <w:highlight w:val="none"/>
          <w14:textFill>
            <w14:solidFill>
              <w14:schemeClr w14:val="tx1"/>
            </w14:solidFill>
          </w14:textFill>
        </w:rPr>
        <w:t>投标人实施本项目主要人员情况表</w:t>
      </w:r>
      <w:bookmarkEnd w:id="98"/>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tbl>
      <w:tblPr>
        <w:tblStyle w:val="32"/>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1695"/>
        <w:gridCol w:w="142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证件名称</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证件编号</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执业年限</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left="359" w:leftChars="1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left="359" w:leftChars="1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(二)主要人员简历表</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bl>
      <w:tblPr>
        <w:tblStyle w:val="3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32"/>
        <w:gridCol w:w="1188"/>
        <w:gridCol w:w="993"/>
        <w:gridCol w:w="992"/>
        <w:gridCol w:w="1276"/>
        <w:gridCol w:w="138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年龄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执业年限</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证件名称</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2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拟在本合同任职</w:t>
            </w:r>
          </w:p>
        </w:tc>
        <w:tc>
          <w:tcPr>
            <w:tcW w:w="4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28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工作单位</w:t>
            </w: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left="105" w:hanging="105" w:hanging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spacing w:line="360" w:lineRule="auto"/>
        <w:ind w:left="105" w:hanging="105" w:hanging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1、人员应按采购文件要求附相关证明材料复印件。</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bookmarkEnd w:id="97"/>
    <w:p>
      <w:pPr>
        <w:spacing w:line="360" w:lineRule="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8</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、服务方案（格式自拟）</w:t>
      </w: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pStyle w:val="29"/>
        <w:rPr>
          <w:rFonts w:hint="eastAsia" w:ascii="宋体" w:hAnsi="宋体" w:eastAsia="宋体" w:cs="宋体"/>
          <w:color w:val="000000" w:themeColor="text1"/>
          <w:highlight w:val="none"/>
          <w14:textFill>
            <w14:solidFill>
              <w14:schemeClr w14:val="tx1"/>
            </w14:solidFill>
          </w14:textFill>
        </w:rPr>
      </w:pPr>
      <w:bookmarkStart w:id="99" w:name="_Toc509579147"/>
      <w:bookmarkStart w:id="100" w:name="_Toc27185"/>
      <w:r>
        <w:rPr>
          <w:rFonts w:hint="eastAsia" w:ascii="宋体" w:hAnsi="宋体" w:eastAsia="宋体" w:cs="宋体"/>
          <w:color w:val="000000" w:themeColor="text1"/>
          <w:highlight w:val="none"/>
          <w14:textFill>
            <w14:solidFill>
              <w14:schemeClr w14:val="tx1"/>
            </w14:solidFill>
          </w14:textFill>
        </w:rPr>
        <w:t>第八章  评审方法</w:t>
      </w:r>
      <w:bookmarkEnd w:id="99"/>
      <w:bookmarkEnd w:id="100"/>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bookmarkStart w:id="101" w:name="_Toc209847065"/>
      <w:bookmarkStart w:id="102" w:name="_Toc101338358"/>
      <w:bookmarkStart w:id="103" w:name="_Toc101250640"/>
      <w:bookmarkStart w:id="104" w:name="_Toc101174146"/>
      <w:bookmarkStart w:id="105" w:name="_Toc430773924"/>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1.总则</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1.2 磋商工作由</w:t>
      </w:r>
      <w:r>
        <w:rPr>
          <w:rFonts w:hint="eastAsia" w:ascii="宋体" w:hAnsi="宋体" w:eastAsia="宋体" w:cs="宋体"/>
          <w:b w:val="0"/>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val="0"/>
          <w:color w:val="000000" w:themeColor="text1"/>
          <w:sz w:val="24"/>
          <w:szCs w:val="24"/>
          <w:highlight w:val="none"/>
          <w14:textFill>
            <w14:solidFill>
              <w14:schemeClr w14:val="tx1"/>
            </w14:solidFill>
          </w14:textFill>
        </w:rPr>
        <w:t>负责组织，具体磋商由</w:t>
      </w:r>
      <w:r>
        <w:rPr>
          <w:rFonts w:hint="eastAsia" w:ascii="宋体" w:hAnsi="宋体" w:eastAsia="宋体" w:cs="宋体"/>
          <w:b w:val="0"/>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val="0"/>
          <w:color w:val="000000" w:themeColor="text1"/>
          <w:sz w:val="24"/>
          <w:szCs w:val="24"/>
          <w:highlight w:val="none"/>
          <w14:textFill>
            <w14:solidFill>
              <w14:schemeClr w14:val="tx1"/>
            </w14:solidFill>
          </w14:textFill>
        </w:rPr>
        <w:t>依法组建的磋商小组负责。</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1.3 磋商工作应遵循公平、公正、科学及择优的原则，并以相同的磋商程序和标准对待所有的供应商。</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1.4 磋商小组按照磋商文件规定的磋商程序、评分方法和标准进行评审，并独立履行下列职责：</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（二）审查供应商响应文件是否满足磋商文件要求，并作出公正评价；</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（四）推荐成交供应商，或者受采购人委托确定成交供应商；</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（五）起草评审报告并进行签署；</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（六）向</w:t>
      </w:r>
      <w:r>
        <w:rPr>
          <w:rFonts w:hint="eastAsia" w:ascii="宋体" w:hAnsi="宋体" w:eastAsia="宋体" w:cs="宋体"/>
          <w:b w:val="0"/>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val="0"/>
          <w:color w:val="000000" w:themeColor="text1"/>
          <w:sz w:val="24"/>
          <w:szCs w:val="24"/>
          <w:highlight w:val="none"/>
          <w14:textFill>
            <w14:solidFill>
              <w14:schemeClr w14:val="tx1"/>
            </w14:solidFill>
          </w14:textFill>
        </w:rPr>
        <w:t>、财政部门或者其他监督部门报告非法干预评审工作的行为；</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（七）法律、法规和规章规定的其他职责。</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1.5 （实质性要求）磋商过程独立、保密。供应商非法干预磋商过程的，其响应文件作无效处理。</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2.磋商程序</w:t>
      </w:r>
      <w:r>
        <w:rPr>
          <w:rFonts w:hint="eastAsia" w:ascii="宋体" w:hAnsi="宋体" w:eastAsia="宋体" w:cs="宋体"/>
          <w:color w:val="000000" w:themeColor="text1"/>
          <w:sz w:val="24"/>
          <w:szCs w:val="24"/>
          <w:highlight w:val="none"/>
          <w14:textFill>
            <w14:solidFill>
              <w14:schemeClr w14:val="tx1"/>
            </w14:solidFill>
          </w14:textFill>
        </w:rPr>
        <w:t>（按照政府采购云平台政策执行）</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2.1审查磋商文件和停止评审。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2.1.2 本磋商文件有下列情形之一的，磋商小组应当停止评审：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（1）磋商文件的规定存在歧义、重大缺陷的；</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（2）磋商文件明显以不合理条件对供应商实行差别待遇或者歧视待遇的；</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（3）采购项目属于国家规定的优先、强制采购范围，但是磋商文件未依法体现优先、强制采购相关规定的；</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（4）采购项目属于政府采购促进中小企业发展的范围，但是磋商文件未依法体现促进中小企业发展相关规定的；</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（5）磋商文件将供应商的资格条件列为评分因素的；</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（6）磋商文件载明的成交原则不合法的；</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（7）磋商文件有违反国家其他有关强制性规定的情形。</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2.1.3 出现本条2.1.2规定应当停止评审情形的，磋商小组应当向采购人书面说明情况。除本条规定的情形外，磋商小组不得以任何方式和理由停止评审。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2.2资格性审查。</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2.2.1本项目需要要磋商小组进行资格性检查。</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2.2.2资格性审查结束后，磋商小组应当出具资格性审查报告，没有通过资格审查的供应商，磋商小组应当在资格审查报告中说明原因。</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2.2.3磋商小组应依据磋商文件规定的实质性要求，</w:t>
      </w:r>
      <w:r>
        <w:rPr>
          <w:rFonts w:hint="eastAsia" w:ascii="宋体" w:hAnsi="宋体" w:eastAsia="宋体" w:cs="宋体"/>
          <w:b/>
          <w:bCs w:val="0"/>
          <w:color w:val="000000" w:themeColor="text1"/>
          <w:sz w:val="24"/>
          <w:szCs w:val="24"/>
          <w:highlight w:val="none"/>
          <w14:textFill>
            <w14:solidFill>
              <w14:schemeClr w14:val="tx1"/>
            </w14:solidFill>
          </w14:textFill>
        </w:rPr>
        <w:t>对符合资格的响应文件进行有效性、完整性和响应程度审查</w:t>
      </w:r>
      <w:r>
        <w:rPr>
          <w:rFonts w:hint="eastAsia" w:ascii="宋体" w:hAnsi="宋体" w:eastAsia="宋体" w:cs="宋体"/>
          <w:b w:val="0"/>
          <w:color w:val="000000" w:themeColor="text1"/>
          <w:sz w:val="24"/>
          <w:szCs w:val="24"/>
          <w:highlight w:val="none"/>
          <w14:textFill>
            <w14:solidFill>
              <w14:schemeClr w14:val="tx1"/>
            </w14:solidFill>
          </w14:textFill>
        </w:rPr>
        <w:t>，以确定参加磋商的供应商名单。</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2.2.4采购人或者采购代理机构宣布未通过资格性审查的供应商名单时，应当告知供应商未通过审查的原因。</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val="0"/>
          <w:color w:val="000000" w:themeColor="text1"/>
          <w:sz w:val="24"/>
          <w:szCs w:val="24"/>
          <w:highlight w:val="none"/>
          <w14:textFill>
            <w14:solidFill>
              <w14:schemeClr w14:val="tx1"/>
            </w14:solidFill>
          </w14:textFill>
        </w:rPr>
        <w:t xml:space="preserve"> 通过资格性审查的供应商不足</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家的，终止本次采购活动，并发布终止采购活动公告。</w:t>
      </w:r>
    </w:p>
    <w:p>
      <w:pPr>
        <w:pStyle w:val="4"/>
        <w:keepNext w:val="0"/>
        <w:keepLines w:val="0"/>
        <w:pageBreakBefore w:val="0"/>
        <w:widowControl w:val="0"/>
        <w:kinsoku/>
        <w:wordWrap/>
        <w:overflowPunct/>
        <w:topLinePunct w:val="0"/>
        <w:autoSpaceDE/>
        <w:autoSpaceDN/>
        <w:bidi w:val="0"/>
        <w:adjustRightInd w:val="0"/>
        <w:snapToGrid w:val="0"/>
        <w:spacing w:before="0" w:after="0" w:line="520" w:lineRule="exact"/>
        <w:ind w:firstLine="470" w:firstLineChars="196"/>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106" w:name="_Toc28072"/>
      <w:bookmarkStart w:id="107" w:name="_Toc63437911"/>
      <w:bookmarkStart w:id="108" w:name="_Toc63084325"/>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14:textFill>
            <w14:solidFill>
              <w14:schemeClr w14:val="tx1"/>
            </w14:solidFill>
          </w14:textFill>
        </w:rPr>
        <w:t>符合性审查</w:t>
      </w:r>
      <w:bookmarkEnd w:id="106"/>
      <w:bookmarkEnd w:id="107"/>
      <w:bookmarkEnd w:id="108"/>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2.3.1磋商过程中，磋商小组对供应商递交的首次响应文件进行审查，审查中发现供应商首次响应文件有下列情况之一的，应按照无效响应文件处理：</w:t>
      </w:r>
    </w:p>
    <w:p>
      <w:pPr>
        <w:pStyle w:val="20"/>
        <w:keepNext w:val="0"/>
        <w:keepLines w:val="0"/>
        <w:pageBreakBefore w:val="0"/>
        <w:widowControl w:val="0"/>
        <w:numPr>
          <w:ilvl w:val="0"/>
          <w:numId w:val="6"/>
        </w:numPr>
        <w:tabs>
          <w:tab w:val="left" w:pos="1134"/>
        </w:tabs>
        <w:kinsoku/>
        <w:wordWrap/>
        <w:overflowPunct/>
        <w:topLinePunct w:val="0"/>
        <w:autoSpaceDE/>
        <w:autoSpaceDN/>
        <w:bidi w:val="0"/>
        <w:adjustRightInd w:val="0"/>
        <w:snapToGrid w:val="0"/>
        <w:spacing w:line="520" w:lineRule="exact"/>
        <w:ind w:left="0" w:firstLine="56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响应文件的语言、报价货币、知识产权、响应文件有效期不符合采购文件的规定，影响磋商小组评判的；</w:t>
      </w:r>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2.3.2经最终磋商后，响应文件仍有下列情况之一的，应按照无效响应文件处理：</w:t>
      </w:r>
    </w:p>
    <w:p>
      <w:pPr>
        <w:pStyle w:val="20"/>
        <w:keepNext w:val="0"/>
        <w:keepLines w:val="0"/>
        <w:pageBreakBefore w:val="0"/>
        <w:widowControl w:val="0"/>
        <w:numPr>
          <w:ilvl w:val="0"/>
          <w:numId w:val="7"/>
        </w:numPr>
        <w:tabs>
          <w:tab w:val="left" w:pos="1134"/>
        </w:tabs>
        <w:kinsoku/>
        <w:wordWrap/>
        <w:overflowPunct/>
        <w:topLinePunct w:val="0"/>
        <w:autoSpaceDE/>
        <w:autoSpaceDN/>
        <w:bidi w:val="0"/>
        <w:adjustRightInd w:val="0"/>
        <w:snapToGrid w:val="0"/>
        <w:spacing w:line="520" w:lineRule="exact"/>
        <w:ind w:left="0" w:firstLine="567"/>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响应文件仍不能实质性响应采购文件的实质性要求和仍不能完全满足采购需求的最低要求的；</w:t>
      </w:r>
    </w:p>
    <w:p>
      <w:pPr>
        <w:pStyle w:val="20"/>
        <w:keepNext w:val="0"/>
        <w:keepLines w:val="0"/>
        <w:pageBreakBefore w:val="0"/>
        <w:widowControl w:val="0"/>
        <w:numPr>
          <w:ilvl w:val="0"/>
          <w:numId w:val="7"/>
        </w:numPr>
        <w:tabs>
          <w:tab w:val="left" w:pos="1134"/>
        </w:tabs>
        <w:kinsoku/>
        <w:wordWrap/>
        <w:overflowPunct/>
        <w:topLinePunct w:val="0"/>
        <w:autoSpaceDE/>
        <w:autoSpaceDN/>
        <w:bidi w:val="0"/>
        <w:adjustRightInd w:val="0"/>
        <w:snapToGrid w:val="0"/>
        <w:spacing w:line="520" w:lineRule="exact"/>
        <w:ind w:left="0" w:firstLine="567"/>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响应文件仍中有规定的其他无效响应情形的。</w:t>
      </w:r>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567" w:leftChars="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2.3.3供应商首次响应文件中的报价进行评审：</w:t>
      </w:r>
    </w:p>
    <w:p>
      <w:pPr>
        <w:pStyle w:val="20"/>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（一）大写金额和小写金额不一致的，以大写金额为准，但大写金额文字存在错误的，应当先对大写金额的文字错误进行澄清、说明或者更正，再行修正。</w:t>
      </w:r>
    </w:p>
    <w:p>
      <w:pPr>
        <w:pStyle w:val="20"/>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pStyle w:val="20"/>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（三）单价金额小数点或者百分比有明显错位的，以总价为准，修正单价。</w:t>
      </w:r>
    </w:p>
    <w:p>
      <w:pPr>
        <w:pStyle w:val="20"/>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同时出现两种以上不一致的，按照上述规定的顺序修正。</w:t>
      </w: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修正后的报价经供应商确认后产生约束力，供应商不确认的，其响应文件作为无效处理。供应商需采取</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加盖供应商（法定名称）电子签章</w:t>
      </w: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）的方式对修正后的报价进行确认。</w:t>
      </w:r>
    </w:p>
    <w:p>
      <w:pPr>
        <w:pStyle w:val="20"/>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zh-CN" w:eastAsia="zh-CN" w:bidi="ar-SA"/>
          <w14:textFill>
            <w14:solidFill>
              <w14:schemeClr w14:val="tx1"/>
            </w14:solidFill>
          </w14:textFill>
        </w:rPr>
        <w:t>不得未经澄清、说明或者更正，直接将供应商响应文件作为无效处理。</w:t>
      </w:r>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2.3.5磋商小组要求供应商澄清、说明或者更正施工响应文件应当以书面形式作出。供应商的澄清、说明或者更正应加盖供应商（法定名称）电子签章。</w:t>
      </w:r>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2.3.6磋商小组应当积极履行澄清、说明或者更正的职责，不得滥用权力。</w:t>
      </w:r>
    </w:p>
    <w:p>
      <w:pPr>
        <w:pStyle w:val="20"/>
        <w:keepNext w:val="0"/>
        <w:keepLines w:val="0"/>
        <w:pageBreakBefore w:val="0"/>
        <w:widowControl w:val="0"/>
        <w:numPr>
          <w:ilvl w:val="0"/>
          <w:numId w:val="0"/>
        </w:numPr>
        <w:tabs>
          <w:tab w:val="left" w:pos="1134"/>
        </w:tabs>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2.3.7磋商小组在符合性审查过程中，磋商小组成员对供应商是否符合规定存在争议的，应当以少数</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服从多数的原则处理，但不违背政府采购法和磋商文件规定。</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470" w:firstLineChars="196"/>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2.4磋商。</w:t>
      </w:r>
      <w:r>
        <w:rPr>
          <w:rFonts w:hint="eastAsia" w:ascii="宋体" w:hAnsi="宋体" w:eastAsia="宋体" w:cs="宋体"/>
          <w:b/>
          <w:bCs w:val="0"/>
          <w:color w:val="000000" w:themeColor="text1"/>
          <w:sz w:val="24"/>
          <w:szCs w:val="24"/>
          <w:highlight w:val="none"/>
          <w14:textFill>
            <w14:solidFill>
              <w14:schemeClr w14:val="tx1"/>
            </w14:solidFill>
          </w14:textFill>
        </w:rPr>
        <w:t>（按照政府采购云平台政策执行）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2.4.1</w:t>
      </w:r>
      <w:r>
        <w:rPr>
          <w:rFonts w:hint="eastAsia" w:ascii="宋体" w:hAnsi="宋体" w:eastAsia="宋体" w:cs="宋体"/>
          <w:color w:val="000000" w:themeColor="text1"/>
          <w:sz w:val="24"/>
          <w:szCs w:val="24"/>
          <w:highlight w:val="none"/>
          <w14:textFill>
            <w14:solidFill>
              <w14:schemeClr w14:val="tx1"/>
            </w14:solidFill>
          </w14:textFill>
        </w:rPr>
        <w:t>磋商会议在“政府采购云平台”进行。磋商会议由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代理机构</w:t>
      </w:r>
      <w:r>
        <w:rPr>
          <w:rFonts w:hint="eastAsia" w:ascii="宋体" w:hAnsi="宋体" w:eastAsia="宋体" w:cs="宋体"/>
          <w:color w:val="000000" w:themeColor="text1"/>
          <w:sz w:val="24"/>
          <w:szCs w:val="24"/>
          <w:highlight w:val="none"/>
          <w14:textFill>
            <w14:solidFill>
              <w14:schemeClr w14:val="tx1"/>
            </w14:solidFill>
          </w14:textFill>
        </w:rPr>
        <w:t xml:space="preserve">在线主持，供应商代表在线参加。磋商应由监督人员在线进行监督。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2.4.2磋商小组按照磋商文件的规定与邀请参加磋商的供应商分别进行磋商，磋商顺序由磋商小组确定，磋商通过“政府采购云平台”在线进行。供应商应随时关注“政府采购云平台”站内信息或短信提醒，及时参与在线磋商。登录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2.4.3磋商小组所有成员集中与单一供应商对技术、服务、合同条款等内容分别进行一轮或多轮的磋商。在磋商中，磋商的任何一方不得透露与磋商有关的其他供应商的技术资料、价格和其他信息。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2.4.4磋商内容为第五章中“技术、服务、商务及其他要求”、第九章“合同草案条款”。</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2.4.5磋商过程中，磋商小组获得采购人同意（由采购人代表签字确认）后，可以根据磋商文件和磋商情况实质性变动磋商文件中的第五章技术、服务、商务及其他要求、第九章合同草案条款，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2.4.6磋商过程中，供应商可以根据磋商情况变更其响应文件，并将变更内容通过“澄清”功能送磋商小组。变更内容作为响应文件的一部分。供应商书面材料应加盖供应商（法定名称）电子签章，否则无效。</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2.4.7磋商小组经过一轮或多轮磋商后，供应商的响应文件仍然不能满足磋商文件中采购项目的最低要求，或者磋商过程中，磋商小组发现或者知晓供应商存在违法、违纪行为的，磋商小组应当将该供应商淘汰，不允许其参加最后报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2.5最后报价。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2.5.1</w:t>
      </w:r>
      <w:r>
        <w:rPr>
          <w:rFonts w:hint="eastAsia" w:ascii="宋体" w:hAnsi="宋体" w:eastAsia="宋体" w:cs="宋体"/>
          <w:color w:val="000000" w:themeColor="text1"/>
          <w:sz w:val="24"/>
          <w:szCs w:val="24"/>
          <w:highlight w:val="none"/>
          <w14:textFill>
            <w14:solidFill>
              <w14:schemeClr w14:val="tx1"/>
            </w14:solidFill>
          </w14:textFill>
        </w:rPr>
        <w:t>磋商结束后，评审委员会应当要求所有实质性响应的供应商在规定时间内进行最后报价或者多轮报价后再最后报价。磋商小组开启报价后，供应商应随时关注“政府采购云平台”站内信息或短信提醒，登录“政府采购云平台”，通过“开标大厅”进行报价。登录政府采购云平台—项目采购—开标评标—开标大厅（找到对应项目）—报价，进行报价并签章后递交。报价时间截止后，系统统一公布报价。</w:t>
      </w:r>
      <w:r>
        <w:rPr>
          <w:rFonts w:hint="eastAsia" w:ascii="宋体" w:hAnsi="宋体" w:eastAsia="宋体" w:cs="宋体"/>
          <w:b/>
          <w:bCs/>
          <w:color w:val="000000" w:themeColor="text1"/>
          <w:sz w:val="24"/>
          <w:szCs w:val="24"/>
          <w:highlight w:val="none"/>
          <w14:textFill>
            <w14:solidFill>
              <w14:schemeClr w14:val="tx1"/>
            </w14:solidFill>
          </w14:textFill>
        </w:rPr>
        <w:t>提示：供应商未按时登录不见面开标系统，未在报价截止时间内递交报价或未按要求进行报价的，视为供应商响应无效，由供应商自行承担不利后果。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2.5.2</w:t>
      </w:r>
      <w:r>
        <w:rPr>
          <w:rFonts w:hint="eastAsia" w:ascii="宋体" w:hAnsi="宋体" w:eastAsia="宋体" w:cs="宋体"/>
          <w:color w:val="000000" w:themeColor="text1"/>
          <w:sz w:val="24"/>
          <w:szCs w:val="24"/>
          <w:highlight w:val="none"/>
          <w14:textFill>
            <w14:solidFill>
              <w14:schemeClr w14:val="tx1"/>
            </w14:solidFill>
          </w14:textFill>
        </w:rPr>
        <w:t>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2.5.3</w:t>
      </w:r>
      <w:r>
        <w:rPr>
          <w:rFonts w:hint="eastAsia" w:ascii="宋体" w:hAnsi="宋体" w:eastAsia="宋体" w:cs="宋体"/>
          <w:color w:val="000000" w:themeColor="text1"/>
          <w:sz w:val="24"/>
          <w:szCs w:val="24"/>
          <w:highlight w:val="none"/>
          <w14:textFill>
            <w14:solidFill>
              <w14:schemeClr w14:val="tx1"/>
            </w14:solidFill>
          </w14:textFill>
        </w:rPr>
        <w:t>供应商未按磋商小组要求在规定时间内提交最后报价的，视为其退出磋商。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2.5.4</w:t>
      </w:r>
      <w:r>
        <w:rPr>
          <w:rFonts w:hint="eastAsia" w:ascii="宋体" w:hAnsi="宋体" w:eastAsia="宋体" w:cs="宋体"/>
          <w:color w:val="000000" w:themeColor="text1"/>
          <w:sz w:val="24"/>
          <w:szCs w:val="24"/>
          <w:highlight w:val="none"/>
          <w14:textFill>
            <w14:solidFill>
              <w14:schemeClr w14:val="tx1"/>
            </w14:solidFill>
          </w14:textFill>
        </w:rPr>
        <w:t>最后报价一旦递交后，供应商不得以任何理由撤回。</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2.5.5</w:t>
      </w:r>
      <w:r>
        <w:rPr>
          <w:rFonts w:hint="eastAsia" w:ascii="宋体" w:hAnsi="宋体" w:eastAsia="宋体" w:cs="宋体"/>
          <w:color w:val="000000" w:themeColor="text1"/>
          <w:sz w:val="24"/>
          <w:szCs w:val="24"/>
          <w:highlight w:val="none"/>
          <w14:textFill>
            <w14:solidFill>
              <w14:schemeClr w14:val="tx1"/>
            </w14:solidFill>
          </w14:textFill>
        </w:rPr>
        <w:t>供应商的最后报价由磋商小组在“政府采购云平台”公布。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2.5.6</w:t>
      </w:r>
      <w:r>
        <w:rPr>
          <w:rFonts w:hint="eastAsia" w:ascii="宋体" w:hAnsi="宋体" w:eastAsia="宋体" w:cs="宋体"/>
          <w:color w:val="000000" w:themeColor="text1"/>
          <w:sz w:val="24"/>
          <w:szCs w:val="24"/>
          <w:highlight w:val="none"/>
          <w14:textFill>
            <w14:solidFill>
              <w14:schemeClr w14:val="tx1"/>
            </w14:solidFill>
          </w14:textFill>
        </w:rPr>
        <w:t>最后报价为有效报价应符合下列条件：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供应商所提供的最后报价是在规定的时间内提交。</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供应商的最后报价应加盖供应商（法定名称）电子签章。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供应商的最后报价符合磋商文件的要求。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最后报价唯一，且不高于最高限价。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2.5.7</w:t>
      </w:r>
      <w:r>
        <w:rPr>
          <w:rFonts w:hint="eastAsia" w:ascii="宋体" w:hAnsi="宋体" w:eastAsia="宋体" w:cs="宋体"/>
          <w:color w:val="000000" w:themeColor="text1"/>
          <w:sz w:val="24"/>
          <w:szCs w:val="24"/>
          <w:highlight w:val="none"/>
          <w14:textFill>
            <w14:solidFill>
              <w14:schemeClr w14:val="tx1"/>
            </w14:solidFill>
          </w14:textFill>
        </w:rPr>
        <w:t>在未提高响应文件中承诺的实质性要求的情况下，最后报价不得高于对该项目之前的报价，否则，磋商小组应当对其响应文件按无效处理。磋商小组根据磋商文件中规定认为供应商最后报价低于成本价，在磋商小组发出质询函后供应商未能提供合理的成本分析和价格构成的或对质函询的解释未被磋商小组采信的，应按照无效响应文件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2.5.8</w:t>
      </w:r>
      <w:r>
        <w:rPr>
          <w:rFonts w:hint="eastAsia" w:ascii="宋体" w:hAnsi="宋体" w:eastAsia="宋体" w:cs="宋体"/>
          <w:color w:val="000000" w:themeColor="text1"/>
          <w:sz w:val="24"/>
          <w:szCs w:val="24"/>
          <w:highlight w:val="none"/>
          <w14:textFill>
            <w14:solidFill>
              <w14:schemeClr w14:val="tx1"/>
            </w14:solidFill>
          </w14:textFill>
        </w:rPr>
        <w:t>最后报价出现下列情况的，不需要供应商澄清，按以下原则处理：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最后报价中的大写金额和小写金额不一致的，以大写金额为准，但大写金额出现文字错误，导致金额无法判断的除外；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单价金额小数点或者百分比有明显错位的，应以总价为准，并修改单价；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总价金额与按单价汇总金额不一致的，以单价汇总金额计算结果为准；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同时出现两种以上不一致的，按照前款规定的顺序修正。修正后的最后报价经加盖供应商（法定名称）电子签章后产生约束力，供应商不确认的，其最后报价无效。</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对不同语言文本施工响应文件的解释发生异议的，以中文文本为准。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有效最后报价的供应商不足三家的，采购失败。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9" w:name="_Toc16627"/>
      <w:bookmarkStart w:id="110" w:name="_Toc63437913"/>
      <w:bookmarkStart w:id="111" w:name="_Toc63084327"/>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解释、澄清、说明的有关问题</w:t>
      </w:r>
      <w:bookmarkEnd w:id="109"/>
      <w:bookmarkEnd w:id="110"/>
      <w:bookmarkEnd w:id="111"/>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2.6.1</w:t>
      </w:r>
      <w:r>
        <w:rPr>
          <w:rFonts w:hint="eastAsia" w:ascii="宋体" w:hAnsi="宋体" w:eastAsia="宋体" w:cs="宋体"/>
          <w:color w:val="000000" w:themeColor="text1"/>
          <w:sz w:val="24"/>
          <w:szCs w:val="24"/>
          <w:highlight w:val="none"/>
          <w14:textFill>
            <w14:solidFill>
              <w14:schemeClr w14:val="tx1"/>
            </w14:solidFill>
          </w14:textFill>
        </w:rPr>
        <w:t>评审过程中，磋商小组认为磋商文件有关事项表述不明确或需要说明的，可以</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要求代理机构</w:t>
      </w:r>
      <w:r>
        <w:rPr>
          <w:rFonts w:hint="eastAsia" w:ascii="宋体" w:hAnsi="宋体" w:eastAsia="宋体" w:cs="宋体"/>
          <w:color w:val="000000" w:themeColor="text1"/>
          <w:sz w:val="24"/>
          <w:szCs w:val="24"/>
          <w:highlight w:val="none"/>
          <w14:textFill>
            <w14:solidFill>
              <w14:schemeClr w14:val="tx1"/>
            </w14:solidFill>
          </w14:textFill>
        </w:rPr>
        <w:t>书面解释。</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代理机构</w:t>
      </w:r>
      <w:r>
        <w:rPr>
          <w:rFonts w:hint="eastAsia" w:ascii="宋体" w:hAnsi="宋体" w:eastAsia="宋体" w:cs="宋体"/>
          <w:color w:val="000000" w:themeColor="text1"/>
          <w:sz w:val="24"/>
          <w:szCs w:val="24"/>
          <w:highlight w:val="none"/>
          <w14:textFill>
            <w14:solidFill>
              <w14:schemeClr w14:val="tx1"/>
            </w14:solidFill>
          </w14:textFill>
        </w:rPr>
        <w:t>的解释不得改变磋商文件的原义或者影响公平、公正，解释事项如果涉及供应商权益的以有利于供应商的原则进行解释。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2.6.2</w:t>
      </w:r>
      <w:r>
        <w:rPr>
          <w:rFonts w:hint="eastAsia" w:ascii="宋体" w:hAnsi="宋体" w:eastAsia="宋体" w:cs="宋体"/>
          <w:color w:val="000000" w:themeColor="text1"/>
          <w:sz w:val="24"/>
          <w:szCs w:val="24"/>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2.6.3</w:t>
      </w:r>
      <w:r>
        <w:rPr>
          <w:rFonts w:hint="eastAsia" w:ascii="宋体" w:hAnsi="宋体" w:eastAsia="宋体" w:cs="宋体"/>
          <w:b/>
          <w:bCs/>
          <w:color w:val="000000" w:themeColor="text1"/>
          <w:sz w:val="24"/>
          <w:szCs w:val="24"/>
          <w:highlight w:val="none"/>
          <w14:textFill>
            <w14:solidFill>
              <w14:schemeClr w14:val="tx1"/>
            </w14:solidFill>
          </w14:textFill>
        </w:rPr>
        <w:t>评审结束之前，供应商应随时关注系统提示，及时通过“政府采购云平台”在线响应磋商小组发出的澄清、说明或补正要求，签章并确认提交成功。逾时回复将不能提交，视为供应商自行放弃，其损失由供应商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磋商小组应当积极履行澄清、说明或者更正的职责，不得滥用权力。</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推荐成交候选供应商。磋商小组应当根据综合评分情况，</w:t>
      </w:r>
      <w:r>
        <w:rPr>
          <w:rFonts w:hint="eastAsia" w:ascii="宋体" w:hAnsi="宋体" w:eastAsia="宋体" w:cs="宋体"/>
          <w:b w:val="0"/>
          <w:bCs/>
          <w:color w:val="000000" w:themeColor="text1"/>
          <w:sz w:val="24"/>
          <w:szCs w:val="24"/>
          <w:highlight w:val="none"/>
          <w14:textFill>
            <w14:solidFill>
              <w14:schemeClr w14:val="tx1"/>
            </w14:solidFill>
          </w14:textFill>
        </w:rPr>
        <w:t>按照评审得分由高到低顺序推荐3家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color w:val="000000" w:themeColor="text1"/>
          <w:sz w:val="24"/>
          <w:szCs w:val="24"/>
          <w:highlight w:val="none"/>
          <w14:textFill>
            <w14:solidFill>
              <w14:schemeClr w14:val="tx1"/>
            </w14:solidFill>
          </w14:textFill>
        </w:rPr>
        <w:t>候选供应商</w:t>
      </w:r>
      <w:r>
        <w:rPr>
          <w:rFonts w:hint="eastAsia" w:ascii="宋体" w:hAnsi="宋体" w:eastAsia="宋体" w:cs="宋体"/>
          <w:b w:val="0"/>
          <w:color w:val="000000" w:themeColor="text1"/>
          <w:sz w:val="24"/>
          <w:szCs w:val="24"/>
          <w:highlight w:val="none"/>
          <w14:textFill>
            <w14:solidFill>
              <w14:schemeClr w14:val="tx1"/>
            </w14:solidFill>
          </w14:textFill>
        </w:rPr>
        <w:t>。采用综合评分法的，评</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b w:val="0"/>
          <w:color w:val="000000" w:themeColor="text1"/>
          <w:sz w:val="24"/>
          <w:szCs w:val="24"/>
          <w:highlight w:val="none"/>
          <w14:textFill>
            <w14:solidFill>
              <w14:schemeClr w14:val="tx1"/>
            </w14:solidFill>
          </w14:textFill>
        </w:rPr>
        <w:t>结果按评审后得分由高到低顺序排列。得分相同的，</w:t>
      </w:r>
      <w:r>
        <w:rPr>
          <w:rFonts w:hint="eastAsia" w:ascii="宋体" w:hAnsi="宋体" w:eastAsia="宋体" w:cs="宋体"/>
          <w:b w:val="0"/>
          <w:color w:val="000000" w:themeColor="text1"/>
          <w:sz w:val="24"/>
          <w:szCs w:val="24"/>
          <w:highlight w:val="none"/>
          <w14:textFill>
            <w14:solidFill>
              <w14:schemeClr w14:val="tx1"/>
            </w14:solidFill>
          </w14:textFill>
        </w:rPr>
        <w:t>按报价由低到高顺序排列。</w:t>
      </w:r>
      <w:r>
        <w:rPr>
          <w:rFonts w:hint="eastAsia" w:ascii="宋体" w:hAnsi="宋体" w:eastAsia="宋体" w:cs="宋体"/>
          <w:b w:val="0"/>
          <w:color w:val="000000" w:themeColor="text1"/>
          <w:sz w:val="24"/>
          <w:szCs w:val="24"/>
          <w:highlight w:val="none"/>
          <w14:textFill>
            <w14:solidFill>
              <w14:schemeClr w14:val="tx1"/>
            </w14:solidFill>
          </w14:textFill>
        </w:rPr>
        <w:t>得分且报价相同的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并列（注：为扶持不发达地区和少数民族地区，得分且报价相同的，优先推荐企业注册地在不发达地区和少数民族地区的</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得分且最终报价相同的，且均为不发达地区或少数民族地区的供应商，按照提供的服务优劣的顺序推荐</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（不发达地区或少数民族地区的供应商需提供属于不发达地区或少数民族地区企业的相关证明材料，或供应商注册地为少数民族地区。）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采购组织单位现场复核评审结果。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.1评审结果汇总完成后，磋商小组拟出具磋商评审报告前，</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应当组织2名以上的本单位工作人员，在采购现场监督人员的监督之下，依据有关的法律制度和磋商文件对评审结果进行复核，出具复核报告，存在下列情形之一的，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应当根据情况书面建议磋商小组现场修改评审结果：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（1）资格性审查认定错误的；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（2）分值汇总计算错误的；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（3）分项评分超出评分标准范围的；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（4）客观评分不一致的。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存在本条上述情形的，由磋商小组自主决定是否采纳</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的书面建议，并承担独立评审责任。磋商小组采纳</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书面建议的，应当按照规定现场修改评审结果或者重新评审，并在磋商报告中详细记载有关事宜；不采纳</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书面建议的，应当书面说明理由。</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书面建议未被磋商小组采纳的，应当接照规定程序要求继续组织实施采购活动，不得擅自中止采购活动。</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复核过程中，磋商小组成员不得离开评审现场。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.2有下列情形之一的，不得现场修改评审结果：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（1）磋商小组已经出具磋商报告并且离开评审现场的；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现场复核时，复核工作人员数量不足的；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现场复核时，没有采购监督人员现场监督的；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现场复核内容超出规定范围的；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未提供书面建议的。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编写磋商报告。磋商小组推荐成交候选供应商后，应向</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出具磋商报告。磋商报告应当包括以下主要内容：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（1）邀请供应商参加采购活动的具体方式和相关情况；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（2）响应文件开启日期和地点；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（3）获取磋商文件的供应商名单和磋商小组成员名单；</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（5）提出的成交候选供应商的排序名单及理由。</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2.13终止磋商采购活动。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（3）在采购过程中符合要求的供应商或者报价未超过采购预算的供应商不足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家的。</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3.综合评分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3.1本次综合评分的因素详3.3.2综合评分明细表。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除价格因素外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8"/>
        <w:tabs>
          <w:tab w:val="left" w:pos="6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3.3综合评分明细表</w:t>
      </w:r>
    </w:p>
    <w:p>
      <w:pPr>
        <w:pStyle w:val="18"/>
        <w:tabs>
          <w:tab w:val="left" w:pos="6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3.3.1综合评分明细表的制定以科学合理、降低评委会自由裁量权为原则。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3.3.2综合评分明细表</w:t>
      </w:r>
      <w:bookmarkEnd w:id="53"/>
    </w:p>
    <w:tbl>
      <w:tblPr>
        <w:tblStyle w:val="32"/>
        <w:tblpPr w:leftFromText="180" w:rightFromText="180" w:vertAnchor="text" w:horzAnchor="page" w:tblpXSpec="center" w:tblpY="243"/>
        <w:tblOverlap w:val="never"/>
        <w:tblW w:w="8831" w:type="dxa"/>
        <w:jc w:val="center"/>
        <w:tblLayout w:type="fixed"/>
        <w:tblCellMar>
          <w:top w:w="0" w:type="dxa"/>
          <w:left w:w="108" w:type="dxa"/>
          <w:bottom w:w="0" w:type="dxa"/>
          <w:right w:w="108" w:type="dxa"/>
        </w:tblCellMar>
      </w:tblPr>
      <w:tblGrid>
        <w:gridCol w:w="401"/>
        <w:gridCol w:w="1091"/>
        <w:gridCol w:w="1009"/>
        <w:gridCol w:w="5310"/>
        <w:gridCol w:w="1020"/>
      </w:tblGrid>
      <w:tr>
        <w:tblPrEx>
          <w:tblCellMar>
            <w:top w:w="0" w:type="dxa"/>
            <w:left w:w="108" w:type="dxa"/>
            <w:bottom w:w="0" w:type="dxa"/>
            <w:right w:w="108" w:type="dxa"/>
          </w:tblCellMar>
        </w:tblPrEx>
        <w:trPr>
          <w:trHeight w:val="642"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t>序号</w:t>
            </w:r>
          </w:p>
        </w:tc>
        <w:tc>
          <w:tcPr>
            <w:tcW w:w="1091" w:type="dxa"/>
            <w:tcBorders>
              <w:top w:val="single" w:color="auto" w:sz="4" w:space="0"/>
              <w:left w:val="nil"/>
              <w:bottom w:val="single" w:color="auto" w:sz="4" w:space="0"/>
              <w:right w:val="single" w:color="auto" w:sz="4" w:space="0"/>
            </w:tcBorders>
            <w:vAlign w:val="center"/>
          </w:tcPr>
          <w:p>
            <w:pPr>
              <w:spacing w:line="360" w:lineRule="auto"/>
              <w:ind w:firstLine="28" w:firstLineChars="0"/>
              <w:jc w:val="center"/>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评分因素及权重</w:t>
            </w:r>
          </w:p>
        </w:tc>
        <w:tc>
          <w:tcPr>
            <w:tcW w:w="1009" w:type="dxa"/>
            <w:tcBorders>
              <w:top w:val="single" w:color="auto" w:sz="4" w:space="0"/>
              <w:left w:val="nil"/>
              <w:bottom w:val="single" w:color="auto" w:sz="4" w:space="0"/>
              <w:right w:val="single" w:color="auto" w:sz="4" w:space="0"/>
            </w:tcBorders>
            <w:vAlign w:val="center"/>
          </w:tcPr>
          <w:p>
            <w:pPr>
              <w:spacing w:line="360" w:lineRule="auto"/>
              <w:ind w:firstLine="28" w:firstLineChars="0"/>
              <w:jc w:val="center"/>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5310" w:type="dxa"/>
            <w:tcBorders>
              <w:top w:val="single" w:color="auto" w:sz="4" w:space="0"/>
              <w:left w:val="nil"/>
              <w:bottom w:val="single" w:color="auto" w:sz="4" w:space="0"/>
              <w:right w:val="single" w:color="auto" w:sz="4" w:space="0"/>
            </w:tcBorders>
            <w:vAlign w:val="center"/>
          </w:tcPr>
          <w:p>
            <w:pPr>
              <w:spacing w:line="360" w:lineRule="auto"/>
              <w:ind w:firstLine="28" w:firstLineChars="0"/>
              <w:jc w:val="center"/>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评分标准</w:t>
            </w:r>
          </w:p>
        </w:tc>
        <w:tc>
          <w:tcPr>
            <w:tcW w:w="1020"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bCs/>
                <w:i w:val="0"/>
                <w:caps w:val="0"/>
                <w:color w:val="000000" w:themeColor="text1"/>
                <w:spacing w:val="0"/>
                <w:w w:val="100"/>
                <w:sz w:val="21"/>
                <w:szCs w:val="21"/>
                <w:highlight w:val="none"/>
                <w:lang w:eastAsia="zh-CN"/>
                <w14:textFill>
                  <w14:solidFill>
                    <w14:schemeClr w14:val="tx1"/>
                  </w14:solidFill>
                </w14:textFill>
              </w:rPr>
            </w:pPr>
            <w:r>
              <w:rPr>
                <w:rFonts w:hint="eastAsia" w:ascii="宋体" w:hAnsi="宋体" w:cs="宋体"/>
                <w:b/>
                <w:bCs/>
                <w:i w:val="0"/>
                <w:caps w:val="0"/>
                <w:color w:val="000000" w:themeColor="text1"/>
                <w:spacing w:val="0"/>
                <w:w w:val="100"/>
                <w:sz w:val="21"/>
                <w:szCs w:val="21"/>
                <w:highlight w:val="none"/>
                <w:lang w:eastAsia="zh-CN"/>
                <w14:textFill>
                  <w14:solidFill>
                    <w14:schemeClr w14:val="tx1"/>
                  </w14:solidFill>
                </w14:textFill>
              </w:rPr>
              <w:t>说明</w:t>
            </w:r>
          </w:p>
        </w:tc>
      </w:tr>
      <w:tr>
        <w:tblPrEx>
          <w:tblCellMar>
            <w:top w:w="0" w:type="dxa"/>
            <w:left w:w="108" w:type="dxa"/>
            <w:bottom w:w="0" w:type="dxa"/>
            <w:right w:w="108" w:type="dxa"/>
          </w:tblCellMar>
        </w:tblPrEx>
        <w:trPr>
          <w:trHeight w:val="1188"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1</w:t>
            </w:r>
          </w:p>
        </w:tc>
        <w:tc>
          <w:tcPr>
            <w:tcW w:w="1091"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报价</w:t>
            </w:r>
            <w:r>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t>15%</w:t>
            </w:r>
          </w:p>
        </w:tc>
        <w:tc>
          <w:tcPr>
            <w:tcW w:w="1009"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1</w:t>
            </w: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分</w:t>
            </w:r>
          </w:p>
        </w:tc>
        <w:tc>
          <w:tcPr>
            <w:tcW w:w="5310"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满</w:t>
            </w:r>
            <w:r>
              <w:rPr>
                <w:rFonts w:hint="eastAsia" w:ascii="宋体" w:hAnsi="宋体" w:eastAsia="宋体" w:cs="宋体"/>
                <w:b w:val="0"/>
                <w:i w:val="0"/>
                <w:caps w:val="0"/>
                <w:color w:val="000000" w:themeColor="text1"/>
                <w:spacing w:val="0"/>
                <w:w w:val="100"/>
                <w:sz w:val="21"/>
                <w:szCs w:val="21"/>
                <w:highlight w:val="none"/>
                <w:lang w:eastAsia="zh-CN"/>
                <w14:textFill>
                  <w14:solidFill>
                    <w14:schemeClr w14:val="tx1"/>
                  </w14:solidFill>
                </w14:textFill>
              </w:rPr>
              <w:t>足磋商</w:t>
            </w: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文件要求且报价最低的供应商的价格为评标基准价，其价格分为满分。其他供应商的价格分统一按照下列公式计算:</w:t>
            </w:r>
            <w:r>
              <w:rPr>
                <w:rFonts w:hint="eastAsia" w:ascii="宋体" w:hAnsi="宋体" w:eastAsia="宋体" w:cs="宋体"/>
                <w:color w:val="000000" w:themeColor="text1"/>
                <w:sz w:val="21"/>
                <w:szCs w:val="21"/>
                <w:highlight w:val="none"/>
                <w14:textFill>
                  <w14:solidFill>
                    <w14:schemeClr w14:val="tx1"/>
                  </w14:solidFill>
                </w14:textFill>
              </w:rPr>
              <w:t>报价得分=（评标基准价/投标报价）*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*100%</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020"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共同评分因素</w:t>
            </w:r>
          </w:p>
        </w:tc>
      </w:tr>
      <w:tr>
        <w:tblPrEx>
          <w:tblCellMar>
            <w:top w:w="0" w:type="dxa"/>
            <w:left w:w="108" w:type="dxa"/>
            <w:bottom w:w="0" w:type="dxa"/>
            <w:right w:w="108" w:type="dxa"/>
          </w:tblCellMar>
        </w:tblPrEx>
        <w:trPr>
          <w:trHeight w:val="999"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2</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技术、服务要求</w:t>
            </w:r>
          </w:p>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15%</w:t>
            </w:r>
          </w:p>
        </w:tc>
        <w:tc>
          <w:tcPr>
            <w:tcW w:w="10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15分</w:t>
            </w:r>
          </w:p>
        </w:tc>
        <w:tc>
          <w:tcPr>
            <w:tcW w:w="53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完全满足文件“第五章  技术、服务及其他商务要求”中‘三、清单及服务要求  ’完全符合清单及服务要求要求没有负偏离的得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5分，有一条负偏离的不得分。</w:t>
            </w:r>
          </w:p>
        </w:tc>
        <w:tc>
          <w:tcPr>
            <w:tcW w:w="102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共同评分因素</w:t>
            </w:r>
          </w:p>
        </w:tc>
      </w:tr>
      <w:tr>
        <w:tblPrEx>
          <w:tblCellMar>
            <w:top w:w="0" w:type="dxa"/>
            <w:left w:w="108" w:type="dxa"/>
            <w:bottom w:w="0" w:type="dxa"/>
            <w:right w:w="108" w:type="dxa"/>
          </w:tblCellMar>
        </w:tblPrEx>
        <w:trPr>
          <w:trHeight w:val="1561" w:hRule="atLeast"/>
          <w:jc w:val="center"/>
        </w:trPr>
        <w:tc>
          <w:tcPr>
            <w:tcW w:w="401" w:type="dxa"/>
            <w:vMerge w:val="restart"/>
            <w:tcBorders>
              <w:top w:val="single" w:color="auto" w:sz="4" w:space="0"/>
              <w:left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3</w:t>
            </w:r>
          </w:p>
        </w:tc>
        <w:tc>
          <w:tcPr>
            <w:tcW w:w="1091" w:type="dxa"/>
            <w:vMerge w:val="restart"/>
            <w:tcBorders>
              <w:top w:val="single" w:color="auto" w:sz="4" w:space="0"/>
              <w:left w:val="nil"/>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实施方案</w:t>
            </w:r>
          </w:p>
          <w:p>
            <w:pPr>
              <w:snapToGrid w:val="0"/>
              <w:spacing w:before="0" w:beforeAutospacing="0" w:after="0" w:afterAutospacing="0" w:line="360" w:lineRule="auto"/>
              <w:jc w:val="center"/>
              <w:textAlignment w:val="baseline"/>
              <w:rPr>
                <w:rFonts w:hint="default"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t>55%</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需求</w:t>
            </w:r>
          </w:p>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分析</w:t>
            </w:r>
          </w:p>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w:t>
            </w:r>
          </w:p>
        </w:tc>
        <w:tc>
          <w:tcPr>
            <w:tcW w:w="53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根据供应商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针对本项目提供的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①项目背景</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、②项目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重点难点分析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、③项目阶段性目标达成方案来进行综合评审。以上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内容提供</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齐全方案内容完善、清晰的得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缺失的扣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分，每有一项内容有缺陷或不完善、不清晰的扣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分，扣完为止（内容缺陷、不完善、不清晰指：项目名称、涉及的规范、标准与本项目要求不一致、内容与实际情况存在偏差、过于简略、存在无关的内容、不符合本项目实际需要）。</w:t>
            </w:r>
          </w:p>
        </w:tc>
        <w:tc>
          <w:tcPr>
            <w:tcW w:w="1020" w:type="dxa"/>
            <w:vMerge w:val="restart"/>
            <w:tcBorders>
              <w:top w:val="single" w:color="auto" w:sz="4" w:space="0"/>
              <w:left w:val="nil"/>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bCs/>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caps w:val="0"/>
                <w:color w:val="000000" w:themeColor="text1"/>
                <w:spacing w:val="0"/>
                <w:w w:val="100"/>
                <w:sz w:val="21"/>
                <w:szCs w:val="21"/>
                <w:highlight w:val="none"/>
                <w14:textFill>
                  <w14:solidFill>
                    <w14:schemeClr w14:val="tx1"/>
                  </w14:solidFill>
                </w14:textFill>
              </w:rPr>
              <w:t>技术评分因素</w:t>
            </w:r>
          </w:p>
        </w:tc>
      </w:tr>
      <w:tr>
        <w:tblPrEx>
          <w:tblCellMar>
            <w:top w:w="0" w:type="dxa"/>
            <w:left w:w="108" w:type="dxa"/>
            <w:bottom w:w="0" w:type="dxa"/>
            <w:right w:w="108" w:type="dxa"/>
          </w:tblCellMar>
        </w:tblPrEx>
        <w:trPr>
          <w:trHeight w:val="90" w:hRule="atLeast"/>
          <w:jc w:val="center"/>
        </w:trPr>
        <w:tc>
          <w:tcPr>
            <w:tcW w:w="401" w:type="dxa"/>
            <w:vMerge w:val="continue"/>
            <w:tcBorders>
              <w:left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pPr>
          </w:p>
        </w:tc>
        <w:tc>
          <w:tcPr>
            <w:tcW w:w="1091" w:type="dxa"/>
            <w:vMerge w:val="continue"/>
            <w:tcBorders>
              <w:left w:val="nil"/>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货源组织、包装运输</w:t>
            </w:r>
          </w:p>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53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根据供应商提供的货源组织、包装运输方案来进行综合评审。包括：①货源组织、②包装运输，以上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内容提供</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齐全方案内容完善、清晰的得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分；每有一项缺失的扣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分；每有一项内容有缺陷或不完善、不清晰的扣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分，扣完为止（内容缺陷、不完善、不清晰指：项目名称、涉及的规范、标准与本项目要求不一致、内容与实际情况存在偏差、过于简略、存在无关的内容、不符合本项目实际需要）。</w:t>
            </w:r>
          </w:p>
        </w:tc>
        <w:tc>
          <w:tcPr>
            <w:tcW w:w="1020" w:type="dxa"/>
            <w:vMerge w:val="continue"/>
            <w:tcBorders>
              <w:left w:val="nil"/>
              <w:right w:val="single" w:color="auto" w:sz="4" w:space="0"/>
            </w:tcBorders>
            <w:vAlign w:val="center"/>
          </w:tcPr>
          <w:p>
            <w:pPr>
              <w:snapToGrid w:val="0"/>
              <w:spacing w:before="0" w:beforeAutospacing="0" w:after="0" w:afterAutospacing="0" w:line="360" w:lineRule="auto"/>
              <w:textAlignment w:val="baseline"/>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401" w:type="dxa"/>
            <w:vMerge w:val="continue"/>
            <w:tcBorders>
              <w:left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pPr>
          </w:p>
        </w:tc>
        <w:tc>
          <w:tcPr>
            <w:tcW w:w="1091" w:type="dxa"/>
            <w:vMerge w:val="continue"/>
            <w:tcBorders>
              <w:left w:val="nil"/>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安装调试、培训验收</w:t>
            </w:r>
          </w:p>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w:t>
            </w:r>
          </w:p>
        </w:tc>
        <w:tc>
          <w:tcPr>
            <w:tcW w:w="53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根据供应商提供的安装调试、培训验收方案来进行综合评审。包括：①安装调试、②培训验收，以上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内容提供</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齐全方案内容完善、清晰的得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分；每有一项缺失的扣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分；每有一项内容有缺陷或不完善、不清晰的扣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分，扣完为止（内容缺陷、不完善、不清晰指：项目名称、涉及的规范、标准与本项目要求不一致、内容与实际情况存在偏差、过于简略、存在无关的内容、不符合本项目实际需要）。</w:t>
            </w:r>
          </w:p>
        </w:tc>
        <w:tc>
          <w:tcPr>
            <w:tcW w:w="1020" w:type="dxa"/>
            <w:vMerge w:val="continue"/>
            <w:tcBorders>
              <w:left w:val="nil"/>
              <w:right w:val="single" w:color="auto" w:sz="4" w:space="0"/>
            </w:tcBorders>
            <w:vAlign w:val="center"/>
          </w:tcPr>
          <w:p>
            <w:pPr>
              <w:snapToGrid w:val="0"/>
              <w:spacing w:before="0" w:beforeAutospacing="0" w:after="0" w:afterAutospacing="0" w:line="360" w:lineRule="auto"/>
              <w:textAlignment w:val="baseline"/>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371" w:hRule="atLeast"/>
          <w:jc w:val="center"/>
        </w:trPr>
        <w:tc>
          <w:tcPr>
            <w:tcW w:w="401" w:type="dxa"/>
            <w:vMerge w:val="continue"/>
            <w:tcBorders>
              <w:left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pPr>
          </w:p>
        </w:tc>
        <w:tc>
          <w:tcPr>
            <w:tcW w:w="1091" w:type="dxa"/>
            <w:vMerge w:val="continue"/>
            <w:tcBorders>
              <w:left w:val="nil"/>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质量、进度、应急及运维服务</w:t>
            </w:r>
          </w:p>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20分</w:t>
            </w:r>
          </w:p>
        </w:tc>
        <w:tc>
          <w:tcPr>
            <w:tcW w:w="531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据供应商提供的质量、进度、应急及运维服务方案来进行综合评审。包括：①质量保证措施、②进度保证措施、③应急预案、④后期运行维护及售后服务（需符合运维要求），以上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内容提供</w:t>
            </w:r>
            <w:r>
              <w:rPr>
                <w:rFonts w:hint="eastAsia" w:ascii="宋体" w:hAnsi="宋体" w:eastAsia="宋体" w:cs="宋体"/>
                <w:color w:val="000000" w:themeColor="text1"/>
                <w:kern w:val="0"/>
                <w:sz w:val="21"/>
                <w:szCs w:val="21"/>
                <w:highlight w:val="none"/>
                <w:lang w:eastAsia="zh-CN"/>
                <w14:textFill>
                  <w14:solidFill>
                    <w14:schemeClr w14:val="tx1"/>
                  </w14:solidFill>
                </w14:textFill>
              </w:rPr>
              <w:t>齐全方案内容完善、清晰的得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分；每有一项缺失的扣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分；每有一项内容有缺陷或不完善、不清晰的扣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分，扣完为止（内容缺陷、不完善、不清晰指：项目名称、涉及的规范、标准与本项目要求不一致、内容与实际情况存在偏差、过于简略、存在无关的内容、不符合本项目实际需要）。</w:t>
            </w:r>
          </w:p>
        </w:tc>
        <w:tc>
          <w:tcPr>
            <w:tcW w:w="1020" w:type="dxa"/>
            <w:vMerge w:val="continue"/>
            <w:tcBorders>
              <w:left w:val="nil"/>
              <w:bottom w:val="single" w:color="auto" w:sz="4" w:space="0"/>
              <w:right w:val="single" w:color="auto" w:sz="4" w:space="0"/>
            </w:tcBorders>
            <w:vAlign w:val="center"/>
          </w:tcPr>
          <w:p>
            <w:pPr>
              <w:snapToGrid w:val="0"/>
              <w:spacing w:before="0" w:beforeAutospacing="0" w:after="0" w:afterAutospacing="0" w:line="360" w:lineRule="auto"/>
              <w:textAlignment w:val="baseline"/>
              <w:rPr>
                <w:rFonts w:hint="eastAsia" w:ascii="宋体" w:hAnsi="宋体" w:eastAsia="宋体" w:cs="宋体"/>
                <w:b/>
                <w:bCs/>
                <w:i w:val="0"/>
                <w:caps w:val="0"/>
                <w:color w:val="000000" w:themeColor="text1"/>
                <w:spacing w:val="0"/>
                <w:w w:val="100"/>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4</w:t>
            </w:r>
          </w:p>
        </w:tc>
        <w:tc>
          <w:tcPr>
            <w:tcW w:w="109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供应商或产品制造商实力</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tc>
        <w:tc>
          <w:tcPr>
            <w:tcW w:w="10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14:textFill>
                  <w14:solidFill>
                    <w14:schemeClr w14:val="tx1"/>
                  </w14:solidFill>
                </w14:textFill>
              </w:rPr>
              <w:t>分</w:t>
            </w:r>
          </w:p>
        </w:tc>
        <w:tc>
          <w:tcPr>
            <w:tcW w:w="5310" w:type="dxa"/>
            <w:tcBorders>
              <w:top w:val="single" w:color="auto" w:sz="4" w:space="0"/>
              <w:left w:val="nil"/>
              <w:bottom w:val="single" w:color="auto" w:sz="4" w:space="0"/>
              <w:right w:val="single" w:color="auto" w:sz="4" w:space="0"/>
            </w:tcBorders>
            <w:vAlign w:val="center"/>
          </w:tcPr>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供应商或产品制造商通过质量保证体系认证、环境管理体系认证、职业健康安全管理体系认证的，每</w:t>
            </w:r>
            <w:r>
              <w:rPr>
                <w:rFonts w:hint="eastAsia"/>
                <w:color w:val="000000" w:themeColor="text1"/>
                <w:highlight w:val="none"/>
                <w:lang w:eastAsia="zh-CN"/>
                <w14:textFill>
                  <w14:solidFill>
                    <w14:schemeClr w14:val="tx1"/>
                  </w14:solidFill>
                </w14:textFill>
              </w:rPr>
              <w:t>提供</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个得1分，最多</w:t>
            </w:r>
            <w:r>
              <w:rPr>
                <w:rFonts w:hint="eastAsia"/>
                <w:color w:val="000000" w:themeColor="text1"/>
                <w:highlight w:val="none"/>
                <w:lang w:eastAsia="zh-CN"/>
                <w14:textFill>
                  <w14:solidFill>
                    <w14:schemeClr w14:val="tx1"/>
                  </w14:solidFill>
                </w14:textFill>
              </w:rPr>
              <w:t>可</w:t>
            </w:r>
            <w:r>
              <w:rPr>
                <w:rFonts w:hint="eastAsia"/>
                <w:color w:val="000000" w:themeColor="text1"/>
                <w:highlight w:val="none"/>
                <w14:textFill>
                  <w14:solidFill>
                    <w14:schemeClr w14:val="tx1"/>
                  </w14:solidFill>
                </w14:textFill>
              </w:rPr>
              <w:t>得3分，没有</w:t>
            </w:r>
            <w:r>
              <w:rPr>
                <w:rFonts w:hint="eastAsia"/>
                <w:color w:val="000000" w:themeColor="text1"/>
                <w:highlight w:val="none"/>
                <w:lang w:eastAsia="zh-CN"/>
                <w14:textFill>
                  <w14:solidFill>
                    <w14:schemeClr w14:val="tx1"/>
                  </w14:solidFill>
                </w14:textFill>
              </w:rPr>
              <w:t>提供</w:t>
            </w:r>
            <w:r>
              <w:rPr>
                <w:rFonts w:hint="eastAsia"/>
                <w:color w:val="000000" w:themeColor="text1"/>
                <w:highlight w:val="none"/>
                <w14:textFill>
                  <w14:solidFill>
                    <w14:schemeClr w14:val="tx1"/>
                  </w14:solidFill>
                </w14:textFill>
              </w:rPr>
              <w:t>不得分。</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供应商或产品制造商具有</w:t>
            </w:r>
            <w:r>
              <w:rPr>
                <w:rFonts w:hint="eastAsia"/>
                <w:color w:val="000000" w:themeColor="text1"/>
                <w:highlight w:val="none"/>
                <w:lang w:eastAsia="zh-CN"/>
                <w14:textFill>
                  <w14:solidFill>
                    <w14:schemeClr w14:val="tx1"/>
                  </w14:solidFill>
                </w14:textFill>
              </w:rPr>
              <w:t>与</w:t>
            </w:r>
            <w:r>
              <w:rPr>
                <w:rFonts w:hint="eastAsia"/>
                <w:color w:val="000000" w:themeColor="text1"/>
                <w:highlight w:val="none"/>
                <w14:textFill>
                  <w14:solidFill>
                    <w14:schemeClr w14:val="tx1"/>
                  </w14:solidFill>
                </w14:textFill>
              </w:rPr>
              <w:t>本项目需求相关涉及油烟在线监测或油烟在线监控系统类软件著作权证书的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每</w:t>
            </w:r>
            <w:r>
              <w:rPr>
                <w:rFonts w:hint="eastAsia"/>
                <w:color w:val="000000" w:themeColor="text1"/>
                <w:highlight w:val="none"/>
                <w:lang w:eastAsia="zh-CN"/>
                <w14:textFill>
                  <w14:solidFill>
                    <w14:schemeClr w14:val="tx1"/>
                  </w14:solidFill>
                </w14:textFill>
              </w:rPr>
              <w:t>提供</w:t>
            </w:r>
            <w:r>
              <w:rPr>
                <w:rFonts w:hint="eastAsia"/>
                <w:color w:val="000000" w:themeColor="text1"/>
                <w:highlight w:val="none"/>
                <w:lang w:val="en-US" w:eastAsia="zh-CN"/>
                <w14:textFill>
                  <w14:solidFill>
                    <w14:schemeClr w14:val="tx1"/>
                  </w14:solidFill>
                </w14:textFill>
              </w:rPr>
              <w:t>1个</w:t>
            </w:r>
            <w:r>
              <w:rPr>
                <w:rFonts w:hint="eastAsia"/>
                <w:color w:val="000000" w:themeColor="text1"/>
                <w:highlight w:val="none"/>
                <w14:textFill>
                  <w14:solidFill>
                    <w14:schemeClr w14:val="tx1"/>
                  </w14:solidFill>
                </w14:textFill>
              </w:rPr>
              <w:t>得</w:t>
            </w:r>
            <w:r>
              <w:rPr>
                <w:rFonts w:hint="eastAsia"/>
                <w:color w:val="000000" w:themeColor="text1"/>
                <w:highlight w:val="none"/>
                <w14:textFill>
                  <w14:solidFill>
                    <w14:schemeClr w14:val="tx1"/>
                  </w14:solidFill>
                </w14:textFill>
              </w:rPr>
              <w:t>1分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最多</w:t>
            </w:r>
            <w:r>
              <w:rPr>
                <w:rFonts w:hint="eastAsia"/>
                <w:color w:val="000000" w:themeColor="text1"/>
                <w:highlight w:val="none"/>
                <w:lang w:eastAsia="zh-CN"/>
                <w14:textFill>
                  <w14:solidFill>
                    <w14:schemeClr w14:val="tx1"/>
                  </w14:solidFill>
                </w14:textFill>
              </w:rPr>
              <w:t>可</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没有</w:t>
            </w:r>
            <w:r>
              <w:rPr>
                <w:rFonts w:hint="eastAsia"/>
                <w:color w:val="000000" w:themeColor="text1"/>
                <w:highlight w:val="none"/>
                <w:lang w:eastAsia="zh-CN"/>
                <w14:textFill>
                  <w14:solidFill>
                    <w14:schemeClr w14:val="tx1"/>
                  </w14:solidFill>
                </w14:textFill>
              </w:rPr>
              <w:t>提供</w:t>
            </w:r>
            <w:r>
              <w:rPr>
                <w:rFonts w:hint="eastAsia"/>
                <w:color w:val="000000" w:themeColor="text1"/>
                <w:highlight w:val="none"/>
                <w14:textFill>
                  <w14:solidFill>
                    <w14:schemeClr w14:val="tx1"/>
                  </w14:solidFill>
                </w14:textFill>
              </w:rPr>
              <w:t>不得分。</w:t>
            </w:r>
          </w:p>
          <w:p>
            <w:pPr>
              <w:pStyle w:val="2"/>
              <w:tabs>
                <w:tab w:val="right" w:leader="dot" w:pos="9060"/>
              </w:tabs>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说明：以上证书需提供复印件并加盖供应商公章。</w:t>
            </w:r>
          </w:p>
        </w:tc>
        <w:tc>
          <w:tcPr>
            <w:tcW w:w="1020"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bCs/>
                <w:i w:val="0"/>
                <w:caps w:val="0"/>
                <w:color w:val="000000" w:themeColor="text1"/>
                <w:spacing w:val="0"/>
                <w:w w:val="100"/>
                <w:kern w:val="2"/>
                <w:sz w:val="21"/>
                <w:szCs w:val="21"/>
                <w:highlight w:val="none"/>
                <w:lang w:val="en-US" w:eastAsia="zh-CN" w:bidi="ar-SA"/>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共同评分因素</w:t>
            </w:r>
          </w:p>
        </w:tc>
      </w:tr>
      <w:tr>
        <w:tblPrEx>
          <w:tblCellMar>
            <w:top w:w="0" w:type="dxa"/>
            <w:left w:w="108" w:type="dxa"/>
            <w:bottom w:w="0" w:type="dxa"/>
            <w:right w:w="108" w:type="dxa"/>
          </w:tblCellMar>
        </w:tblPrEx>
        <w:trPr>
          <w:trHeight w:val="90"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r>
              <w:rPr>
                <w:rFonts w:hint="eastAsia" w:ascii="宋体" w:hAnsi="宋体" w:cs="宋体"/>
                <w:b w:val="0"/>
                <w:i w:val="0"/>
                <w:caps w:val="0"/>
                <w:color w:val="000000" w:themeColor="text1"/>
                <w:spacing w:val="0"/>
                <w:w w:val="100"/>
                <w:sz w:val="21"/>
                <w:szCs w:val="21"/>
                <w:highlight w:val="none"/>
                <w:lang w:val="en-US" w:eastAsia="zh-CN"/>
                <w14:textFill>
                  <w14:solidFill>
                    <w14:schemeClr w14:val="tx1"/>
                  </w14:solidFill>
                </w14:textFill>
              </w:rPr>
              <w:t>5</w:t>
            </w:r>
          </w:p>
        </w:tc>
        <w:tc>
          <w:tcPr>
            <w:tcW w:w="109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宋体"/>
                <w:b w:val="0"/>
                <w:i w:val="0"/>
                <w:caps w:val="0"/>
                <w:color w:val="000000" w:themeColor="text1"/>
                <w:spacing w:val="0"/>
                <w:w w:val="10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履约经验</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tc>
        <w:tc>
          <w:tcPr>
            <w:tcW w:w="10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分</w:t>
            </w:r>
          </w:p>
        </w:tc>
        <w:tc>
          <w:tcPr>
            <w:tcW w:w="5310" w:type="dxa"/>
            <w:tcBorders>
              <w:top w:val="single" w:color="auto" w:sz="4" w:space="0"/>
              <w:left w:val="nil"/>
              <w:bottom w:val="single" w:color="auto" w:sz="4" w:space="0"/>
              <w:right w:val="single" w:color="auto" w:sz="4" w:space="0"/>
            </w:tcBorders>
            <w:vAlign w:val="center"/>
          </w:tcPr>
          <w:p>
            <w:pPr>
              <w:spacing w:line="360" w:lineRule="auto"/>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201</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年1月1日</w:t>
            </w:r>
            <w:r>
              <w:rPr>
                <w:rFonts w:hint="eastAsia" w:ascii="宋体" w:hAnsi="宋体" w:eastAsia="宋体" w:cs="宋体"/>
                <w:color w:val="000000" w:themeColor="text1"/>
                <w:kern w:val="0"/>
                <w:szCs w:val="21"/>
                <w:highlight w:val="none"/>
                <w:lang w:eastAsia="zh-CN"/>
                <w14:textFill>
                  <w14:solidFill>
                    <w14:schemeClr w14:val="tx1"/>
                  </w14:solidFill>
                </w14:textFill>
              </w:rPr>
              <w:t>（含）</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至</w:t>
            </w:r>
            <w:r>
              <w:rPr>
                <w:rFonts w:hint="eastAsia" w:ascii="宋体" w:hAnsi="宋体" w:eastAsia="宋体" w:cs="宋体"/>
                <w:color w:val="000000" w:themeColor="text1"/>
                <w:kern w:val="0"/>
                <w:szCs w:val="21"/>
                <w:highlight w:val="none"/>
                <w:lang w:eastAsia="zh-CN"/>
                <w14:textFill>
                  <w14:solidFill>
                    <w14:schemeClr w14:val="tx1"/>
                  </w14:solidFill>
                </w14:textFill>
              </w:rPr>
              <w:t>投标截止之日类似项目业绩，每提供</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1个得1分，最高可得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分。</w:t>
            </w:r>
          </w:p>
          <w:p>
            <w:pPr>
              <w:spacing w:line="360" w:lineRule="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说明：须提供项目合同复印件或中标（成交）通知书复印件，加盖单位公章。</w:t>
            </w:r>
          </w:p>
        </w:tc>
        <w:tc>
          <w:tcPr>
            <w:tcW w:w="1020"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val="0"/>
                <w:i w:val="0"/>
                <w:caps w:val="0"/>
                <w:color w:val="000000" w:themeColor="text1"/>
                <w:spacing w:val="0"/>
                <w:w w:val="100"/>
                <w:sz w:val="21"/>
                <w:szCs w:val="21"/>
                <w:highlight w:val="none"/>
                <w14:textFill>
                  <w14:solidFill>
                    <w14:schemeClr w14:val="tx1"/>
                  </w14:solidFill>
                </w14:textFill>
              </w:rPr>
              <w:t>共同评分因素</w:t>
            </w:r>
          </w:p>
        </w:tc>
      </w:tr>
    </w:tbl>
    <w:p>
      <w:pPr>
        <w:rPr>
          <w:rFonts w:hint="eastAsia" w:ascii="宋体" w:hAnsi="宋体" w:eastAsia="宋体" w:cs="宋体"/>
          <w:color w:val="000000" w:themeColor="text1"/>
          <w:highlight w:val="none"/>
          <w:lang w:val="en-US" w:eastAsia="zh-CN"/>
          <w14:textFill>
            <w14:solidFill>
              <w14:schemeClr w14:val="tx1"/>
            </w14:solidFill>
          </w14:textFill>
        </w:rPr>
      </w:pPr>
    </w:p>
    <w:bookmarkEnd w:id="101"/>
    <w:bookmarkEnd w:id="102"/>
    <w:bookmarkEnd w:id="103"/>
    <w:bookmarkEnd w:id="104"/>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bookmarkStart w:id="112" w:name="PO_默认文件内容_27"/>
      <w:r>
        <w:rPr>
          <w:rFonts w:hint="eastAsia" w:ascii="宋体" w:hAnsi="宋体" w:eastAsia="宋体" w:cs="宋体"/>
          <w:color w:val="000000" w:themeColor="text1"/>
          <w:szCs w:val="21"/>
          <w:highlight w:val="none"/>
          <w14:textFill>
            <w14:solidFill>
              <w14:schemeClr w14:val="tx1"/>
            </w14:solidFill>
          </w14:textFill>
        </w:rPr>
        <w:t>注：评分的取值按四舍五入法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保留小数点后两位。</w:t>
      </w:r>
    </w:p>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3.3.4评审得分＝（A1＋A2＋……＋An）/NA＋（B1＋B2＋……＋Bn）/ NB＋（C1＋C2＋……＋Cn）/ NC＋（D1＋D2＋……＋Dn）/ ND</w:t>
      </w:r>
    </w:p>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A1、A2……An分别为每个经济类评委（经济类专家）的打分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NA为经济类评委（经济类专家）人数；B1、B2＋……Bn 分别为每个技术类评委（技术类专家和采购人代表）的打分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NB为技术类评委（技术类专家和采购人代表）人数；C1、C2……Cn 分别为每个政策合同类评委（法律类专家）的打分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NC为政策合同类评委（法律类专家）人数；D1、D2……Dn 分别为评审委员会每个成员的打分（共同评分类）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ND为评审委员会人数。</w:t>
      </w:r>
    </w:p>
    <w:p>
      <w:pPr>
        <w:tabs>
          <w:tab w:val="left" w:pos="851"/>
        </w:tabs>
        <w:spacing w:line="360" w:lineRule="auto"/>
        <w:rPr>
          <w:rFonts w:hint="eastAsia" w:ascii="宋体" w:hAnsi="宋体" w:eastAsia="宋体" w:cs="宋体"/>
          <w:color w:val="000000" w:themeColor="text1"/>
          <w:szCs w:val="21"/>
          <w:highlight w:val="none"/>
          <w14:textFill>
            <w14:solidFill>
              <w14:schemeClr w14:val="tx1"/>
            </w14:solidFill>
          </w14:textFill>
        </w:rPr>
      </w:pPr>
    </w:p>
    <w:p>
      <w:pPr>
        <w:tabs>
          <w:tab w:val="left" w:pos="851"/>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4.磋商纪律及注意事项</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4.1磋商小组内部讨论的情况和意见必须保密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供应商不得以任何形式对磋商小组成员进行旨在影响磋商结果的私下接触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否则将取消其参与磋商的资格。</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4.3对各供应商的商业秘密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磋商小组成员应予以保密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不得泄露给其他供应商。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 磋商小组独立评判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推荐成交候选人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并写出书面报告。</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磋商小组可根据需要对供应商进行实地考察。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7665"/>
        </w:tabs>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bookmarkEnd w:id="105"/>
      <w:r>
        <w:rPr>
          <w:rFonts w:hint="eastAsia" w:ascii="宋体" w:hAnsi="宋体" w:eastAsia="宋体" w:cs="宋体"/>
          <w:b/>
          <w:color w:val="000000" w:themeColor="text1"/>
          <w:sz w:val="24"/>
          <w:highlight w:val="none"/>
          <w14:textFill>
            <w14:solidFill>
              <w14:schemeClr w14:val="tx1"/>
            </w14:solidFill>
          </w14:textFill>
        </w:rPr>
        <w:t>磋商小组在政府采购活动中承担以下义务：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（一）遵守评审工作纪律；</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（二）按照客观、公正、审慎的原则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根据磋商文件规定的评审程序、评审方法和评审标准进行独立评审；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（三）不得泄露评审文件、评审情况和在评审过程中获悉的商业秘密；</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以及供应商行贿、提供虚假材料或者串通等违法行为；</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（五）发现磋商文件内容违反国家有关强制性规定或者磋商文件存在歧义、重大缺陷导致评审工作无法进行时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停止评审并向采购人或者采购代理机构书面说明情况；</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（六）及时向财政、监察等部门举报在评审过程中受到非法干预的情况；</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（七）配合答复处理供应商的询问、质疑和投诉等事项；</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（八）法律、法规和规章规定的其他义务。</w:t>
      </w:r>
    </w:p>
    <w:p>
      <w:pPr>
        <w:tabs>
          <w:tab w:val="left" w:pos="7665"/>
        </w:tabs>
        <w:spacing w:line="360" w:lineRule="auto"/>
        <w:rPr>
          <w:rFonts w:hint="eastAsia" w:ascii="宋体" w:hAnsi="宋体" w:eastAsia="宋体" w:cs="宋体"/>
          <w:color w:val="000000" w:themeColor="text1"/>
          <w:sz w:val="24"/>
          <w:highlight w:val="none"/>
          <w14:textFill>
            <w14:solidFill>
              <w14:schemeClr w14:val="tx1"/>
            </w14:solidFill>
          </w14:textFill>
        </w:rPr>
      </w:pPr>
    </w:p>
    <w:p>
      <w:pPr>
        <w:tabs>
          <w:tab w:val="left" w:pos="7665"/>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6.评审专家在政府采购活动中应当遵守以下工作纪律：</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（一）不得参加与自己有《中华人民共和国政府采购法实施条例》第九条规定的利害关系的政府采购项目的评审活动。发现参加了与自己有利害关系的评审活动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须主动提出回避</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退出评审；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（二）评审前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应当将通讯工具或者相关电子设备交由采购代理机构统一保管；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（三）评审过程中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不得与外界联系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因发生不可预见情况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确实需要与外界联系的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应当在监督人员监督之下办理；</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（四）评审过程中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不得发表影响评审公正的倾向性、歧视性言论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不得征询或者接受采购人的倾向性意见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不得明示或暗示供应商在澄清时表达与其响应文件原义不同的意见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不得以磋商文件没有规定的评审方法和标准作为评审的依据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不得修改或者细化评审程序、评审方法、评审因素和评审标准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不得违规撰写评审意见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不得拒绝对自己的评审意见签字确认；</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（五）在评审过程中和评审结束后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不得记录、复制或带走任何评审资料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不得向外界透露评审内容；</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（六）评审现场服从采购代理机构工作人员的管理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接受现场监督人员的合法监督；</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（七）遵守有关廉洁自律规定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不得私下接触供应商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不得收受供应商及有关业务单位和个人的财物或好处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不得接受采购代理机构的请托。</w:t>
      </w:r>
    </w:p>
    <w:p>
      <w:pPr>
        <w:pStyle w:val="29"/>
        <w:rPr>
          <w:rFonts w:hint="eastAsia" w:ascii="宋体" w:hAnsi="宋体" w:eastAsia="宋体" w:cs="宋体"/>
          <w:bCs w:val="0"/>
          <w:color w:val="000000" w:themeColor="text1"/>
          <w:kern w:val="2"/>
          <w:sz w:val="36"/>
          <w:szCs w:val="36"/>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13" w:name="_Toc509579148"/>
      <w:bookmarkStart w:id="114" w:name="_Toc21579"/>
      <w:r>
        <w:rPr>
          <w:rFonts w:hint="eastAsia" w:ascii="宋体" w:hAnsi="宋体" w:eastAsia="宋体" w:cs="宋体"/>
          <w:bCs w:val="0"/>
          <w:color w:val="000000" w:themeColor="text1"/>
          <w:kern w:val="2"/>
          <w:sz w:val="36"/>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bookmarkEnd w:id="87"/>
      <w:bookmarkEnd w:id="88"/>
      <w:bookmarkEnd w:id="89"/>
      <w:bookmarkEnd w:id="112"/>
      <w:bookmarkEnd w:id="113"/>
      <w:r>
        <w:rPr>
          <w:rFonts w:hint="eastAsia" w:ascii="宋体" w:hAnsi="宋体" w:eastAsia="宋体" w:cs="宋体"/>
          <w:bCs w:val="0"/>
          <w:color w:val="000000" w:themeColor="text1"/>
          <w:kern w:val="2"/>
          <w:sz w:val="36"/>
          <w:szCs w:val="36"/>
          <w:highlight w:val="none"/>
          <w14:textFill>
            <w14:solidFill>
              <w14:schemeClr w14:val="tx1"/>
            </w14:solidFill>
          </w14:textFill>
        </w:rPr>
        <w:t xml:space="preserve"> 合同主要条款</w:t>
      </w:r>
      <w:bookmarkEnd w:id="114"/>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视项目情况调整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招投标文件为合同的有效组成部分）</w:t>
      </w:r>
    </w:p>
    <w:p>
      <w:pPr>
        <w:spacing w:line="360" w:lineRule="auto"/>
        <w:ind w:firstLine="5520" w:firstLineChars="2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（采购项目编号）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依据《中华人民共和国</w:t>
      </w:r>
      <w:r>
        <w:rPr>
          <w:rFonts w:hint="eastAsia" w:ascii="宋体" w:hAnsi="宋体" w:eastAsia="宋体" w:cs="宋体"/>
          <w:color w:val="000000" w:themeColor="text1"/>
          <w:sz w:val="24"/>
          <w:highlight w:val="none"/>
          <w:lang w:eastAsia="zh-CN"/>
          <w14:textFill>
            <w14:solidFill>
              <w14:schemeClr w14:val="tx1"/>
            </w14:solidFill>
          </w14:textFill>
        </w:rPr>
        <w:t>民法典</w:t>
      </w:r>
      <w:r>
        <w:rPr>
          <w:rFonts w:hint="eastAsia" w:ascii="宋体" w:hAnsi="宋体" w:eastAsia="宋体" w:cs="宋体"/>
          <w:color w:val="000000" w:themeColor="text1"/>
          <w:sz w:val="24"/>
          <w:highlight w:val="none"/>
          <w14:textFill>
            <w14:solidFill>
              <w14:schemeClr w14:val="tx1"/>
            </w14:solidFill>
          </w14:textFill>
        </w:rPr>
        <w:t>》、《中华人民共和国政府采购法》与项目行业有关的法律法规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以及XXXX项目（项目编号：XXXX）的《</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乙方的《投标文件》及《</w:t>
      </w:r>
      <w:r>
        <w:rPr>
          <w:rFonts w:hint="eastAsia" w:ascii="宋体" w:hAnsi="宋体" w:eastAsia="宋体" w:cs="宋体"/>
          <w:color w:val="000000" w:themeColor="text1"/>
          <w:sz w:val="24"/>
          <w:highlight w:val="none"/>
          <w:lang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甲、乙双方同意签订本合同。详细技术说明及其他有关合同项目的特定信息由合同附件予以说明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合同附件及本项目的《</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文件》、《投标文件》、《</w:t>
      </w:r>
      <w:r>
        <w:rPr>
          <w:rFonts w:hint="eastAsia" w:ascii="宋体" w:hAnsi="宋体" w:eastAsia="宋体" w:cs="宋体"/>
          <w:color w:val="000000" w:themeColor="text1"/>
          <w:sz w:val="24"/>
          <w:highlight w:val="none"/>
          <w:lang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 xml:space="preserve">》等均为本合同的组成部分。 </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项目基本情况</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合同期限</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15" w:name="_Toc239568418"/>
      <w:bookmarkStart w:id="116" w:name="_Toc211854449"/>
      <w:bookmarkStart w:id="117" w:name="_Toc251768862"/>
      <w:bookmarkStart w:id="118" w:name="_Toc239233914"/>
      <w:bookmarkStart w:id="119" w:name="_Toc238984975"/>
      <w:bookmarkStart w:id="120" w:name="_Toc283019214"/>
      <w:bookmarkStart w:id="121" w:name="_Toc282696226"/>
      <w:bookmarkStart w:id="122" w:name="_Toc286993786"/>
      <w:bookmarkStart w:id="123" w:name="_Toc185395249"/>
      <w:bookmarkStart w:id="124" w:name="_Toc212019594"/>
      <w:bookmarkStart w:id="125" w:name="_Toc225670751"/>
      <w:bookmarkStart w:id="126" w:name="_Toc241833903"/>
      <w:bookmarkStart w:id="127" w:name="_Toc247334841"/>
      <w:bookmarkStart w:id="128" w:name="_Toc237145406"/>
      <w:bookmarkStart w:id="129" w:name="_Toc225244852"/>
      <w:bookmarkStart w:id="130" w:name="_Toc211911348"/>
      <w:bookmarkStart w:id="131" w:name="_Toc232492928"/>
      <w:bookmarkStart w:id="132" w:name="_Toc225654644"/>
      <w:r>
        <w:rPr>
          <w:rFonts w:hint="eastAsia" w:ascii="宋体" w:hAnsi="宋体" w:eastAsia="宋体" w:cs="宋体"/>
          <w:b/>
          <w:color w:val="000000" w:themeColor="text1"/>
          <w:sz w:val="24"/>
          <w:highlight w:val="none"/>
          <w14:textFill>
            <w14:solidFill>
              <w14:schemeClr w14:val="tx1"/>
            </w14:solidFill>
          </w14:textFill>
        </w:rPr>
        <w:t>服务内容与质量标准</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1．XXXX；</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2．XXXX；</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3．XXXX．</w:t>
      </w:r>
    </w:p>
    <w:p>
      <w:pPr>
        <w:spacing w:line="360" w:lineRule="auto"/>
        <w:ind w:firstLine="63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服务费用及支付方式</w:t>
      </w:r>
    </w:p>
    <w:p>
      <w:pPr>
        <w:numPr>
          <w:ilvl w:val="0"/>
          <w:numId w:val="9"/>
        </w:numPr>
        <w:spacing w:line="360" w:lineRule="auto"/>
        <w:ind w:left="0" w:firstLine="56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本项目服务费用由以下组成：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48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（二）项目验收办法</w:t>
      </w:r>
    </w:p>
    <w:p>
      <w:pPr>
        <w:spacing w:line="48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乙方与甲方应严格按照</w:t>
      </w:r>
      <w:r>
        <w:rPr>
          <w:rFonts w:hint="eastAsia" w:ascii="宋体" w:hAnsi="宋体" w:eastAsia="宋体" w:cs="宋体"/>
          <w:color w:val="000000" w:themeColor="text1"/>
          <w:sz w:val="24"/>
          <w:highlight w:val="none"/>
          <w:lang w:val="en-US" w:eastAsia="zh-CN"/>
          <w14:textFill>
            <w14:solidFill>
              <w14:schemeClr w14:val="tx1"/>
            </w14:solidFill>
          </w14:textFill>
        </w:rPr>
        <w:t>《财政部关于进一步加强政府采购需求和履约验收管理的指导意见》（财库〔2016〕205号）文件要求进行验收。</w:t>
      </w:r>
    </w:p>
    <w:p>
      <w:pPr>
        <w:spacing w:line="480" w:lineRule="exact"/>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（三）服务费支付方式： </w:t>
      </w:r>
    </w:p>
    <w:p>
      <w:pPr>
        <w:numPr>
          <w:ilvl w:val="0"/>
          <w:numId w:val="8"/>
        </w:numPr>
        <w:spacing w:line="48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知识产权</w:t>
      </w:r>
    </w:p>
    <w:p>
      <w:pPr>
        <w:tabs>
          <w:tab w:val="left" w:pos="1440"/>
        </w:tabs>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乙方应保证所提供的服务或其任何一部分均不会侵犯任何第三方的专利权、商标权或著作权等知识产权。</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无产权瑕疵条款</w:t>
      </w:r>
    </w:p>
    <w:p>
      <w:pPr>
        <w:tabs>
          <w:tab w:val="left" w:pos="144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乙方保证所提供的服务的所有权完全属于乙方且无任何抵押、查封等产权瑕疵。如有产权瑕疵的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视为乙方违约。乙方应负担由此而产生的一切损失。</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1．乙方交纳人民币</w:t>
      </w:r>
      <w:r>
        <w:rPr>
          <w:rFonts w:hint="eastAsia" w:ascii="宋体" w:hAnsi="宋体" w:eastAsia="宋体" w:cs="宋体"/>
          <w:color w:val="000000" w:themeColor="text1"/>
          <w:sz w:val="24"/>
          <w:highlight w:val="none"/>
          <w14:textFill>
            <w14:solidFill>
              <w14:schemeClr w14:val="tx1"/>
            </w14:solidFill>
          </w14:textFill>
        </w:rPr>
        <w:t>XX</w:t>
      </w:r>
      <w:r>
        <w:rPr>
          <w:rFonts w:hint="eastAsia" w:ascii="宋体" w:hAnsi="宋体" w:eastAsia="宋体" w:cs="宋体"/>
          <w:bCs/>
          <w:color w:val="000000" w:themeColor="text1"/>
          <w:sz w:val="24"/>
          <w:highlight w:val="none"/>
          <w14:textFill>
            <w14:solidFill>
              <w14:schemeClr w14:val="tx1"/>
            </w14:solidFill>
          </w14:textFill>
        </w:rPr>
        <w:t>元作为本合同的履约保证金。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2．履约保证金可作为违约金的一部分及用于补偿甲方因乙方不能履行合同义务而蒙受的损失。</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甲方的权利和义务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1．甲方有权对合同规定范围内乙方的服务行为进行监督和检查</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拥有监管权。有权定期核对乙方提供服务所配备的人员数量。对甲方认为不合理的部分有权下达整改通知书</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并要求乙方限期整改。</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2．甲方有权依据双方签订的考评办法对乙方提供的服务进行定期考评。当考评结果未达到标准时</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有权依据考评办法约定的数额扣除履约保证金。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4．根据本合同规定</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按时向乙方支付应付服务费用。</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5．国家法律、法规所规定由甲方承担的其它责任。</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乙方的权利和义务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1．对本合同规定的委托服务范围内的未移交甲方项目享有管理权及服务义务。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2．根据本合同的规定向甲方收取相关服务费用</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并有权按本合同约定在本项目管理范围内管理及合理使用。</w:t>
      </w:r>
    </w:p>
    <w:p>
      <w:pPr>
        <w:adjustRightInd w:val="0"/>
        <w:spacing w:line="360" w:lineRule="auto"/>
        <w:ind w:firstLine="480" w:firstLineChars="20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3．及时向甲方通告本项目服务范围内有关服务的重大事项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及时配合处理投诉。</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接受项目行业管理部门及政府有关部门的指导</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接受甲方的监督。</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5．国家法律、法规所规定由乙方承担的其它责任。</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违约责任</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1．甲乙双方必须遵守本合同并执行合同中的各项规定</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保证本合同的正常履行。</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2．如因乙方工作人员在履行职务过程中的的疏忽、失职、过错等故意或者过失原因给甲方造成损失或侵害</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包括但不限于甲方本身的财产损失、由此而导致的甲方对任何第三方的法律责任等</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乙方对此均应承担全部的赔偿责任。</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不可抗力事件处理</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1．在合同有效期内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任何一方因不可抗力事件导致不能履行合同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则合同履行期可延长</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其延长期与不可抗力影响期相同。</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2．不可抗力事件发生后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应立即通知对方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并寄送有关权威机构出具的证明。</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3．不可抗力事件延续XX天以上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双方应通过友好协商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确定是否继续履行合同。</w:t>
      </w: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3" w:name="_Toc241833908"/>
      <w:bookmarkStart w:id="134" w:name="_Toc225654649"/>
      <w:bookmarkStart w:id="135" w:name="_Toc212019599"/>
      <w:bookmarkStart w:id="136" w:name="_Toc232492933"/>
      <w:bookmarkStart w:id="137" w:name="_Toc211911353"/>
      <w:bookmarkStart w:id="138" w:name="_Toc211854454"/>
      <w:bookmarkStart w:id="139" w:name="_Toc239568423"/>
      <w:bookmarkStart w:id="140" w:name="_Toc247334846"/>
      <w:bookmarkStart w:id="141" w:name="_Toc225244857"/>
      <w:bookmarkStart w:id="142" w:name="_Toc225670756"/>
      <w:bookmarkStart w:id="143" w:name="_Toc238984980"/>
      <w:bookmarkStart w:id="144" w:name="_Toc237145411"/>
      <w:bookmarkStart w:id="145" w:name="_Toc251768867"/>
      <w:bookmarkStart w:id="146" w:name="_Toc286993792"/>
      <w:bookmarkStart w:id="147" w:name="_Toc239233919"/>
      <w:bookmarkStart w:id="148" w:name="_Toc185395254"/>
      <w:r>
        <w:rPr>
          <w:rFonts w:hint="eastAsia" w:ascii="宋体" w:hAnsi="宋体" w:eastAsia="宋体" w:cs="宋体"/>
          <w:b/>
          <w:color w:val="000000" w:themeColor="text1"/>
          <w:sz w:val="24"/>
          <w:highlight w:val="none"/>
          <w14:textFill>
            <w14:solidFill>
              <w14:schemeClr w14:val="tx1"/>
            </w14:solidFill>
          </w14:textFill>
        </w:rPr>
        <w:t>解决合同纠纷的方式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1．在执行本合同中发生的或与本合同有关的争端</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双方应通过友好协商解决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经协商在XX天内不能达成协议时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应提交合同履行地人民法院诉讼解决。</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2．仲裁裁决应为最终决定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并对双方具有约束力。</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3．除另有裁决外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仲裁费应由败诉方负担。 </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4．在仲裁期间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除正在进行仲裁部分外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合同其他部分继续执行。  </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49" w:name="_Toc225670757"/>
      <w:bookmarkStart w:id="150" w:name="_Toc211854455"/>
      <w:bookmarkStart w:id="151" w:name="_Toc211911354"/>
      <w:bookmarkStart w:id="152" w:name="_Toc185395255"/>
      <w:bookmarkStart w:id="153" w:name="_Toc283019219"/>
      <w:bookmarkStart w:id="154" w:name="_Toc238984981"/>
      <w:bookmarkStart w:id="155" w:name="_Toc251768868"/>
      <w:bookmarkStart w:id="156" w:name="_Toc225654650"/>
      <w:bookmarkStart w:id="157" w:name="_Toc282696231"/>
      <w:bookmarkStart w:id="158" w:name="_Toc239568424"/>
      <w:bookmarkStart w:id="159" w:name="_Toc212019600"/>
      <w:bookmarkStart w:id="160" w:name="_Toc239233920"/>
      <w:bookmarkStart w:id="161" w:name="_Toc286993793"/>
      <w:bookmarkStart w:id="162" w:name="_Toc237145412"/>
      <w:bookmarkStart w:id="163" w:name="_Toc241833909"/>
      <w:bookmarkStart w:id="164" w:name="_Toc232492934"/>
      <w:bookmarkStart w:id="165" w:name="_Toc247334847"/>
      <w:bookmarkStart w:id="166" w:name="_Toc225244858"/>
      <w:r>
        <w:rPr>
          <w:rFonts w:hint="eastAsia" w:ascii="宋体" w:hAnsi="宋体" w:eastAsia="宋体" w:cs="宋体"/>
          <w:b/>
          <w:color w:val="000000" w:themeColor="text1"/>
          <w:sz w:val="24"/>
          <w:highlight w:val="none"/>
          <w14:textFill>
            <w14:solidFill>
              <w14:schemeClr w14:val="tx1"/>
            </w14:solidFill>
          </w14:textFill>
        </w:rPr>
        <w:t>合同</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ascii="宋体" w:hAnsi="宋体" w:eastAsia="宋体" w:cs="宋体"/>
          <w:b/>
          <w:color w:val="000000" w:themeColor="text1"/>
          <w:sz w:val="24"/>
          <w:highlight w:val="none"/>
          <w14:textFill>
            <w14:solidFill>
              <w14:schemeClr w14:val="tx1"/>
            </w14:solidFill>
          </w14:textFill>
        </w:rPr>
        <w:t>生效及其他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1．合同经双方法定代表人或授权委托代理人签字并加盖单位公章后生效。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2．合同执行中涉及采购资金和采购内容修改或补充的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须经政府采购监管部门审批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并签书面补充协议报政府采购监督管理部门备案</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方可具备法律效力。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3．本合同一式XX份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自双方签章之日起起效。甲方XX份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乙方XX份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同级财政部门备案XX份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具有同等法律效力。</w:t>
      </w:r>
    </w:p>
    <w:p>
      <w:pPr>
        <w:numPr>
          <w:ilvl w:val="0"/>
          <w:numId w:val="8"/>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2．项目修改澄清文件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3．项目投标文件</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成交通知书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甲方：   （盖章）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 xml:space="preserve">       乙方：   （盖章）</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法定代表人（授权代表）：            法定代表人（授权代表）：</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                         地    址：</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开户银行：</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                             账号：</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                         电    话：</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传    真：</w:t>
      </w:r>
    </w:p>
    <w:p>
      <w:pPr>
        <w:spacing w:line="400" w:lineRule="exact"/>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签约日期：XX年XX月XX日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签约日期：XX年XX月XX日</w:t>
      </w:r>
    </w:p>
    <w:p>
      <w:pPr>
        <w:rPr>
          <w:rFonts w:hint="eastAsia" w:ascii="宋体" w:hAnsi="宋体" w:eastAsia="宋体" w:cs="宋体"/>
          <w:b/>
          <w:color w:val="000000" w:themeColor="text1"/>
          <w:sz w:val="40"/>
          <w:highlight w:val="none"/>
          <w14:textFill>
            <w14:solidFill>
              <w14:schemeClr w14:val="tx1"/>
            </w14:solidFill>
          </w14:textFill>
        </w:rPr>
      </w:pPr>
    </w:p>
    <w:p>
      <w:pPr>
        <w:spacing w:line="360" w:lineRule="auto"/>
        <w:ind w:firstLine="241" w:firstLineChars="1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lang w:eastAsia="zh-CN"/>
          <w14:textFill>
            <w14:solidFill>
              <w14:schemeClr w14:val="tx1"/>
            </w14:solidFill>
          </w14:textFill>
        </w:rPr>
        <w:t>具体以</w:t>
      </w:r>
      <w:r>
        <w:rPr>
          <w:rFonts w:hint="eastAsia" w:ascii="宋体" w:hAnsi="宋体" w:cs="宋体"/>
          <w:b/>
          <w:color w:val="000000" w:themeColor="text1"/>
          <w:sz w:val="24"/>
          <w:highlight w:val="none"/>
          <w:lang w:val="en-US" w:eastAsia="zh-CN"/>
          <w14:textFill>
            <w14:solidFill>
              <w14:schemeClr w14:val="tx1"/>
            </w14:solidFill>
          </w14:textFill>
        </w:rPr>
        <w:t>g</w:t>
      </w:r>
      <w:r>
        <w:rPr>
          <w:rFonts w:hint="eastAsia" w:ascii="宋体" w:hAnsi="宋体" w:eastAsia="宋体" w:cs="宋体"/>
          <w:b/>
          <w:color w:val="000000" w:themeColor="text1"/>
          <w:sz w:val="24"/>
          <w:highlight w:val="none"/>
          <w:lang w:eastAsia="zh-CN"/>
          <w14:textFill>
            <w14:solidFill>
              <w14:schemeClr w14:val="tx1"/>
            </w14:solidFill>
          </w14:textFill>
        </w:rPr>
        <w:t>同签订为准！</w:t>
      </w:r>
    </w:p>
    <w:p>
      <w:pPr>
        <w:rPr>
          <w:rFonts w:hint="eastAsia" w:ascii="宋体" w:hAnsi="宋体" w:eastAsia="宋体" w:cs="宋体"/>
          <w:color w:val="000000" w:themeColor="text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outlineLvl w:val="1"/>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附件：政府采购云平台使用介绍</w:t>
      </w:r>
    </w:p>
    <w:p>
      <w:pP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1.输入网址：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38"/>
          <w:rFonts w:hint="eastAsia" w:ascii="宋体" w:hAnsi="宋体" w:eastAsia="宋体" w:cs="宋体"/>
          <w:b/>
          <w:bCs/>
          <w:color w:val="000000" w:themeColor="text1"/>
          <w:sz w:val="24"/>
          <w:szCs w:val="32"/>
          <w:highlight w:val="none"/>
          <w14:textFill>
            <w14:solidFill>
              <w14:schemeClr w14:val="tx1"/>
            </w14:solidFill>
          </w14:textFill>
        </w:rPr>
        <w:t>https://www.zcygov.cn</w:t>
      </w:r>
      <w:r>
        <w:rPr>
          <w:rStyle w:val="38"/>
          <w:rFonts w:hint="eastAsia" w:ascii="宋体" w:hAnsi="宋体" w:eastAsia="宋体" w:cs="宋体"/>
          <w:b/>
          <w:bCs/>
          <w:color w:val="000000" w:themeColor="text1"/>
          <w:sz w:val="24"/>
          <w:szCs w:val="32"/>
          <w:highlight w:val="none"/>
          <w14:textFill>
            <w14:solidFill>
              <w14:schemeClr w14:val="tx1"/>
            </w14:solidFill>
          </w14:textFill>
        </w:rPr>
        <w:fldChar w:fldCharType="end"/>
      </w:r>
    </w:p>
    <w:p>
      <w:pP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2.选择与项目对应的行政区域如：四川省-成都市-成都市本级</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7152005" cy="4472305"/>
            <wp:effectExtent l="0" t="0" r="10795" b="44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6"/>
                    <a:stretch>
                      <a:fillRect/>
                    </a:stretch>
                  </pic:blipFill>
                  <pic:spPr>
                    <a:xfrm>
                      <a:off x="0" y="0"/>
                      <a:ext cx="7152005" cy="4472305"/>
                    </a:xfrm>
                    <a:prstGeom prst="rect">
                      <a:avLst/>
                    </a:prstGeom>
                    <a:noFill/>
                    <a:ln>
                      <a:noFill/>
                    </a:ln>
                  </pic:spPr>
                </pic:pic>
              </a:graphicData>
            </a:graphic>
          </wp:inline>
        </w:drawing>
      </w:r>
    </w:p>
    <w:p>
      <w:pPr>
        <w:numPr>
          <w:ilvl w:val="0"/>
          <w:numId w:val="10"/>
        </w:numP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点击操作指南-供应商</w:t>
      </w:r>
    </w:p>
    <w:p>
      <w:pPr>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061325" cy="4502785"/>
            <wp:effectExtent l="0" t="0" r="15875" b="12065"/>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7"/>
                    <a:stretch>
                      <a:fillRect/>
                    </a:stretch>
                  </pic:blipFill>
                  <pic:spPr>
                    <a:xfrm>
                      <a:off x="0" y="0"/>
                      <a:ext cx="8061325" cy="4502785"/>
                    </a:xfrm>
                    <a:prstGeom prst="rect">
                      <a:avLst/>
                    </a:prstGeom>
                    <a:noFill/>
                    <a:ln>
                      <a:noFill/>
                    </a:ln>
                  </pic:spPr>
                </pic:pic>
              </a:graphicData>
            </a:graphic>
          </wp:inline>
        </w:drawing>
      </w: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4.进入政采云供应商学习专题页面</w:t>
      </w:r>
      <w:r>
        <w:rPr>
          <w:rStyle w:val="38"/>
          <w:rFonts w:hint="eastAsia" w:ascii="宋体" w:hAnsi="宋体" w:eastAsia="宋体" w:cs="宋体"/>
          <w:b/>
          <w:bCs/>
          <w:color w:val="000000" w:themeColor="text1"/>
          <w:sz w:val="24"/>
          <w:szCs w:val="32"/>
          <w:highlight w:val="none"/>
          <w14:textFill>
            <w14:solidFill>
              <w14:schemeClr w14:val="tx1"/>
            </w14:solidFill>
          </w14:textFill>
        </w:rPr>
        <w:t>（https://edu.zcygov.cn/luban/xxzt-chengdu-gys?utm=a0017.b1347.cl50.5.0917bc90b7bb11eb807c353645758db6）</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085455" cy="4023995"/>
            <wp:effectExtent l="0" t="0" r="10795" b="1460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8"/>
                    <a:stretch>
                      <a:fillRect/>
                    </a:stretch>
                  </pic:blipFill>
                  <pic:spPr>
                    <a:xfrm>
                      <a:off x="0" y="0"/>
                      <a:ext cx="8085455" cy="4023995"/>
                    </a:xfrm>
                    <a:prstGeom prst="rect">
                      <a:avLst/>
                    </a:prstGeom>
                    <a:noFill/>
                    <a:ln>
                      <a:noFill/>
                    </a:ln>
                  </pic:spPr>
                </pic:pic>
              </a:graphicData>
            </a:graphic>
          </wp:inline>
        </w:drawing>
      </w:r>
    </w:p>
    <w:p>
      <w:pP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5.供应商资讯服务渠道</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418195" cy="3430905"/>
            <wp:effectExtent l="0" t="0" r="1905" b="1714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9"/>
                    <a:stretch>
                      <a:fillRect/>
                    </a:stretch>
                  </pic:blipFill>
                  <pic:spPr>
                    <a:xfrm>
                      <a:off x="0" y="0"/>
                      <a:ext cx="8418195" cy="3430905"/>
                    </a:xfrm>
                    <a:prstGeom prst="rect">
                      <a:avLst/>
                    </a:prstGeom>
                    <a:noFill/>
                    <a:ln>
                      <a:noFill/>
                    </a:ln>
                  </pic:spPr>
                </pic:pic>
              </a:graphicData>
            </a:graphic>
          </wp:inline>
        </w:drawing>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6.入驻政府采购云平台（注册）</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229600" cy="3350895"/>
            <wp:effectExtent l="0" t="0" r="0" b="1905"/>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0"/>
                    <a:stretch>
                      <a:fillRect/>
                    </a:stretch>
                  </pic:blipFill>
                  <pic:spPr>
                    <a:xfrm>
                      <a:off x="0" y="0"/>
                      <a:ext cx="8229600" cy="3350895"/>
                    </a:xfrm>
                    <a:prstGeom prst="rect">
                      <a:avLst/>
                    </a:prstGeom>
                    <a:noFill/>
                    <a:ln>
                      <a:noFill/>
                    </a:ln>
                  </pic:spPr>
                </pic:pic>
              </a:graphicData>
            </a:graphic>
          </wp:inline>
        </w:drawing>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7.下载《供应商政府采购项目电子交易操作指南》</w:t>
      </w:r>
    </w:p>
    <w:p>
      <w:pPr>
        <w:pStyle w:val="1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496300" cy="4707890"/>
            <wp:effectExtent l="0" t="0" r="0" b="16510"/>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pic:cNvPicPr>
                  </pic:nvPicPr>
                  <pic:blipFill>
                    <a:blip r:embed="rId11"/>
                    <a:stretch>
                      <a:fillRect/>
                    </a:stretch>
                  </pic:blipFill>
                  <pic:spPr>
                    <a:xfrm>
                      <a:off x="0" y="0"/>
                      <a:ext cx="8496300" cy="4707890"/>
                    </a:xfrm>
                    <a:prstGeom prst="rect">
                      <a:avLst/>
                    </a:prstGeom>
                    <a:noFill/>
                    <a:ln>
                      <a:noFill/>
                    </a:ln>
                  </pic:spPr>
                </pic:pic>
              </a:graphicData>
            </a:graphic>
          </wp:inline>
        </w:drawing>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000000" w:sz="6" w:space="0"/>
      </w:pBdr>
      <w:jc w:val="both"/>
    </w:pPr>
    <w:r>
      <w:drawing>
        <wp:anchor distT="0" distB="0" distL="114300" distR="114300" simplePos="0" relativeHeight="251659264" behindDoc="0" locked="0" layoutInCell="1" allowOverlap="1">
          <wp:simplePos x="0" y="0"/>
          <wp:positionH relativeFrom="column">
            <wp:posOffset>-768985</wp:posOffset>
          </wp:positionH>
          <wp:positionV relativeFrom="paragraph">
            <wp:posOffset>-140335</wp:posOffset>
          </wp:positionV>
          <wp:extent cx="781050" cy="485775"/>
          <wp:effectExtent l="0" t="0" r="0" b="9525"/>
          <wp:wrapNone/>
          <wp:docPr id="1" name="图片 3" descr="C:\Users\MAC\AppData\Local\Temp\ksohtml\wpsBD2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MAC\AppData\Local\Temp\ksohtml\wpsBD27.tmp.png"/>
                  <pic:cNvPicPr>
                    <a:picLocks noChangeAspect="1"/>
                  </pic:cNvPicPr>
                </pic:nvPicPr>
                <pic:blipFill>
                  <a:blip r:embed="rId1"/>
                  <a:stretch>
                    <a:fillRect/>
                  </a:stretch>
                </pic:blipFill>
                <pic:spPr>
                  <a:xfrm>
                    <a:off x="0" y="0"/>
                    <a:ext cx="781050" cy="485775"/>
                  </a:xfrm>
                  <a:prstGeom prst="rect">
                    <a:avLst/>
                  </a:prstGeom>
                  <a:noFill/>
                  <a:ln w="9525">
                    <a:noFill/>
                  </a:ln>
                </pic:spPr>
              </pic:pic>
            </a:graphicData>
          </a:graphic>
        </wp:anchor>
      </w:drawing>
    </w:r>
    <w:r>
      <w:rPr>
        <w:rFonts w:hint="eastAsia" w:ascii="宋体" w:hAnsi="宋体"/>
        <w:sz w:val="21"/>
        <w:szCs w:val="21"/>
      </w:rPr>
      <w:t>四川协友招标代理有限公司</w:t>
    </w:r>
    <w:r>
      <w:rPr>
        <w:rFonts w:hint="eastAsia"/>
        <w:b/>
        <w:bCs/>
      </w:rPr>
      <w:t xml:space="preserve"> </w:t>
    </w:r>
    <w:r>
      <w:rPr>
        <w:rFonts w:hint="eastAsia"/>
      </w:rPr>
      <w:t xml:space="preserve">                                       </w:t>
    </w:r>
    <w:r>
      <w:rPr>
        <w:rFonts w:hint="eastAsia" w:ascii="宋体" w:hAnsi="宋体"/>
      </w:rPr>
      <w:t>公开</w:t>
    </w:r>
    <w:r>
      <w:rPr>
        <w:rFonts w:hint="eastAsia"/>
      </w:rPr>
      <w:t xml:space="preserve"> </w:t>
    </w:r>
    <w:r>
      <w:rPr>
        <w:rFonts w:hint="eastAsia" w:ascii="宋体" w:hAnsi="宋体"/>
      </w:rPr>
      <w:t>公平</w:t>
    </w:r>
    <w:r>
      <w:rPr>
        <w:rFonts w:hint="eastAsia"/>
      </w:rPr>
      <w:t xml:space="preserve"> </w:t>
    </w:r>
    <w:r>
      <w:rPr>
        <w:rFonts w:hint="eastAsia" w:ascii="宋体" w:hAnsi="宋体"/>
      </w:rPr>
      <w:t>公正</w:t>
    </w:r>
    <w:r>
      <w:rPr>
        <w:rFonts w:hint="eastAsia"/>
      </w:rPr>
      <w:t xml:space="preserve"> </w:t>
    </w:r>
    <w:r>
      <w:rPr>
        <w:rFonts w:hint="eastAsia" w:ascii="宋体" w:hAnsi="宋体"/>
      </w:rPr>
      <w:t>诚信</w:t>
    </w:r>
    <w:r>
      <w:rPr>
        <w:rFonts w:hint="eastAsia"/>
      </w:rPr>
      <w:t xml:space="preserve"> </w:t>
    </w:r>
    <w:r>
      <w:rPr>
        <w:rFonts w:hint="eastAsia" w:ascii="宋体" w:hAnsi="宋体"/>
      </w:rPr>
      <w:t>务实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DC6CF"/>
    <w:multiLevelType w:val="singleLevel"/>
    <w:tmpl w:val="A1DDC6CF"/>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16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BB172E0"/>
    <w:multiLevelType w:val="singleLevel"/>
    <w:tmpl w:val="0BB172E0"/>
    <w:lvl w:ilvl="0" w:tentative="0">
      <w:start w:val="1"/>
      <w:numFmt w:val="decimal"/>
      <w:suff w:val="nothing"/>
      <w:lvlText w:val="（%1）"/>
      <w:lvlJc w:val="left"/>
    </w:lvl>
  </w:abstractNum>
  <w:abstractNum w:abstractNumId="3">
    <w:nsid w:val="1517B247"/>
    <w:multiLevelType w:val="singleLevel"/>
    <w:tmpl w:val="1517B247"/>
    <w:lvl w:ilvl="0" w:tentative="0">
      <w:start w:val="3"/>
      <w:numFmt w:val="decimal"/>
      <w:lvlText w:val="%1."/>
      <w:lvlJc w:val="left"/>
      <w:pPr>
        <w:tabs>
          <w:tab w:val="left" w:pos="312"/>
        </w:tabs>
      </w:pPr>
    </w:lvl>
  </w:abstractNum>
  <w:abstractNum w:abstractNumId="4">
    <w:nsid w:val="16FE53D6"/>
    <w:multiLevelType w:val="multilevel"/>
    <w:tmpl w:val="16FE53D6"/>
    <w:lvl w:ilvl="0" w:tentative="0">
      <w:start w:val="1"/>
      <w:numFmt w:val="decimal"/>
      <w:lvlText w:val="%1."/>
      <w:lvlJc w:val="left"/>
      <w:pPr>
        <w:ind w:left="980" w:hanging="420"/>
      </w:pPr>
      <w:rPr>
        <w:rFonts w:hint="eastAsia"/>
      </w:rPr>
    </w:lvl>
    <w:lvl w:ilvl="1" w:tentative="0">
      <w:start w:val="1"/>
      <w:numFmt w:val="decimal"/>
      <w:suff w:val="nothing"/>
      <w:lvlText w:val="%2."/>
      <w:lvlJc w:val="left"/>
      <w:pPr>
        <w:ind w:left="1400" w:hanging="420"/>
      </w:pPr>
      <w:rPr>
        <w:rFonts w:hint="eastAsia"/>
      </w:rPr>
    </w:lvl>
    <w:lvl w:ilvl="2" w:tentative="0">
      <w:start w:val="3"/>
      <w:numFmt w:val="decimal"/>
      <w:lvlText w:val="%3"/>
      <w:lvlJc w:val="left"/>
      <w:pPr>
        <w:ind w:left="1760" w:hanging="360"/>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8">
    <w:nsid w:val="59C07086"/>
    <w:multiLevelType w:val="singleLevel"/>
    <w:tmpl w:val="59C07086"/>
    <w:lvl w:ilvl="0" w:tentative="0">
      <w:start w:val="1"/>
      <w:numFmt w:val="decimal"/>
      <w:suff w:val="nothing"/>
      <w:lvlText w:val="%1、"/>
      <w:lvlJc w:val="left"/>
      <w:pPr>
        <w:ind w:left="0" w:firstLine="0"/>
      </w:pPr>
    </w:lvl>
  </w:abstractNum>
  <w:abstractNum w:abstractNumId="9">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4"/>
  </w:num>
  <w:num w:numId="4">
    <w:abstractNumId w:val="0"/>
  </w:num>
  <w:num w:numId="5">
    <w:abstractNumId w:val="8"/>
    <w:lvlOverride w:ilvl="0">
      <w:startOverride w:val="1"/>
    </w:lvlOverride>
  </w:num>
  <w:num w:numId="6">
    <w:abstractNumId w:val="6"/>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CA7"/>
    <w:rsid w:val="00080A72"/>
    <w:rsid w:val="00126B9B"/>
    <w:rsid w:val="00132C7B"/>
    <w:rsid w:val="00142AD0"/>
    <w:rsid w:val="001B4A12"/>
    <w:rsid w:val="001F4E63"/>
    <w:rsid w:val="00205F19"/>
    <w:rsid w:val="00257A69"/>
    <w:rsid w:val="0026081B"/>
    <w:rsid w:val="00272935"/>
    <w:rsid w:val="00277878"/>
    <w:rsid w:val="002A7350"/>
    <w:rsid w:val="0031288F"/>
    <w:rsid w:val="00316391"/>
    <w:rsid w:val="003177BB"/>
    <w:rsid w:val="00353917"/>
    <w:rsid w:val="003577A2"/>
    <w:rsid w:val="003676AB"/>
    <w:rsid w:val="003C28EB"/>
    <w:rsid w:val="003D485C"/>
    <w:rsid w:val="003E2652"/>
    <w:rsid w:val="004012D0"/>
    <w:rsid w:val="004078F5"/>
    <w:rsid w:val="004221A9"/>
    <w:rsid w:val="004314AB"/>
    <w:rsid w:val="0046447A"/>
    <w:rsid w:val="00526E34"/>
    <w:rsid w:val="00540DCE"/>
    <w:rsid w:val="005728F9"/>
    <w:rsid w:val="005B3BF4"/>
    <w:rsid w:val="005D4B0B"/>
    <w:rsid w:val="005D671F"/>
    <w:rsid w:val="005E2BB4"/>
    <w:rsid w:val="005F0BD0"/>
    <w:rsid w:val="0062346C"/>
    <w:rsid w:val="00627211"/>
    <w:rsid w:val="00632839"/>
    <w:rsid w:val="006546C5"/>
    <w:rsid w:val="00714074"/>
    <w:rsid w:val="007161A5"/>
    <w:rsid w:val="00732CFD"/>
    <w:rsid w:val="007B09CA"/>
    <w:rsid w:val="007B19CF"/>
    <w:rsid w:val="00835A4D"/>
    <w:rsid w:val="00885127"/>
    <w:rsid w:val="008961D9"/>
    <w:rsid w:val="008B080F"/>
    <w:rsid w:val="008B1E83"/>
    <w:rsid w:val="008D5A2E"/>
    <w:rsid w:val="0092024F"/>
    <w:rsid w:val="00935709"/>
    <w:rsid w:val="00942CC5"/>
    <w:rsid w:val="009E18F8"/>
    <w:rsid w:val="009E5FDE"/>
    <w:rsid w:val="00A32858"/>
    <w:rsid w:val="00A6111E"/>
    <w:rsid w:val="00B00C9C"/>
    <w:rsid w:val="00B2456A"/>
    <w:rsid w:val="00B3107C"/>
    <w:rsid w:val="00B37F51"/>
    <w:rsid w:val="00BC68B5"/>
    <w:rsid w:val="00BF1127"/>
    <w:rsid w:val="00C61FD8"/>
    <w:rsid w:val="00D014EF"/>
    <w:rsid w:val="00D02EDF"/>
    <w:rsid w:val="00E02163"/>
    <w:rsid w:val="00E82F9C"/>
    <w:rsid w:val="00ED180E"/>
    <w:rsid w:val="00ED65FB"/>
    <w:rsid w:val="00F02AF0"/>
    <w:rsid w:val="00F47316"/>
    <w:rsid w:val="00F71C90"/>
    <w:rsid w:val="00FE05BA"/>
    <w:rsid w:val="00FF0FD5"/>
    <w:rsid w:val="011019E9"/>
    <w:rsid w:val="011A7FBD"/>
    <w:rsid w:val="01393AA3"/>
    <w:rsid w:val="01AC1E61"/>
    <w:rsid w:val="0231501E"/>
    <w:rsid w:val="025C2E06"/>
    <w:rsid w:val="03391357"/>
    <w:rsid w:val="03492F32"/>
    <w:rsid w:val="035B4774"/>
    <w:rsid w:val="039029BE"/>
    <w:rsid w:val="03A217AE"/>
    <w:rsid w:val="03D270B5"/>
    <w:rsid w:val="03E35864"/>
    <w:rsid w:val="04180F6C"/>
    <w:rsid w:val="04694D63"/>
    <w:rsid w:val="04DD1EF8"/>
    <w:rsid w:val="050B0AD1"/>
    <w:rsid w:val="050D2FDA"/>
    <w:rsid w:val="052120A3"/>
    <w:rsid w:val="052532C6"/>
    <w:rsid w:val="05730C69"/>
    <w:rsid w:val="059533B5"/>
    <w:rsid w:val="05A830CF"/>
    <w:rsid w:val="062C17B0"/>
    <w:rsid w:val="062C6F51"/>
    <w:rsid w:val="06783272"/>
    <w:rsid w:val="067A3EB9"/>
    <w:rsid w:val="06D81E9F"/>
    <w:rsid w:val="06EF65AB"/>
    <w:rsid w:val="07734FFB"/>
    <w:rsid w:val="079A613C"/>
    <w:rsid w:val="07AE23F9"/>
    <w:rsid w:val="082A5712"/>
    <w:rsid w:val="08511132"/>
    <w:rsid w:val="08B1118F"/>
    <w:rsid w:val="090A173B"/>
    <w:rsid w:val="09E2078F"/>
    <w:rsid w:val="09E977CB"/>
    <w:rsid w:val="0A044050"/>
    <w:rsid w:val="0A412D27"/>
    <w:rsid w:val="0AE46163"/>
    <w:rsid w:val="0B951C0F"/>
    <w:rsid w:val="0BAD4690"/>
    <w:rsid w:val="0BBD1AF4"/>
    <w:rsid w:val="0C342C8A"/>
    <w:rsid w:val="0C3D28FD"/>
    <w:rsid w:val="0C524F8F"/>
    <w:rsid w:val="0C594818"/>
    <w:rsid w:val="0C867067"/>
    <w:rsid w:val="0C9733F1"/>
    <w:rsid w:val="0CA14E59"/>
    <w:rsid w:val="0CC3431D"/>
    <w:rsid w:val="0D2F46E5"/>
    <w:rsid w:val="0D526E52"/>
    <w:rsid w:val="0D720AF7"/>
    <w:rsid w:val="0DDA7DCD"/>
    <w:rsid w:val="0DE86124"/>
    <w:rsid w:val="0E122ED0"/>
    <w:rsid w:val="0E9D4F5C"/>
    <w:rsid w:val="0EE75CAF"/>
    <w:rsid w:val="0F123291"/>
    <w:rsid w:val="0F473CCD"/>
    <w:rsid w:val="0F7D7AF8"/>
    <w:rsid w:val="10106896"/>
    <w:rsid w:val="10223A9B"/>
    <w:rsid w:val="10CA7B82"/>
    <w:rsid w:val="10DD708E"/>
    <w:rsid w:val="10EF3366"/>
    <w:rsid w:val="11223CD0"/>
    <w:rsid w:val="11315B79"/>
    <w:rsid w:val="114754DD"/>
    <w:rsid w:val="11612FA3"/>
    <w:rsid w:val="12021736"/>
    <w:rsid w:val="122A2863"/>
    <w:rsid w:val="122E18F6"/>
    <w:rsid w:val="1236049B"/>
    <w:rsid w:val="1268080A"/>
    <w:rsid w:val="12C070C2"/>
    <w:rsid w:val="135B2882"/>
    <w:rsid w:val="13C71C90"/>
    <w:rsid w:val="13CC040F"/>
    <w:rsid w:val="13E7385F"/>
    <w:rsid w:val="142E6D18"/>
    <w:rsid w:val="14504449"/>
    <w:rsid w:val="145F375A"/>
    <w:rsid w:val="149905E7"/>
    <w:rsid w:val="14C8593A"/>
    <w:rsid w:val="14D930FA"/>
    <w:rsid w:val="14E848DC"/>
    <w:rsid w:val="15743F85"/>
    <w:rsid w:val="15B036FB"/>
    <w:rsid w:val="15E37B64"/>
    <w:rsid w:val="1683583A"/>
    <w:rsid w:val="16CB4564"/>
    <w:rsid w:val="16D8214E"/>
    <w:rsid w:val="17271548"/>
    <w:rsid w:val="175811C3"/>
    <w:rsid w:val="17740D3B"/>
    <w:rsid w:val="177F7E55"/>
    <w:rsid w:val="178070FD"/>
    <w:rsid w:val="1889530E"/>
    <w:rsid w:val="18923D07"/>
    <w:rsid w:val="18D117D0"/>
    <w:rsid w:val="18EB31B0"/>
    <w:rsid w:val="19201AC3"/>
    <w:rsid w:val="192135E9"/>
    <w:rsid w:val="192754D6"/>
    <w:rsid w:val="19321D0D"/>
    <w:rsid w:val="19962C07"/>
    <w:rsid w:val="19EC595F"/>
    <w:rsid w:val="19ED78E5"/>
    <w:rsid w:val="19F20257"/>
    <w:rsid w:val="1A232BC8"/>
    <w:rsid w:val="1A42171C"/>
    <w:rsid w:val="1A807B12"/>
    <w:rsid w:val="1A856C27"/>
    <w:rsid w:val="1B416F68"/>
    <w:rsid w:val="1B605EED"/>
    <w:rsid w:val="1B630497"/>
    <w:rsid w:val="1B78024D"/>
    <w:rsid w:val="1B9A316C"/>
    <w:rsid w:val="1BD67D46"/>
    <w:rsid w:val="1C20236F"/>
    <w:rsid w:val="1C284D82"/>
    <w:rsid w:val="1CCD4F5E"/>
    <w:rsid w:val="1CDB5B89"/>
    <w:rsid w:val="1CDD1719"/>
    <w:rsid w:val="1D4D0833"/>
    <w:rsid w:val="1D746442"/>
    <w:rsid w:val="1D800668"/>
    <w:rsid w:val="1DC767A9"/>
    <w:rsid w:val="1E0A774D"/>
    <w:rsid w:val="1E6874F5"/>
    <w:rsid w:val="1E703B20"/>
    <w:rsid w:val="1E8E0351"/>
    <w:rsid w:val="1E990304"/>
    <w:rsid w:val="1EBD4A61"/>
    <w:rsid w:val="1F005A95"/>
    <w:rsid w:val="1F626401"/>
    <w:rsid w:val="1F767BFA"/>
    <w:rsid w:val="1FA94A06"/>
    <w:rsid w:val="1FEB5CA3"/>
    <w:rsid w:val="200A0FF7"/>
    <w:rsid w:val="20160A8E"/>
    <w:rsid w:val="20784E15"/>
    <w:rsid w:val="208337BA"/>
    <w:rsid w:val="20CE712B"/>
    <w:rsid w:val="20D1010E"/>
    <w:rsid w:val="215C2506"/>
    <w:rsid w:val="218165D4"/>
    <w:rsid w:val="21BE3033"/>
    <w:rsid w:val="223868F4"/>
    <w:rsid w:val="22601AC6"/>
    <w:rsid w:val="22A127F8"/>
    <w:rsid w:val="22B46B16"/>
    <w:rsid w:val="22D44D34"/>
    <w:rsid w:val="22E91FFA"/>
    <w:rsid w:val="2302130E"/>
    <w:rsid w:val="23392519"/>
    <w:rsid w:val="234B5430"/>
    <w:rsid w:val="235A3ABA"/>
    <w:rsid w:val="23DF50C1"/>
    <w:rsid w:val="23F4737D"/>
    <w:rsid w:val="24194B61"/>
    <w:rsid w:val="2439481B"/>
    <w:rsid w:val="243B73AB"/>
    <w:rsid w:val="24731CE0"/>
    <w:rsid w:val="24B959FC"/>
    <w:rsid w:val="24C30629"/>
    <w:rsid w:val="25A669D6"/>
    <w:rsid w:val="263E7898"/>
    <w:rsid w:val="26536823"/>
    <w:rsid w:val="26A57CBB"/>
    <w:rsid w:val="2741337E"/>
    <w:rsid w:val="2771428F"/>
    <w:rsid w:val="27A22179"/>
    <w:rsid w:val="27B016C6"/>
    <w:rsid w:val="27EF2822"/>
    <w:rsid w:val="28481571"/>
    <w:rsid w:val="29173ECE"/>
    <w:rsid w:val="2945374D"/>
    <w:rsid w:val="29473A14"/>
    <w:rsid w:val="29541E1D"/>
    <w:rsid w:val="29967508"/>
    <w:rsid w:val="29B60350"/>
    <w:rsid w:val="29CD0538"/>
    <w:rsid w:val="29D95687"/>
    <w:rsid w:val="2A03197C"/>
    <w:rsid w:val="2A09499C"/>
    <w:rsid w:val="2A0E2346"/>
    <w:rsid w:val="2A610551"/>
    <w:rsid w:val="2ADD272C"/>
    <w:rsid w:val="2B042CDE"/>
    <w:rsid w:val="2C2C33CC"/>
    <w:rsid w:val="2C547EB5"/>
    <w:rsid w:val="2C5D58CD"/>
    <w:rsid w:val="2CB02886"/>
    <w:rsid w:val="2CF4670D"/>
    <w:rsid w:val="2D0C5F70"/>
    <w:rsid w:val="2D123F4A"/>
    <w:rsid w:val="2D430BF8"/>
    <w:rsid w:val="2DD03E4E"/>
    <w:rsid w:val="2DE6534E"/>
    <w:rsid w:val="2DF3661F"/>
    <w:rsid w:val="2E3D6811"/>
    <w:rsid w:val="2E914DD1"/>
    <w:rsid w:val="2ED92BB5"/>
    <w:rsid w:val="2EE3359D"/>
    <w:rsid w:val="2EF35AC2"/>
    <w:rsid w:val="2F071AFD"/>
    <w:rsid w:val="2F074E20"/>
    <w:rsid w:val="2F855882"/>
    <w:rsid w:val="2FAB57AC"/>
    <w:rsid w:val="2FCB27AC"/>
    <w:rsid w:val="2FE415EE"/>
    <w:rsid w:val="30262B1E"/>
    <w:rsid w:val="303D1798"/>
    <w:rsid w:val="30892C25"/>
    <w:rsid w:val="30944A3B"/>
    <w:rsid w:val="30DB48DC"/>
    <w:rsid w:val="3119315C"/>
    <w:rsid w:val="318555E4"/>
    <w:rsid w:val="32165BDB"/>
    <w:rsid w:val="32174593"/>
    <w:rsid w:val="325C1D44"/>
    <w:rsid w:val="3267119F"/>
    <w:rsid w:val="327D6838"/>
    <w:rsid w:val="32B87B78"/>
    <w:rsid w:val="32CD5FD7"/>
    <w:rsid w:val="3301005C"/>
    <w:rsid w:val="33656A58"/>
    <w:rsid w:val="3383781E"/>
    <w:rsid w:val="33DE1A1A"/>
    <w:rsid w:val="34167CEA"/>
    <w:rsid w:val="3426778B"/>
    <w:rsid w:val="3434275E"/>
    <w:rsid w:val="34590387"/>
    <w:rsid w:val="3498562E"/>
    <w:rsid w:val="34A35379"/>
    <w:rsid w:val="352638AA"/>
    <w:rsid w:val="35C10BB4"/>
    <w:rsid w:val="35E14DB3"/>
    <w:rsid w:val="363D04A0"/>
    <w:rsid w:val="36603574"/>
    <w:rsid w:val="36646952"/>
    <w:rsid w:val="367837FB"/>
    <w:rsid w:val="36BF3D10"/>
    <w:rsid w:val="36D14031"/>
    <w:rsid w:val="36F14446"/>
    <w:rsid w:val="370E319C"/>
    <w:rsid w:val="37731215"/>
    <w:rsid w:val="37BF1B40"/>
    <w:rsid w:val="37C64260"/>
    <w:rsid w:val="37D42707"/>
    <w:rsid w:val="386E08CB"/>
    <w:rsid w:val="38885DA9"/>
    <w:rsid w:val="38F43DC6"/>
    <w:rsid w:val="39025ADC"/>
    <w:rsid w:val="390D2F2F"/>
    <w:rsid w:val="39422E3C"/>
    <w:rsid w:val="394F5960"/>
    <w:rsid w:val="3A26777B"/>
    <w:rsid w:val="3A2A24E5"/>
    <w:rsid w:val="3A3B2396"/>
    <w:rsid w:val="3A79274F"/>
    <w:rsid w:val="3AB17FFB"/>
    <w:rsid w:val="3AD44EE6"/>
    <w:rsid w:val="3AD91AA7"/>
    <w:rsid w:val="3AF9494C"/>
    <w:rsid w:val="3B0E480B"/>
    <w:rsid w:val="3B3247BA"/>
    <w:rsid w:val="3B454A4D"/>
    <w:rsid w:val="3B4935E3"/>
    <w:rsid w:val="3B5F0FCC"/>
    <w:rsid w:val="3B763C29"/>
    <w:rsid w:val="3B8024AE"/>
    <w:rsid w:val="3C197436"/>
    <w:rsid w:val="3CA65C14"/>
    <w:rsid w:val="3D344F48"/>
    <w:rsid w:val="3D563E49"/>
    <w:rsid w:val="3D876AD8"/>
    <w:rsid w:val="3D963B59"/>
    <w:rsid w:val="3DB472D4"/>
    <w:rsid w:val="3DE13115"/>
    <w:rsid w:val="3E475C6A"/>
    <w:rsid w:val="3EA87F1B"/>
    <w:rsid w:val="3EB246B5"/>
    <w:rsid w:val="3F091418"/>
    <w:rsid w:val="3F0E37CA"/>
    <w:rsid w:val="3F2574A9"/>
    <w:rsid w:val="3F2A0CAD"/>
    <w:rsid w:val="3F2E76FE"/>
    <w:rsid w:val="3F751498"/>
    <w:rsid w:val="3F7D2A00"/>
    <w:rsid w:val="3FC976C5"/>
    <w:rsid w:val="404131C8"/>
    <w:rsid w:val="4127511D"/>
    <w:rsid w:val="41872512"/>
    <w:rsid w:val="41BD74DE"/>
    <w:rsid w:val="41D47D4A"/>
    <w:rsid w:val="42827CE0"/>
    <w:rsid w:val="428C5BD5"/>
    <w:rsid w:val="42D801B8"/>
    <w:rsid w:val="42E93844"/>
    <w:rsid w:val="42F4101A"/>
    <w:rsid w:val="432231F0"/>
    <w:rsid w:val="44047CB7"/>
    <w:rsid w:val="441027D5"/>
    <w:rsid w:val="4441183E"/>
    <w:rsid w:val="445244CD"/>
    <w:rsid w:val="447C0AC8"/>
    <w:rsid w:val="447F3D08"/>
    <w:rsid w:val="44E07FF1"/>
    <w:rsid w:val="44FB1690"/>
    <w:rsid w:val="455E6B99"/>
    <w:rsid w:val="45E43823"/>
    <w:rsid w:val="45ED5F92"/>
    <w:rsid w:val="45ED65EA"/>
    <w:rsid w:val="46200253"/>
    <w:rsid w:val="462037D9"/>
    <w:rsid w:val="463645E3"/>
    <w:rsid w:val="46E67422"/>
    <w:rsid w:val="46EC603C"/>
    <w:rsid w:val="47466F33"/>
    <w:rsid w:val="47EA10BB"/>
    <w:rsid w:val="47F94AF8"/>
    <w:rsid w:val="48342819"/>
    <w:rsid w:val="48610B9D"/>
    <w:rsid w:val="488A2759"/>
    <w:rsid w:val="48A63F8F"/>
    <w:rsid w:val="48A94075"/>
    <w:rsid w:val="48CA7928"/>
    <w:rsid w:val="49274B58"/>
    <w:rsid w:val="496B4C67"/>
    <w:rsid w:val="49DE368B"/>
    <w:rsid w:val="49EA5C92"/>
    <w:rsid w:val="49F763DB"/>
    <w:rsid w:val="4A02248E"/>
    <w:rsid w:val="4A535E6A"/>
    <w:rsid w:val="4AC111EE"/>
    <w:rsid w:val="4ACE33B8"/>
    <w:rsid w:val="4AD205E0"/>
    <w:rsid w:val="4AE62D1F"/>
    <w:rsid w:val="4B08477A"/>
    <w:rsid w:val="4B3B3218"/>
    <w:rsid w:val="4B6B0BF0"/>
    <w:rsid w:val="4B857DCA"/>
    <w:rsid w:val="4BEF359B"/>
    <w:rsid w:val="4BFD6B59"/>
    <w:rsid w:val="4BFE241D"/>
    <w:rsid w:val="4C4756EC"/>
    <w:rsid w:val="4C530F62"/>
    <w:rsid w:val="4C772D21"/>
    <w:rsid w:val="4CBA2179"/>
    <w:rsid w:val="4CF15159"/>
    <w:rsid w:val="4D48214A"/>
    <w:rsid w:val="4D7C7A9C"/>
    <w:rsid w:val="4E6F518F"/>
    <w:rsid w:val="4E741722"/>
    <w:rsid w:val="4E9111CC"/>
    <w:rsid w:val="4E9939F1"/>
    <w:rsid w:val="4EF23F1D"/>
    <w:rsid w:val="4F034414"/>
    <w:rsid w:val="4F1C2493"/>
    <w:rsid w:val="4F24416F"/>
    <w:rsid w:val="4F42290E"/>
    <w:rsid w:val="4F9273F2"/>
    <w:rsid w:val="4FD52AE5"/>
    <w:rsid w:val="50212EF9"/>
    <w:rsid w:val="502C155E"/>
    <w:rsid w:val="503F2171"/>
    <w:rsid w:val="50D11CE2"/>
    <w:rsid w:val="50F518AC"/>
    <w:rsid w:val="510A7639"/>
    <w:rsid w:val="51213811"/>
    <w:rsid w:val="51C56492"/>
    <w:rsid w:val="51DC2C27"/>
    <w:rsid w:val="52044577"/>
    <w:rsid w:val="520E18F8"/>
    <w:rsid w:val="526F39A7"/>
    <w:rsid w:val="529145FA"/>
    <w:rsid w:val="52D208A5"/>
    <w:rsid w:val="52D66457"/>
    <w:rsid w:val="53737EEA"/>
    <w:rsid w:val="5374767A"/>
    <w:rsid w:val="53894820"/>
    <w:rsid w:val="53B65911"/>
    <w:rsid w:val="53CF568E"/>
    <w:rsid w:val="53ED38D2"/>
    <w:rsid w:val="54443D53"/>
    <w:rsid w:val="54AB5F5C"/>
    <w:rsid w:val="54B934D4"/>
    <w:rsid w:val="55481466"/>
    <w:rsid w:val="5552317F"/>
    <w:rsid w:val="55837DDC"/>
    <w:rsid w:val="55D706C1"/>
    <w:rsid w:val="55D807E0"/>
    <w:rsid w:val="56022EB6"/>
    <w:rsid w:val="561E5A1B"/>
    <w:rsid w:val="56796F82"/>
    <w:rsid w:val="56A30BA7"/>
    <w:rsid w:val="56A417B8"/>
    <w:rsid w:val="56BB0745"/>
    <w:rsid w:val="56DA639B"/>
    <w:rsid w:val="56E7781E"/>
    <w:rsid w:val="56FF1518"/>
    <w:rsid w:val="575B456D"/>
    <w:rsid w:val="57875362"/>
    <w:rsid w:val="57931E49"/>
    <w:rsid w:val="57DA379B"/>
    <w:rsid w:val="57EB1015"/>
    <w:rsid w:val="5842039D"/>
    <w:rsid w:val="584456D3"/>
    <w:rsid w:val="584A6382"/>
    <w:rsid w:val="58C135A4"/>
    <w:rsid w:val="58C64B7F"/>
    <w:rsid w:val="58E856C5"/>
    <w:rsid w:val="58F21187"/>
    <w:rsid w:val="5915074C"/>
    <w:rsid w:val="595F271D"/>
    <w:rsid w:val="597D0A92"/>
    <w:rsid w:val="59B06434"/>
    <w:rsid w:val="59B154B4"/>
    <w:rsid w:val="5A0A046C"/>
    <w:rsid w:val="5A305641"/>
    <w:rsid w:val="5AC316C5"/>
    <w:rsid w:val="5B2E3D47"/>
    <w:rsid w:val="5B6B7112"/>
    <w:rsid w:val="5BBB4439"/>
    <w:rsid w:val="5C0A527E"/>
    <w:rsid w:val="5C121917"/>
    <w:rsid w:val="5C142ED3"/>
    <w:rsid w:val="5C3374AB"/>
    <w:rsid w:val="5C7834CB"/>
    <w:rsid w:val="5D600C44"/>
    <w:rsid w:val="5DCF1811"/>
    <w:rsid w:val="5E295F4E"/>
    <w:rsid w:val="5E691244"/>
    <w:rsid w:val="5E85309E"/>
    <w:rsid w:val="5E8F0B35"/>
    <w:rsid w:val="5EB97B14"/>
    <w:rsid w:val="5EF07C91"/>
    <w:rsid w:val="5F196889"/>
    <w:rsid w:val="5F482168"/>
    <w:rsid w:val="5F7D0049"/>
    <w:rsid w:val="5FB34ADE"/>
    <w:rsid w:val="5FD65CF4"/>
    <w:rsid w:val="5FDC6467"/>
    <w:rsid w:val="60236EE4"/>
    <w:rsid w:val="60445B10"/>
    <w:rsid w:val="604C698B"/>
    <w:rsid w:val="60917589"/>
    <w:rsid w:val="60926C3A"/>
    <w:rsid w:val="60A67512"/>
    <w:rsid w:val="60A80822"/>
    <w:rsid w:val="60BB02AA"/>
    <w:rsid w:val="60BD449B"/>
    <w:rsid w:val="612511BB"/>
    <w:rsid w:val="617A5F38"/>
    <w:rsid w:val="61932B55"/>
    <w:rsid w:val="61BF3557"/>
    <w:rsid w:val="61D51B83"/>
    <w:rsid w:val="622009BB"/>
    <w:rsid w:val="624F2F20"/>
    <w:rsid w:val="6256605D"/>
    <w:rsid w:val="625E3163"/>
    <w:rsid w:val="62BB48C4"/>
    <w:rsid w:val="634C3904"/>
    <w:rsid w:val="63AB10FA"/>
    <w:rsid w:val="63FE3A92"/>
    <w:rsid w:val="64555322"/>
    <w:rsid w:val="64665AD4"/>
    <w:rsid w:val="64795E7F"/>
    <w:rsid w:val="64A57835"/>
    <w:rsid w:val="64D4595F"/>
    <w:rsid w:val="65182CD0"/>
    <w:rsid w:val="658B20D2"/>
    <w:rsid w:val="659A099D"/>
    <w:rsid w:val="65C53983"/>
    <w:rsid w:val="65DC0E29"/>
    <w:rsid w:val="65E41429"/>
    <w:rsid w:val="65EC5320"/>
    <w:rsid w:val="65F016BD"/>
    <w:rsid w:val="664408C2"/>
    <w:rsid w:val="66522425"/>
    <w:rsid w:val="66525CD8"/>
    <w:rsid w:val="665C5C0C"/>
    <w:rsid w:val="666F46D1"/>
    <w:rsid w:val="66A37DB3"/>
    <w:rsid w:val="66C65E27"/>
    <w:rsid w:val="66E60308"/>
    <w:rsid w:val="67226E55"/>
    <w:rsid w:val="67770982"/>
    <w:rsid w:val="677E5454"/>
    <w:rsid w:val="67ED2F58"/>
    <w:rsid w:val="67EF3366"/>
    <w:rsid w:val="67F22FA9"/>
    <w:rsid w:val="68077DF9"/>
    <w:rsid w:val="68923B67"/>
    <w:rsid w:val="68A7743B"/>
    <w:rsid w:val="68B0757A"/>
    <w:rsid w:val="690400B3"/>
    <w:rsid w:val="695063C9"/>
    <w:rsid w:val="6A107578"/>
    <w:rsid w:val="6A2B613D"/>
    <w:rsid w:val="6A555411"/>
    <w:rsid w:val="6A57231C"/>
    <w:rsid w:val="6A795F4F"/>
    <w:rsid w:val="6AB50ECE"/>
    <w:rsid w:val="6AE07F10"/>
    <w:rsid w:val="6AFE6C86"/>
    <w:rsid w:val="6B0562F8"/>
    <w:rsid w:val="6B7A0202"/>
    <w:rsid w:val="6B831EA4"/>
    <w:rsid w:val="6B8E4AB9"/>
    <w:rsid w:val="6BA85F70"/>
    <w:rsid w:val="6BCA64F3"/>
    <w:rsid w:val="6BF46531"/>
    <w:rsid w:val="6C494400"/>
    <w:rsid w:val="6C6B17CE"/>
    <w:rsid w:val="6CFE7A1D"/>
    <w:rsid w:val="6D21446C"/>
    <w:rsid w:val="6D5245BC"/>
    <w:rsid w:val="6D5D7491"/>
    <w:rsid w:val="6D9027E1"/>
    <w:rsid w:val="6DA034D9"/>
    <w:rsid w:val="6DF9627B"/>
    <w:rsid w:val="6E7A5F5B"/>
    <w:rsid w:val="6E8E437B"/>
    <w:rsid w:val="6F3112E7"/>
    <w:rsid w:val="6F9141B6"/>
    <w:rsid w:val="701B2694"/>
    <w:rsid w:val="703A6747"/>
    <w:rsid w:val="7083260E"/>
    <w:rsid w:val="708B6E6B"/>
    <w:rsid w:val="70A92451"/>
    <w:rsid w:val="70DC4BEB"/>
    <w:rsid w:val="70E138AA"/>
    <w:rsid w:val="70E2716A"/>
    <w:rsid w:val="718B5F5F"/>
    <w:rsid w:val="71DE2A92"/>
    <w:rsid w:val="71E94656"/>
    <w:rsid w:val="7298310A"/>
    <w:rsid w:val="72C7289D"/>
    <w:rsid w:val="72EC2173"/>
    <w:rsid w:val="73BB7646"/>
    <w:rsid w:val="742212E8"/>
    <w:rsid w:val="746C3789"/>
    <w:rsid w:val="75143C60"/>
    <w:rsid w:val="755B44E8"/>
    <w:rsid w:val="76B56388"/>
    <w:rsid w:val="778619FC"/>
    <w:rsid w:val="779C3C51"/>
    <w:rsid w:val="77BA6C36"/>
    <w:rsid w:val="77D77086"/>
    <w:rsid w:val="780147D3"/>
    <w:rsid w:val="78CB7BFC"/>
    <w:rsid w:val="78F83319"/>
    <w:rsid w:val="791E6850"/>
    <w:rsid w:val="794F66B0"/>
    <w:rsid w:val="79624FF1"/>
    <w:rsid w:val="797258DD"/>
    <w:rsid w:val="798262EC"/>
    <w:rsid w:val="799534B7"/>
    <w:rsid w:val="79D64D7E"/>
    <w:rsid w:val="79DB2224"/>
    <w:rsid w:val="79F34788"/>
    <w:rsid w:val="7A1A2225"/>
    <w:rsid w:val="7A8A4713"/>
    <w:rsid w:val="7B20351F"/>
    <w:rsid w:val="7B3577E8"/>
    <w:rsid w:val="7B4B2D3F"/>
    <w:rsid w:val="7BF467B3"/>
    <w:rsid w:val="7C0E2A88"/>
    <w:rsid w:val="7C853062"/>
    <w:rsid w:val="7CDA2CC8"/>
    <w:rsid w:val="7D3923AB"/>
    <w:rsid w:val="7D3E3F7E"/>
    <w:rsid w:val="7D831878"/>
    <w:rsid w:val="7D862A86"/>
    <w:rsid w:val="7E0F6145"/>
    <w:rsid w:val="7EC971D6"/>
    <w:rsid w:val="7F2C022F"/>
    <w:rsid w:val="7F39447D"/>
    <w:rsid w:val="7F6D6BDB"/>
    <w:rsid w:val="7F795057"/>
    <w:rsid w:val="7F7F4711"/>
    <w:rsid w:val="7F871C60"/>
    <w:rsid w:val="7FBA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qFormat="1"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4"/>
    <w:unhideWhenUsed/>
    <w:qFormat/>
    <w:uiPriority w:val="0"/>
    <w:pPr>
      <w:keepNext/>
      <w:keepLines/>
      <w:spacing w:before="260" w:after="260" w:line="415" w:lineRule="auto"/>
      <w:outlineLvl w:val="1"/>
    </w:pPr>
    <w:rPr>
      <w:rFonts w:ascii="Arial" w:hAnsi="Arial" w:eastAsia="黑体"/>
      <w:sz w:val="32"/>
      <w:szCs w:val="32"/>
    </w:rPr>
  </w:style>
  <w:style w:type="paragraph" w:styleId="5">
    <w:name w:val="heading 3"/>
    <w:basedOn w:val="1"/>
    <w:next w:val="1"/>
    <w:link w:val="45"/>
    <w:semiHidden/>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46"/>
    <w:semiHidden/>
    <w:unhideWhenUsed/>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47"/>
    <w:semiHidden/>
    <w:unhideWhenUsed/>
    <w:qFormat/>
    <w:uiPriority w:val="0"/>
    <w:pPr>
      <w:keepNext/>
      <w:keepLines/>
      <w:spacing w:before="280" w:after="290" w:line="372" w:lineRule="auto"/>
      <w:outlineLvl w:val="4"/>
    </w:pPr>
    <w:rPr>
      <w:b/>
      <w:sz w:val="28"/>
      <w:szCs w:val="20"/>
    </w:rPr>
  </w:style>
  <w:style w:type="paragraph" w:styleId="8">
    <w:name w:val="heading 6"/>
    <w:basedOn w:val="1"/>
    <w:next w:val="1"/>
    <w:link w:val="48"/>
    <w:semiHidden/>
    <w:unhideWhenUsed/>
    <w:qFormat/>
    <w:uiPriority w:val="0"/>
    <w:pPr>
      <w:keepNext/>
      <w:keepLines/>
      <w:spacing w:before="240" w:after="64" w:line="316" w:lineRule="auto"/>
      <w:outlineLvl w:val="5"/>
    </w:pPr>
    <w:rPr>
      <w:rFonts w:ascii="Cambria" w:hAnsi="Cambria" w:cs="宋体"/>
      <w:b/>
      <w:bCs/>
      <w:sz w:val="24"/>
    </w:rPr>
  </w:style>
  <w:style w:type="paragraph" w:styleId="9">
    <w:name w:val="heading 7"/>
    <w:basedOn w:val="1"/>
    <w:next w:val="1"/>
    <w:link w:val="49"/>
    <w:semiHidden/>
    <w:unhideWhenUsed/>
    <w:qFormat/>
    <w:uiPriority w:val="99"/>
    <w:pPr>
      <w:keepNext/>
      <w:keepLines/>
      <w:spacing w:before="240" w:after="64" w:line="316" w:lineRule="auto"/>
      <w:outlineLvl w:val="6"/>
    </w:pPr>
    <w:rPr>
      <w:rFonts w:ascii="Calibri" w:hAnsi="Calibri"/>
      <w:b/>
      <w:bCs/>
      <w:sz w:val="24"/>
    </w:rPr>
  </w:style>
  <w:style w:type="paragraph" w:styleId="10">
    <w:name w:val="heading 8"/>
    <w:basedOn w:val="1"/>
    <w:next w:val="1"/>
    <w:link w:val="50"/>
    <w:semiHidden/>
    <w:unhideWhenUsed/>
    <w:qFormat/>
    <w:uiPriority w:val="99"/>
    <w:pPr>
      <w:keepNext/>
      <w:keepLines/>
      <w:spacing w:before="240" w:after="64" w:line="316" w:lineRule="auto"/>
      <w:outlineLvl w:val="7"/>
    </w:pPr>
    <w:rPr>
      <w:rFonts w:ascii="Cambria" w:hAnsi="Cambria"/>
      <w:sz w:val="24"/>
    </w:rPr>
  </w:style>
  <w:style w:type="paragraph" w:styleId="11">
    <w:name w:val="heading 9"/>
    <w:basedOn w:val="1"/>
    <w:next w:val="1"/>
    <w:link w:val="51"/>
    <w:semiHidden/>
    <w:unhideWhenUsed/>
    <w:qFormat/>
    <w:uiPriority w:val="99"/>
    <w:pPr>
      <w:keepNext/>
      <w:keepLines/>
      <w:spacing w:before="240" w:after="64" w:line="316"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pPr>
      <w:spacing w:line="480" w:lineRule="auto"/>
    </w:pPr>
    <w:rPr>
      <w:sz w:val="24"/>
      <w:szCs w:val="20"/>
    </w:rPr>
  </w:style>
  <w:style w:type="paragraph" w:styleId="12">
    <w:name w:val="Normal Indent"/>
    <w:basedOn w:val="1"/>
    <w:link w:val="52"/>
    <w:semiHidden/>
    <w:unhideWhenUsed/>
    <w:qFormat/>
    <w:uiPriority w:val="0"/>
    <w:pPr>
      <w:ind w:firstLine="420" w:firstLineChars="200"/>
    </w:pPr>
    <w:rPr>
      <w:rFonts w:asciiTheme="minorHAnsi" w:hAnsiTheme="minorHAnsi" w:eastAsiaTheme="minorEastAsia" w:cstheme="minorBidi"/>
    </w:rPr>
  </w:style>
  <w:style w:type="paragraph" w:styleId="13">
    <w:name w:val="caption"/>
    <w:basedOn w:val="1"/>
    <w:next w:val="1"/>
    <w:qFormat/>
    <w:uiPriority w:val="0"/>
    <w:pPr>
      <w:wordWrap w:val="0"/>
      <w:jc w:val="center"/>
    </w:pPr>
    <w:rPr>
      <w:rFonts w:ascii="宋体" w:hAnsi="宋体"/>
      <w:b/>
      <w:szCs w:val="21"/>
    </w:rPr>
  </w:style>
  <w:style w:type="paragraph" w:styleId="14">
    <w:name w:val="Document Map"/>
    <w:basedOn w:val="1"/>
    <w:link w:val="73"/>
    <w:semiHidden/>
    <w:unhideWhenUsed/>
    <w:qFormat/>
    <w:uiPriority w:val="99"/>
    <w:rPr>
      <w:rFonts w:ascii="宋体"/>
      <w:kern w:val="0"/>
      <w:sz w:val="18"/>
      <w:szCs w:val="18"/>
    </w:rPr>
  </w:style>
  <w:style w:type="paragraph" w:styleId="15">
    <w:name w:val="annotation text"/>
    <w:basedOn w:val="1"/>
    <w:link w:val="53"/>
    <w:semiHidden/>
    <w:unhideWhenUsed/>
    <w:qFormat/>
    <w:uiPriority w:val="99"/>
    <w:pPr>
      <w:jc w:val="left"/>
    </w:pPr>
    <w:rPr>
      <w:kern w:val="0"/>
      <w:sz w:val="20"/>
    </w:rPr>
  </w:style>
  <w:style w:type="paragraph" w:styleId="16">
    <w:name w:val="Salutation"/>
    <w:basedOn w:val="1"/>
    <w:next w:val="1"/>
    <w:qFormat/>
    <w:uiPriority w:val="0"/>
  </w:style>
  <w:style w:type="paragraph" w:styleId="17">
    <w:name w:val="Body Text"/>
    <w:basedOn w:val="1"/>
    <w:next w:val="1"/>
    <w:link w:val="61"/>
    <w:semiHidden/>
    <w:unhideWhenUsed/>
    <w:qFormat/>
    <w:uiPriority w:val="99"/>
    <w:pPr>
      <w:spacing w:after="120"/>
    </w:pPr>
    <w:rPr>
      <w:kern w:val="0"/>
      <w:sz w:val="20"/>
    </w:rPr>
  </w:style>
  <w:style w:type="paragraph" w:styleId="18">
    <w:name w:val="Body Text Indent"/>
    <w:basedOn w:val="1"/>
    <w:link w:val="63"/>
    <w:semiHidden/>
    <w:unhideWhenUsed/>
    <w:qFormat/>
    <w:uiPriority w:val="99"/>
    <w:pPr>
      <w:ind w:firstLine="630"/>
    </w:pPr>
    <w:rPr>
      <w:kern w:val="0"/>
      <w:sz w:val="32"/>
      <w:szCs w:val="20"/>
    </w:rPr>
  </w:style>
  <w:style w:type="paragraph" w:styleId="19">
    <w:name w:val="index 4"/>
    <w:basedOn w:val="1"/>
    <w:next w:val="1"/>
    <w:semiHidden/>
    <w:unhideWhenUsed/>
    <w:qFormat/>
    <w:uiPriority w:val="99"/>
    <w:pPr>
      <w:ind w:left="600" w:leftChars="600"/>
    </w:pPr>
  </w:style>
  <w:style w:type="paragraph" w:styleId="20">
    <w:name w:val="Plain Text"/>
    <w:basedOn w:val="1"/>
    <w:link w:val="75"/>
    <w:unhideWhenUsed/>
    <w:qFormat/>
    <w:uiPriority w:val="99"/>
    <w:pPr>
      <w:autoSpaceDE w:val="0"/>
      <w:autoSpaceDN w:val="0"/>
      <w:adjustRightInd w:val="0"/>
    </w:pPr>
    <w:rPr>
      <w:rFonts w:ascii="宋体" w:hAnsi="Courier New" w:cs="Courier New"/>
      <w:kern w:val="0"/>
      <w:sz w:val="20"/>
      <w:szCs w:val="21"/>
    </w:rPr>
  </w:style>
  <w:style w:type="paragraph" w:styleId="21">
    <w:name w:val="Date"/>
    <w:basedOn w:val="1"/>
    <w:next w:val="1"/>
    <w:link w:val="67"/>
    <w:semiHidden/>
    <w:unhideWhenUsed/>
    <w:qFormat/>
    <w:uiPriority w:val="99"/>
    <w:rPr>
      <w:szCs w:val="20"/>
    </w:rPr>
  </w:style>
  <w:style w:type="paragraph" w:styleId="22">
    <w:name w:val="Body Text Indent 2"/>
    <w:basedOn w:val="1"/>
    <w:link w:val="69"/>
    <w:semiHidden/>
    <w:unhideWhenUsed/>
    <w:qFormat/>
    <w:uiPriority w:val="99"/>
    <w:pPr>
      <w:spacing w:after="120" w:line="480" w:lineRule="auto"/>
      <w:ind w:left="420" w:leftChars="200"/>
    </w:pPr>
    <w:rPr>
      <w:kern w:val="0"/>
      <w:sz w:val="20"/>
    </w:rPr>
  </w:style>
  <w:style w:type="paragraph" w:styleId="23">
    <w:name w:val="Balloon Text"/>
    <w:basedOn w:val="1"/>
    <w:link w:val="79"/>
    <w:semiHidden/>
    <w:unhideWhenUsed/>
    <w:qFormat/>
    <w:uiPriority w:val="99"/>
    <w:rPr>
      <w:kern w:val="0"/>
      <w:sz w:val="18"/>
      <w:szCs w:val="18"/>
    </w:rPr>
  </w:style>
  <w:style w:type="paragraph" w:styleId="24">
    <w:name w:val="footer"/>
    <w:basedOn w:val="1"/>
    <w:link w:val="57"/>
    <w:unhideWhenUsed/>
    <w:qFormat/>
    <w:uiPriority w:val="99"/>
    <w:pPr>
      <w:tabs>
        <w:tab w:val="center" w:pos="4153"/>
        <w:tab w:val="right" w:pos="8306"/>
      </w:tabs>
      <w:snapToGrid w:val="0"/>
      <w:jc w:val="left"/>
    </w:pPr>
    <w:rPr>
      <w:kern w:val="0"/>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Subtitle"/>
    <w:basedOn w:val="1"/>
    <w:next w:val="1"/>
    <w:link w:val="65"/>
    <w:qFormat/>
    <w:uiPriority w:val="99"/>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71"/>
    <w:semiHidden/>
    <w:unhideWhenUsed/>
    <w:qFormat/>
    <w:uiPriority w:val="99"/>
    <w:pPr>
      <w:spacing w:after="120"/>
      <w:ind w:left="420" w:leftChars="200"/>
    </w:pPr>
    <w:rPr>
      <w:kern w:val="0"/>
      <w:sz w:val="16"/>
      <w:szCs w:val="16"/>
    </w:rPr>
  </w:style>
  <w:style w:type="paragraph" w:styleId="28">
    <w:name w:val="Normal (Web)"/>
    <w:basedOn w:val="1"/>
    <w:qFormat/>
    <w:uiPriority w:val="0"/>
    <w:pPr>
      <w:widowControl/>
      <w:spacing w:before="100" w:beforeAutospacing="1" w:after="100" w:afterAutospacing="1"/>
      <w:jc w:val="left"/>
    </w:pPr>
    <w:rPr>
      <w:rFonts w:hAnsi="宋体"/>
      <w:sz w:val="18"/>
      <w:szCs w:val="18"/>
    </w:rPr>
  </w:style>
  <w:style w:type="paragraph" w:styleId="29">
    <w:name w:val="Title"/>
    <w:basedOn w:val="1"/>
    <w:next w:val="1"/>
    <w:link w:val="59"/>
    <w:qFormat/>
    <w:uiPriority w:val="99"/>
    <w:pPr>
      <w:spacing w:before="240" w:after="60"/>
      <w:jc w:val="center"/>
      <w:outlineLvl w:val="0"/>
    </w:pPr>
    <w:rPr>
      <w:rFonts w:ascii="Cambria" w:hAnsi="Cambria"/>
      <w:b/>
      <w:bCs/>
      <w:sz w:val="32"/>
      <w:szCs w:val="32"/>
    </w:rPr>
  </w:style>
  <w:style w:type="paragraph" w:styleId="30">
    <w:name w:val="annotation subject"/>
    <w:basedOn w:val="15"/>
    <w:next w:val="15"/>
    <w:link w:val="77"/>
    <w:semiHidden/>
    <w:unhideWhenUsed/>
    <w:qFormat/>
    <w:uiPriority w:val="99"/>
    <w:rPr>
      <w:b/>
      <w:bCs/>
    </w:rPr>
  </w:style>
  <w:style w:type="paragraph" w:styleId="31">
    <w:name w:val="Body Text First Indent"/>
    <w:basedOn w:val="17"/>
    <w:next w:val="1"/>
    <w:qFormat/>
    <w:uiPriority w:val="0"/>
    <w:pPr>
      <w:spacing w:after="0"/>
      <w:ind w:firstLine="420" w:firstLineChars="100"/>
    </w:pPr>
    <w:rPr>
      <w:kern w:val="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FollowedHyperlink"/>
    <w:basedOn w:val="34"/>
    <w:semiHidden/>
    <w:unhideWhenUsed/>
    <w:qFormat/>
    <w:uiPriority w:val="99"/>
    <w:rPr>
      <w:color w:val="3D3D3D"/>
      <w:u w:val="none"/>
    </w:rPr>
  </w:style>
  <w:style w:type="character" w:styleId="36">
    <w:name w:val="HTML Definition"/>
    <w:basedOn w:val="34"/>
    <w:semiHidden/>
    <w:unhideWhenUsed/>
    <w:qFormat/>
    <w:uiPriority w:val="99"/>
  </w:style>
  <w:style w:type="character" w:styleId="37">
    <w:name w:val="HTML Variable"/>
    <w:basedOn w:val="34"/>
    <w:semiHidden/>
    <w:unhideWhenUsed/>
    <w:qFormat/>
    <w:uiPriority w:val="99"/>
  </w:style>
  <w:style w:type="character" w:styleId="38">
    <w:name w:val="Hyperlink"/>
    <w:basedOn w:val="34"/>
    <w:semiHidden/>
    <w:unhideWhenUsed/>
    <w:qFormat/>
    <w:uiPriority w:val="99"/>
    <w:rPr>
      <w:color w:val="0000FF"/>
      <w:u w:val="single"/>
    </w:rPr>
  </w:style>
  <w:style w:type="character" w:styleId="39">
    <w:name w:val="HTML Code"/>
    <w:basedOn w:val="34"/>
    <w:semiHidden/>
    <w:unhideWhenUsed/>
    <w:qFormat/>
    <w:uiPriority w:val="99"/>
    <w:rPr>
      <w:rFonts w:ascii="Courier New" w:hAnsi="Courier New"/>
      <w:sz w:val="20"/>
    </w:rPr>
  </w:style>
  <w:style w:type="character" w:styleId="40">
    <w:name w:val="annotation reference"/>
    <w:basedOn w:val="34"/>
    <w:semiHidden/>
    <w:unhideWhenUsed/>
    <w:qFormat/>
    <w:uiPriority w:val="0"/>
    <w:rPr>
      <w:sz w:val="21"/>
      <w:szCs w:val="21"/>
    </w:rPr>
  </w:style>
  <w:style w:type="character" w:styleId="41">
    <w:name w:val="HTML Cite"/>
    <w:basedOn w:val="34"/>
    <w:semiHidden/>
    <w:unhideWhenUsed/>
    <w:qFormat/>
    <w:uiPriority w:val="99"/>
  </w:style>
  <w:style w:type="paragraph" w:customStyle="1" w:styleId="42">
    <w:name w:val="Body Text First Indent1"/>
    <w:basedOn w:val="17"/>
    <w:qFormat/>
    <w:uiPriority w:val="0"/>
    <w:pPr>
      <w:adjustRightInd w:val="0"/>
      <w:spacing w:line="360" w:lineRule="atLeast"/>
      <w:ind w:firstLine="420" w:firstLineChars="100"/>
      <w:textAlignment w:val="baseline"/>
    </w:pPr>
    <w:rPr>
      <w:sz w:val="28"/>
      <w:szCs w:val="28"/>
    </w:rPr>
  </w:style>
  <w:style w:type="character" w:customStyle="1" w:styleId="43">
    <w:name w:val="标题 1 Char"/>
    <w:basedOn w:val="34"/>
    <w:link w:val="3"/>
    <w:qFormat/>
    <w:uiPriority w:val="0"/>
    <w:rPr>
      <w:rFonts w:ascii="Times New Roman" w:hAnsi="Times New Roman" w:eastAsia="宋体" w:cs="Times New Roman"/>
      <w:b/>
      <w:bCs/>
      <w:kern w:val="44"/>
      <w:sz w:val="44"/>
      <w:szCs w:val="44"/>
    </w:rPr>
  </w:style>
  <w:style w:type="character" w:customStyle="1" w:styleId="44">
    <w:name w:val="标题 2 Char"/>
    <w:basedOn w:val="34"/>
    <w:link w:val="4"/>
    <w:qFormat/>
    <w:uiPriority w:val="0"/>
    <w:rPr>
      <w:rFonts w:ascii="Arial" w:hAnsi="Arial" w:eastAsia="黑体" w:cs="Times New Roman"/>
      <w:b/>
      <w:bCs/>
      <w:sz w:val="32"/>
      <w:szCs w:val="32"/>
    </w:rPr>
  </w:style>
  <w:style w:type="character" w:customStyle="1" w:styleId="45">
    <w:name w:val="标题 3 Char"/>
    <w:basedOn w:val="34"/>
    <w:link w:val="5"/>
    <w:semiHidden/>
    <w:qFormat/>
    <w:uiPriority w:val="0"/>
    <w:rPr>
      <w:rFonts w:ascii="Times New Roman" w:hAnsi="Times New Roman" w:eastAsia="宋体" w:cs="Times New Roman"/>
      <w:b/>
      <w:bCs/>
      <w:sz w:val="32"/>
      <w:szCs w:val="32"/>
    </w:rPr>
  </w:style>
  <w:style w:type="character" w:customStyle="1" w:styleId="46">
    <w:name w:val="标题 4 Char"/>
    <w:basedOn w:val="34"/>
    <w:link w:val="6"/>
    <w:semiHidden/>
    <w:qFormat/>
    <w:uiPriority w:val="0"/>
    <w:rPr>
      <w:rFonts w:ascii="Arial" w:hAnsi="Arial" w:eastAsia="黑体" w:cs="Times New Roman"/>
      <w:b/>
      <w:sz w:val="28"/>
      <w:szCs w:val="20"/>
    </w:rPr>
  </w:style>
  <w:style w:type="character" w:customStyle="1" w:styleId="47">
    <w:name w:val="标题 5 Char"/>
    <w:basedOn w:val="34"/>
    <w:link w:val="7"/>
    <w:semiHidden/>
    <w:qFormat/>
    <w:uiPriority w:val="0"/>
    <w:rPr>
      <w:rFonts w:ascii="Times New Roman" w:hAnsi="Times New Roman" w:eastAsia="宋体" w:cs="Times New Roman"/>
      <w:b/>
      <w:sz w:val="28"/>
      <w:szCs w:val="20"/>
    </w:rPr>
  </w:style>
  <w:style w:type="character" w:customStyle="1" w:styleId="48">
    <w:name w:val="标题 6 Char"/>
    <w:basedOn w:val="34"/>
    <w:link w:val="8"/>
    <w:semiHidden/>
    <w:qFormat/>
    <w:uiPriority w:val="0"/>
    <w:rPr>
      <w:rFonts w:ascii="Cambria" w:hAnsi="Cambria" w:eastAsia="宋体" w:cs="宋体"/>
      <w:b/>
      <w:bCs/>
      <w:sz w:val="24"/>
      <w:szCs w:val="24"/>
    </w:rPr>
  </w:style>
  <w:style w:type="character" w:customStyle="1" w:styleId="49">
    <w:name w:val="标题 7 Char"/>
    <w:basedOn w:val="34"/>
    <w:link w:val="9"/>
    <w:semiHidden/>
    <w:qFormat/>
    <w:uiPriority w:val="99"/>
    <w:rPr>
      <w:rFonts w:ascii="Calibri" w:hAnsi="Calibri" w:eastAsia="宋体" w:cs="Times New Roman"/>
      <w:b/>
      <w:bCs/>
      <w:sz w:val="24"/>
      <w:szCs w:val="24"/>
    </w:rPr>
  </w:style>
  <w:style w:type="character" w:customStyle="1" w:styleId="50">
    <w:name w:val="标题 8 Char"/>
    <w:basedOn w:val="34"/>
    <w:link w:val="10"/>
    <w:semiHidden/>
    <w:qFormat/>
    <w:uiPriority w:val="99"/>
    <w:rPr>
      <w:rFonts w:ascii="Cambria" w:hAnsi="Cambria" w:eastAsia="宋体" w:cs="Times New Roman"/>
      <w:sz w:val="24"/>
      <w:szCs w:val="24"/>
    </w:rPr>
  </w:style>
  <w:style w:type="character" w:customStyle="1" w:styleId="51">
    <w:name w:val="标题 9 Char"/>
    <w:basedOn w:val="34"/>
    <w:link w:val="11"/>
    <w:semiHidden/>
    <w:qFormat/>
    <w:uiPriority w:val="99"/>
    <w:rPr>
      <w:rFonts w:ascii="Cambria" w:hAnsi="Cambria" w:eastAsia="宋体" w:cs="Times New Roman"/>
      <w:szCs w:val="21"/>
    </w:rPr>
  </w:style>
  <w:style w:type="character" w:customStyle="1" w:styleId="52">
    <w:name w:val="正文缩进 Char"/>
    <w:link w:val="12"/>
    <w:semiHidden/>
    <w:qFormat/>
    <w:locked/>
    <w:uiPriority w:val="0"/>
    <w:rPr>
      <w:szCs w:val="24"/>
    </w:rPr>
  </w:style>
  <w:style w:type="character" w:customStyle="1" w:styleId="53">
    <w:name w:val="批注文字 Char2"/>
    <w:basedOn w:val="34"/>
    <w:link w:val="15"/>
    <w:semiHidden/>
    <w:qFormat/>
    <w:locked/>
    <w:uiPriority w:val="99"/>
    <w:rPr>
      <w:rFonts w:ascii="Times New Roman" w:hAnsi="Times New Roman" w:eastAsia="宋体" w:cs="Times New Roman"/>
      <w:kern w:val="0"/>
      <w:sz w:val="20"/>
      <w:szCs w:val="24"/>
    </w:rPr>
  </w:style>
  <w:style w:type="character" w:customStyle="1" w:styleId="54">
    <w:name w:val="批注文字 Char"/>
    <w:basedOn w:val="34"/>
    <w:semiHidden/>
    <w:qFormat/>
    <w:uiPriority w:val="0"/>
    <w:rPr>
      <w:rFonts w:ascii="Times New Roman" w:hAnsi="Times New Roman" w:eastAsia="宋体" w:cs="Times New Roman"/>
      <w:szCs w:val="24"/>
    </w:rPr>
  </w:style>
  <w:style w:type="character" w:customStyle="1" w:styleId="55">
    <w:name w:val="页眉 Char1"/>
    <w:basedOn w:val="34"/>
    <w:link w:val="25"/>
    <w:qFormat/>
    <w:locked/>
    <w:uiPriority w:val="99"/>
    <w:rPr>
      <w:rFonts w:ascii="Times New Roman" w:hAnsi="Times New Roman" w:eastAsia="宋体" w:cs="Times New Roman"/>
      <w:kern w:val="0"/>
      <w:sz w:val="18"/>
      <w:szCs w:val="18"/>
    </w:rPr>
  </w:style>
  <w:style w:type="character" w:customStyle="1" w:styleId="56">
    <w:name w:val="页眉 Char"/>
    <w:basedOn w:val="34"/>
    <w:semiHidden/>
    <w:qFormat/>
    <w:uiPriority w:val="99"/>
    <w:rPr>
      <w:rFonts w:ascii="Times New Roman" w:hAnsi="Times New Roman" w:eastAsia="宋体" w:cs="Times New Roman"/>
      <w:sz w:val="18"/>
      <w:szCs w:val="18"/>
    </w:rPr>
  </w:style>
  <w:style w:type="character" w:customStyle="1" w:styleId="57">
    <w:name w:val="页脚 Char1"/>
    <w:basedOn w:val="34"/>
    <w:link w:val="24"/>
    <w:qFormat/>
    <w:locked/>
    <w:uiPriority w:val="99"/>
    <w:rPr>
      <w:rFonts w:ascii="Times New Roman" w:hAnsi="Times New Roman" w:eastAsia="宋体" w:cs="Times New Roman"/>
      <w:kern w:val="0"/>
      <w:sz w:val="18"/>
      <w:szCs w:val="18"/>
    </w:rPr>
  </w:style>
  <w:style w:type="character" w:customStyle="1" w:styleId="58">
    <w:name w:val="页脚 Char"/>
    <w:basedOn w:val="34"/>
    <w:semiHidden/>
    <w:qFormat/>
    <w:uiPriority w:val="99"/>
    <w:rPr>
      <w:rFonts w:ascii="Times New Roman" w:hAnsi="Times New Roman" w:eastAsia="宋体" w:cs="Times New Roman"/>
      <w:sz w:val="18"/>
      <w:szCs w:val="18"/>
    </w:rPr>
  </w:style>
  <w:style w:type="character" w:customStyle="1" w:styleId="59">
    <w:name w:val="标题 Char2"/>
    <w:basedOn w:val="34"/>
    <w:link w:val="29"/>
    <w:qFormat/>
    <w:locked/>
    <w:uiPriority w:val="99"/>
    <w:rPr>
      <w:rFonts w:ascii="Cambria" w:hAnsi="Cambria" w:eastAsia="宋体" w:cs="Times New Roman"/>
      <w:b/>
      <w:bCs/>
      <w:sz w:val="32"/>
      <w:szCs w:val="32"/>
    </w:rPr>
  </w:style>
  <w:style w:type="character" w:customStyle="1" w:styleId="60">
    <w:name w:val="标题 Char"/>
    <w:basedOn w:val="34"/>
    <w:qFormat/>
    <w:uiPriority w:val="0"/>
    <w:rPr>
      <w:rFonts w:eastAsia="宋体" w:asciiTheme="majorHAnsi" w:hAnsiTheme="majorHAnsi" w:cstheme="majorBidi"/>
      <w:b/>
      <w:bCs/>
      <w:sz w:val="32"/>
      <w:szCs w:val="32"/>
    </w:rPr>
  </w:style>
  <w:style w:type="character" w:customStyle="1" w:styleId="61">
    <w:name w:val="正文文本 Char2"/>
    <w:basedOn w:val="34"/>
    <w:link w:val="17"/>
    <w:semiHidden/>
    <w:qFormat/>
    <w:locked/>
    <w:uiPriority w:val="99"/>
    <w:rPr>
      <w:rFonts w:ascii="Times New Roman" w:hAnsi="Times New Roman" w:eastAsia="宋体" w:cs="Times New Roman"/>
      <w:kern w:val="0"/>
      <w:sz w:val="20"/>
      <w:szCs w:val="24"/>
    </w:rPr>
  </w:style>
  <w:style w:type="character" w:customStyle="1" w:styleId="62">
    <w:name w:val="正文文本 Char"/>
    <w:basedOn w:val="34"/>
    <w:semiHidden/>
    <w:qFormat/>
    <w:uiPriority w:val="0"/>
    <w:rPr>
      <w:rFonts w:ascii="Times New Roman" w:hAnsi="Times New Roman" w:eastAsia="宋体" w:cs="Times New Roman"/>
      <w:szCs w:val="24"/>
    </w:rPr>
  </w:style>
  <w:style w:type="character" w:customStyle="1" w:styleId="63">
    <w:name w:val="正文文本缩进 Char1"/>
    <w:basedOn w:val="34"/>
    <w:link w:val="18"/>
    <w:semiHidden/>
    <w:qFormat/>
    <w:locked/>
    <w:uiPriority w:val="99"/>
    <w:rPr>
      <w:rFonts w:ascii="Times New Roman" w:hAnsi="Times New Roman" w:eastAsia="宋体" w:cs="Times New Roman"/>
      <w:kern w:val="0"/>
      <w:sz w:val="32"/>
      <w:szCs w:val="20"/>
    </w:rPr>
  </w:style>
  <w:style w:type="character" w:customStyle="1" w:styleId="64">
    <w:name w:val="正文文本缩进 Char"/>
    <w:basedOn w:val="34"/>
    <w:semiHidden/>
    <w:qFormat/>
    <w:uiPriority w:val="0"/>
    <w:rPr>
      <w:rFonts w:ascii="Times New Roman" w:hAnsi="Times New Roman" w:eastAsia="宋体" w:cs="Times New Roman"/>
      <w:szCs w:val="24"/>
    </w:rPr>
  </w:style>
  <w:style w:type="character" w:customStyle="1" w:styleId="65">
    <w:name w:val="副标题 Char2"/>
    <w:basedOn w:val="34"/>
    <w:link w:val="26"/>
    <w:qFormat/>
    <w:locked/>
    <w:uiPriority w:val="99"/>
    <w:rPr>
      <w:rFonts w:ascii="Cambria" w:hAnsi="Cambria" w:eastAsia="宋体" w:cs="Times New Roman"/>
      <w:b/>
      <w:bCs/>
      <w:kern w:val="28"/>
      <w:sz w:val="32"/>
      <w:szCs w:val="32"/>
    </w:rPr>
  </w:style>
  <w:style w:type="character" w:customStyle="1" w:styleId="66">
    <w:name w:val="副标题 Char"/>
    <w:basedOn w:val="34"/>
    <w:qFormat/>
    <w:uiPriority w:val="0"/>
    <w:rPr>
      <w:rFonts w:eastAsia="宋体" w:asciiTheme="majorHAnsi" w:hAnsiTheme="majorHAnsi" w:cstheme="majorBidi"/>
      <w:b/>
      <w:bCs/>
      <w:kern w:val="28"/>
      <w:sz w:val="32"/>
      <w:szCs w:val="32"/>
    </w:rPr>
  </w:style>
  <w:style w:type="character" w:customStyle="1" w:styleId="67">
    <w:name w:val="日期 Char2"/>
    <w:basedOn w:val="34"/>
    <w:link w:val="21"/>
    <w:semiHidden/>
    <w:qFormat/>
    <w:locked/>
    <w:uiPriority w:val="99"/>
    <w:rPr>
      <w:rFonts w:ascii="Times New Roman" w:hAnsi="Times New Roman" w:eastAsia="宋体" w:cs="Times New Roman"/>
      <w:szCs w:val="20"/>
    </w:rPr>
  </w:style>
  <w:style w:type="character" w:customStyle="1" w:styleId="68">
    <w:name w:val="日期 Char"/>
    <w:basedOn w:val="34"/>
    <w:semiHidden/>
    <w:qFormat/>
    <w:uiPriority w:val="0"/>
    <w:rPr>
      <w:rFonts w:ascii="Times New Roman" w:hAnsi="Times New Roman" w:eastAsia="宋体" w:cs="Times New Roman"/>
      <w:szCs w:val="24"/>
    </w:rPr>
  </w:style>
  <w:style w:type="character" w:customStyle="1" w:styleId="69">
    <w:name w:val="正文文本缩进 2 Char1"/>
    <w:basedOn w:val="34"/>
    <w:link w:val="22"/>
    <w:semiHidden/>
    <w:qFormat/>
    <w:locked/>
    <w:uiPriority w:val="99"/>
    <w:rPr>
      <w:rFonts w:ascii="Times New Roman" w:hAnsi="Times New Roman" w:eastAsia="宋体" w:cs="Times New Roman"/>
      <w:kern w:val="0"/>
      <w:sz w:val="20"/>
      <w:szCs w:val="24"/>
    </w:rPr>
  </w:style>
  <w:style w:type="character" w:customStyle="1" w:styleId="70">
    <w:name w:val="正文文本缩进 2 Char"/>
    <w:basedOn w:val="34"/>
    <w:semiHidden/>
    <w:qFormat/>
    <w:uiPriority w:val="0"/>
    <w:rPr>
      <w:rFonts w:ascii="Times New Roman" w:hAnsi="Times New Roman" w:eastAsia="宋体" w:cs="Times New Roman"/>
      <w:szCs w:val="24"/>
    </w:rPr>
  </w:style>
  <w:style w:type="character" w:customStyle="1" w:styleId="71">
    <w:name w:val="正文文本缩进 3 Char1"/>
    <w:basedOn w:val="34"/>
    <w:link w:val="27"/>
    <w:semiHidden/>
    <w:qFormat/>
    <w:locked/>
    <w:uiPriority w:val="99"/>
    <w:rPr>
      <w:rFonts w:ascii="Times New Roman" w:hAnsi="Times New Roman" w:eastAsia="宋体" w:cs="Times New Roman"/>
      <w:kern w:val="0"/>
      <w:sz w:val="16"/>
      <w:szCs w:val="16"/>
    </w:rPr>
  </w:style>
  <w:style w:type="character" w:customStyle="1" w:styleId="72">
    <w:name w:val="正文文本缩进 3 Char"/>
    <w:basedOn w:val="34"/>
    <w:semiHidden/>
    <w:qFormat/>
    <w:uiPriority w:val="0"/>
    <w:rPr>
      <w:rFonts w:ascii="Times New Roman" w:hAnsi="Times New Roman" w:eastAsia="宋体" w:cs="Times New Roman"/>
      <w:sz w:val="16"/>
      <w:szCs w:val="16"/>
    </w:rPr>
  </w:style>
  <w:style w:type="character" w:customStyle="1" w:styleId="73">
    <w:name w:val="文档结构图 Char2"/>
    <w:basedOn w:val="34"/>
    <w:link w:val="14"/>
    <w:semiHidden/>
    <w:qFormat/>
    <w:locked/>
    <w:uiPriority w:val="99"/>
    <w:rPr>
      <w:rFonts w:ascii="宋体" w:hAnsi="Times New Roman" w:eastAsia="宋体" w:cs="Times New Roman"/>
      <w:kern w:val="0"/>
      <w:sz w:val="18"/>
      <w:szCs w:val="18"/>
    </w:rPr>
  </w:style>
  <w:style w:type="character" w:customStyle="1" w:styleId="74">
    <w:name w:val="文档结构图 Char"/>
    <w:basedOn w:val="34"/>
    <w:semiHidden/>
    <w:qFormat/>
    <w:uiPriority w:val="0"/>
    <w:rPr>
      <w:rFonts w:ascii="宋体" w:hAnsi="Times New Roman" w:eastAsia="宋体" w:cs="Times New Roman"/>
      <w:sz w:val="18"/>
      <w:szCs w:val="18"/>
    </w:rPr>
  </w:style>
  <w:style w:type="character" w:customStyle="1" w:styleId="75">
    <w:name w:val="纯文本 Char2"/>
    <w:basedOn w:val="34"/>
    <w:link w:val="20"/>
    <w:qFormat/>
    <w:locked/>
    <w:uiPriority w:val="99"/>
    <w:rPr>
      <w:rFonts w:ascii="宋体" w:hAnsi="Courier New" w:eastAsia="宋体" w:cs="Courier New"/>
      <w:kern w:val="0"/>
      <w:sz w:val="20"/>
      <w:szCs w:val="21"/>
    </w:rPr>
  </w:style>
  <w:style w:type="character" w:customStyle="1" w:styleId="76">
    <w:name w:val="纯文本 Char"/>
    <w:basedOn w:val="34"/>
    <w:semiHidden/>
    <w:qFormat/>
    <w:uiPriority w:val="0"/>
    <w:rPr>
      <w:rFonts w:ascii="宋体" w:hAnsi="Courier New" w:eastAsia="宋体" w:cs="Courier New"/>
      <w:szCs w:val="21"/>
    </w:rPr>
  </w:style>
  <w:style w:type="character" w:customStyle="1" w:styleId="77">
    <w:name w:val="批注主题 Char2"/>
    <w:basedOn w:val="53"/>
    <w:link w:val="30"/>
    <w:semiHidden/>
    <w:qFormat/>
    <w:locked/>
    <w:uiPriority w:val="99"/>
    <w:rPr>
      <w:rFonts w:ascii="Times New Roman" w:hAnsi="Times New Roman" w:eastAsia="宋体" w:cs="Times New Roman"/>
      <w:b/>
      <w:bCs/>
      <w:kern w:val="0"/>
      <w:sz w:val="20"/>
      <w:szCs w:val="24"/>
    </w:rPr>
  </w:style>
  <w:style w:type="character" w:customStyle="1" w:styleId="78">
    <w:name w:val="批注主题 Char"/>
    <w:basedOn w:val="54"/>
    <w:semiHidden/>
    <w:qFormat/>
    <w:uiPriority w:val="0"/>
    <w:rPr>
      <w:rFonts w:ascii="Times New Roman" w:hAnsi="Times New Roman" w:eastAsia="宋体" w:cs="Times New Roman"/>
      <w:b/>
      <w:bCs/>
      <w:szCs w:val="24"/>
    </w:rPr>
  </w:style>
  <w:style w:type="character" w:customStyle="1" w:styleId="79">
    <w:name w:val="批注框文本 Char2"/>
    <w:basedOn w:val="34"/>
    <w:link w:val="23"/>
    <w:semiHidden/>
    <w:qFormat/>
    <w:locked/>
    <w:uiPriority w:val="99"/>
    <w:rPr>
      <w:rFonts w:ascii="Times New Roman" w:hAnsi="Times New Roman" w:eastAsia="宋体" w:cs="Times New Roman"/>
      <w:kern w:val="0"/>
      <w:sz w:val="18"/>
      <w:szCs w:val="18"/>
    </w:rPr>
  </w:style>
  <w:style w:type="character" w:customStyle="1" w:styleId="80">
    <w:name w:val="批注框文本 Char"/>
    <w:basedOn w:val="34"/>
    <w:semiHidden/>
    <w:qFormat/>
    <w:uiPriority w:val="0"/>
    <w:rPr>
      <w:rFonts w:ascii="Times New Roman" w:hAnsi="Times New Roman" w:eastAsia="宋体" w:cs="Times New Roman"/>
      <w:sz w:val="18"/>
      <w:szCs w:val="18"/>
    </w:rPr>
  </w:style>
  <w:style w:type="paragraph" w:styleId="81">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2">
    <w:name w:val="列出段落 Char"/>
    <w:link w:val="83"/>
    <w:qFormat/>
    <w:locked/>
    <w:uiPriority w:val="0"/>
    <w:rPr>
      <w:szCs w:val="24"/>
    </w:rPr>
  </w:style>
  <w:style w:type="paragraph" w:styleId="83">
    <w:name w:val="List Paragraph"/>
    <w:basedOn w:val="1"/>
    <w:link w:val="82"/>
    <w:qFormat/>
    <w:uiPriority w:val="0"/>
    <w:pPr>
      <w:ind w:firstLine="420" w:firstLineChars="200"/>
    </w:pPr>
    <w:rPr>
      <w:rFonts w:asciiTheme="minorHAnsi" w:hAnsiTheme="minorHAnsi" w:eastAsiaTheme="minorEastAsia" w:cstheme="minorBidi"/>
    </w:rPr>
  </w:style>
  <w:style w:type="paragraph" w:styleId="84">
    <w:name w:val="Quote"/>
    <w:basedOn w:val="1"/>
    <w:next w:val="1"/>
    <w:link w:val="85"/>
    <w:qFormat/>
    <w:uiPriority w:val="99"/>
    <w:rPr>
      <w:i/>
      <w:iCs/>
      <w:color w:val="000000"/>
      <w:szCs w:val="22"/>
    </w:rPr>
  </w:style>
  <w:style w:type="character" w:customStyle="1" w:styleId="85">
    <w:name w:val="引用 Char2"/>
    <w:basedOn w:val="34"/>
    <w:link w:val="84"/>
    <w:qFormat/>
    <w:locked/>
    <w:uiPriority w:val="99"/>
    <w:rPr>
      <w:rFonts w:ascii="Times New Roman" w:hAnsi="Times New Roman" w:eastAsia="宋体" w:cs="Times New Roman"/>
      <w:i/>
      <w:iCs/>
      <w:color w:val="000000"/>
    </w:rPr>
  </w:style>
  <w:style w:type="character" w:customStyle="1" w:styleId="86">
    <w:name w:val="引用 Char"/>
    <w:basedOn w:val="34"/>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styleId="87">
    <w:name w:val="Intense Quote"/>
    <w:basedOn w:val="1"/>
    <w:next w:val="1"/>
    <w:link w:val="88"/>
    <w:qFormat/>
    <w:uiPriority w:val="99"/>
    <w:pPr>
      <w:pBdr>
        <w:bottom w:val="single" w:color="4F81BD" w:sz="4" w:space="4"/>
      </w:pBdr>
      <w:spacing w:before="200" w:after="280"/>
      <w:ind w:left="936" w:right="936"/>
    </w:pPr>
    <w:rPr>
      <w:b/>
      <w:bCs/>
      <w:i/>
      <w:iCs/>
      <w:color w:val="4F81BD"/>
      <w:szCs w:val="22"/>
    </w:rPr>
  </w:style>
  <w:style w:type="character" w:customStyle="1" w:styleId="88">
    <w:name w:val="明显引用 Char2"/>
    <w:basedOn w:val="34"/>
    <w:link w:val="87"/>
    <w:qFormat/>
    <w:locked/>
    <w:uiPriority w:val="99"/>
    <w:rPr>
      <w:rFonts w:ascii="Times New Roman" w:hAnsi="Times New Roman" w:eastAsia="宋体" w:cs="Times New Roman"/>
      <w:b/>
      <w:bCs/>
      <w:i/>
      <w:iCs/>
      <w:color w:val="4F81BD"/>
    </w:rPr>
  </w:style>
  <w:style w:type="character" w:customStyle="1" w:styleId="89">
    <w:name w:val="明显引用 Char"/>
    <w:basedOn w:val="34"/>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0">
    <w:name w:val="样式3"/>
    <w:basedOn w:val="3"/>
    <w:qFormat/>
    <w:uiPriority w:val="99"/>
    <w:rPr>
      <w:bCs w:val="0"/>
      <w:szCs w:val="20"/>
    </w:rPr>
  </w:style>
  <w:style w:type="paragraph" w:customStyle="1" w:styleId="91">
    <w:name w:val="Char Char Char Char Char Char Char"/>
    <w:basedOn w:val="1"/>
    <w:qFormat/>
    <w:uiPriority w:val="99"/>
    <w:rPr>
      <w:szCs w:val="20"/>
    </w:rPr>
  </w:style>
  <w:style w:type="paragraph" w:customStyle="1" w:styleId="92">
    <w:name w:val="Char Char Char Char Char Char Char Char Char Char Char Char Char Char1 Char Char Char Char"/>
    <w:basedOn w:val="1"/>
    <w:qFormat/>
    <w:uiPriority w:val="99"/>
    <w:rPr>
      <w:szCs w:val="21"/>
    </w:rPr>
  </w:style>
  <w:style w:type="paragraph" w:customStyle="1" w:styleId="93">
    <w:name w:val="正文首行缩进两字符"/>
    <w:basedOn w:val="1"/>
    <w:qFormat/>
    <w:uiPriority w:val="99"/>
    <w:pPr>
      <w:spacing w:line="360" w:lineRule="auto"/>
      <w:ind w:firstLine="200" w:firstLineChars="200"/>
    </w:pPr>
  </w:style>
  <w:style w:type="paragraph" w:customStyle="1" w:styleId="94">
    <w:name w:val="Char Char Char Char"/>
    <w:basedOn w:val="1"/>
    <w:qFormat/>
    <w:uiPriority w:val="99"/>
    <w:rPr>
      <w:szCs w:val="20"/>
    </w:rPr>
  </w:style>
  <w:style w:type="character" w:customStyle="1" w:styleId="95">
    <w:name w:val="标题4 Char Char"/>
    <w:link w:val="96"/>
    <w:qFormat/>
    <w:locked/>
    <w:uiPriority w:val="0"/>
    <w:rPr>
      <w:rFonts w:ascii="Arial" w:hAnsi="Arial" w:cs="Arial"/>
      <w:b/>
      <w:bCs/>
      <w:sz w:val="24"/>
      <w:szCs w:val="32"/>
    </w:rPr>
  </w:style>
  <w:style w:type="paragraph" w:customStyle="1" w:styleId="96">
    <w:name w:val="标题4"/>
    <w:basedOn w:val="4"/>
    <w:next w:val="19"/>
    <w:link w:val="95"/>
    <w:qFormat/>
    <w:uiPriority w:val="0"/>
    <w:pPr>
      <w:spacing w:line="412" w:lineRule="auto"/>
    </w:pPr>
    <w:rPr>
      <w:rFonts w:cs="Arial" w:eastAsiaTheme="minorEastAsia"/>
      <w:sz w:val="24"/>
    </w:rPr>
  </w:style>
  <w:style w:type="paragraph" w:customStyle="1" w:styleId="97">
    <w:name w:val="第一章"/>
    <w:basedOn w:val="1"/>
    <w:next w:val="1"/>
    <w:qFormat/>
    <w:uiPriority w:val="99"/>
    <w:pPr>
      <w:tabs>
        <w:tab w:val="left" w:pos="0"/>
      </w:tabs>
      <w:spacing w:line="360" w:lineRule="auto"/>
      <w:ind w:hanging="500" w:hangingChars="500"/>
    </w:pPr>
    <w:rPr>
      <w:rFonts w:eastAsia="黑体"/>
      <w:sz w:val="44"/>
      <w:szCs w:val="20"/>
    </w:rPr>
  </w:style>
  <w:style w:type="paragraph" w:customStyle="1" w:styleId="98">
    <w:name w:val="Blockquote"/>
    <w:basedOn w:val="1"/>
    <w:qFormat/>
    <w:uiPriority w:val="99"/>
    <w:pPr>
      <w:autoSpaceDE w:val="0"/>
      <w:autoSpaceDN w:val="0"/>
      <w:adjustRightInd w:val="0"/>
      <w:spacing w:before="100" w:after="100"/>
      <w:ind w:left="360"/>
    </w:pPr>
    <w:rPr>
      <w:kern w:val="0"/>
      <w:sz w:val="24"/>
      <w:szCs w:val="20"/>
    </w:rPr>
  </w:style>
  <w:style w:type="character" w:customStyle="1" w:styleId="99">
    <w:name w:val="GW-正文 Char"/>
    <w:link w:val="100"/>
    <w:qFormat/>
    <w:locked/>
    <w:uiPriority w:val="0"/>
    <w:rPr>
      <w:rFonts w:ascii="仿宋_GB2312" w:eastAsia="仿宋_GB2312"/>
      <w:sz w:val="24"/>
      <w:szCs w:val="24"/>
    </w:rPr>
  </w:style>
  <w:style w:type="paragraph" w:customStyle="1" w:styleId="100">
    <w:name w:val="GW-正文"/>
    <w:basedOn w:val="1"/>
    <w:link w:val="99"/>
    <w:qFormat/>
    <w:uiPriority w:val="0"/>
    <w:pPr>
      <w:spacing w:line="360" w:lineRule="auto"/>
      <w:ind w:firstLine="200" w:firstLineChars="200"/>
    </w:pPr>
    <w:rPr>
      <w:rFonts w:ascii="仿宋_GB2312" w:eastAsia="仿宋_GB2312" w:hAnsiTheme="minorHAnsi" w:cstheme="minorBidi"/>
      <w:sz w:val="24"/>
    </w:rPr>
  </w:style>
  <w:style w:type="paragraph" w:customStyle="1" w:styleId="101">
    <w:name w:val="样式1"/>
    <w:basedOn w:val="3"/>
    <w:qFormat/>
    <w:uiPriority w:val="99"/>
    <w:rPr>
      <w:bCs w:val="0"/>
      <w:szCs w:val="20"/>
    </w:rPr>
  </w:style>
  <w:style w:type="paragraph" w:customStyle="1" w:styleId="102">
    <w:name w:val="样式 标题 2 + Times New Roman 四号 非加粗 段前: 5 磅 段后: 0 磅 行距: 固定值 20..."/>
    <w:basedOn w:val="4"/>
    <w:qFormat/>
    <w:uiPriority w:val="99"/>
    <w:pPr>
      <w:spacing w:before="100" w:after="0" w:line="400" w:lineRule="exact"/>
    </w:pPr>
    <w:rPr>
      <w:rFonts w:ascii="Times New Roman" w:hAnsi="Times New Roman"/>
      <w:sz w:val="28"/>
      <w:szCs w:val="20"/>
    </w:rPr>
  </w:style>
  <w:style w:type="paragraph" w:customStyle="1" w:styleId="103">
    <w:name w:val="flNote"/>
    <w:basedOn w:val="1"/>
    <w:qFormat/>
    <w:uiPriority w:val="99"/>
    <w:pPr>
      <w:adjustRightInd w:val="0"/>
      <w:spacing w:before="320" w:after="160" w:line="360" w:lineRule="atLeast"/>
      <w:jc w:val="center"/>
    </w:pPr>
    <w:rPr>
      <w:rFonts w:ascii="Arial" w:eastAsia="黑体"/>
      <w:kern w:val="0"/>
      <w:sz w:val="30"/>
      <w:szCs w:val="20"/>
    </w:rPr>
  </w:style>
  <w:style w:type="paragraph" w:customStyle="1" w:styleId="104">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105">
    <w:name w:val="TOC 标题1"/>
    <w:basedOn w:val="3"/>
    <w:next w:val="1"/>
    <w:qFormat/>
    <w:uiPriority w:val="99"/>
    <w:pPr>
      <w:outlineLvl w:val="9"/>
    </w:pPr>
    <w:rPr>
      <w:rFonts w:ascii="Calibri" w:hAnsi="Calibri"/>
    </w:rPr>
  </w:style>
  <w:style w:type="paragraph" w:customStyle="1" w:styleId="106">
    <w:name w:val="Char1 Char Char Char"/>
    <w:basedOn w:val="1"/>
    <w:qFormat/>
    <w:uiPriority w:val="99"/>
    <w:rPr>
      <w:szCs w:val="20"/>
    </w:rPr>
  </w:style>
  <w:style w:type="paragraph" w:customStyle="1" w:styleId="107">
    <w:name w:val="样式2"/>
    <w:basedOn w:val="1"/>
    <w:qFormat/>
    <w:uiPriority w:val="99"/>
    <w:pPr>
      <w:ind w:firstLine="420" w:firstLineChars="150"/>
    </w:pPr>
    <w:rPr>
      <w:sz w:val="24"/>
      <w:szCs w:val="20"/>
      <w:lang w:val="en-GB"/>
    </w:rPr>
  </w:style>
  <w:style w:type="paragraph" w:customStyle="1" w:styleId="108">
    <w:name w:val="正文1"/>
    <w:qFormat/>
    <w:uiPriority w:val="99"/>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09">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10">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1">
    <w:name w:val="Char Char Char Char Char Char Char Char Char Char Char Char Char"/>
    <w:basedOn w:val="1"/>
    <w:qFormat/>
    <w:uiPriority w:val="99"/>
    <w:pPr>
      <w:widowControl/>
      <w:spacing w:after="160" w:line="240" w:lineRule="exact"/>
      <w:jc w:val="left"/>
    </w:pPr>
  </w:style>
  <w:style w:type="paragraph" w:customStyle="1" w:styleId="11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3">
    <w:name w:val="Char2"/>
    <w:basedOn w:val="1"/>
    <w:qFormat/>
    <w:uiPriority w:val="99"/>
    <w:rPr>
      <w:szCs w:val="20"/>
    </w:rPr>
  </w:style>
  <w:style w:type="paragraph" w:customStyle="1" w:styleId="114">
    <w:name w:val="默认"/>
    <w:qFormat/>
    <w:uiPriority w:val="99"/>
    <w:rPr>
      <w:rFonts w:ascii="Helvetica Neue" w:hAnsi="Helvetica Neue" w:eastAsia="Helvetica Neue" w:cs="Helvetica Neue"/>
      <w:color w:val="000000"/>
      <w:kern w:val="0"/>
      <w:sz w:val="22"/>
      <w:szCs w:val="22"/>
      <w:lang w:val="en-US" w:eastAsia="zh-CN" w:bidi="ar-SA"/>
    </w:rPr>
  </w:style>
  <w:style w:type="paragraph" w:customStyle="1" w:styleId="115">
    <w:name w:val="表格"/>
    <w:basedOn w:val="1"/>
    <w:qFormat/>
    <w:uiPriority w:val="99"/>
    <w:pPr>
      <w:spacing w:line="400" w:lineRule="exact"/>
    </w:pPr>
    <w:rPr>
      <w:sz w:val="24"/>
    </w:rPr>
  </w:style>
  <w:style w:type="paragraph" w:customStyle="1" w:styleId="116">
    <w:name w:val="修订2"/>
    <w:qFormat/>
    <w:uiPriority w:val="99"/>
    <w:rPr>
      <w:rFonts w:ascii="Times New Roman" w:hAnsi="Times New Roman" w:eastAsia="宋体" w:cs="Times New Roman"/>
      <w:kern w:val="2"/>
      <w:sz w:val="21"/>
      <w:szCs w:val="24"/>
      <w:lang w:val="en-US" w:eastAsia="zh-CN" w:bidi="ar-SA"/>
    </w:rPr>
  </w:style>
  <w:style w:type="character" w:customStyle="1" w:styleId="117">
    <w:name w:val="无间距字符"/>
    <w:link w:val="118"/>
    <w:qFormat/>
    <w:locked/>
    <w:uiPriority w:val="0"/>
    <w:rPr>
      <w:rFonts w:ascii="Calibri" w:hAnsi="Calibri"/>
      <w:sz w:val="22"/>
    </w:rPr>
  </w:style>
  <w:style w:type="paragraph" w:customStyle="1" w:styleId="118">
    <w:name w:val="无间距"/>
    <w:link w:val="117"/>
    <w:qFormat/>
    <w:uiPriority w:val="0"/>
    <w:rPr>
      <w:rFonts w:ascii="Calibri" w:hAnsi="Calibri" w:eastAsiaTheme="minorEastAsia" w:cstheme="minorBidi"/>
      <w:kern w:val="2"/>
      <w:sz w:val="22"/>
      <w:szCs w:val="22"/>
      <w:lang w:val="en-US" w:eastAsia="zh-CN" w:bidi="ar-SA"/>
    </w:rPr>
  </w:style>
  <w:style w:type="paragraph" w:customStyle="1" w:styleId="119">
    <w:name w:val="样式 首行缩进:  2 字符1"/>
    <w:basedOn w:val="1"/>
    <w:qFormat/>
    <w:uiPriority w:val="99"/>
    <w:pPr>
      <w:spacing w:line="400" w:lineRule="exact"/>
      <w:ind w:firstLine="200" w:firstLineChars="200"/>
    </w:pPr>
    <w:rPr>
      <w:sz w:val="24"/>
      <w:szCs w:val="20"/>
    </w:rPr>
  </w:style>
  <w:style w:type="paragraph" w:customStyle="1" w:styleId="120">
    <w:name w:val="Plain Text1"/>
    <w:basedOn w:val="1"/>
    <w:qFormat/>
    <w:uiPriority w:val="99"/>
    <w:pPr>
      <w:adjustRightInd w:val="0"/>
      <w:jc w:val="left"/>
    </w:pPr>
    <w:rPr>
      <w:rFonts w:ascii="宋体" w:hAnsi="Courier New"/>
      <w:sz w:val="24"/>
      <w:szCs w:val="20"/>
    </w:rPr>
  </w:style>
  <w:style w:type="character" w:customStyle="1" w:styleId="121">
    <w:name w:val="Char Char Char"/>
    <w:link w:val="122"/>
    <w:qFormat/>
    <w:locked/>
    <w:uiPriority w:val="0"/>
    <w:rPr>
      <w:rFonts w:ascii="Arial" w:hAnsi="Arial" w:eastAsia="黑体" w:cs="Arial"/>
      <w:b/>
      <w:sz w:val="32"/>
    </w:rPr>
  </w:style>
  <w:style w:type="paragraph" w:customStyle="1" w:styleId="122">
    <w:name w:val="Char"/>
    <w:basedOn w:val="1"/>
    <w:link w:val="121"/>
    <w:qFormat/>
    <w:uiPriority w:val="0"/>
    <w:rPr>
      <w:rFonts w:ascii="Arial" w:hAnsi="Arial" w:eastAsia="黑体" w:cs="Arial"/>
      <w:b/>
      <w:sz w:val="32"/>
      <w:szCs w:val="22"/>
    </w:rPr>
  </w:style>
  <w:style w:type="paragraph" w:customStyle="1" w:styleId="123">
    <w:name w:val="Char Char1 Char"/>
    <w:basedOn w:val="1"/>
    <w:qFormat/>
    <w:uiPriority w:val="99"/>
    <w:rPr>
      <w:szCs w:val="20"/>
    </w:rPr>
  </w:style>
  <w:style w:type="paragraph" w:customStyle="1" w:styleId="124">
    <w:name w:val="样式 首行缩进:  2 字符"/>
    <w:basedOn w:val="1"/>
    <w:qFormat/>
    <w:uiPriority w:val="99"/>
    <w:pPr>
      <w:spacing w:line="400" w:lineRule="exact"/>
      <w:ind w:firstLine="200" w:firstLineChars="200"/>
    </w:pPr>
    <w:rPr>
      <w:rFonts w:cs="宋体"/>
      <w:sz w:val="24"/>
    </w:rPr>
  </w:style>
  <w:style w:type="paragraph" w:customStyle="1" w:styleId="125">
    <w:name w:val="blockquote"/>
    <w:basedOn w:val="1"/>
    <w:qFormat/>
    <w:uiPriority w:val="99"/>
    <w:pPr>
      <w:widowControl/>
      <w:spacing w:before="100" w:beforeAutospacing="1" w:after="100" w:afterAutospacing="1"/>
    </w:pPr>
    <w:rPr>
      <w:rFonts w:ascii="宋体" w:hAnsi="宋体"/>
      <w:kern w:val="0"/>
      <w:sz w:val="24"/>
      <w:szCs w:val="20"/>
    </w:rPr>
  </w:style>
  <w:style w:type="character" w:customStyle="1" w:styleId="126">
    <w:name w:val="标题5 Char Char"/>
    <w:link w:val="127"/>
    <w:qFormat/>
    <w:locked/>
    <w:uiPriority w:val="0"/>
    <w:rPr>
      <w:rFonts w:ascii="Arial" w:hAnsi="Arial" w:cs="Arial"/>
      <w:b/>
      <w:bCs/>
      <w:sz w:val="24"/>
      <w:szCs w:val="32"/>
    </w:rPr>
  </w:style>
  <w:style w:type="paragraph" w:customStyle="1" w:styleId="127">
    <w:name w:val="标题5"/>
    <w:basedOn w:val="5"/>
    <w:link w:val="126"/>
    <w:qFormat/>
    <w:uiPriority w:val="0"/>
    <w:pPr>
      <w:spacing w:line="412" w:lineRule="auto"/>
    </w:pPr>
    <w:rPr>
      <w:rFonts w:ascii="Arial" w:hAnsi="Arial" w:cs="Arial" w:eastAsiaTheme="minorEastAsia"/>
      <w:sz w:val="24"/>
    </w:rPr>
  </w:style>
  <w:style w:type="paragraph" w:customStyle="1" w:styleId="128">
    <w:name w:val="空半行"/>
    <w:basedOn w:val="1"/>
    <w:qFormat/>
    <w:uiPriority w:val="99"/>
    <w:pPr>
      <w:adjustRightInd w:val="0"/>
      <w:spacing w:line="120" w:lineRule="exact"/>
    </w:pPr>
    <w:rPr>
      <w:rFonts w:eastAsia="仿宋_GB2312"/>
      <w:color w:val="FFFFFF"/>
      <w:kern w:val="0"/>
      <w:sz w:val="30"/>
      <w:szCs w:val="20"/>
    </w:rPr>
  </w:style>
  <w:style w:type="paragraph" w:customStyle="1" w:styleId="129">
    <w:name w:val="p0"/>
    <w:basedOn w:val="1"/>
    <w:qFormat/>
    <w:uiPriority w:val="99"/>
    <w:pPr>
      <w:widowControl/>
    </w:pPr>
    <w:rPr>
      <w:kern w:val="0"/>
      <w:szCs w:val="21"/>
    </w:rPr>
  </w:style>
  <w:style w:type="paragraph" w:customStyle="1" w:styleId="130">
    <w:name w:val="Char1"/>
    <w:basedOn w:val="1"/>
    <w:qFormat/>
    <w:uiPriority w:val="99"/>
    <w:rPr>
      <w:szCs w:val="20"/>
    </w:rPr>
  </w:style>
  <w:style w:type="character" w:customStyle="1" w:styleId="131">
    <w:name w:val="批注文字 Char1"/>
    <w:qFormat/>
    <w:locked/>
    <w:uiPriority w:val="99"/>
    <w:rPr>
      <w:szCs w:val="24"/>
    </w:rPr>
  </w:style>
  <w:style w:type="character" w:customStyle="1" w:styleId="132">
    <w:name w:val="Char Char9"/>
    <w:qFormat/>
    <w:uiPriority w:val="0"/>
    <w:rPr>
      <w:kern w:val="2"/>
      <w:sz w:val="21"/>
    </w:rPr>
  </w:style>
  <w:style w:type="character" w:customStyle="1" w:styleId="133">
    <w:name w:val="Char Char3"/>
    <w:qFormat/>
    <w:uiPriority w:val="0"/>
    <w:rPr>
      <w:rFonts w:hint="default" w:ascii="Arial" w:hAnsi="Arial" w:eastAsia="黑体" w:cs="Arial"/>
      <w:b/>
      <w:kern w:val="2"/>
      <w:sz w:val="32"/>
      <w:lang w:val="en-US" w:eastAsia="zh-CN"/>
    </w:rPr>
  </w:style>
  <w:style w:type="character" w:customStyle="1" w:styleId="134">
    <w:name w:val="副标题 Char1"/>
    <w:qFormat/>
    <w:uiPriority w:val="11"/>
    <w:rPr>
      <w:rFonts w:hint="default" w:ascii="Cambria" w:hAnsi="Cambria" w:eastAsia="宋体" w:cs="Times New Roman"/>
      <w:b/>
      <w:bCs/>
      <w:kern w:val="28"/>
      <w:sz w:val="32"/>
      <w:szCs w:val="32"/>
    </w:rPr>
  </w:style>
  <w:style w:type="character" w:customStyle="1" w:styleId="135">
    <w:name w:val="（符号）邀请函中一、"/>
    <w:qFormat/>
    <w:uiPriority w:val="0"/>
    <w:rPr>
      <w:rFonts w:hint="eastAsia" w:ascii="黑体" w:hAnsi="黑体" w:eastAsia="黑体"/>
      <w:b/>
      <w:bCs/>
      <w:sz w:val="24"/>
    </w:rPr>
  </w:style>
  <w:style w:type="character" w:customStyle="1" w:styleId="136">
    <w:name w:val="引用 Char1"/>
    <w:qFormat/>
    <w:uiPriority w:val="29"/>
    <w:rPr>
      <w:rFonts w:hint="default" w:ascii="Times New Roman" w:hAnsi="Times New Roman" w:eastAsia="宋体" w:cs="Times New Roman"/>
      <w:i/>
      <w:iCs/>
      <w:color w:val="000000"/>
      <w:kern w:val="2"/>
      <w:sz w:val="21"/>
      <w:szCs w:val="24"/>
    </w:rPr>
  </w:style>
  <w:style w:type="character" w:customStyle="1" w:styleId="137">
    <w:name w:val="明显强调1"/>
    <w:qFormat/>
    <w:uiPriority w:val="0"/>
    <w:rPr>
      <w:b/>
      <w:bCs/>
      <w:i/>
      <w:iCs/>
      <w:color w:val="4F81BD"/>
    </w:rPr>
  </w:style>
  <w:style w:type="character" w:customStyle="1" w:styleId="138">
    <w:name w:val="纯文本 Char1"/>
    <w:qFormat/>
    <w:locked/>
    <w:uiPriority w:val="99"/>
    <w:rPr>
      <w:rFonts w:hint="eastAsia" w:ascii="宋体" w:hAnsi="Courier New" w:eastAsia="宋体" w:cs="Courier New"/>
      <w:szCs w:val="21"/>
    </w:rPr>
  </w:style>
  <w:style w:type="character" w:customStyle="1" w:styleId="139">
    <w:name w:val="批注框文本 Char1"/>
    <w:qFormat/>
    <w:uiPriority w:val="0"/>
    <w:rPr>
      <w:kern w:val="2"/>
      <w:sz w:val="18"/>
      <w:szCs w:val="18"/>
    </w:rPr>
  </w:style>
  <w:style w:type="character" w:customStyle="1" w:styleId="140">
    <w:name w:val="tdrownotice1"/>
    <w:qFormat/>
    <w:uiPriority w:val="0"/>
    <w:rPr>
      <w:sz w:val="22"/>
    </w:rPr>
  </w:style>
  <w:style w:type="character" w:customStyle="1" w:styleId="141">
    <w:name w:val="批注文字 Char Char"/>
    <w:qFormat/>
    <w:uiPriority w:val="0"/>
    <w:rPr>
      <w:rFonts w:hint="eastAsia" w:ascii="宋体" w:hAnsi="Times New Roman" w:eastAsia="宋体" w:cs="Times New Roman"/>
      <w:sz w:val="28"/>
      <w:szCs w:val="20"/>
    </w:rPr>
  </w:style>
  <w:style w:type="character" w:customStyle="1" w:styleId="142">
    <w:name w:val="文档结构图 Char1"/>
    <w:qFormat/>
    <w:uiPriority w:val="0"/>
    <w:rPr>
      <w:rFonts w:hint="eastAsia" w:ascii="宋体" w:hAnsi="宋体" w:eastAsia="宋体"/>
      <w:kern w:val="2"/>
      <w:sz w:val="18"/>
      <w:szCs w:val="18"/>
    </w:rPr>
  </w:style>
  <w:style w:type="character" w:customStyle="1" w:styleId="143">
    <w:name w:val="不明显参考1"/>
    <w:qFormat/>
    <w:uiPriority w:val="0"/>
    <w:rPr>
      <w:smallCaps/>
      <w:color w:val="C0504D"/>
      <w:u w:val="single"/>
    </w:rPr>
  </w:style>
  <w:style w:type="character" w:customStyle="1" w:styleId="144">
    <w:name w:val="日期 Char1"/>
    <w:qFormat/>
    <w:uiPriority w:val="0"/>
    <w:rPr>
      <w:kern w:val="2"/>
      <w:sz w:val="21"/>
      <w:szCs w:val="22"/>
    </w:rPr>
  </w:style>
  <w:style w:type="character" w:customStyle="1" w:styleId="145">
    <w:name w:val="批注主题 Char1"/>
    <w:qFormat/>
    <w:uiPriority w:val="0"/>
    <w:rPr>
      <w:rFonts w:hint="default" w:ascii="Times New Roman" w:hAnsi="Times New Roman" w:eastAsia="宋体" w:cs="Times New Roman"/>
      <w:b/>
      <w:bCs/>
      <w:kern w:val="2"/>
      <w:sz w:val="21"/>
      <w:szCs w:val="24"/>
    </w:rPr>
  </w:style>
  <w:style w:type="character" w:customStyle="1" w:styleId="146">
    <w:name w:val="正文缩进 Char1"/>
    <w:qFormat/>
    <w:locked/>
    <w:uiPriority w:val="0"/>
    <w:rPr>
      <w:rFonts w:hint="eastAsia" w:ascii="宋体" w:hAnsi="宋体" w:eastAsia="宋体"/>
      <w:kern w:val="2"/>
      <w:sz w:val="21"/>
      <w:szCs w:val="24"/>
      <w:lang w:val="en-US" w:eastAsia="zh-CN" w:bidi="ar-SA"/>
    </w:rPr>
  </w:style>
  <w:style w:type="character" w:customStyle="1" w:styleId="147">
    <w:name w:val="font31"/>
    <w:qFormat/>
    <w:uiPriority w:val="0"/>
    <w:rPr>
      <w:rFonts w:hint="eastAsia" w:ascii="宋体" w:hAnsi="宋体" w:eastAsia="宋体" w:cs="宋体"/>
      <w:color w:val="000000"/>
      <w:sz w:val="21"/>
      <w:szCs w:val="21"/>
      <w:u w:val="none"/>
    </w:rPr>
  </w:style>
  <w:style w:type="character" w:customStyle="1" w:styleId="148">
    <w:name w:val="明显引用 Char1"/>
    <w:qFormat/>
    <w:uiPriority w:val="30"/>
    <w:rPr>
      <w:rFonts w:hint="default" w:ascii="Times New Roman" w:hAnsi="Times New Roman" w:eastAsia="宋体" w:cs="Times New Roman"/>
      <w:b/>
      <w:bCs/>
      <w:i/>
      <w:iCs/>
      <w:color w:val="4F81BD"/>
      <w:kern w:val="2"/>
      <w:sz w:val="21"/>
      <w:szCs w:val="24"/>
    </w:rPr>
  </w:style>
  <w:style w:type="character" w:customStyle="1" w:styleId="149">
    <w:name w:val="标题 Char1"/>
    <w:qFormat/>
    <w:uiPriority w:val="10"/>
    <w:rPr>
      <w:rFonts w:hint="default" w:ascii="Cambria" w:hAnsi="Cambria" w:eastAsia="宋体" w:cs="Times New Roman"/>
      <w:b/>
      <w:bCs/>
      <w:kern w:val="2"/>
      <w:sz w:val="32"/>
      <w:szCs w:val="32"/>
    </w:rPr>
  </w:style>
  <w:style w:type="character" w:customStyle="1" w:styleId="150">
    <w:name w:val="textcontents"/>
    <w:qFormat/>
    <w:uiPriority w:val="0"/>
    <w:rPr>
      <w:rFonts w:hint="default" w:ascii="Times New Roman" w:hAnsi="Times New Roman" w:cs="Times New Roman"/>
    </w:rPr>
  </w:style>
  <w:style w:type="character" w:customStyle="1" w:styleId="151">
    <w:name w:val="书籍标题1"/>
    <w:qFormat/>
    <w:uiPriority w:val="0"/>
    <w:rPr>
      <w:b/>
      <w:bCs/>
      <w:smallCaps/>
      <w:spacing w:val="5"/>
    </w:rPr>
  </w:style>
  <w:style w:type="character" w:customStyle="1" w:styleId="152">
    <w:name w:val="明显参考1"/>
    <w:qFormat/>
    <w:uiPriority w:val="0"/>
    <w:rPr>
      <w:b/>
      <w:bCs/>
      <w:smallCaps/>
      <w:color w:val="C0504D"/>
      <w:spacing w:val="5"/>
      <w:u w:val="single"/>
    </w:rPr>
  </w:style>
  <w:style w:type="character" w:customStyle="1" w:styleId="153">
    <w:name w:val="正文文本 Char1"/>
    <w:qFormat/>
    <w:uiPriority w:val="0"/>
    <w:rPr>
      <w:kern w:val="2"/>
      <w:sz w:val="21"/>
      <w:szCs w:val="22"/>
    </w:rPr>
  </w:style>
  <w:style w:type="character" w:customStyle="1" w:styleId="154">
    <w:name w:val="不明显强调1"/>
    <w:qFormat/>
    <w:uiPriority w:val="0"/>
    <w:rPr>
      <w:i/>
      <w:iCs/>
      <w:color w:val="808080"/>
    </w:rPr>
  </w:style>
  <w:style w:type="character" w:customStyle="1" w:styleId="155">
    <w:name w:val="文章正文 Char"/>
    <w:qFormat/>
    <w:uiPriority w:val="0"/>
    <w:rPr>
      <w:rFonts w:ascii="仿宋_GB2312" w:hAnsi="宋体" w:eastAsia="仿宋_GB2312"/>
      <w:color w:val="000000"/>
      <w:kern w:val="2"/>
      <w:sz w:val="28"/>
      <w:lang w:val="en-US" w:eastAsia="zh-CN" w:bidi="ar-SA"/>
    </w:rPr>
  </w:style>
  <w:style w:type="paragraph" w:customStyle="1" w:styleId="156">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157">
    <w:name w:val="_Style 2"/>
    <w:basedOn w:val="1"/>
    <w:qFormat/>
    <w:uiPriority w:val="0"/>
    <w:pPr>
      <w:ind w:firstLine="420" w:firstLineChars="200"/>
    </w:pPr>
    <w:rPr>
      <w:rFonts w:hAnsi="Times New Roman"/>
      <w:sz w:val="18"/>
      <w:szCs w:val="18"/>
    </w:rPr>
  </w:style>
  <w:style w:type="character" w:customStyle="1" w:styleId="158">
    <w:name w:val="img"/>
    <w:basedOn w:val="34"/>
    <w:qFormat/>
    <w:uiPriority w:val="0"/>
  </w:style>
  <w:style w:type="character" w:customStyle="1" w:styleId="159">
    <w:name w:val="img1"/>
    <w:basedOn w:val="34"/>
    <w:qFormat/>
    <w:uiPriority w:val="0"/>
  </w:style>
  <w:style w:type="paragraph" w:customStyle="1" w:styleId="160">
    <w:name w:val="Body text|1"/>
    <w:basedOn w:val="1"/>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paragraph" w:customStyle="1" w:styleId="161">
    <w:name w:val="正文2"/>
    <w:basedOn w:val="1"/>
    <w:next w:val="1"/>
    <w:qFormat/>
    <w:uiPriority w:val="0"/>
  </w:style>
  <w:style w:type="character" w:customStyle="1" w:styleId="162">
    <w:name w:val="NormalCharacter"/>
    <w:qFormat/>
    <w:uiPriority w:val="0"/>
    <w:rPr>
      <w:rFonts w:ascii="Calibri" w:hAnsi="Calibri" w:eastAsia="宋体" w:cs="Times New Roman"/>
      <w:kern w:val="2"/>
      <w:sz w:val="21"/>
      <w:szCs w:val="24"/>
      <w:lang w:val="en-US" w:eastAsia="zh-CN" w:bidi="ar-SA"/>
    </w:rPr>
  </w:style>
  <w:style w:type="paragraph" w:customStyle="1" w:styleId="163">
    <w:name w:val="a正文"/>
    <w:basedOn w:val="1"/>
    <w:qFormat/>
    <w:uiPriority w:val="0"/>
    <w:pPr>
      <w:ind w:firstLine="200" w:firstLineChars="200"/>
      <w:jc w:val="left"/>
    </w:pPr>
    <w:rPr>
      <w:color w:val="000000"/>
      <w:szCs w:val="28"/>
    </w:rPr>
  </w:style>
  <w:style w:type="character" w:customStyle="1" w:styleId="164">
    <w:name w:val="font11"/>
    <w:basedOn w:val="34"/>
    <w:qFormat/>
    <w:uiPriority w:val="0"/>
    <w:rPr>
      <w:rFonts w:hint="eastAsia" w:ascii="仿宋" w:hAnsi="仿宋" w:eastAsia="仿宋" w:cs="仿宋"/>
      <w:color w:val="000000"/>
      <w:sz w:val="24"/>
      <w:szCs w:val="24"/>
      <w:u w:val="none"/>
    </w:rPr>
  </w:style>
  <w:style w:type="paragraph" w:customStyle="1" w:styleId="165">
    <w:name w:val="引用1"/>
    <w:basedOn w:val="1"/>
    <w:next w:val="1"/>
    <w:qFormat/>
    <w:uiPriority w:val="0"/>
    <w:pPr>
      <w:numPr>
        <w:ilvl w:val="0"/>
        <w:numId w:val="1"/>
      </w:numPr>
      <w:spacing w:after="200" w:line="276" w:lineRule="auto"/>
      <w:ind w:left="0" w:firstLine="0"/>
    </w:pPr>
    <w:rPr>
      <w:rFonts w:ascii="Calibri" w:hAnsi="Calibri"/>
      <w:i/>
      <w:iCs/>
      <w:sz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32526</Words>
  <Characters>33896</Characters>
  <Lines>251</Lines>
  <Paragraphs>70</Paragraphs>
  <TotalTime>0</TotalTime>
  <ScaleCrop>false</ScaleCrop>
  <LinksUpToDate>false</LinksUpToDate>
  <CharactersWithSpaces>34816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2019-01-02T05:39:00Z</dcterms:created>
  <dc:creator>Administrator</dc:creator>
  <cp:lastModifiedBy>Administrator</cp:lastModifiedBy>
  <cp:lastPrinted>2021-10-08T08:13:00Z</cp:lastPrinted>
  <dcterms:modified xsi:type="dcterms:W3CDTF">2022-02-23T06:59:35Z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E98FE373877A4F7C9FB77BDAEEE418E3</vt:lpwstr>
  </property>
</Properties>
</file>