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heme="minorEastAsia" w:hAnsiTheme="minorEastAsia" w:eastAsiaTheme="minorEastAsia" w:cstheme="minorEastAsia"/>
          <w:bCs w:val="0"/>
          <w:color w:val="auto"/>
          <w:sz w:val="36"/>
        </w:rPr>
      </w:pPr>
      <w:bookmarkStart w:id="0" w:name="_Hlt101233737"/>
      <w:bookmarkEnd w:id="0"/>
      <w:bookmarkStart w:id="1" w:name="_Hlt101843627"/>
      <w:bookmarkEnd w:id="1"/>
      <w:r>
        <w:rPr>
          <w:rFonts w:hint="eastAsia" w:asciiTheme="minorEastAsia" w:hAnsiTheme="minorEastAsia" w:eastAsiaTheme="minorEastAsia" w:cstheme="minorEastAsia"/>
          <w:bCs w:val="0"/>
          <w:color w:val="auto"/>
          <w:sz w:val="36"/>
        </w:rPr>
        <w:drawing>
          <wp:anchor distT="0" distB="0" distL="114300" distR="114300" simplePos="0" relativeHeight="251666432" behindDoc="1" locked="0" layoutInCell="1" allowOverlap="1">
            <wp:simplePos x="0" y="0"/>
            <wp:positionH relativeFrom="column">
              <wp:posOffset>-57150</wp:posOffset>
            </wp:positionH>
            <wp:positionV relativeFrom="paragraph">
              <wp:posOffset>428625</wp:posOffset>
            </wp:positionV>
            <wp:extent cx="5586730" cy="7888605"/>
            <wp:effectExtent l="0" t="0" r="13970" b="17145"/>
            <wp:wrapNone/>
            <wp:docPr id="28" name="图片 28" descr="21100909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11009090005"/>
                    <pic:cNvPicPr>
                      <a:picLocks noChangeAspect="1"/>
                    </pic:cNvPicPr>
                  </pic:nvPicPr>
                  <pic:blipFill>
                    <a:blip r:embed="rId10"/>
                    <a:stretch>
                      <a:fillRect/>
                    </a:stretch>
                  </pic:blipFill>
                  <pic:spPr>
                    <a:xfrm>
                      <a:off x="0" y="0"/>
                      <a:ext cx="5586730" cy="7888605"/>
                    </a:xfrm>
                    <a:prstGeom prst="rect">
                      <a:avLst/>
                    </a:prstGeom>
                  </pic:spPr>
                </pic:pic>
              </a:graphicData>
            </a:graphic>
          </wp:anchor>
        </w:drawing>
      </w:r>
      <w:r>
        <w:rPr>
          <w:rFonts w:hint="eastAsia" w:asciiTheme="minorEastAsia" w:hAnsiTheme="minorEastAsia" w:eastAsiaTheme="minorEastAsia" w:cstheme="minorEastAsia"/>
          <w:bCs w:val="0"/>
          <w:color w:val="auto"/>
          <w:sz w:val="36"/>
        </w:rPr>
        <w:br w:type="page"/>
      </w:r>
      <w:bookmarkStart w:id="178" w:name="_GoBack"/>
      <w:bookmarkEnd w:id="178"/>
    </w:p>
    <w:p>
      <w:pPr>
        <w:rPr>
          <w:rFonts w:hint="eastAsia"/>
        </w:rPr>
      </w:pPr>
    </w:p>
    <w:p>
      <w:pPr>
        <w:pStyle w:val="4"/>
        <w:spacing w:line="600" w:lineRule="auto"/>
        <w:jc w:val="center"/>
        <w:rPr>
          <w:rFonts w:hint="eastAsia" w:asciiTheme="minorEastAsia" w:hAnsiTheme="minorEastAsia" w:eastAsiaTheme="minorEastAsia" w:cstheme="minorEastAsia"/>
          <w:bCs w:val="0"/>
          <w:color w:val="auto"/>
          <w:sz w:val="40"/>
        </w:rPr>
      </w:pPr>
      <w:r>
        <w:rPr>
          <w:rFonts w:hint="eastAsia" w:asciiTheme="minorEastAsia" w:hAnsiTheme="minorEastAsia" w:eastAsiaTheme="minorEastAsia" w:cstheme="minorEastAsia"/>
          <w:bCs w:val="0"/>
          <w:color w:val="auto"/>
          <w:sz w:val="40"/>
        </w:rPr>
        <w:t>目    录</w:t>
      </w:r>
    </w:p>
    <w:p>
      <w:pPr>
        <w:pStyle w:val="31"/>
        <w:keepNext w:val="0"/>
        <w:keepLines w:val="0"/>
        <w:pageBreakBefore w:val="0"/>
        <w:widowControl w:val="0"/>
        <w:tabs>
          <w:tab w:val="right" w:leader="dot" w:pos="8312"/>
          <w:tab w:val="clear" w:pos="8398"/>
        </w:tabs>
        <w:kinsoku/>
        <w:wordWrap/>
        <w:overflowPunct/>
        <w:topLinePunct w:val="0"/>
        <w:autoSpaceDE/>
        <w:autoSpaceDN/>
        <w:bidi w:val="0"/>
        <w:adjustRightInd/>
        <w:snapToGrid/>
        <w:spacing w:line="480" w:lineRule="auto"/>
        <w:ind w:firstLine="0" w:firstLineChars="0"/>
        <w:textAlignment w:val="auto"/>
        <w:rPr>
          <w:b w:val="0"/>
          <w:bCs w:val="0"/>
          <w:color w:val="auto"/>
          <w:sz w:val="28"/>
          <w:szCs w:val="21"/>
        </w:rPr>
      </w:pPr>
      <w:r>
        <w:rPr>
          <w:rFonts w:hint="eastAsia" w:asciiTheme="minorEastAsia" w:hAnsiTheme="minorEastAsia" w:eastAsiaTheme="minorEastAsia" w:cstheme="minorEastAsia"/>
          <w:bCs/>
          <w:color w:val="auto"/>
          <w:sz w:val="56"/>
          <w:szCs w:val="24"/>
        </w:rPr>
        <w:fldChar w:fldCharType="begin"/>
      </w:r>
      <w:r>
        <w:rPr>
          <w:rFonts w:hint="eastAsia" w:asciiTheme="minorEastAsia" w:hAnsiTheme="minorEastAsia" w:eastAsiaTheme="minorEastAsia" w:cstheme="minorEastAsia"/>
          <w:bCs/>
          <w:color w:val="auto"/>
          <w:sz w:val="56"/>
          <w:szCs w:val="24"/>
        </w:rPr>
        <w:instrText xml:space="preserve">TOC \o "1-1" \h \u </w:instrText>
      </w:r>
      <w:r>
        <w:rPr>
          <w:rFonts w:hint="eastAsia" w:asciiTheme="minorEastAsia" w:hAnsiTheme="minorEastAsia" w:eastAsiaTheme="minorEastAsia" w:cstheme="minorEastAsia"/>
          <w:bCs/>
          <w:color w:val="auto"/>
          <w:sz w:val="56"/>
          <w:szCs w:val="24"/>
        </w:rPr>
        <w:fldChar w:fldCharType="separate"/>
      </w:r>
      <w:r>
        <w:rPr>
          <w:rFonts w:hint="eastAsia" w:asciiTheme="minorEastAsia" w:hAnsiTheme="minorEastAsia" w:eastAsiaTheme="minorEastAsia" w:cstheme="minorEastAsia"/>
          <w:b w:val="0"/>
          <w:bCs w:val="0"/>
          <w:color w:val="auto"/>
          <w:sz w:val="28"/>
          <w:szCs w:val="28"/>
        </w:rPr>
        <w:fldChar w:fldCharType="begin"/>
      </w:r>
      <w:r>
        <w:rPr>
          <w:rFonts w:hint="eastAsia" w:asciiTheme="minorEastAsia" w:hAnsiTheme="minorEastAsia" w:eastAsiaTheme="minorEastAsia" w:cstheme="minorEastAsia"/>
          <w:b w:val="0"/>
          <w:bCs w:val="0"/>
          <w:color w:val="auto"/>
          <w:sz w:val="28"/>
          <w:szCs w:val="28"/>
        </w:rPr>
        <w:instrText xml:space="preserve"> HYPERLINK \l _Toc21986 </w:instrText>
      </w:r>
      <w:r>
        <w:rPr>
          <w:rFonts w:hint="eastAsia" w:asciiTheme="minorEastAsia" w:hAnsiTheme="minorEastAsia" w:eastAsiaTheme="minorEastAsia" w:cstheme="minorEastAsia"/>
          <w:b w:val="0"/>
          <w:bCs w:val="0"/>
          <w:color w:val="auto"/>
          <w:sz w:val="28"/>
          <w:szCs w:val="28"/>
        </w:rPr>
        <w:fldChar w:fldCharType="separate"/>
      </w:r>
      <w:r>
        <w:rPr>
          <w:rFonts w:hint="eastAsia" w:asciiTheme="minorEastAsia" w:hAnsiTheme="minorEastAsia" w:eastAsiaTheme="minorEastAsia" w:cstheme="minorEastAsia"/>
          <w:b w:val="0"/>
          <w:bCs w:val="0"/>
          <w:color w:val="auto"/>
          <w:sz w:val="28"/>
          <w:szCs w:val="21"/>
        </w:rPr>
        <w:t>第一章  投标邀请</w:t>
      </w:r>
      <w:r>
        <w:rPr>
          <w:b w:val="0"/>
          <w:bCs w:val="0"/>
          <w:color w:val="auto"/>
          <w:sz w:val="28"/>
          <w:szCs w:val="21"/>
        </w:rPr>
        <w:tab/>
      </w:r>
      <w:r>
        <w:rPr>
          <w:b w:val="0"/>
          <w:bCs w:val="0"/>
          <w:color w:val="auto"/>
          <w:sz w:val="28"/>
          <w:szCs w:val="21"/>
        </w:rPr>
        <w:fldChar w:fldCharType="begin"/>
      </w:r>
      <w:r>
        <w:rPr>
          <w:b w:val="0"/>
          <w:bCs w:val="0"/>
          <w:color w:val="auto"/>
          <w:sz w:val="28"/>
          <w:szCs w:val="21"/>
        </w:rPr>
        <w:instrText xml:space="preserve"> PAGEREF _Toc21986 \h </w:instrText>
      </w:r>
      <w:r>
        <w:rPr>
          <w:b w:val="0"/>
          <w:bCs w:val="0"/>
          <w:color w:val="auto"/>
          <w:sz w:val="28"/>
          <w:szCs w:val="21"/>
        </w:rPr>
        <w:fldChar w:fldCharType="separate"/>
      </w:r>
      <w:r>
        <w:rPr>
          <w:b w:val="0"/>
          <w:bCs w:val="0"/>
          <w:color w:val="auto"/>
          <w:sz w:val="28"/>
          <w:szCs w:val="21"/>
        </w:rPr>
        <w:t>1</w:t>
      </w:r>
      <w:r>
        <w:rPr>
          <w:b w:val="0"/>
          <w:bCs w:val="0"/>
          <w:color w:val="auto"/>
          <w:sz w:val="28"/>
          <w:szCs w:val="21"/>
        </w:rPr>
        <w:fldChar w:fldCharType="end"/>
      </w:r>
      <w:r>
        <w:rPr>
          <w:rFonts w:hint="eastAsia" w:asciiTheme="minorEastAsia" w:hAnsiTheme="minorEastAsia" w:eastAsiaTheme="minorEastAsia" w:cstheme="minorEastAsia"/>
          <w:b w:val="0"/>
          <w:bCs w:val="0"/>
          <w:color w:val="auto"/>
          <w:sz w:val="28"/>
          <w:szCs w:val="28"/>
        </w:rPr>
        <w:fldChar w:fldCharType="end"/>
      </w:r>
    </w:p>
    <w:p>
      <w:pPr>
        <w:pStyle w:val="31"/>
        <w:keepNext w:val="0"/>
        <w:keepLines w:val="0"/>
        <w:pageBreakBefore w:val="0"/>
        <w:widowControl w:val="0"/>
        <w:tabs>
          <w:tab w:val="right" w:leader="dot" w:pos="8312"/>
          <w:tab w:val="clear" w:pos="8398"/>
        </w:tabs>
        <w:kinsoku/>
        <w:wordWrap/>
        <w:overflowPunct/>
        <w:topLinePunct w:val="0"/>
        <w:autoSpaceDE/>
        <w:autoSpaceDN/>
        <w:bidi w:val="0"/>
        <w:adjustRightInd/>
        <w:snapToGrid/>
        <w:spacing w:line="480" w:lineRule="auto"/>
        <w:ind w:firstLine="0" w:firstLineChars="0"/>
        <w:textAlignment w:val="auto"/>
        <w:rPr>
          <w:b w:val="0"/>
          <w:bCs w:val="0"/>
          <w:color w:val="auto"/>
          <w:sz w:val="28"/>
          <w:szCs w:val="21"/>
        </w:rPr>
      </w:pPr>
      <w:r>
        <w:rPr>
          <w:rFonts w:hint="eastAsia" w:asciiTheme="minorEastAsia" w:hAnsiTheme="minorEastAsia" w:eastAsiaTheme="minorEastAsia" w:cstheme="minorEastAsia"/>
          <w:b w:val="0"/>
          <w:bCs w:val="0"/>
          <w:color w:val="auto"/>
          <w:sz w:val="28"/>
          <w:szCs w:val="28"/>
        </w:rPr>
        <w:fldChar w:fldCharType="begin"/>
      </w:r>
      <w:r>
        <w:rPr>
          <w:rFonts w:hint="eastAsia" w:asciiTheme="minorEastAsia" w:hAnsiTheme="minorEastAsia" w:eastAsiaTheme="minorEastAsia" w:cstheme="minorEastAsia"/>
          <w:b w:val="0"/>
          <w:bCs w:val="0"/>
          <w:color w:val="auto"/>
          <w:sz w:val="28"/>
          <w:szCs w:val="28"/>
        </w:rPr>
        <w:instrText xml:space="preserve"> HYPERLINK \l _Toc18031 </w:instrText>
      </w:r>
      <w:r>
        <w:rPr>
          <w:rFonts w:hint="eastAsia" w:asciiTheme="minorEastAsia" w:hAnsiTheme="minorEastAsia" w:eastAsiaTheme="minorEastAsia" w:cstheme="minorEastAsia"/>
          <w:b w:val="0"/>
          <w:bCs w:val="0"/>
          <w:color w:val="auto"/>
          <w:sz w:val="28"/>
          <w:szCs w:val="28"/>
        </w:rPr>
        <w:fldChar w:fldCharType="separate"/>
      </w:r>
      <w:r>
        <w:rPr>
          <w:rFonts w:hint="eastAsia" w:asciiTheme="minorEastAsia" w:hAnsiTheme="minorEastAsia" w:eastAsiaTheme="minorEastAsia" w:cstheme="minorEastAsia"/>
          <w:b w:val="0"/>
          <w:bCs w:val="0"/>
          <w:color w:val="auto"/>
          <w:sz w:val="28"/>
          <w:szCs w:val="21"/>
        </w:rPr>
        <w:t>第二章  投标人须知</w:t>
      </w:r>
      <w:r>
        <w:rPr>
          <w:b w:val="0"/>
          <w:bCs w:val="0"/>
          <w:color w:val="auto"/>
          <w:sz w:val="28"/>
          <w:szCs w:val="21"/>
        </w:rPr>
        <w:tab/>
      </w:r>
      <w:r>
        <w:rPr>
          <w:b w:val="0"/>
          <w:bCs w:val="0"/>
          <w:color w:val="auto"/>
          <w:sz w:val="28"/>
          <w:szCs w:val="21"/>
        </w:rPr>
        <w:fldChar w:fldCharType="begin"/>
      </w:r>
      <w:r>
        <w:rPr>
          <w:b w:val="0"/>
          <w:bCs w:val="0"/>
          <w:color w:val="auto"/>
          <w:sz w:val="28"/>
          <w:szCs w:val="21"/>
        </w:rPr>
        <w:instrText xml:space="preserve"> PAGEREF _Toc18031 \h </w:instrText>
      </w:r>
      <w:r>
        <w:rPr>
          <w:b w:val="0"/>
          <w:bCs w:val="0"/>
          <w:color w:val="auto"/>
          <w:sz w:val="28"/>
          <w:szCs w:val="21"/>
        </w:rPr>
        <w:fldChar w:fldCharType="separate"/>
      </w:r>
      <w:r>
        <w:rPr>
          <w:b w:val="0"/>
          <w:bCs w:val="0"/>
          <w:color w:val="auto"/>
          <w:sz w:val="28"/>
          <w:szCs w:val="21"/>
        </w:rPr>
        <w:t>4</w:t>
      </w:r>
      <w:r>
        <w:rPr>
          <w:b w:val="0"/>
          <w:bCs w:val="0"/>
          <w:color w:val="auto"/>
          <w:sz w:val="28"/>
          <w:szCs w:val="21"/>
        </w:rPr>
        <w:fldChar w:fldCharType="end"/>
      </w:r>
      <w:r>
        <w:rPr>
          <w:rFonts w:hint="eastAsia" w:asciiTheme="minorEastAsia" w:hAnsiTheme="minorEastAsia" w:eastAsiaTheme="minorEastAsia" w:cstheme="minorEastAsia"/>
          <w:b w:val="0"/>
          <w:bCs w:val="0"/>
          <w:color w:val="auto"/>
          <w:sz w:val="28"/>
          <w:szCs w:val="28"/>
        </w:rPr>
        <w:fldChar w:fldCharType="end"/>
      </w:r>
    </w:p>
    <w:p>
      <w:pPr>
        <w:pStyle w:val="31"/>
        <w:keepNext w:val="0"/>
        <w:keepLines w:val="0"/>
        <w:pageBreakBefore w:val="0"/>
        <w:widowControl w:val="0"/>
        <w:tabs>
          <w:tab w:val="right" w:leader="dot" w:pos="8312"/>
          <w:tab w:val="clear" w:pos="8398"/>
        </w:tabs>
        <w:kinsoku/>
        <w:wordWrap/>
        <w:overflowPunct/>
        <w:topLinePunct w:val="0"/>
        <w:autoSpaceDE/>
        <w:autoSpaceDN/>
        <w:bidi w:val="0"/>
        <w:adjustRightInd/>
        <w:snapToGrid/>
        <w:spacing w:line="480" w:lineRule="auto"/>
        <w:ind w:firstLine="0" w:firstLineChars="0"/>
        <w:textAlignment w:val="auto"/>
        <w:rPr>
          <w:b w:val="0"/>
          <w:bCs w:val="0"/>
          <w:color w:val="auto"/>
          <w:sz w:val="28"/>
          <w:szCs w:val="21"/>
        </w:rPr>
      </w:pPr>
      <w:r>
        <w:rPr>
          <w:rFonts w:hint="eastAsia" w:asciiTheme="minorEastAsia" w:hAnsiTheme="minorEastAsia" w:eastAsiaTheme="minorEastAsia" w:cstheme="minorEastAsia"/>
          <w:b w:val="0"/>
          <w:bCs w:val="0"/>
          <w:color w:val="auto"/>
          <w:sz w:val="28"/>
          <w:szCs w:val="28"/>
        </w:rPr>
        <w:fldChar w:fldCharType="begin"/>
      </w:r>
      <w:r>
        <w:rPr>
          <w:rFonts w:hint="eastAsia" w:asciiTheme="minorEastAsia" w:hAnsiTheme="minorEastAsia" w:eastAsiaTheme="minorEastAsia" w:cstheme="minorEastAsia"/>
          <w:b w:val="0"/>
          <w:bCs w:val="0"/>
          <w:color w:val="auto"/>
          <w:sz w:val="28"/>
          <w:szCs w:val="28"/>
        </w:rPr>
        <w:instrText xml:space="preserve"> HYPERLINK \l _Toc13209 </w:instrText>
      </w:r>
      <w:r>
        <w:rPr>
          <w:rFonts w:hint="eastAsia" w:asciiTheme="minorEastAsia" w:hAnsiTheme="minorEastAsia" w:eastAsiaTheme="minorEastAsia" w:cstheme="minorEastAsia"/>
          <w:b w:val="0"/>
          <w:bCs w:val="0"/>
          <w:color w:val="auto"/>
          <w:sz w:val="28"/>
          <w:szCs w:val="28"/>
        </w:rPr>
        <w:fldChar w:fldCharType="separate"/>
      </w:r>
      <w:r>
        <w:rPr>
          <w:rFonts w:hint="eastAsia" w:asciiTheme="minorEastAsia" w:hAnsiTheme="minorEastAsia" w:eastAsiaTheme="minorEastAsia" w:cstheme="minorEastAsia"/>
          <w:b w:val="0"/>
          <w:bCs w:val="0"/>
          <w:color w:val="auto"/>
          <w:sz w:val="28"/>
          <w:szCs w:val="21"/>
        </w:rPr>
        <w:t>第三章 投标文件格式</w:t>
      </w:r>
      <w:r>
        <w:rPr>
          <w:b w:val="0"/>
          <w:bCs w:val="0"/>
          <w:color w:val="auto"/>
          <w:sz w:val="28"/>
          <w:szCs w:val="21"/>
        </w:rPr>
        <w:tab/>
      </w:r>
      <w:r>
        <w:rPr>
          <w:b w:val="0"/>
          <w:bCs w:val="0"/>
          <w:color w:val="auto"/>
          <w:sz w:val="28"/>
          <w:szCs w:val="21"/>
        </w:rPr>
        <w:fldChar w:fldCharType="begin"/>
      </w:r>
      <w:r>
        <w:rPr>
          <w:b w:val="0"/>
          <w:bCs w:val="0"/>
          <w:color w:val="auto"/>
          <w:sz w:val="28"/>
          <w:szCs w:val="21"/>
        </w:rPr>
        <w:instrText xml:space="preserve"> PAGEREF _Toc13209 \h </w:instrText>
      </w:r>
      <w:r>
        <w:rPr>
          <w:b w:val="0"/>
          <w:bCs w:val="0"/>
          <w:color w:val="auto"/>
          <w:sz w:val="28"/>
          <w:szCs w:val="21"/>
        </w:rPr>
        <w:fldChar w:fldCharType="separate"/>
      </w:r>
      <w:r>
        <w:rPr>
          <w:b w:val="0"/>
          <w:bCs w:val="0"/>
          <w:color w:val="auto"/>
          <w:sz w:val="28"/>
          <w:szCs w:val="21"/>
        </w:rPr>
        <w:t>22</w:t>
      </w:r>
      <w:r>
        <w:rPr>
          <w:b w:val="0"/>
          <w:bCs w:val="0"/>
          <w:color w:val="auto"/>
          <w:sz w:val="28"/>
          <w:szCs w:val="21"/>
        </w:rPr>
        <w:fldChar w:fldCharType="end"/>
      </w:r>
      <w:r>
        <w:rPr>
          <w:rFonts w:hint="eastAsia" w:asciiTheme="minorEastAsia" w:hAnsiTheme="minorEastAsia" w:eastAsiaTheme="minorEastAsia" w:cstheme="minorEastAsia"/>
          <w:b w:val="0"/>
          <w:bCs w:val="0"/>
          <w:color w:val="auto"/>
          <w:sz w:val="28"/>
          <w:szCs w:val="28"/>
        </w:rPr>
        <w:fldChar w:fldCharType="end"/>
      </w:r>
    </w:p>
    <w:p>
      <w:pPr>
        <w:pStyle w:val="31"/>
        <w:keepNext w:val="0"/>
        <w:keepLines w:val="0"/>
        <w:pageBreakBefore w:val="0"/>
        <w:widowControl w:val="0"/>
        <w:tabs>
          <w:tab w:val="right" w:leader="dot" w:pos="8312"/>
          <w:tab w:val="clear" w:pos="8398"/>
        </w:tabs>
        <w:kinsoku/>
        <w:wordWrap/>
        <w:overflowPunct/>
        <w:topLinePunct w:val="0"/>
        <w:autoSpaceDE/>
        <w:autoSpaceDN/>
        <w:bidi w:val="0"/>
        <w:adjustRightInd/>
        <w:snapToGrid/>
        <w:spacing w:line="480" w:lineRule="auto"/>
        <w:ind w:firstLine="0" w:firstLineChars="0"/>
        <w:textAlignment w:val="auto"/>
        <w:rPr>
          <w:b w:val="0"/>
          <w:bCs w:val="0"/>
          <w:color w:val="auto"/>
          <w:sz w:val="28"/>
          <w:szCs w:val="21"/>
        </w:rPr>
      </w:pPr>
      <w:r>
        <w:rPr>
          <w:rFonts w:hint="eastAsia" w:asciiTheme="minorEastAsia" w:hAnsiTheme="minorEastAsia" w:eastAsiaTheme="minorEastAsia" w:cstheme="minorEastAsia"/>
          <w:b w:val="0"/>
          <w:bCs w:val="0"/>
          <w:color w:val="auto"/>
          <w:sz w:val="28"/>
          <w:szCs w:val="28"/>
        </w:rPr>
        <w:fldChar w:fldCharType="begin"/>
      </w:r>
      <w:r>
        <w:rPr>
          <w:rFonts w:hint="eastAsia" w:asciiTheme="minorEastAsia" w:hAnsiTheme="minorEastAsia" w:eastAsiaTheme="minorEastAsia" w:cstheme="minorEastAsia"/>
          <w:b w:val="0"/>
          <w:bCs w:val="0"/>
          <w:color w:val="auto"/>
          <w:sz w:val="28"/>
          <w:szCs w:val="28"/>
        </w:rPr>
        <w:instrText xml:space="preserve"> HYPERLINK \l _Toc6494 </w:instrText>
      </w:r>
      <w:r>
        <w:rPr>
          <w:rFonts w:hint="eastAsia" w:asciiTheme="minorEastAsia" w:hAnsiTheme="minorEastAsia" w:eastAsiaTheme="minorEastAsia" w:cstheme="minorEastAsia"/>
          <w:b w:val="0"/>
          <w:bCs w:val="0"/>
          <w:color w:val="auto"/>
          <w:sz w:val="28"/>
          <w:szCs w:val="28"/>
        </w:rPr>
        <w:fldChar w:fldCharType="separate"/>
      </w:r>
      <w:r>
        <w:rPr>
          <w:rFonts w:hint="eastAsia"/>
          <w:b w:val="0"/>
          <w:bCs w:val="0"/>
          <w:color w:val="auto"/>
          <w:sz w:val="28"/>
          <w:szCs w:val="44"/>
          <w:lang w:val="en-US" w:eastAsia="zh-CN"/>
        </w:rPr>
        <w:t>第四章  投标人和投标产品的资格、资质性及其他具有类似效力的要求</w:t>
      </w:r>
      <w:r>
        <w:rPr>
          <w:b w:val="0"/>
          <w:bCs w:val="0"/>
          <w:color w:val="auto"/>
          <w:sz w:val="28"/>
          <w:szCs w:val="21"/>
        </w:rPr>
        <w:tab/>
      </w:r>
      <w:r>
        <w:rPr>
          <w:b w:val="0"/>
          <w:bCs w:val="0"/>
          <w:color w:val="auto"/>
          <w:sz w:val="28"/>
          <w:szCs w:val="21"/>
        </w:rPr>
        <w:fldChar w:fldCharType="begin"/>
      </w:r>
      <w:r>
        <w:rPr>
          <w:b w:val="0"/>
          <w:bCs w:val="0"/>
          <w:color w:val="auto"/>
          <w:sz w:val="28"/>
          <w:szCs w:val="21"/>
        </w:rPr>
        <w:instrText xml:space="preserve"> PAGEREF _Toc6494 \h </w:instrText>
      </w:r>
      <w:r>
        <w:rPr>
          <w:b w:val="0"/>
          <w:bCs w:val="0"/>
          <w:color w:val="auto"/>
          <w:sz w:val="28"/>
          <w:szCs w:val="21"/>
        </w:rPr>
        <w:fldChar w:fldCharType="separate"/>
      </w:r>
      <w:r>
        <w:rPr>
          <w:b w:val="0"/>
          <w:bCs w:val="0"/>
          <w:color w:val="auto"/>
          <w:sz w:val="28"/>
          <w:szCs w:val="21"/>
        </w:rPr>
        <w:t>46</w:t>
      </w:r>
      <w:r>
        <w:rPr>
          <w:b w:val="0"/>
          <w:bCs w:val="0"/>
          <w:color w:val="auto"/>
          <w:sz w:val="28"/>
          <w:szCs w:val="21"/>
        </w:rPr>
        <w:fldChar w:fldCharType="end"/>
      </w:r>
      <w:r>
        <w:rPr>
          <w:rFonts w:hint="eastAsia" w:asciiTheme="minorEastAsia" w:hAnsiTheme="minorEastAsia" w:eastAsiaTheme="minorEastAsia" w:cstheme="minorEastAsia"/>
          <w:b w:val="0"/>
          <w:bCs w:val="0"/>
          <w:color w:val="auto"/>
          <w:sz w:val="28"/>
          <w:szCs w:val="28"/>
        </w:rPr>
        <w:fldChar w:fldCharType="end"/>
      </w:r>
    </w:p>
    <w:p>
      <w:pPr>
        <w:pStyle w:val="31"/>
        <w:keepNext w:val="0"/>
        <w:keepLines w:val="0"/>
        <w:pageBreakBefore w:val="0"/>
        <w:widowControl w:val="0"/>
        <w:tabs>
          <w:tab w:val="right" w:leader="dot" w:pos="8312"/>
          <w:tab w:val="clear" w:pos="8398"/>
        </w:tabs>
        <w:kinsoku/>
        <w:wordWrap/>
        <w:overflowPunct/>
        <w:topLinePunct w:val="0"/>
        <w:autoSpaceDE/>
        <w:autoSpaceDN/>
        <w:bidi w:val="0"/>
        <w:adjustRightInd/>
        <w:snapToGrid/>
        <w:spacing w:line="480" w:lineRule="auto"/>
        <w:ind w:firstLine="0" w:firstLineChars="0"/>
        <w:textAlignment w:val="auto"/>
        <w:rPr>
          <w:b w:val="0"/>
          <w:bCs w:val="0"/>
          <w:color w:val="auto"/>
          <w:sz w:val="28"/>
          <w:szCs w:val="21"/>
        </w:rPr>
      </w:pPr>
      <w:r>
        <w:rPr>
          <w:rFonts w:hint="eastAsia" w:asciiTheme="minorEastAsia" w:hAnsiTheme="minorEastAsia" w:eastAsiaTheme="minorEastAsia" w:cstheme="minorEastAsia"/>
          <w:b w:val="0"/>
          <w:bCs w:val="0"/>
          <w:color w:val="auto"/>
          <w:sz w:val="28"/>
          <w:szCs w:val="28"/>
        </w:rPr>
        <w:fldChar w:fldCharType="begin"/>
      </w:r>
      <w:r>
        <w:rPr>
          <w:rFonts w:hint="eastAsia" w:asciiTheme="minorEastAsia" w:hAnsiTheme="minorEastAsia" w:eastAsiaTheme="minorEastAsia" w:cstheme="minorEastAsia"/>
          <w:b w:val="0"/>
          <w:bCs w:val="0"/>
          <w:color w:val="auto"/>
          <w:sz w:val="28"/>
          <w:szCs w:val="28"/>
        </w:rPr>
        <w:instrText xml:space="preserve"> HYPERLINK \l _Toc25394 </w:instrText>
      </w:r>
      <w:r>
        <w:rPr>
          <w:rFonts w:hint="eastAsia" w:asciiTheme="minorEastAsia" w:hAnsiTheme="minorEastAsia" w:eastAsiaTheme="minorEastAsia" w:cstheme="minorEastAsia"/>
          <w:b w:val="0"/>
          <w:bCs w:val="0"/>
          <w:color w:val="auto"/>
          <w:sz w:val="28"/>
          <w:szCs w:val="28"/>
        </w:rPr>
        <w:fldChar w:fldCharType="separate"/>
      </w:r>
      <w:r>
        <w:rPr>
          <w:rFonts w:hint="eastAsia" w:asciiTheme="minorEastAsia" w:hAnsiTheme="minorEastAsia" w:eastAsiaTheme="minorEastAsia" w:cstheme="minorEastAsia"/>
          <w:b w:val="0"/>
          <w:bCs w:val="0"/>
          <w:color w:val="auto"/>
          <w:sz w:val="28"/>
          <w:szCs w:val="21"/>
        </w:rPr>
        <w:t>第五章  投标人应当提供的资格、资质性及其他具有类似效力的要求的相关证明材料</w:t>
      </w:r>
      <w:r>
        <w:rPr>
          <w:b w:val="0"/>
          <w:bCs w:val="0"/>
          <w:color w:val="auto"/>
          <w:sz w:val="28"/>
          <w:szCs w:val="21"/>
        </w:rPr>
        <w:tab/>
      </w:r>
      <w:r>
        <w:rPr>
          <w:b w:val="0"/>
          <w:bCs w:val="0"/>
          <w:color w:val="auto"/>
          <w:sz w:val="28"/>
          <w:szCs w:val="21"/>
        </w:rPr>
        <w:fldChar w:fldCharType="begin"/>
      </w:r>
      <w:r>
        <w:rPr>
          <w:b w:val="0"/>
          <w:bCs w:val="0"/>
          <w:color w:val="auto"/>
          <w:sz w:val="28"/>
          <w:szCs w:val="21"/>
        </w:rPr>
        <w:instrText xml:space="preserve"> PAGEREF _Toc25394 \h </w:instrText>
      </w:r>
      <w:r>
        <w:rPr>
          <w:b w:val="0"/>
          <w:bCs w:val="0"/>
          <w:color w:val="auto"/>
          <w:sz w:val="28"/>
          <w:szCs w:val="21"/>
        </w:rPr>
        <w:fldChar w:fldCharType="separate"/>
      </w:r>
      <w:r>
        <w:rPr>
          <w:b w:val="0"/>
          <w:bCs w:val="0"/>
          <w:color w:val="auto"/>
          <w:sz w:val="28"/>
          <w:szCs w:val="21"/>
        </w:rPr>
        <w:t>48</w:t>
      </w:r>
      <w:r>
        <w:rPr>
          <w:b w:val="0"/>
          <w:bCs w:val="0"/>
          <w:color w:val="auto"/>
          <w:sz w:val="28"/>
          <w:szCs w:val="21"/>
        </w:rPr>
        <w:fldChar w:fldCharType="end"/>
      </w:r>
      <w:r>
        <w:rPr>
          <w:rFonts w:hint="eastAsia" w:asciiTheme="minorEastAsia" w:hAnsiTheme="minorEastAsia" w:eastAsiaTheme="minorEastAsia" w:cstheme="minorEastAsia"/>
          <w:b w:val="0"/>
          <w:bCs w:val="0"/>
          <w:color w:val="auto"/>
          <w:sz w:val="28"/>
          <w:szCs w:val="28"/>
        </w:rPr>
        <w:fldChar w:fldCharType="end"/>
      </w:r>
    </w:p>
    <w:p>
      <w:pPr>
        <w:pStyle w:val="31"/>
        <w:keepNext w:val="0"/>
        <w:keepLines w:val="0"/>
        <w:pageBreakBefore w:val="0"/>
        <w:widowControl w:val="0"/>
        <w:tabs>
          <w:tab w:val="right" w:leader="dot" w:pos="8312"/>
          <w:tab w:val="clear" w:pos="8398"/>
        </w:tabs>
        <w:kinsoku/>
        <w:wordWrap/>
        <w:overflowPunct/>
        <w:topLinePunct w:val="0"/>
        <w:autoSpaceDE/>
        <w:autoSpaceDN/>
        <w:bidi w:val="0"/>
        <w:adjustRightInd/>
        <w:snapToGrid/>
        <w:spacing w:line="480" w:lineRule="auto"/>
        <w:ind w:firstLine="0" w:firstLineChars="0"/>
        <w:textAlignment w:val="auto"/>
        <w:rPr>
          <w:b w:val="0"/>
          <w:bCs w:val="0"/>
          <w:color w:val="auto"/>
          <w:sz w:val="28"/>
          <w:szCs w:val="21"/>
        </w:rPr>
      </w:pPr>
      <w:r>
        <w:rPr>
          <w:rFonts w:hint="eastAsia" w:asciiTheme="minorEastAsia" w:hAnsiTheme="minorEastAsia" w:eastAsiaTheme="minorEastAsia" w:cstheme="minorEastAsia"/>
          <w:b w:val="0"/>
          <w:bCs w:val="0"/>
          <w:color w:val="auto"/>
          <w:sz w:val="28"/>
          <w:szCs w:val="28"/>
        </w:rPr>
        <w:fldChar w:fldCharType="begin"/>
      </w:r>
      <w:r>
        <w:rPr>
          <w:rFonts w:hint="eastAsia" w:asciiTheme="minorEastAsia" w:hAnsiTheme="minorEastAsia" w:eastAsiaTheme="minorEastAsia" w:cstheme="minorEastAsia"/>
          <w:b w:val="0"/>
          <w:bCs w:val="0"/>
          <w:color w:val="auto"/>
          <w:sz w:val="28"/>
          <w:szCs w:val="28"/>
        </w:rPr>
        <w:instrText xml:space="preserve"> HYPERLINK \l _Toc19323 </w:instrText>
      </w:r>
      <w:r>
        <w:rPr>
          <w:rFonts w:hint="eastAsia" w:asciiTheme="minorEastAsia" w:hAnsiTheme="minorEastAsia" w:eastAsiaTheme="minorEastAsia" w:cstheme="minorEastAsia"/>
          <w:b w:val="0"/>
          <w:bCs w:val="0"/>
          <w:color w:val="auto"/>
          <w:sz w:val="28"/>
          <w:szCs w:val="28"/>
        </w:rPr>
        <w:fldChar w:fldCharType="separate"/>
      </w:r>
      <w:r>
        <w:rPr>
          <w:rFonts w:hint="eastAsia" w:asciiTheme="minorEastAsia" w:hAnsiTheme="minorEastAsia" w:eastAsiaTheme="minorEastAsia" w:cstheme="minorEastAsia"/>
          <w:b w:val="0"/>
          <w:bCs w:val="0"/>
          <w:color w:val="auto"/>
          <w:sz w:val="28"/>
          <w:szCs w:val="21"/>
        </w:rPr>
        <w:t>第</w:t>
      </w:r>
      <w:r>
        <w:rPr>
          <w:rFonts w:hint="eastAsia" w:asciiTheme="minorEastAsia" w:hAnsiTheme="minorEastAsia" w:eastAsiaTheme="minorEastAsia" w:cstheme="minorEastAsia"/>
          <w:b w:val="0"/>
          <w:bCs w:val="0"/>
          <w:color w:val="auto"/>
          <w:sz w:val="28"/>
          <w:szCs w:val="21"/>
          <w:lang w:eastAsia="zh-CN"/>
        </w:rPr>
        <w:t>六</w:t>
      </w:r>
      <w:r>
        <w:rPr>
          <w:rFonts w:hint="eastAsia" w:asciiTheme="minorEastAsia" w:hAnsiTheme="minorEastAsia" w:eastAsiaTheme="minorEastAsia" w:cstheme="minorEastAsia"/>
          <w:b w:val="0"/>
          <w:bCs w:val="0"/>
          <w:color w:val="auto"/>
          <w:sz w:val="28"/>
          <w:szCs w:val="21"/>
        </w:rPr>
        <w:t>章  技术、商务及其他要求</w:t>
      </w:r>
      <w:r>
        <w:rPr>
          <w:b w:val="0"/>
          <w:bCs w:val="0"/>
          <w:color w:val="auto"/>
          <w:sz w:val="28"/>
          <w:szCs w:val="21"/>
        </w:rPr>
        <w:tab/>
      </w:r>
      <w:r>
        <w:rPr>
          <w:b w:val="0"/>
          <w:bCs w:val="0"/>
          <w:color w:val="auto"/>
          <w:sz w:val="28"/>
          <w:szCs w:val="21"/>
        </w:rPr>
        <w:fldChar w:fldCharType="begin"/>
      </w:r>
      <w:r>
        <w:rPr>
          <w:b w:val="0"/>
          <w:bCs w:val="0"/>
          <w:color w:val="auto"/>
          <w:sz w:val="28"/>
          <w:szCs w:val="21"/>
        </w:rPr>
        <w:instrText xml:space="preserve"> PAGEREF _Toc19323 \h </w:instrText>
      </w:r>
      <w:r>
        <w:rPr>
          <w:b w:val="0"/>
          <w:bCs w:val="0"/>
          <w:color w:val="auto"/>
          <w:sz w:val="28"/>
          <w:szCs w:val="21"/>
        </w:rPr>
        <w:fldChar w:fldCharType="separate"/>
      </w:r>
      <w:r>
        <w:rPr>
          <w:b w:val="0"/>
          <w:bCs w:val="0"/>
          <w:color w:val="auto"/>
          <w:sz w:val="28"/>
          <w:szCs w:val="21"/>
        </w:rPr>
        <w:t>51</w:t>
      </w:r>
      <w:r>
        <w:rPr>
          <w:b w:val="0"/>
          <w:bCs w:val="0"/>
          <w:color w:val="auto"/>
          <w:sz w:val="28"/>
          <w:szCs w:val="21"/>
        </w:rPr>
        <w:fldChar w:fldCharType="end"/>
      </w:r>
      <w:r>
        <w:rPr>
          <w:rFonts w:hint="eastAsia" w:asciiTheme="minorEastAsia" w:hAnsiTheme="minorEastAsia" w:eastAsiaTheme="minorEastAsia" w:cstheme="minorEastAsia"/>
          <w:b w:val="0"/>
          <w:bCs w:val="0"/>
          <w:color w:val="auto"/>
          <w:sz w:val="28"/>
          <w:szCs w:val="28"/>
        </w:rPr>
        <w:fldChar w:fldCharType="end"/>
      </w:r>
    </w:p>
    <w:p>
      <w:pPr>
        <w:pStyle w:val="31"/>
        <w:keepNext w:val="0"/>
        <w:keepLines w:val="0"/>
        <w:pageBreakBefore w:val="0"/>
        <w:widowControl w:val="0"/>
        <w:tabs>
          <w:tab w:val="right" w:leader="dot" w:pos="8312"/>
          <w:tab w:val="clear" w:pos="8398"/>
        </w:tabs>
        <w:kinsoku/>
        <w:wordWrap/>
        <w:overflowPunct/>
        <w:topLinePunct w:val="0"/>
        <w:autoSpaceDE/>
        <w:autoSpaceDN/>
        <w:bidi w:val="0"/>
        <w:adjustRightInd/>
        <w:snapToGrid/>
        <w:spacing w:line="480" w:lineRule="auto"/>
        <w:ind w:firstLine="0" w:firstLineChars="0"/>
        <w:textAlignment w:val="auto"/>
        <w:rPr>
          <w:b w:val="0"/>
          <w:bCs w:val="0"/>
          <w:color w:val="auto"/>
          <w:sz w:val="28"/>
          <w:szCs w:val="21"/>
        </w:rPr>
      </w:pPr>
      <w:r>
        <w:rPr>
          <w:rFonts w:hint="eastAsia" w:asciiTheme="minorEastAsia" w:hAnsiTheme="minorEastAsia" w:eastAsiaTheme="minorEastAsia" w:cstheme="minorEastAsia"/>
          <w:b w:val="0"/>
          <w:bCs w:val="0"/>
          <w:color w:val="auto"/>
          <w:sz w:val="28"/>
          <w:szCs w:val="28"/>
        </w:rPr>
        <w:fldChar w:fldCharType="begin"/>
      </w:r>
      <w:r>
        <w:rPr>
          <w:rFonts w:hint="eastAsia" w:asciiTheme="minorEastAsia" w:hAnsiTheme="minorEastAsia" w:eastAsiaTheme="minorEastAsia" w:cstheme="minorEastAsia"/>
          <w:b w:val="0"/>
          <w:bCs w:val="0"/>
          <w:color w:val="auto"/>
          <w:sz w:val="28"/>
          <w:szCs w:val="28"/>
        </w:rPr>
        <w:instrText xml:space="preserve"> HYPERLINK \l _Toc23492 </w:instrText>
      </w:r>
      <w:r>
        <w:rPr>
          <w:rFonts w:hint="eastAsia" w:asciiTheme="minorEastAsia" w:hAnsiTheme="minorEastAsia" w:eastAsiaTheme="minorEastAsia" w:cstheme="minorEastAsia"/>
          <w:b w:val="0"/>
          <w:bCs w:val="0"/>
          <w:color w:val="auto"/>
          <w:sz w:val="28"/>
          <w:szCs w:val="28"/>
        </w:rPr>
        <w:fldChar w:fldCharType="separate"/>
      </w:r>
      <w:r>
        <w:rPr>
          <w:rFonts w:hint="eastAsia" w:asciiTheme="minorEastAsia" w:hAnsiTheme="minorEastAsia" w:eastAsiaTheme="minorEastAsia" w:cstheme="minorEastAsia"/>
          <w:b w:val="0"/>
          <w:bCs w:val="0"/>
          <w:color w:val="auto"/>
          <w:sz w:val="28"/>
          <w:szCs w:val="21"/>
        </w:rPr>
        <w:t>第</w:t>
      </w:r>
      <w:r>
        <w:rPr>
          <w:rFonts w:hint="eastAsia" w:asciiTheme="minorEastAsia" w:hAnsiTheme="minorEastAsia" w:eastAsiaTheme="minorEastAsia" w:cstheme="minorEastAsia"/>
          <w:b w:val="0"/>
          <w:bCs w:val="0"/>
          <w:color w:val="auto"/>
          <w:sz w:val="28"/>
          <w:szCs w:val="21"/>
          <w:lang w:eastAsia="zh-CN"/>
        </w:rPr>
        <w:t>七</w:t>
      </w:r>
      <w:r>
        <w:rPr>
          <w:rFonts w:hint="eastAsia" w:asciiTheme="minorEastAsia" w:hAnsiTheme="minorEastAsia" w:eastAsiaTheme="minorEastAsia" w:cstheme="minorEastAsia"/>
          <w:b w:val="0"/>
          <w:bCs w:val="0"/>
          <w:color w:val="auto"/>
          <w:sz w:val="28"/>
          <w:szCs w:val="21"/>
        </w:rPr>
        <w:t>章  评标办法</w:t>
      </w:r>
      <w:r>
        <w:rPr>
          <w:b w:val="0"/>
          <w:bCs w:val="0"/>
          <w:color w:val="auto"/>
          <w:sz w:val="28"/>
          <w:szCs w:val="21"/>
        </w:rPr>
        <w:tab/>
      </w:r>
      <w:r>
        <w:rPr>
          <w:b w:val="0"/>
          <w:bCs w:val="0"/>
          <w:color w:val="auto"/>
          <w:sz w:val="28"/>
          <w:szCs w:val="21"/>
        </w:rPr>
        <w:fldChar w:fldCharType="begin"/>
      </w:r>
      <w:r>
        <w:rPr>
          <w:b w:val="0"/>
          <w:bCs w:val="0"/>
          <w:color w:val="auto"/>
          <w:sz w:val="28"/>
          <w:szCs w:val="21"/>
        </w:rPr>
        <w:instrText xml:space="preserve"> PAGEREF _Toc23492 \h </w:instrText>
      </w:r>
      <w:r>
        <w:rPr>
          <w:b w:val="0"/>
          <w:bCs w:val="0"/>
          <w:color w:val="auto"/>
          <w:sz w:val="28"/>
          <w:szCs w:val="21"/>
        </w:rPr>
        <w:fldChar w:fldCharType="separate"/>
      </w:r>
      <w:r>
        <w:rPr>
          <w:b w:val="0"/>
          <w:bCs w:val="0"/>
          <w:color w:val="auto"/>
          <w:sz w:val="28"/>
          <w:szCs w:val="21"/>
        </w:rPr>
        <w:t>72</w:t>
      </w:r>
      <w:r>
        <w:rPr>
          <w:b w:val="0"/>
          <w:bCs w:val="0"/>
          <w:color w:val="auto"/>
          <w:sz w:val="28"/>
          <w:szCs w:val="21"/>
        </w:rPr>
        <w:fldChar w:fldCharType="end"/>
      </w:r>
      <w:r>
        <w:rPr>
          <w:rFonts w:hint="eastAsia" w:asciiTheme="minorEastAsia" w:hAnsiTheme="minorEastAsia" w:eastAsiaTheme="minorEastAsia" w:cstheme="minorEastAsia"/>
          <w:b w:val="0"/>
          <w:bCs w:val="0"/>
          <w:color w:val="auto"/>
          <w:sz w:val="28"/>
          <w:szCs w:val="28"/>
        </w:rPr>
        <w:fldChar w:fldCharType="end"/>
      </w:r>
    </w:p>
    <w:p>
      <w:pPr>
        <w:pStyle w:val="31"/>
        <w:keepNext w:val="0"/>
        <w:keepLines w:val="0"/>
        <w:pageBreakBefore w:val="0"/>
        <w:widowControl w:val="0"/>
        <w:tabs>
          <w:tab w:val="right" w:leader="dot" w:pos="8312"/>
          <w:tab w:val="clear" w:pos="8398"/>
        </w:tabs>
        <w:kinsoku/>
        <w:wordWrap/>
        <w:overflowPunct/>
        <w:topLinePunct w:val="0"/>
        <w:autoSpaceDE/>
        <w:autoSpaceDN/>
        <w:bidi w:val="0"/>
        <w:adjustRightInd/>
        <w:snapToGrid/>
        <w:spacing w:line="480" w:lineRule="auto"/>
        <w:ind w:firstLine="0" w:firstLineChars="0"/>
        <w:textAlignment w:val="auto"/>
        <w:rPr>
          <w:color w:val="auto"/>
        </w:rPr>
      </w:pPr>
      <w:r>
        <w:rPr>
          <w:rFonts w:hint="eastAsia" w:asciiTheme="minorEastAsia" w:hAnsiTheme="minorEastAsia" w:eastAsiaTheme="minorEastAsia" w:cstheme="minorEastAsia"/>
          <w:b w:val="0"/>
          <w:bCs w:val="0"/>
          <w:color w:val="auto"/>
          <w:sz w:val="28"/>
          <w:szCs w:val="28"/>
        </w:rPr>
        <w:fldChar w:fldCharType="begin"/>
      </w:r>
      <w:r>
        <w:rPr>
          <w:rFonts w:hint="eastAsia" w:asciiTheme="minorEastAsia" w:hAnsiTheme="minorEastAsia" w:eastAsiaTheme="minorEastAsia" w:cstheme="minorEastAsia"/>
          <w:b w:val="0"/>
          <w:bCs w:val="0"/>
          <w:color w:val="auto"/>
          <w:sz w:val="28"/>
          <w:szCs w:val="28"/>
        </w:rPr>
        <w:instrText xml:space="preserve"> HYPERLINK \l _Toc16429 </w:instrText>
      </w:r>
      <w:r>
        <w:rPr>
          <w:rFonts w:hint="eastAsia" w:asciiTheme="minorEastAsia" w:hAnsiTheme="minorEastAsia" w:eastAsiaTheme="minorEastAsia" w:cstheme="minorEastAsia"/>
          <w:b w:val="0"/>
          <w:bCs w:val="0"/>
          <w:color w:val="auto"/>
          <w:sz w:val="28"/>
          <w:szCs w:val="28"/>
        </w:rPr>
        <w:fldChar w:fldCharType="separate"/>
      </w:r>
      <w:r>
        <w:rPr>
          <w:rFonts w:hint="eastAsia" w:asciiTheme="minorEastAsia" w:hAnsiTheme="minorEastAsia" w:eastAsiaTheme="minorEastAsia" w:cstheme="minorEastAsia"/>
          <w:b w:val="0"/>
          <w:bCs w:val="0"/>
          <w:color w:val="auto"/>
          <w:sz w:val="28"/>
          <w:szCs w:val="21"/>
        </w:rPr>
        <w:t>第</w:t>
      </w:r>
      <w:r>
        <w:rPr>
          <w:rFonts w:hint="eastAsia" w:asciiTheme="minorEastAsia" w:hAnsiTheme="minorEastAsia" w:eastAsiaTheme="minorEastAsia" w:cstheme="minorEastAsia"/>
          <w:b w:val="0"/>
          <w:bCs w:val="0"/>
          <w:color w:val="auto"/>
          <w:sz w:val="28"/>
          <w:szCs w:val="21"/>
          <w:lang w:eastAsia="zh-CN"/>
        </w:rPr>
        <w:t>八</w:t>
      </w:r>
      <w:r>
        <w:rPr>
          <w:rFonts w:hint="eastAsia" w:asciiTheme="minorEastAsia" w:hAnsiTheme="minorEastAsia" w:eastAsiaTheme="minorEastAsia" w:cstheme="minorEastAsia"/>
          <w:b w:val="0"/>
          <w:bCs w:val="0"/>
          <w:color w:val="auto"/>
          <w:sz w:val="28"/>
          <w:szCs w:val="21"/>
        </w:rPr>
        <w:t>章  合同主要条款（范本）</w:t>
      </w:r>
      <w:r>
        <w:rPr>
          <w:b w:val="0"/>
          <w:bCs w:val="0"/>
          <w:color w:val="auto"/>
          <w:sz w:val="28"/>
          <w:szCs w:val="21"/>
        </w:rPr>
        <w:tab/>
      </w:r>
      <w:r>
        <w:rPr>
          <w:b w:val="0"/>
          <w:bCs w:val="0"/>
          <w:color w:val="auto"/>
          <w:sz w:val="28"/>
          <w:szCs w:val="21"/>
        </w:rPr>
        <w:fldChar w:fldCharType="begin"/>
      </w:r>
      <w:r>
        <w:rPr>
          <w:b w:val="0"/>
          <w:bCs w:val="0"/>
          <w:color w:val="auto"/>
          <w:sz w:val="28"/>
          <w:szCs w:val="21"/>
        </w:rPr>
        <w:instrText xml:space="preserve"> PAGEREF _Toc16429 \h </w:instrText>
      </w:r>
      <w:r>
        <w:rPr>
          <w:b w:val="0"/>
          <w:bCs w:val="0"/>
          <w:color w:val="auto"/>
          <w:sz w:val="28"/>
          <w:szCs w:val="21"/>
        </w:rPr>
        <w:fldChar w:fldCharType="separate"/>
      </w:r>
      <w:r>
        <w:rPr>
          <w:b w:val="0"/>
          <w:bCs w:val="0"/>
          <w:color w:val="auto"/>
          <w:sz w:val="28"/>
          <w:szCs w:val="21"/>
        </w:rPr>
        <w:t>84</w:t>
      </w:r>
      <w:r>
        <w:rPr>
          <w:b w:val="0"/>
          <w:bCs w:val="0"/>
          <w:color w:val="auto"/>
          <w:sz w:val="28"/>
          <w:szCs w:val="21"/>
        </w:rPr>
        <w:fldChar w:fldCharType="end"/>
      </w:r>
      <w:r>
        <w:rPr>
          <w:rFonts w:hint="eastAsia" w:asciiTheme="minorEastAsia" w:hAnsiTheme="minorEastAsia" w:eastAsiaTheme="minorEastAsia" w:cstheme="minorEastAsia"/>
          <w:b w:val="0"/>
          <w:bCs w:val="0"/>
          <w:color w:val="auto"/>
          <w:sz w:val="28"/>
          <w:szCs w:val="28"/>
        </w:rPr>
        <w:fldChar w:fldCharType="end"/>
      </w:r>
    </w:p>
    <w:p>
      <w:pPr>
        <w:keepNext w:val="0"/>
        <w:keepLines w:val="0"/>
        <w:pageBreakBefore w:val="0"/>
        <w:widowControl w:val="0"/>
        <w:kinsoku/>
        <w:wordWrap/>
        <w:overflowPunct/>
        <w:topLinePunct w:val="0"/>
        <w:autoSpaceDE/>
        <w:autoSpaceDN/>
        <w:bidi w:val="0"/>
        <w:adjustRightInd/>
        <w:snapToGrid/>
        <w:spacing w:line="480" w:lineRule="auto"/>
        <w:ind w:firstLine="0" w:firstLineChars="0"/>
        <w:jc w:val="left"/>
        <w:textAlignment w:val="auto"/>
        <w:rPr>
          <w:rFonts w:hint="eastAsia" w:asciiTheme="minorEastAsia" w:hAnsiTheme="minorEastAsia" w:eastAsiaTheme="minorEastAsia" w:cstheme="minorEastAsia"/>
          <w:bCs/>
          <w:color w:val="auto"/>
          <w:sz w:val="52"/>
          <w:szCs w:val="22"/>
        </w:rPr>
      </w:pPr>
      <w:r>
        <w:rPr>
          <w:rFonts w:hint="eastAsia" w:asciiTheme="minorEastAsia" w:hAnsiTheme="minorEastAsia" w:eastAsiaTheme="minorEastAsia" w:cstheme="minorEastAsia"/>
          <w:bCs/>
          <w:color w:val="auto"/>
          <w:szCs w:val="24"/>
        </w:rPr>
        <w:fldChar w:fldCharType="end"/>
      </w:r>
    </w:p>
    <w:p>
      <w:pPr>
        <w:pStyle w:val="3"/>
        <w:rPr>
          <w:rFonts w:hint="eastAsia" w:asciiTheme="minorEastAsia" w:hAnsiTheme="minorEastAsia" w:eastAsiaTheme="minorEastAsia" w:cstheme="minorEastAsia"/>
          <w:color w:val="auto"/>
        </w:rPr>
        <w:sectPr>
          <w:headerReference r:id="rId4" w:type="first"/>
          <w:headerReference r:id="rId3" w:type="default"/>
          <w:footerReference r:id="rId5" w:type="default"/>
          <w:pgSz w:w="11906" w:h="16838"/>
          <w:pgMar w:top="1091" w:right="1797" w:bottom="1091" w:left="1797" w:header="851" w:footer="992" w:gutter="0"/>
          <w:cols w:space="720" w:num="1"/>
          <w:titlePg/>
          <w:docGrid w:linePitch="462" w:charSpace="0"/>
        </w:sectPr>
      </w:pPr>
    </w:p>
    <w:p>
      <w:pPr>
        <w:pStyle w:val="42"/>
        <w:rPr>
          <w:rFonts w:hint="eastAsia" w:asciiTheme="minorEastAsia" w:hAnsiTheme="minorEastAsia" w:eastAsiaTheme="minorEastAsia" w:cstheme="minorEastAsia"/>
          <w:color w:val="auto"/>
        </w:rPr>
      </w:pPr>
      <w:bookmarkStart w:id="2" w:name="_Toc21986"/>
      <w:bookmarkStart w:id="3" w:name="_Toc28666"/>
      <w:bookmarkStart w:id="4" w:name="_Toc12757"/>
      <w:r>
        <w:rPr>
          <w:rFonts w:hint="eastAsia" w:asciiTheme="minorEastAsia" w:hAnsiTheme="minorEastAsia" w:eastAsiaTheme="minorEastAsia" w:cstheme="minorEastAsia"/>
          <w:color w:val="auto"/>
        </w:rPr>
        <w:t xml:space="preserve">第一章  </w:t>
      </w:r>
      <w:bookmarkStart w:id="5" w:name="OLE_LINK1"/>
      <w:r>
        <w:rPr>
          <w:rFonts w:hint="eastAsia" w:asciiTheme="minorEastAsia" w:hAnsiTheme="minorEastAsia" w:eastAsiaTheme="minorEastAsia" w:cstheme="minorEastAsia"/>
          <w:color w:val="auto"/>
        </w:rPr>
        <w:t>投标邀请</w:t>
      </w:r>
      <w:bookmarkEnd w:id="2"/>
      <w:bookmarkEnd w:id="3"/>
      <w:bookmarkEnd w:id="4"/>
    </w:p>
    <w:p>
      <w:pPr>
        <w:pStyle w:val="8"/>
        <w:rPr>
          <w:rFonts w:hint="eastAsia" w:asciiTheme="minorEastAsia" w:hAnsiTheme="minorEastAsia" w:eastAsiaTheme="minorEastAsia" w:cstheme="minorEastAsia"/>
          <w:color w:val="auto"/>
        </w:rPr>
      </w:pPr>
    </w:p>
    <w:p>
      <w:pPr>
        <w:spacing w:line="360" w:lineRule="auto"/>
        <w:ind w:firstLine="723" w:firstLineChars="300"/>
        <w:jc w:val="left"/>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u w:val="single"/>
        </w:rPr>
        <w:t>四川协友招标代理有限公司</w:t>
      </w:r>
      <w:r>
        <w:rPr>
          <w:rFonts w:hint="eastAsia" w:asciiTheme="minorEastAsia" w:hAnsiTheme="minorEastAsia" w:eastAsiaTheme="minorEastAsia" w:cstheme="minorEastAsia"/>
          <w:color w:val="auto"/>
          <w:sz w:val="24"/>
        </w:rPr>
        <w:t>受</w:t>
      </w:r>
      <w:r>
        <w:rPr>
          <w:rFonts w:hint="eastAsia" w:asciiTheme="minorEastAsia" w:hAnsiTheme="minorEastAsia" w:eastAsiaTheme="minorEastAsia" w:cstheme="minorEastAsia"/>
          <w:b/>
          <w:color w:val="auto"/>
          <w:sz w:val="24"/>
          <w:u w:val="single"/>
        </w:rPr>
        <w:t>成都市新都区发展和改革局</w:t>
      </w:r>
      <w:r>
        <w:rPr>
          <w:rFonts w:hint="eastAsia" w:asciiTheme="minorEastAsia" w:hAnsiTheme="minorEastAsia" w:eastAsiaTheme="minorEastAsia" w:cstheme="minorEastAsia"/>
          <w:color w:val="auto"/>
          <w:sz w:val="24"/>
        </w:rPr>
        <w:t>委托，拟对“</w:t>
      </w:r>
      <w:r>
        <w:rPr>
          <w:rFonts w:hint="eastAsia" w:asciiTheme="minorEastAsia" w:hAnsiTheme="minorEastAsia" w:eastAsiaTheme="minorEastAsia" w:cstheme="minorEastAsia"/>
          <w:color w:val="auto"/>
          <w:sz w:val="24"/>
          <w:lang w:eastAsia="zh-CN"/>
        </w:rPr>
        <w:t>成都市新都区发展和改革局2022—2024年度政府投资项目评审中介服务项目（第二次）</w:t>
      </w: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bCs/>
          <w:color w:val="auto"/>
          <w:sz w:val="24"/>
        </w:rPr>
        <w:t>进行</w:t>
      </w:r>
      <w:r>
        <w:rPr>
          <w:rFonts w:hint="eastAsia" w:asciiTheme="minorEastAsia" w:hAnsiTheme="minorEastAsia" w:eastAsiaTheme="minorEastAsia" w:cstheme="minorEastAsia"/>
          <w:color w:val="auto"/>
          <w:sz w:val="24"/>
        </w:rPr>
        <w:t>国内</w:t>
      </w:r>
      <w:r>
        <w:rPr>
          <w:rFonts w:hint="eastAsia" w:asciiTheme="minorEastAsia" w:hAnsiTheme="minorEastAsia" w:eastAsiaTheme="minorEastAsia" w:cstheme="minorEastAsia"/>
          <w:bCs/>
          <w:color w:val="auto"/>
          <w:sz w:val="24"/>
        </w:rPr>
        <w:t>公开</w:t>
      </w:r>
      <w:r>
        <w:rPr>
          <w:rFonts w:hint="eastAsia" w:asciiTheme="minorEastAsia" w:hAnsiTheme="minorEastAsia" w:eastAsiaTheme="minorEastAsia" w:cstheme="minorEastAsia"/>
          <w:color w:val="auto"/>
          <w:sz w:val="24"/>
        </w:rPr>
        <w:t>招标，</w:t>
      </w:r>
      <w:r>
        <w:rPr>
          <w:rFonts w:hint="eastAsia" w:asciiTheme="minorEastAsia" w:hAnsiTheme="minorEastAsia" w:eastAsiaTheme="minorEastAsia" w:cstheme="minorEastAsia"/>
          <w:color w:val="auto"/>
          <w:sz w:val="24"/>
          <w:szCs w:val="28"/>
        </w:rPr>
        <w:t>兹邀请符合本次招标要求的供应商参加</w:t>
      </w:r>
      <w:r>
        <w:rPr>
          <w:rFonts w:hint="eastAsia" w:asciiTheme="minorEastAsia" w:hAnsiTheme="minorEastAsia" w:eastAsiaTheme="minorEastAsia" w:cstheme="minorEastAsia"/>
          <w:color w:val="auto"/>
          <w:sz w:val="24"/>
        </w:rPr>
        <w:t>投标</w:t>
      </w:r>
      <w:r>
        <w:rPr>
          <w:rFonts w:hint="eastAsia" w:asciiTheme="minorEastAsia" w:hAnsiTheme="minorEastAsia" w:eastAsiaTheme="minorEastAsia" w:cstheme="minorEastAsia"/>
          <w:color w:val="auto"/>
          <w:sz w:val="24"/>
          <w:szCs w:val="28"/>
        </w:rPr>
        <w:t>。</w:t>
      </w:r>
    </w:p>
    <w:p>
      <w:pPr>
        <w:spacing w:line="360" w:lineRule="auto"/>
        <w:ind w:firstLine="482" w:firstLineChars="20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b/>
          <w:color w:val="auto"/>
          <w:sz w:val="24"/>
          <w:szCs w:val="24"/>
        </w:rPr>
        <w:t>一、</w:t>
      </w:r>
      <w:r>
        <w:rPr>
          <w:rFonts w:hint="eastAsia" w:asciiTheme="minorEastAsia" w:hAnsiTheme="minorEastAsia" w:eastAsiaTheme="minorEastAsia" w:cstheme="minorEastAsia"/>
          <w:b/>
          <w:color w:val="auto"/>
          <w:sz w:val="24"/>
          <w:szCs w:val="24"/>
          <w:lang w:eastAsia="zh-CN"/>
        </w:rPr>
        <w:t>采购项目</w:t>
      </w:r>
      <w:r>
        <w:rPr>
          <w:rFonts w:hint="eastAsia" w:asciiTheme="minorEastAsia" w:hAnsiTheme="minorEastAsia" w:eastAsiaTheme="minorEastAsia" w:cstheme="minorEastAsia"/>
          <w:b/>
          <w:color w:val="auto"/>
          <w:sz w:val="24"/>
          <w:szCs w:val="24"/>
        </w:rPr>
        <w:t>编号</w:t>
      </w:r>
      <w:r>
        <w:rPr>
          <w:rFonts w:hint="eastAsia" w:asciiTheme="minorEastAsia" w:hAnsiTheme="minorEastAsia" w:eastAsiaTheme="minorEastAsia" w:cstheme="minorEastAsia"/>
          <w:b/>
          <w:color w:val="auto"/>
          <w:sz w:val="24"/>
          <w:szCs w:val="28"/>
        </w:rPr>
        <w:t>：510114202100279</w:t>
      </w:r>
    </w:p>
    <w:p>
      <w:pPr>
        <w:spacing w:line="360" w:lineRule="auto"/>
        <w:ind w:right="51" w:rightChars="15" w:firstLine="482" w:firstLineChars="200"/>
        <w:rPr>
          <w:rFonts w:hint="eastAsia" w:asciiTheme="minorEastAsia" w:hAnsiTheme="minorEastAsia" w:eastAsiaTheme="minorEastAsia" w:cstheme="minorEastAsia"/>
          <w:b/>
          <w:color w:val="auto"/>
          <w:sz w:val="24"/>
          <w:szCs w:val="28"/>
          <w:lang w:eastAsia="zh-CN"/>
        </w:rPr>
      </w:pPr>
      <w:r>
        <w:rPr>
          <w:rFonts w:hint="eastAsia" w:asciiTheme="minorEastAsia" w:hAnsiTheme="minorEastAsia" w:eastAsiaTheme="minorEastAsia" w:cstheme="minorEastAsia"/>
          <w:b/>
          <w:bCs/>
          <w:color w:val="auto"/>
          <w:sz w:val="24"/>
          <w:szCs w:val="24"/>
        </w:rPr>
        <w:t>二、</w:t>
      </w:r>
      <w:r>
        <w:rPr>
          <w:rFonts w:hint="eastAsia" w:asciiTheme="minorEastAsia" w:hAnsiTheme="minorEastAsia" w:eastAsiaTheme="minorEastAsia" w:cstheme="minorEastAsia"/>
          <w:b/>
          <w:bCs/>
          <w:color w:val="auto"/>
          <w:sz w:val="24"/>
          <w:szCs w:val="24"/>
          <w:lang w:eastAsia="zh-CN"/>
        </w:rPr>
        <w:t>采购</w:t>
      </w:r>
      <w:r>
        <w:rPr>
          <w:rFonts w:hint="eastAsia" w:asciiTheme="minorEastAsia" w:hAnsiTheme="minorEastAsia" w:eastAsiaTheme="minorEastAsia" w:cstheme="minorEastAsia"/>
          <w:b/>
          <w:color w:val="auto"/>
          <w:sz w:val="24"/>
          <w:szCs w:val="24"/>
        </w:rPr>
        <w:t>项目</w:t>
      </w:r>
      <w:r>
        <w:rPr>
          <w:rFonts w:hint="eastAsia" w:asciiTheme="minorEastAsia" w:hAnsiTheme="minorEastAsia" w:eastAsiaTheme="minorEastAsia" w:cstheme="minorEastAsia"/>
          <w:b/>
          <w:color w:val="auto"/>
          <w:sz w:val="24"/>
          <w:szCs w:val="24"/>
          <w:lang w:eastAsia="zh-CN"/>
        </w:rPr>
        <w:t>名称</w:t>
      </w:r>
      <w:r>
        <w:rPr>
          <w:rFonts w:hint="eastAsia" w:asciiTheme="minorEastAsia" w:hAnsiTheme="minorEastAsia" w:eastAsiaTheme="minorEastAsia" w:cstheme="minorEastAsia"/>
          <w:b/>
          <w:color w:val="auto"/>
          <w:sz w:val="24"/>
          <w:szCs w:val="28"/>
        </w:rPr>
        <w:t>：</w:t>
      </w:r>
      <w:r>
        <w:rPr>
          <w:rFonts w:hint="eastAsia" w:asciiTheme="minorEastAsia" w:hAnsiTheme="minorEastAsia" w:eastAsiaTheme="minorEastAsia" w:cstheme="minorEastAsia"/>
          <w:b/>
          <w:color w:val="auto"/>
          <w:sz w:val="24"/>
          <w:szCs w:val="28"/>
          <w:lang w:eastAsia="zh-CN"/>
        </w:rPr>
        <w:t>成都市新都区发展和改革局2022—2024年度政府投资项目评审中介服务项目（第二次）</w:t>
      </w:r>
    </w:p>
    <w:p>
      <w:pPr>
        <w:spacing w:line="360" w:lineRule="auto"/>
        <w:ind w:right="51" w:rightChars="15" w:firstLine="482" w:firstLineChars="200"/>
        <w:rPr>
          <w:rFonts w:hint="eastAsia" w:asciiTheme="minorEastAsia" w:hAnsiTheme="minorEastAsia" w:eastAsiaTheme="minorEastAsia" w:cstheme="minorEastAsia"/>
          <w:color w:val="auto"/>
          <w:sz w:val="24"/>
          <w:szCs w:val="28"/>
        </w:rPr>
      </w:pPr>
      <w:r>
        <w:rPr>
          <w:rFonts w:hint="eastAsia" w:asciiTheme="minorEastAsia" w:hAnsiTheme="minorEastAsia" w:eastAsiaTheme="minorEastAsia" w:cstheme="minorEastAsia"/>
          <w:b/>
          <w:color w:val="auto"/>
          <w:sz w:val="24"/>
          <w:szCs w:val="28"/>
        </w:rPr>
        <w:t>三、资金来源：财政性资金</w:t>
      </w:r>
    </w:p>
    <w:p>
      <w:pPr>
        <w:tabs>
          <w:tab w:val="center" w:pos="4479"/>
        </w:tabs>
        <w:spacing w:line="360" w:lineRule="auto"/>
        <w:ind w:right="51" w:rightChars="15" w:firstLine="482" w:firstLineChars="200"/>
        <w:rPr>
          <w:rFonts w:hint="eastAsia" w:asciiTheme="minorEastAsia" w:hAnsiTheme="minorEastAsia" w:eastAsiaTheme="minorEastAsia" w:cstheme="minorEastAsia"/>
          <w:color w:val="auto"/>
          <w:sz w:val="24"/>
          <w:szCs w:val="28"/>
          <w:u w:val="none"/>
        </w:rPr>
      </w:pPr>
      <w:r>
        <w:rPr>
          <w:rFonts w:hint="eastAsia" w:asciiTheme="minorEastAsia" w:hAnsiTheme="minorEastAsia" w:eastAsiaTheme="minorEastAsia" w:cstheme="minorEastAsia"/>
          <w:b/>
          <w:color w:val="auto"/>
          <w:sz w:val="24"/>
          <w:szCs w:val="28"/>
        </w:rPr>
        <w:t>四、预算金额：人民币</w:t>
      </w:r>
      <w:r>
        <w:rPr>
          <w:rFonts w:hint="eastAsia" w:asciiTheme="minorEastAsia" w:hAnsiTheme="minorEastAsia" w:eastAsiaTheme="minorEastAsia" w:cstheme="minorEastAsia"/>
          <w:b/>
          <w:color w:val="auto"/>
          <w:sz w:val="24"/>
          <w:szCs w:val="28"/>
          <w:u w:val="single"/>
          <w:lang w:val="en-US" w:eastAsia="zh-CN"/>
        </w:rPr>
        <w:t>850万元/年（第1包预算金额：510万元/年；第2包预算金额：340万元/年）</w:t>
      </w:r>
    </w:p>
    <w:p>
      <w:pPr>
        <w:spacing w:line="360" w:lineRule="auto"/>
        <w:ind w:firstLine="482"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color w:val="auto"/>
          <w:sz w:val="24"/>
        </w:rPr>
        <w:t>五、采购</w:t>
      </w:r>
      <w:r>
        <w:rPr>
          <w:rFonts w:hint="eastAsia" w:asciiTheme="minorEastAsia" w:hAnsiTheme="minorEastAsia" w:eastAsiaTheme="minorEastAsia" w:cstheme="minorEastAsia"/>
          <w:b/>
          <w:color w:val="auto"/>
          <w:sz w:val="24"/>
          <w:lang w:eastAsia="zh-CN"/>
        </w:rPr>
        <w:t>项目简介</w:t>
      </w:r>
      <w:r>
        <w:rPr>
          <w:rFonts w:hint="eastAsia" w:asciiTheme="minorEastAsia" w:hAnsiTheme="minorEastAsia" w:eastAsiaTheme="minorEastAsia" w:cstheme="minorEastAsia"/>
          <w:color w:val="auto"/>
          <w:sz w:val="24"/>
        </w:rPr>
        <w:t>：本项目</w:t>
      </w:r>
      <w:r>
        <w:rPr>
          <w:rFonts w:hint="eastAsia" w:asciiTheme="minorEastAsia" w:hAnsiTheme="minorEastAsia" w:eastAsiaTheme="minorEastAsia" w:cstheme="minorEastAsia"/>
          <w:color w:val="auto"/>
          <w:sz w:val="24"/>
          <w:lang w:eastAsia="zh-CN"/>
        </w:rPr>
        <w:t>一招三年，合同一年一签，</w:t>
      </w:r>
      <w:r>
        <w:rPr>
          <w:rFonts w:hint="eastAsia" w:asciiTheme="minorEastAsia" w:hAnsiTheme="minorEastAsia" w:eastAsiaTheme="minorEastAsia" w:cstheme="minorEastAsia"/>
          <w:color w:val="auto"/>
          <w:sz w:val="24"/>
        </w:rPr>
        <w:t>共2个包。</w:t>
      </w:r>
    </w:p>
    <w:tbl>
      <w:tblPr>
        <w:tblStyle w:val="46"/>
        <w:tblW w:w="8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1850"/>
        <w:gridCol w:w="1733"/>
        <w:gridCol w:w="1467"/>
        <w:gridCol w:w="1541"/>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995" w:type="dxa"/>
            <w:noWrap w:val="0"/>
            <w:vAlign w:val="center"/>
          </w:tcPr>
          <w:p>
            <w:pPr>
              <w:spacing w:line="240" w:lineRule="auto"/>
              <w:ind w:firstLine="0" w:firstLineChars="0"/>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包件号</w:t>
            </w:r>
          </w:p>
        </w:tc>
        <w:tc>
          <w:tcPr>
            <w:tcW w:w="1850" w:type="dxa"/>
            <w:noWrap w:val="0"/>
            <w:vAlign w:val="center"/>
          </w:tcPr>
          <w:p>
            <w:pPr>
              <w:spacing w:line="240" w:lineRule="auto"/>
              <w:ind w:firstLine="0" w:firstLineChars="0"/>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服务名称</w:t>
            </w:r>
          </w:p>
        </w:tc>
        <w:tc>
          <w:tcPr>
            <w:tcW w:w="1733" w:type="dxa"/>
            <w:noWrap w:val="0"/>
            <w:vAlign w:val="center"/>
          </w:tcPr>
          <w:p>
            <w:pPr>
              <w:spacing w:line="240" w:lineRule="auto"/>
              <w:ind w:firstLine="0" w:firstLineChars="0"/>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简要技术要求</w:t>
            </w:r>
          </w:p>
        </w:tc>
        <w:tc>
          <w:tcPr>
            <w:tcW w:w="1467" w:type="dxa"/>
            <w:noWrap w:val="0"/>
            <w:vAlign w:val="center"/>
          </w:tcPr>
          <w:p>
            <w:pPr>
              <w:spacing w:line="240" w:lineRule="auto"/>
              <w:ind w:firstLine="0" w:firstLineChars="0"/>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服务期限</w:t>
            </w:r>
          </w:p>
        </w:tc>
        <w:tc>
          <w:tcPr>
            <w:tcW w:w="1541" w:type="dxa"/>
            <w:noWrap w:val="0"/>
            <w:vAlign w:val="center"/>
          </w:tcPr>
          <w:p>
            <w:pPr>
              <w:spacing w:line="240" w:lineRule="auto"/>
              <w:ind w:firstLine="0" w:firstLineChars="0"/>
              <w:jc w:val="center"/>
              <w:rPr>
                <w:rFonts w:hint="eastAsia" w:ascii="宋体" w:hAnsi="宋体" w:eastAsia="宋体" w:cs="宋体"/>
                <w:bCs/>
                <w:color w:val="auto"/>
                <w:sz w:val="24"/>
                <w:szCs w:val="24"/>
              </w:rPr>
            </w:pPr>
            <w:r>
              <w:rPr>
                <w:rFonts w:hint="eastAsia" w:ascii="宋体" w:hAnsi="宋体" w:eastAsia="宋体" w:cs="宋体"/>
                <w:bCs/>
                <w:color w:val="auto"/>
                <w:sz w:val="24"/>
                <w:szCs w:val="24"/>
                <w:lang w:val="zh-CN"/>
              </w:rPr>
              <w:t>政</w:t>
            </w:r>
            <w:r>
              <w:rPr>
                <w:rFonts w:hint="eastAsia" w:ascii="宋体" w:hAnsi="宋体" w:eastAsia="宋体" w:cs="宋体"/>
                <w:bCs/>
                <w:color w:val="auto"/>
                <w:sz w:val="24"/>
                <w:szCs w:val="24"/>
              </w:rPr>
              <w:t>府采购预算</w:t>
            </w:r>
          </w:p>
        </w:tc>
        <w:tc>
          <w:tcPr>
            <w:tcW w:w="1020" w:type="dxa"/>
            <w:noWrap w:val="0"/>
            <w:vAlign w:val="center"/>
          </w:tcPr>
          <w:p>
            <w:pPr>
              <w:spacing w:line="240" w:lineRule="auto"/>
              <w:ind w:firstLine="0" w:firstLineChars="0"/>
              <w:jc w:val="center"/>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中标人数量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995" w:type="dxa"/>
            <w:noWrap w:val="0"/>
            <w:vAlign w:val="center"/>
          </w:tcPr>
          <w:p>
            <w:pPr>
              <w:ind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850" w:type="dxa"/>
            <w:noWrap w:val="0"/>
            <w:vAlign w:val="center"/>
          </w:tcPr>
          <w:p>
            <w:pPr>
              <w:ind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造价咨询服务</w:t>
            </w:r>
          </w:p>
        </w:tc>
        <w:tc>
          <w:tcPr>
            <w:tcW w:w="1733" w:type="dxa"/>
            <w:noWrap w:val="0"/>
            <w:vAlign w:val="center"/>
          </w:tcPr>
          <w:p>
            <w:pPr>
              <w:ind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详见</w:t>
            </w:r>
            <w:r>
              <w:rPr>
                <w:rFonts w:hint="eastAsia" w:ascii="宋体" w:hAnsi="宋体" w:eastAsia="宋体" w:cs="宋体"/>
                <w:color w:val="auto"/>
                <w:sz w:val="24"/>
                <w:szCs w:val="24"/>
                <w:lang w:eastAsia="zh-CN"/>
              </w:rPr>
              <w:t>招标</w:t>
            </w:r>
            <w:r>
              <w:rPr>
                <w:rFonts w:hint="eastAsia" w:ascii="宋体" w:hAnsi="宋体" w:eastAsia="宋体" w:cs="宋体"/>
                <w:color w:val="auto"/>
                <w:sz w:val="24"/>
                <w:szCs w:val="24"/>
              </w:rPr>
              <w:t>文件第</w:t>
            </w:r>
            <w:r>
              <w:rPr>
                <w:rFonts w:hint="eastAsia" w:ascii="宋体" w:hAnsi="宋体" w:eastAsia="宋体" w:cs="宋体"/>
                <w:color w:val="auto"/>
                <w:sz w:val="24"/>
                <w:szCs w:val="24"/>
                <w:lang w:eastAsia="zh-CN"/>
              </w:rPr>
              <w:t>六</w:t>
            </w:r>
            <w:r>
              <w:rPr>
                <w:rFonts w:hint="eastAsia" w:ascii="宋体" w:hAnsi="宋体" w:eastAsia="宋体" w:cs="宋体"/>
                <w:color w:val="auto"/>
                <w:sz w:val="24"/>
                <w:szCs w:val="24"/>
              </w:rPr>
              <w:t>章</w:t>
            </w:r>
          </w:p>
        </w:tc>
        <w:tc>
          <w:tcPr>
            <w:tcW w:w="1467" w:type="dxa"/>
            <w:noWrap w:val="0"/>
            <w:vAlign w:val="center"/>
          </w:tcPr>
          <w:p>
            <w:pPr>
              <w:ind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详见</w:t>
            </w:r>
            <w:r>
              <w:rPr>
                <w:rFonts w:hint="eastAsia" w:ascii="宋体" w:hAnsi="宋体" w:eastAsia="宋体" w:cs="宋体"/>
                <w:color w:val="auto"/>
                <w:sz w:val="24"/>
                <w:szCs w:val="24"/>
                <w:lang w:eastAsia="zh-CN"/>
              </w:rPr>
              <w:t>招标</w:t>
            </w:r>
            <w:r>
              <w:rPr>
                <w:rFonts w:hint="eastAsia" w:ascii="宋体" w:hAnsi="宋体" w:eastAsia="宋体" w:cs="宋体"/>
                <w:color w:val="auto"/>
                <w:sz w:val="24"/>
                <w:szCs w:val="24"/>
              </w:rPr>
              <w:t>文件第</w:t>
            </w:r>
            <w:r>
              <w:rPr>
                <w:rFonts w:hint="eastAsia" w:ascii="宋体" w:hAnsi="宋体" w:eastAsia="宋体" w:cs="宋体"/>
                <w:color w:val="auto"/>
                <w:sz w:val="24"/>
                <w:szCs w:val="24"/>
                <w:lang w:eastAsia="zh-CN"/>
              </w:rPr>
              <w:t>六</w:t>
            </w:r>
            <w:r>
              <w:rPr>
                <w:rFonts w:hint="eastAsia" w:ascii="宋体" w:hAnsi="宋体" w:eastAsia="宋体" w:cs="宋体"/>
                <w:color w:val="auto"/>
                <w:sz w:val="24"/>
                <w:szCs w:val="24"/>
              </w:rPr>
              <w:t>章</w:t>
            </w:r>
          </w:p>
        </w:tc>
        <w:tc>
          <w:tcPr>
            <w:tcW w:w="1541" w:type="dxa"/>
            <w:noWrap w:val="0"/>
            <w:vAlign w:val="center"/>
          </w:tcPr>
          <w:p>
            <w:pPr>
              <w:ind w:firstLine="0" w:firstLineChars="0"/>
              <w:jc w:val="center"/>
              <w:rPr>
                <w:rFonts w:hint="eastAsia" w:ascii="宋体" w:hAnsi="宋体" w:eastAsia="宋体" w:cs="宋体"/>
                <w:color w:val="auto"/>
                <w:sz w:val="24"/>
                <w:szCs w:val="24"/>
              </w:rPr>
            </w:pPr>
            <w:r>
              <w:rPr>
                <w:rFonts w:hint="eastAsia" w:ascii="宋体" w:hAnsi="宋体" w:eastAsia="宋体" w:cs="宋体"/>
                <w:bCs/>
                <w:color w:val="auto"/>
                <w:sz w:val="24"/>
                <w:szCs w:val="24"/>
                <w:lang w:val="en-US" w:eastAsia="zh-CN"/>
              </w:rPr>
              <w:t>510万元/年</w:t>
            </w:r>
          </w:p>
        </w:tc>
        <w:tc>
          <w:tcPr>
            <w:tcW w:w="1020" w:type="dxa"/>
            <w:noWrap w:val="0"/>
            <w:vAlign w:val="center"/>
          </w:tcPr>
          <w:p>
            <w:pPr>
              <w:ind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1家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995" w:type="dxa"/>
            <w:noWrap w:val="0"/>
            <w:vAlign w:val="center"/>
          </w:tcPr>
          <w:p>
            <w:pPr>
              <w:ind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p>
        </w:tc>
        <w:tc>
          <w:tcPr>
            <w:tcW w:w="1850" w:type="dxa"/>
            <w:noWrap w:val="0"/>
            <w:vAlign w:val="center"/>
          </w:tcPr>
          <w:p>
            <w:pPr>
              <w:ind w:firstLine="0" w:firstLineChars="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工程咨询服务</w:t>
            </w:r>
          </w:p>
        </w:tc>
        <w:tc>
          <w:tcPr>
            <w:tcW w:w="1733" w:type="dxa"/>
            <w:noWrap w:val="0"/>
            <w:vAlign w:val="center"/>
          </w:tcPr>
          <w:p>
            <w:pPr>
              <w:ind w:firstLine="0" w:firstLineChars="0"/>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详见</w:t>
            </w:r>
            <w:r>
              <w:rPr>
                <w:rFonts w:hint="eastAsia" w:ascii="宋体" w:hAnsi="宋体" w:eastAsia="宋体" w:cs="宋体"/>
                <w:color w:val="auto"/>
                <w:sz w:val="24"/>
                <w:szCs w:val="24"/>
                <w:lang w:eastAsia="zh-CN"/>
              </w:rPr>
              <w:t>招标</w:t>
            </w:r>
            <w:r>
              <w:rPr>
                <w:rFonts w:hint="eastAsia" w:ascii="宋体" w:hAnsi="宋体" w:eastAsia="宋体" w:cs="宋体"/>
                <w:color w:val="auto"/>
                <w:sz w:val="24"/>
                <w:szCs w:val="24"/>
              </w:rPr>
              <w:t>文件第</w:t>
            </w:r>
            <w:r>
              <w:rPr>
                <w:rFonts w:hint="eastAsia" w:ascii="宋体" w:hAnsi="宋体" w:eastAsia="宋体" w:cs="宋体"/>
                <w:color w:val="auto"/>
                <w:sz w:val="24"/>
                <w:szCs w:val="24"/>
                <w:lang w:eastAsia="zh-CN"/>
              </w:rPr>
              <w:t>六</w:t>
            </w:r>
            <w:r>
              <w:rPr>
                <w:rFonts w:hint="eastAsia" w:ascii="宋体" w:hAnsi="宋体" w:eastAsia="宋体" w:cs="宋体"/>
                <w:color w:val="auto"/>
                <w:sz w:val="24"/>
                <w:szCs w:val="24"/>
              </w:rPr>
              <w:t>章</w:t>
            </w:r>
          </w:p>
        </w:tc>
        <w:tc>
          <w:tcPr>
            <w:tcW w:w="1467" w:type="dxa"/>
            <w:noWrap w:val="0"/>
            <w:vAlign w:val="center"/>
          </w:tcPr>
          <w:p>
            <w:pPr>
              <w:ind w:firstLine="0" w:firstLineChars="0"/>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详见</w:t>
            </w:r>
            <w:r>
              <w:rPr>
                <w:rFonts w:hint="eastAsia" w:ascii="宋体" w:hAnsi="宋体" w:eastAsia="宋体" w:cs="宋体"/>
                <w:color w:val="auto"/>
                <w:sz w:val="24"/>
                <w:szCs w:val="24"/>
                <w:lang w:eastAsia="zh-CN"/>
              </w:rPr>
              <w:t>招标</w:t>
            </w:r>
            <w:r>
              <w:rPr>
                <w:rFonts w:hint="eastAsia" w:ascii="宋体" w:hAnsi="宋体" w:eastAsia="宋体" w:cs="宋体"/>
                <w:color w:val="auto"/>
                <w:sz w:val="24"/>
                <w:szCs w:val="24"/>
              </w:rPr>
              <w:t>文件第</w:t>
            </w:r>
            <w:r>
              <w:rPr>
                <w:rFonts w:hint="eastAsia" w:ascii="宋体" w:hAnsi="宋体" w:eastAsia="宋体" w:cs="宋体"/>
                <w:color w:val="auto"/>
                <w:sz w:val="24"/>
                <w:szCs w:val="24"/>
                <w:lang w:eastAsia="zh-CN"/>
              </w:rPr>
              <w:t>六</w:t>
            </w:r>
            <w:r>
              <w:rPr>
                <w:rFonts w:hint="eastAsia" w:ascii="宋体" w:hAnsi="宋体" w:eastAsia="宋体" w:cs="宋体"/>
                <w:color w:val="auto"/>
                <w:sz w:val="24"/>
                <w:szCs w:val="24"/>
              </w:rPr>
              <w:t>章</w:t>
            </w:r>
          </w:p>
        </w:tc>
        <w:tc>
          <w:tcPr>
            <w:tcW w:w="1541" w:type="dxa"/>
            <w:noWrap w:val="0"/>
            <w:vAlign w:val="center"/>
          </w:tcPr>
          <w:p>
            <w:pPr>
              <w:ind w:firstLine="0" w:firstLineChars="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340万元/年</w:t>
            </w:r>
          </w:p>
        </w:tc>
        <w:tc>
          <w:tcPr>
            <w:tcW w:w="1020" w:type="dxa"/>
            <w:noWrap w:val="0"/>
            <w:vAlign w:val="center"/>
          </w:tcPr>
          <w:p>
            <w:pPr>
              <w:ind w:firstLine="0" w:firstLineChars="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1家</w:t>
            </w:r>
          </w:p>
        </w:tc>
      </w:tr>
    </w:tbl>
    <w:p>
      <w:pPr>
        <w:spacing w:line="360" w:lineRule="auto"/>
        <w:ind w:firstLine="482" w:firstLineChars="200"/>
        <w:rPr>
          <w:rFonts w:hint="eastAsia" w:asciiTheme="minorEastAsia" w:hAnsiTheme="minorEastAsia" w:eastAsiaTheme="minorEastAsia" w:cstheme="minorEastAsia"/>
          <w:bCs/>
          <w:color w:val="auto"/>
          <w:sz w:val="24"/>
        </w:rPr>
      </w:pPr>
      <w:r>
        <w:rPr>
          <w:rFonts w:hint="eastAsia" w:asciiTheme="minorEastAsia" w:hAnsiTheme="minorEastAsia" w:eastAsiaTheme="minorEastAsia" w:cstheme="minorEastAsia"/>
          <w:b/>
          <w:bCs/>
          <w:color w:val="auto"/>
          <w:sz w:val="24"/>
        </w:rPr>
        <w:t>六、</w:t>
      </w:r>
      <w:r>
        <w:rPr>
          <w:rFonts w:hint="eastAsia" w:asciiTheme="minorEastAsia" w:hAnsiTheme="minorEastAsia" w:eastAsiaTheme="minorEastAsia" w:cstheme="minorEastAsia"/>
          <w:b/>
          <w:bCs/>
          <w:color w:val="auto"/>
          <w:sz w:val="24"/>
          <w:lang w:eastAsia="zh-CN"/>
        </w:rPr>
        <w:t>投标人</w:t>
      </w:r>
      <w:r>
        <w:rPr>
          <w:rFonts w:hint="eastAsia" w:asciiTheme="minorEastAsia" w:hAnsiTheme="minorEastAsia" w:eastAsiaTheme="minorEastAsia" w:cstheme="minorEastAsia"/>
          <w:b/>
          <w:bCs/>
          <w:color w:val="auto"/>
          <w:sz w:val="24"/>
        </w:rPr>
        <w:t>参加本次政府采购活动应具备下列条件</w:t>
      </w:r>
      <w:r>
        <w:rPr>
          <w:rFonts w:hint="eastAsia" w:asciiTheme="minorEastAsia" w:hAnsiTheme="minorEastAsia" w:eastAsiaTheme="minorEastAsia" w:cstheme="minorEastAsia"/>
          <w:bCs/>
          <w:color w:val="auto"/>
          <w:sz w:val="24"/>
        </w:rPr>
        <w:t>：</w:t>
      </w:r>
    </w:p>
    <w:p>
      <w:pPr>
        <w:pStyle w:val="489"/>
        <w:ind w:firstLine="600" w:firstLineChars="250"/>
        <w:rPr>
          <w:rFonts w:hint="eastAsia" w:asciiTheme="minorEastAsia" w:hAnsiTheme="minorEastAsia" w:eastAsiaTheme="minorEastAsia" w:cstheme="minorEastAsia"/>
          <w:color w:val="auto"/>
          <w:sz w:val="24"/>
        </w:rPr>
      </w:pPr>
      <w:bookmarkStart w:id="6" w:name="PO_供应商资格条件_1"/>
      <w:r>
        <w:rPr>
          <w:rFonts w:hint="eastAsia" w:asciiTheme="minorEastAsia" w:hAnsiTheme="minorEastAsia" w:eastAsiaTheme="minorEastAsia" w:cstheme="minorEastAsia"/>
          <w:color w:val="auto"/>
          <w:sz w:val="24"/>
        </w:rPr>
        <w:t>1.具有独立承担民事责任的能力；</w:t>
      </w:r>
    </w:p>
    <w:p>
      <w:pPr>
        <w:tabs>
          <w:tab w:val="left" w:pos="7665"/>
        </w:tabs>
        <w:spacing w:line="360" w:lineRule="auto"/>
        <w:ind w:firstLine="600" w:firstLineChars="25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2.具有良好的商业信誉和健全的财务会计制度；</w:t>
      </w:r>
    </w:p>
    <w:p>
      <w:pPr>
        <w:tabs>
          <w:tab w:val="left" w:pos="7665"/>
        </w:tabs>
        <w:spacing w:line="360" w:lineRule="auto"/>
        <w:ind w:firstLine="600" w:firstLineChars="25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3.具有履行合同所必须的设备和专业技术能力；</w:t>
      </w:r>
    </w:p>
    <w:p>
      <w:pPr>
        <w:tabs>
          <w:tab w:val="left" w:pos="7665"/>
        </w:tabs>
        <w:spacing w:line="360" w:lineRule="auto"/>
        <w:ind w:firstLine="600" w:firstLineChars="25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4.具有依法缴纳税收和社会保障资金的良好记录；</w:t>
      </w:r>
    </w:p>
    <w:p>
      <w:pPr>
        <w:tabs>
          <w:tab w:val="left" w:pos="7665"/>
        </w:tabs>
        <w:spacing w:line="360" w:lineRule="auto"/>
        <w:ind w:firstLine="600" w:firstLineChars="25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5.参加本次政府采购活动前三年内，在经营活动中没有重大违法记录；</w:t>
      </w:r>
    </w:p>
    <w:p>
      <w:pPr>
        <w:pStyle w:val="489"/>
        <w:ind w:firstLine="600" w:firstLineChars="25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6.法律、行政法规规定的其他条件；</w:t>
      </w:r>
    </w:p>
    <w:p>
      <w:pPr>
        <w:pStyle w:val="489"/>
        <w:keepNext w:val="0"/>
        <w:keepLines w:val="0"/>
        <w:pageBreakBefore w:val="0"/>
        <w:widowControl w:val="0"/>
        <w:kinsoku/>
        <w:wordWrap/>
        <w:overflowPunct/>
        <w:topLinePunct w:val="0"/>
        <w:autoSpaceDE/>
        <w:autoSpaceDN/>
        <w:bidi w:val="0"/>
        <w:adjustRightInd/>
        <w:snapToGrid/>
        <w:ind w:firstLine="600" w:firstLineChars="25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7.采购人根据采购项目提出的特殊条件：</w:t>
      </w:r>
    </w:p>
    <w:bookmarkEnd w:id="6"/>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7.1第1包：投标人注册地不在四川省行政区域内的，须提供有效的入川备案证明材料。</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7.2第2包：投标人已在“全国投资项目在线审批监管平台”备案且备案专业至少涵盖①建筑，②市政公用工程，③农业、林业，④水利水电，⑤公路。</w:t>
      </w:r>
    </w:p>
    <w:p>
      <w:pPr>
        <w:spacing w:line="520" w:lineRule="exact"/>
        <w:ind w:firstLine="482"/>
        <w:rPr>
          <w:rFonts w:hint="eastAsia" w:asciiTheme="minorEastAsia" w:hAnsiTheme="minorEastAsia" w:eastAsiaTheme="minorEastAsia" w:cstheme="minorEastAsia"/>
          <w:b/>
          <w:bCs/>
          <w:color w:val="auto"/>
          <w:kern w:val="2"/>
          <w:sz w:val="24"/>
          <w:szCs w:val="24"/>
          <w:lang w:val="en-US"/>
        </w:rPr>
      </w:pPr>
      <w:r>
        <w:rPr>
          <w:rFonts w:hint="eastAsia" w:asciiTheme="minorEastAsia" w:hAnsiTheme="minorEastAsia" w:eastAsiaTheme="minorEastAsia" w:cstheme="minorEastAsia"/>
          <w:b/>
          <w:bCs/>
          <w:color w:val="auto"/>
          <w:kern w:val="2"/>
          <w:sz w:val="24"/>
          <w:szCs w:val="24"/>
          <w:lang w:val="en-US"/>
        </w:rPr>
        <w:t>资格条件要求详见本文件第</w:t>
      </w:r>
      <w:r>
        <w:rPr>
          <w:rFonts w:hint="eastAsia" w:asciiTheme="minorEastAsia" w:hAnsiTheme="minorEastAsia" w:eastAsiaTheme="minorEastAsia" w:cstheme="minorEastAsia"/>
          <w:b/>
          <w:bCs/>
          <w:color w:val="auto"/>
          <w:kern w:val="2"/>
          <w:sz w:val="24"/>
          <w:szCs w:val="24"/>
          <w:lang w:val="en-US" w:eastAsia="zh-CN"/>
        </w:rPr>
        <w:t>四</w:t>
      </w:r>
      <w:r>
        <w:rPr>
          <w:rFonts w:hint="eastAsia" w:asciiTheme="minorEastAsia" w:hAnsiTheme="minorEastAsia" w:eastAsiaTheme="minorEastAsia" w:cstheme="minorEastAsia"/>
          <w:b/>
          <w:bCs/>
          <w:color w:val="auto"/>
          <w:kern w:val="2"/>
          <w:sz w:val="24"/>
          <w:szCs w:val="24"/>
          <w:lang w:val="en-US"/>
        </w:rPr>
        <w:t>章，资格条件证明材料详见本文件第</w:t>
      </w:r>
      <w:r>
        <w:rPr>
          <w:rFonts w:hint="eastAsia" w:asciiTheme="minorEastAsia" w:hAnsiTheme="minorEastAsia" w:eastAsiaTheme="minorEastAsia" w:cstheme="minorEastAsia"/>
          <w:b/>
          <w:bCs/>
          <w:color w:val="auto"/>
          <w:kern w:val="2"/>
          <w:sz w:val="24"/>
          <w:szCs w:val="24"/>
          <w:lang w:val="en-US" w:eastAsia="zh-CN"/>
        </w:rPr>
        <w:t>五</w:t>
      </w:r>
      <w:r>
        <w:rPr>
          <w:rFonts w:hint="eastAsia" w:asciiTheme="minorEastAsia" w:hAnsiTheme="minorEastAsia" w:eastAsiaTheme="minorEastAsia" w:cstheme="minorEastAsia"/>
          <w:b/>
          <w:bCs/>
          <w:color w:val="auto"/>
          <w:kern w:val="2"/>
          <w:sz w:val="24"/>
          <w:szCs w:val="24"/>
          <w:lang w:val="en-US"/>
        </w:rPr>
        <w:t>章。</w:t>
      </w:r>
    </w:p>
    <w:p>
      <w:pPr>
        <w:spacing w:line="520" w:lineRule="exact"/>
        <w:ind w:firstLine="482"/>
        <w:rPr>
          <w:rFonts w:hint="eastAsia" w:asciiTheme="minorEastAsia" w:hAnsiTheme="minorEastAsia" w:eastAsiaTheme="minorEastAsia" w:cstheme="minorEastAsia"/>
          <w:b w:val="0"/>
          <w:bCs/>
          <w:color w:val="auto"/>
          <w:kern w:val="2"/>
          <w:sz w:val="24"/>
          <w:szCs w:val="24"/>
          <w:lang w:val="en-US"/>
        </w:rPr>
      </w:pPr>
      <w:r>
        <w:rPr>
          <w:rFonts w:hint="eastAsia" w:asciiTheme="minorEastAsia" w:hAnsiTheme="minorEastAsia" w:eastAsiaTheme="minorEastAsia" w:cstheme="minorEastAsia"/>
          <w:b/>
          <w:bCs/>
          <w:color w:val="auto"/>
          <w:kern w:val="2"/>
          <w:sz w:val="24"/>
          <w:szCs w:val="24"/>
          <w:lang w:val="en-US" w:eastAsia="zh-CN"/>
        </w:rPr>
        <w:t>七</w:t>
      </w:r>
      <w:r>
        <w:rPr>
          <w:rFonts w:hint="eastAsia" w:asciiTheme="minorEastAsia" w:hAnsiTheme="minorEastAsia" w:eastAsiaTheme="minorEastAsia" w:cstheme="minorEastAsia"/>
          <w:b/>
          <w:bCs/>
          <w:color w:val="auto"/>
          <w:kern w:val="2"/>
          <w:sz w:val="24"/>
          <w:szCs w:val="24"/>
          <w:lang w:val="en-US"/>
        </w:rPr>
        <w:t>、本项目接受联合体投标，</w:t>
      </w:r>
      <w:r>
        <w:rPr>
          <w:rFonts w:hint="eastAsia" w:asciiTheme="minorEastAsia" w:hAnsiTheme="minorEastAsia" w:eastAsiaTheme="minorEastAsia" w:cstheme="minorEastAsia"/>
          <w:b w:val="0"/>
          <w:bCs/>
          <w:color w:val="auto"/>
          <w:kern w:val="2"/>
          <w:sz w:val="24"/>
          <w:szCs w:val="24"/>
          <w:lang w:val="en-US"/>
        </w:rPr>
        <w:t>投标人是联合体时，联合体各方应签订联合体投标协议书，并向采购人提交联合协议，明确联合体牵头人和各方权利义务。联合体各方应当共同与采购人签订采购合同，就采购合同约定事项对采购人承担连带责任。以联合体形式参加政府采购活动的，联合体各方不得再单独参加或者与其他供应商另外组成联合体参加</w:t>
      </w:r>
      <w:r>
        <w:rPr>
          <w:rFonts w:hint="eastAsia" w:asciiTheme="minorEastAsia" w:hAnsiTheme="minorEastAsia" w:eastAsiaTheme="minorEastAsia" w:cstheme="minorEastAsia"/>
          <w:b w:val="0"/>
          <w:bCs w:val="0"/>
          <w:color w:val="auto"/>
          <w:kern w:val="2"/>
          <w:sz w:val="24"/>
          <w:szCs w:val="24"/>
          <w:lang w:val="zh-CN" w:eastAsia="zh-CN"/>
        </w:rPr>
        <w:t>本项目同一合同项下（同一包件）的投标</w:t>
      </w:r>
      <w:r>
        <w:rPr>
          <w:rFonts w:hint="eastAsia" w:asciiTheme="minorEastAsia" w:hAnsiTheme="minorEastAsia" w:eastAsiaTheme="minorEastAsia" w:cstheme="minorEastAsia"/>
          <w:b w:val="0"/>
          <w:bCs w:val="0"/>
          <w:color w:val="auto"/>
          <w:kern w:val="2"/>
          <w:sz w:val="24"/>
          <w:szCs w:val="24"/>
          <w:lang w:val="en-US"/>
        </w:rPr>
        <w:t>。</w:t>
      </w:r>
    </w:p>
    <w:p>
      <w:pPr>
        <w:keepNext w:val="0"/>
        <w:keepLines w:val="0"/>
        <w:pageBreakBefore w:val="0"/>
        <w:widowControl w:val="0"/>
        <w:kinsoku/>
        <w:wordWrap/>
        <w:overflowPunct/>
        <w:topLinePunct w:val="0"/>
        <w:autoSpaceDE/>
        <w:autoSpaceDN/>
        <w:bidi w:val="0"/>
        <w:adjustRightInd/>
        <w:snapToGrid/>
        <w:spacing w:after="157" w:afterLines="50" w:line="520" w:lineRule="exact"/>
        <w:ind w:firstLine="482"/>
        <w:textAlignment w:val="auto"/>
        <w:rPr>
          <w:rFonts w:hint="eastAsia" w:asciiTheme="minorEastAsia" w:hAnsiTheme="minorEastAsia" w:eastAsiaTheme="minorEastAsia" w:cstheme="minorEastAsia"/>
          <w:b w:val="0"/>
          <w:bCs/>
          <w:color w:val="auto"/>
          <w:kern w:val="2"/>
          <w:sz w:val="24"/>
          <w:szCs w:val="24"/>
          <w:lang w:val="en-US"/>
        </w:rPr>
      </w:pPr>
      <w:r>
        <w:rPr>
          <w:rFonts w:hint="eastAsia" w:asciiTheme="minorEastAsia" w:hAnsiTheme="minorEastAsia" w:eastAsiaTheme="minorEastAsia" w:cstheme="minorEastAsia"/>
          <w:b w:val="0"/>
          <w:bCs/>
          <w:color w:val="auto"/>
          <w:kern w:val="2"/>
          <w:sz w:val="24"/>
          <w:szCs w:val="24"/>
          <w:lang w:val="en-US"/>
        </w:rPr>
        <w:t>根据《中华人民共和国政府采购法实施条例》第二十二条规定，联合体中有同类资质的供应商按照联合体分工承担相同工作的，应当按照资质等级较低的供应商确定资质等级。</w:t>
      </w:r>
    </w:p>
    <w:p>
      <w:pPr>
        <w:pStyle w:val="16"/>
        <w:spacing w:line="360" w:lineRule="auto"/>
        <w:ind w:firstLine="420"/>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szCs w:val="28"/>
          <w:lang w:eastAsia="zh-CN"/>
        </w:rPr>
        <w:t>八</w:t>
      </w:r>
      <w:r>
        <w:rPr>
          <w:rFonts w:hint="eastAsia" w:asciiTheme="minorEastAsia" w:hAnsiTheme="minorEastAsia" w:eastAsiaTheme="minorEastAsia" w:cstheme="minorEastAsia"/>
          <w:b/>
          <w:color w:val="auto"/>
          <w:sz w:val="24"/>
          <w:szCs w:val="28"/>
        </w:rPr>
        <w:t>、</w:t>
      </w:r>
      <w:r>
        <w:rPr>
          <w:rFonts w:hint="eastAsia" w:asciiTheme="minorEastAsia" w:hAnsiTheme="minorEastAsia" w:eastAsiaTheme="minorEastAsia" w:cstheme="minorEastAsia"/>
          <w:b/>
          <w:color w:val="auto"/>
          <w:sz w:val="24"/>
        </w:rPr>
        <w:t>禁止参加本次采购活动的供应商</w:t>
      </w:r>
    </w:p>
    <w:p>
      <w:pPr>
        <w:pStyle w:val="489"/>
        <w:keepNext w:val="0"/>
        <w:keepLines w:val="0"/>
        <w:pageBreakBefore w:val="0"/>
        <w:widowControl w:val="0"/>
        <w:kinsoku/>
        <w:wordWrap/>
        <w:overflowPunct/>
        <w:topLinePunct w:val="0"/>
        <w:autoSpaceDE/>
        <w:autoSpaceDN/>
        <w:bidi w:val="0"/>
        <w:adjustRightInd/>
        <w:snapToGrid/>
        <w:ind w:firstLine="600" w:firstLineChars="25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val="en-US" w:eastAsia="zh-CN"/>
        </w:rPr>
        <w:t>1、</w:t>
      </w:r>
      <w:r>
        <w:rPr>
          <w:rFonts w:hint="eastAsia" w:asciiTheme="minorEastAsia" w:hAnsiTheme="minorEastAsia" w:eastAsiaTheme="minorEastAsia" w:cstheme="minorEastAsia"/>
          <w:color w:val="auto"/>
          <w:sz w:val="24"/>
        </w:rPr>
        <w:t>根据《关于在政府采购活动中查询及使用信用记录有关问题的通知》（财库〔2016〕125号）的要求，采购代理机构将</w:t>
      </w:r>
      <w:r>
        <w:rPr>
          <w:rFonts w:hint="eastAsia" w:asciiTheme="minorEastAsia" w:hAnsiTheme="minorEastAsia" w:eastAsiaTheme="minorEastAsia" w:cstheme="minorEastAsia"/>
          <w:color w:val="auto"/>
          <w:sz w:val="24"/>
          <w:lang w:eastAsia="zh-CN"/>
        </w:rPr>
        <w:t>在投标文件递交截止时间后</w:t>
      </w:r>
      <w:r>
        <w:rPr>
          <w:rFonts w:hint="eastAsia" w:asciiTheme="minorEastAsia" w:hAnsiTheme="minorEastAsia" w:eastAsiaTheme="minorEastAsia" w:cstheme="minorEastAsia"/>
          <w:color w:val="auto"/>
          <w:sz w:val="24"/>
        </w:rPr>
        <w:t>通过“信用中国”网站（</w:t>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"http://www.creditchina.gov.cn"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sz w:val="24"/>
        </w:rPr>
        <w:t>www.creditchina.gov.cn</w:t>
      </w:r>
      <w:r>
        <w:rPr>
          <w:rFonts w:hint="eastAsia" w:asciiTheme="minorEastAsia" w:hAnsiTheme="minorEastAsia" w:eastAsiaTheme="minorEastAsia" w:cstheme="minorEastAsia"/>
          <w:color w:val="auto"/>
          <w:sz w:val="24"/>
        </w:rPr>
        <w:fldChar w:fldCharType="end"/>
      </w:r>
      <w:r>
        <w:rPr>
          <w:rFonts w:hint="eastAsia" w:asciiTheme="minorEastAsia" w:hAnsiTheme="minorEastAsia" w:eastAsiaTheme="minorEastAsia" w:cstheme="minorEastAsia"/>
          <w:color w:val="auto"/>
          <w:sz w:val="24"/>
        </w:rPr>
        <w:t>）、“中国政府采购网”网站（www.ccgp.gov.cn）等渠道查询供应商在采购公告发布之日前的信用记录并保存信用记录结果网页截图，拒绝列入失信被执行人、重大税收违法案件当事人名单、政府采购严重违法失信行为记录名单中的供应商参加本项目的采购活动（以联合体形式参加本项目采购活动，联合体成员存在不良信用记录的，视同联合体存在不良信用记录）。</w:t>
      </w:r>
    </w:p>
    <w:p>
      <w:pPr>
        <w:pStyle w:val="489"/>
        <w:keepNext w:val="0"/>
        <w:keepLines w:val="0"/>
        <w:pageBreakBefore w:val="0"/>
        <w:widowControl w:val="0"/>
        <w:kinsoku/>
        <w:wordWrap/>
        <w:overflowPunct/>
        <w:topLinePunct w:val="0"/>
        <w:autoSpaceDE/>
        <w:autoSpaceDN/>
        <w:bidi w:val="0"/>
        <w:adjustRightInd/>
        <w:snapToGrid/>
        <w:ind w:firstLine="600" w:firstLineChars="250"/>
        <w:textAlignment w:val="auto"/>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2、本项目专门面向中小企业采购(监狱企业、残疾人福利性单位均视同小微企业)，若以联合体形式参加投标的联合体各成员均须为中小微企业，非中小微企业禁止参加本次采购活动。</w:t>
      </w:r>
    </w:p>
    <w:p>
      <w:pPr>
        <w:keepNext w:val="0"/>
        <w:keepLines w:val="0"/>
        <w:pageBreakBefore w:val="0"/>
        <w:widowControl/>
        <w:kinsoku/>
        <w:wordWrap/>
        <w:overflowPunct/>
        <w:topLinePunct w:val="0"/>
        <w:autoSpaceDE/>
        <w:autoSpaceDN/>
        <w:bidi w:val="0"/>
        <w:adjustRightInd/>
        <w:snapToGrid/>
        <w:spacing w:after="50" w:line="360" w:lineRule="auto"/>
        <w:ind w:firstLine="480"/>
        <w:textAlignment w:val="auto"/>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lang w:eastAsia="zh-CN"/>
        </w:rPr>
        <w:t>九</w:t>
      </w:r>
      <w:r>
        <w:rPr>
          <w:rFonts w:hint="eastAsia" w:asciiTheme="minorEastAsia" w:hAnsiTheme="minorEastAsia" w:eastAsiaTheme="minorEastAsia" w:cstheme="minorEastAsia"/>
          <w:b/>
          <w:color w:val="auto"/>
          <w:sz w:val="24"/>
        </w:rPr>
        <w:t>、招标文件获取：</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招标文件获取时间：</w:t>
      </w:r>
      <w:r>
        <w:rPr>
          <w:rFonts w:hint="eastAsia" w:asciiTheme="minorEastAsia" w:hAnsiTheme="minorEastAsia" w:eastAsiaTheme="minorEastAsia" w:cstheme="minorEastAsia"/>
          <w:color w:val="auto"/>
          <w:sz w:val="24"/>
        </w:rPr>
        <w:t>自202</w:t>
      </w:r>
      <w:r>
        <w:rPr>
          <w:rFonts w:hint="eastAsia" w:asciiTheme="minorEastAsia" w:hAnsiTheme="minorEastAsia" w:eastAsiaTheme="minorEastAsia" w:cstheme="minorEastAsia"/>
          <w:color w:val="auto"/>
          <w:sz w:val="24"/>
          <w:lang w:val="en-US" w:eastAsia="zh-CN"/>
        </w:rPr>
        <w:t>1</w:t>
      </w:r>
      <w:r>
        <w:rPr>
          <w:rFonts w:hint="eastAsia" w:asciiTheme="minorEastAsia" w:hAnsiTheme="minorEastAsia" w:eastAsiaTheme="minorEastAsia" w:cstheme="minorEastAsia"/>
          <w:color w:val="auto"/>
          <w:sz w:val="24"/>
        </w:rPr>
        <w:t>年</w:t>
      </w:r>
      <w:r>
        <w:rPr>
          <w:rFonts w:hint="eastAsia" w:asciiTheme="minorEastAsia" w:hAnsiTheme="minorEastAsia" w:eastAsiaTheme="minorEastAsia" w:cstheme="minorEastAsia"/>
          <w:color w:val="auto"/>
          <w:sz w:val="24"/>
          <w:lang w:val="en-US" w:eastAsia="zh-CN"/>
        </w:rPr>
        <w:t>10</w:t>
      </w:r>
      <w:r>
        <w:rPr>
          <w:rFonts w:hint="eastAsia" w:asciiTheme="minorEastAsia" w:hAnsiTheme="minorEastAsia" w:eastAsiaTheme="minorEastAsia" w:cstheme="minorEastAsia"/>
          <w:color w:val="auto"/>
          <w:sz w:val="24"/>
        </w:rPr>
        <w:t>月</w:t>
      </w:r>
      <w:r>
        <w:rPr>
          <w:rFonts w:hint="eastAsia" w:asciiTheme="minorEastAsia" w:hAnsiTheme="minorEastAsia" w:eastAsiaTheme="minorEastAsia" w:cstheme="minorEastAsia"/>
          <w:color w:val="auto"/>
          <w:sz w:val="24"/>
          <w:lang w:val="en-US" w:eastAsia="zh-CN"/>
        </w:rPr>
        <w:t>11</w:t>
      </w:r>
      <w:r>
        <w:rPr>
          <w:rFonts w:hint="eastAsia" w:asciiTheme="minorEastAsia" w:hAnsiTheme="minorEastAsia" w:eastAsiaTheme="minorEastAsia" w:cstheme="minorEastAsia"/>
          <w:color w:val="auto"/>
          <w:sz w:val="24"/>
        </w:rPr>
        <w:t>日至202</w:t>
      </w:r>
      <w:r>
        <w:rPr>
          <w:rFonts w:hint="eastAsia" w:asciiTheme="minorEastAsia" w:hAnsiTheme="minorEastAsia" w:eastAsiaTheme="minorEastAsia" w:cstheme="minorEastAsia"/>
          <w:color w:val="auto"/>
          <w:sz w:val="24"/>
          <w:lang w:val="en-US" w:eastAsia="zh-CN"/>
        </w:rPr>
        <w:t>1</w:t>
      </w:r>
      <w:r>
        <w:rPr>
          <w:rFonts w:hint="eastAsia" w:asciiTheme="minorEastAsia" w:hAnsiTheme="minorEastAsia" w:eastAsiaTheme="minorEastAsia" w:cstheme="minorEastAsia"/>
          <w:color w:val="auto"/>
          <w:sz w:val="24"/>
        </w:rPr>
        <w:t>年</w:t>
      </w:r>
      <w:r>
        <w:rPr>
          <w:rFonts w:hint="eastAsia" w:asciiTheme="minorEastAsia" w:hAnsiTheme="minorEastAsia" w:eastAsiaTheme="minorEastAsia" w:cstheme="minorEastAsia"/>
          <w:color w:val="auto"/>
          <w:sz w:val="24"/>
          <w:lang w:val="en-US" w:eastAsia="zh-CN"/>
        </w:rPr>
        <w:t>10</w:t>
      </w:r>
      <w:r>
        <w:rPr>
          <w:rFonts w:hint="eastAsia" w:asciiTheme="minorEastAsia" w:hAnsiTheme="minorEastAsia" w:eastAsiaTheme="minorEastAsia" w:cstheme="minorEastAsia"/>
          <w:color w:val="auto"/>
          <w:sz w:val="24"/>
        </w:rPr>
        <w:t>月</w:t>
      </w:r>
      <w:r>
        <w:rPr>
          <w:rFonts w:hint="eastAsia" w:asciiTheme="minorEastAsia" w:hAnsiTheme="minorEastAsia" w:eastAsiaTheme="minorEastAsia" w:cstheme="minorEastAsia"/>
          <w:color w:val="auto"/>
          <w:sz w:val="24"/>
          <w:lang w:val="en-US" w:eastAsia="zh-CN"/>
        </w:rPr>
        <w:t>18</w:t>
      </w:r>
      <w:r>
        <w:rPr>
          <w:rFonts w:hint="eastAsia" w:asciiTheme="minorEastAsia" w:hAnsiTheme="minorEastAsia" w:eastAsiaTheme="minorEastAsia" w:cstheme="minorEastAsia"/>
          <w:color w:val="auto"/>
          <w:sz w:val="24"/>
        </w:rPr>
        <w:t>日每天上午9:00至12:00,下午14:00至17:00（北京时间，法定节假日除外）。</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lang w:eastAsia="zh-CN"/>
        </w:rPr>
        <w:t>招标文件获取方式</w:t>
      </w:r>
      <w:r>
        <w:rPr>
          <w:rFonts w:hint="eastAsia" w:asciiTheme="minorEastAsia" w:hAnsiTheme="minorEastAsia" w:eastAsiaTheme="minorEastAsia" w:cstheme="minorEastAsia"/>
          <w:b/>
          <w:bCs/>
          <w:color w:val="auto"/>
          <w:sz w:val="24"/>
        </w:rPr>
        <w:t>：</w:t>
      </w:r>
      <w:r>
        <w:rPr>
          <w:rFonts w:hint="eastAsia" w:asciiTheme="minorEastAsia" w:hAnsiTheme="minorEastAsia" w:eastAsiaTheme="minorEastAsia" w:cstheme="minorEastAsia"/>
          <w:b w:val="0"/>
          <w:bCs w:val="0"/>
          <w:color w:val="auto"/>
          <w:sz w:val="24"/>
          <w:lang w:eastAsia="zh-CN"/>
        </w:rPr>
        <w:t>投标人</w:t>
      </w:r>
      <w:r>
        <w:rPr>
          <w:rFonts w:hint="eastAsia" w:asciiTheme="minorEastAsia" w:hAnsiTheme="minorEastAsia" w:eastAsiaTheme="minorEastAsia" w:cstheme="minorEastAsia"/>
          <w:color w:val="auto"/>
          <w:sz w:val="24"/>
        </w:rPr>
        <w:t>从“政府采购云平台”获取采购文件（网址：https://www.zcygov.cn）。登录政府采购云平台—项目采购—获取采购文件—申请获取采购文件。</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（1）本项目</w:t>
      </w:r>
      <w:r>
        <w:rPr>
          <w:rFonts w:hint="eastAsia" w:asciiTheme="minorEastAsia" w:hAnsiTheme="minorEastAsia" w:eastAsiaTheme="minorEastAsia" w:cstheme="minorEastAsia"/>
          <w:color w:val="auto"/>
          <w:sz w:val="24"/>
          <w:lang w:eastAsia="zh-CN"/>
        </w:rPr>
        <w:t>招标</w:t>
      </w:r>
      <w:r>
        <w:rPr>
          <w:rFonts w:hint="eastAsia" w:asciiTheme="minorEastAsia" w:hAnsiTheme="minorEastAsia" w:eastAsiaTheme="minorEastAsia" w:cstheme="minorEastAsia"/>
          <w:color w:val="auto"/>
          <w:sz w:val="24"/>
        </w:rPr>
        <w:t>文件免费获取。</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只有在“政府采购云平台”完成获取</w:t>
      </w:r>
      <w:r>
        <w:rPr>
          <w:rFonts w:hint="eastAsia" w:asciiTheme="minorEastAsia" w:hAnsiTheme="minorEastAsia" w:eastAsiaTheme="minorEastAsia" w:cstheme="minorEastAsia"/>
          <w:color w:val="auto"/>
          <w:sz w:val="24"/>
          <w:lang w:eastAsia="zh-CN"/>
        </w:rPr>
        <w:t>招标</w:t>
      </w:r>
      <w:r>
        <w:rPr>
          <w:rFonts w:hint="eastAsia" w:asciiTheme="minorEastAsia" w:hAnsiTheme="minorEastAsia" w:eastAsiaTheme="minorEastAsia" w:cstheme="minorEastAsia"/>
          <w:color w:val="auto"/>
          <w:sz w:val="24"/>
        </w:rPr>
        <w:t>文件申请并下载</w:t>
      </w:r>
      <w:r>
        <w:rPr>
          <w:rFonts w:hint="eastAsia" w:asciiTheme="minorEastAsia" w:hAnsiTheme="minorEastAsia" w:eastAsiaTheme="minorEastAsia" w:cstheme="minorEastAsia"/>
          <w:color w:val="auto"/>
          <w:sz w:val="24"/>
          <w:lang w:eastAsia="zh-CN"/>
        </w:rPr>
        <w:t>招标</w:t>
      </w:r>
      <w:r>
        <w:rPr>
          <w:rFonts w:hint="eastAsia" w:asciiTheme="minorEastAsia" w:hAnsiTheme="minorEastAsia" w:eastAsiaTheme="minorEastAsia" w:cstheme="minorEastAsia"/>
          <w:color w:val="auto"/>
          <w:sz w:val="24"/>
        </w:rPr>
        <w:t>文件后才视作依法参与本项目。如未在“政府采购云平台”内完成相关流程，引起的投标无效责任自负。</w:t>
      </w:r>
    </w:p>
    <w:p>
      <w:pPr>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（3）本项目为电子招标投标项目，投标人参与本项目全过程中凡涉及系统操作请详见《供应商政府采购项目电子交易操作指南》。（操作指南以政府采购云平台网站发布为准，获取方式详见：附件</w:t>
      </w:r>
      <w:r>
        <w:rPr>
          <w:rFonts w:hint="eastAsia" w:asciiTheme="minorEastAsia" w:hAnsiTheme="minorEastAsia" w:eastAsiaTheme="minorEastAsia" w:cstheme="minorEastAsia"/>
          <w:color w:val="auto"/>
          <w:sz w:val="24"/>
          <w:lang w:eastAsia="zh-CN"/>
        </w:rPr>
        <w:t>四</w:t>
      </w:r>
      <w:r>
        <w:rPr>
          <w:rFonts w:hint="eastAsia" w:asciiTheme="minorEastAsia" w:hAnsiTheme="minorEastAsia" w:eastAsiaTheme="minorEastAsia" w:cstheme="minorEastAsia"/>
          <w:color w:val="auto"/>
          <w:sz w:val="24"/>
        </w:rPr>
        <w:t>-政府采购云平台使用介绍）。</w:t>
      </w:r>
    </w:p>
    <w:p>
      <w:pPr>
        <w:spacing w:line="360" w:lineRule="auto"/>
        <w:ind w:firstLine="482" w:firstLineChars="200"/>
        <w:rPr>
          <w:rFonts w:hint="eastAsia" w:asciiTheme="minorEastAsia" w:hAnsiTheme="minorEastAsia" w:eastAsiaTheme="minorEastAsia" w:cstheme="minorEastAsia"/>
          <w:b/>
          <w:bCs/>
          <w:color w:val="auto"/>
          <w:sz w:val="24"/>
          <w:lang w:val="en-US" w:eastAsia="zh-CN"/>
        </w:rPr>
      </w:pPr>
      <w:r>
        <w:rPr>
          <w:rFonts w:hint="eastAsia" w:asciiTheme="minorEastAsia" w:hAnsiTheme="minorEastAsia" w:eastAsiaTheme="minorEastAsia" w:cstheme="minorEastAsia"/>
          <w:b/>
          <w:color w:val="auto"/>
          <w:sz w:val="24"/>
          <w:szCs w:val="28"/>
          <w:lang w:eastAsia="zh-CN"/>
        </w:rPr>
        <w:t>十</w:t>
      </w:r>
      <w:r>
        <w:rPr>
          <w:rFonts w:hint="eastAsia" w:asciiTheme="minorEastAsia" w:hAnsiTheme="minorEastAsia" w:eastAsiaTheme="minorEastAsia" w:cstheme="minorEastAsia"/>
          <w:b/>
          <w:color w:val="auto"/>
          <w:sz w:val="24"/>
          <w:szCs w:val="28"/>
        </w:rPr>
        <w:t>、递交投标文件</w:t>
      </w:r>
      <w:r>
        <w:rPr>
          <w:rFonts w:hint="eastAsia" w:asciiTheme="minorEastAsia" w:hAnsiTheme="minorEastAsia" w:eastAsiaTheme="minorEastAsia" w:cstheme="minorEastAsia"/>
          <w:b/>
          <w:color w:val="auto"/>
          <w:sz w:val="24"/>
          <w:szCs w:val="28"/>
          <w:lang w:eastAsia="zh-CN"/>
        </w:rPr>
        <w:t>截止</w:t>
      </w:r>
      <w:r>
        <w:rPr>
          <w:rFonts w:hint="eastAsia" w:asciiTheme="minorEastAsia" w:hAnsiTheme="minorEastAsia" w:eastAsiaTheme="minorEastAsia" w:cstheme="minorEastAsia"/>
          <w:b/>
          <w:color w:val="auto"/>
          <w:sz w:val="24"/>
          <w:szCs w:val="28"/>
        </w:rPr>
        <w:t>时间：</w:t>
      </w:r>
      <w:r>
        <w:rPr>
          <w:rFonts w:hint="eastAsia" w:asciiTheme="minorEastAsia" w:hAnsiTheme="minorEastAsia" w:eastAsiaTheme="minorEastAsia" w:cstheme="minorEastAsia"/>
          <w:b/>
          <w:bCs/>
          <w:color w:val="auto"/>
          <w:sz w:val="24"/>
          <w:lang w:val="en-US" w:eastAsia="zh-CN"/>
        </w:rPr>
        <w:t>2021年11月1日10:00（北京时间）</w:t>
      </w:r>
    </w:p>
    <w:p>
      <w:pPr>
        <w:pStyle w:val="489"/>
        <w:keepNext w:val="0"/>
        <w:keepLines w:val="0"/>
        <w:pageBreakBefore w:val="0"/>
        <w:widowControl w:val="0"/>
        <w:kinsoku/>
        <w:wordWrap/>
        <w:overflowPunct/>
        <w:topLinePunct w:val="0"/>
        <w:autoSpaceDE/>
        <w:autoSpaceDN/>
        <w:bidi w:val="0"/>
        <w:adjustRightInd/>
        <w:snapToGrid/>
        <w:ind w:firstLine="600" w:firstLineChars="250"/>
        <w:textAlignment w:val="auto"/>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投标截止时间前，投标人应将加密的电子投标文件递交至“政府采购云平台”对应项目（包件）。</w:t>
      </w:r>
    </w:p>
    <w:p>
      <w:pPr>
        <w:spacing w:line="360" w:lineRule="auto"/>
        <w:ind w:firstLine="482" w:firstLineChars="200"/>
        <w:rPr>
          <w:rFonts w:hint="eastAsia" w:asciiTheme="minorEastAsia" w:hAnsiTheme="minorEastAsia" w:eastAsiaTheme="minorEastAsia" w:cstheme="minorEastAsia"/>
          <w:color w:val="auto"/>
          <w:sz w:val="24"/>
          <w:szCs w:val="28"/>
        </w:rPr>
      </w:pPr>
      <w:r>
        <w:rPr>
          <w:rFonts w:hint="eastAsia" w:asciiTheme="minorEastAsia" w:hAnsiTheme="minorEastAsia" w:eastAsiaTheme="minorEastAsia" w:cstheme="minorEastAsia"/>
          <w:b/>
          <w:color w:val="auto"/>
          <w:sz w:val="24"/>
        </w:rPr>
        <w:t>十</w:t>
      </w:r>
      <w:r>
        <w:rPr>
          <w:rFonts w:hint="eastAsia" w:asciiTheme="minorEastAsia" w:hAnsiTheme="minorEastAsia" w:eastAsiaTheme="minorEastAsia" w:cstheme="minorEastAsia"/>
          <w:b/>
          <w:color w:val="auto"/>
          <w:sz w:val="24"/>
          <w:lang w:eastAsia="zh-CN"/>
        </w:rPr>
        <w:t>一</w:t>
      </w:r>
      <w:r>
        <w:rPr>
          <w:rFonts w:hint="eastAsia" w:asciiTheme="minorEastAsia" w:hAnsiTheme="minorEastAsia" w:eastAsiaTheme="minorEastAsia" w:cstheme="minorEastAsia"/>
          <w:b/>
          <w:color w:val="auto"/>
          <w:sz w:val="24"/>
        </w:rPr>
        <w:t>、开标时间：</w:t>
      </w:r>
      <w:r>
        <w:rPr>
          <w:rFonts w:hint="eastAsia" w:asciiTheme="minorEastAsia" w:hAnsiTheme="minorEastAsia" w:eastAsiaTheme="minorEastAsia" w:cstheme="minorEastAsia"/>
          <w:b/>
          <w:bCs/>
          <w:color w:val="auto"/>
          <w:sz w:val="24"/>
          <w:lang w:val="en-US" w:eastAsia="zh-CN"/>
        </w:rPr>
        <w:t>2021年11月1日10:00（北京时间）</w:t>
      </w:r>
      <w:r>
        <w:rPr>
          <w:rFonts w:hint="eastAsia" w:asciiTheme="minorEastAsia" w:hAnsiTheme="minorEastAsia" w:eastAsiaTheme="minorEastAsia" w:cstheme="minorEastAsia"/>
          <w:color w:val="auto"/>
          <w:sz w:val="24"/>
          <w:szCs w:val="28"/>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color w:val="auto"/>
          <w:sz w:val="24"/>
          <w:szCs w:val="28"/>
        </w:rPr>
      </w:pPr>
      <w:r>
        <w:rPr>
          <w:rFonts w:hint="eastAsia" w:asciiTheme="minorEastAsia" w:hAnsiTheme="minorEastAsia" w:eastAsiaTheme="minorEastAsia" w:cstheme="minorEastAsia"/>
          <w:b/>
          <w:color w:val="auto"/>
          <w:sz w:val="24"/>
        </w:rPr>
        <w:t>十</w:t>
      </w:r>
      <w:r>
        <w:rPr>
          <w:rFonts w:hint="eastAsia" w:asciiTheme="minorEastAsia" w:hAnsiTheme="minorEastAsia" w:eastAsiaTheme="minorEastAsia" w:cstheme="minorEastAsia"/>
          <w:b/>
          <w:color w:val="auto"/>
          <w:sz w:val="24"/>
          <w:lang w:eastAsia="zh-CN"/>
        </w:rPr>
        <w:t>二</w:t>
      </w:r>
      <w:r>
        <w:rPr>
          <w:rFonts w:hint="eastAsia" w:asciiTheme="minorEastAsia" w:hAnsiTheme="minorEastAsia" w:eastAsiaTheme="minorEastAsia" w:cstheme="minorEastAsia"/>
          <w:b/>
          <w:color w:val="auto"/>
          <w:sz w:val="24"/>
          <w:szCs w:val="28"/>
        </w:rPr>
        <w:t>、开标地点：</w:t>
      </w:r>
    </w:p>
    <w:p>
      <w:pPr>
        <w:pStyle w:val="489"/>
        <w:keepNext w:val="0"/>
        <w:keepLines w:val="0"/>
        <w:pageBreakBefore w:val="0"/>
        <w:widowControl w:val="0"/>
        <w:kinsoku/>
        <w:wordWrap/>
        <w:overflowPunct/>
        <w:topLinePunct w:val="0"/>
        <w:autoSpaceDE/>
        <w:autoSpaceDN/>
        <w:bidi w:val="0"/>
        <w:adjustRightInd/>
        <w:snapToGrid/>
        <w:ind w:firstLine="600" w:firstLineChars="250"/>
        <w:textAlignment w:val="auto"/>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（1）本项目为不见面开标项目。</w:t>
      </w:r>
    </w:p>
    <w:p>
      <w:pPr>
        <w:pStyle w:val="489"/>
        <w:keepNext w:val="0"/>
        <w:keepLines w:val="0"/>
        <w:pageBreakBefore w:val="0"/>
        <w:widowControl w:val="0"/>
        <w:kinsoku/>
        <w:wordWrap/>
        <w:overflowPunct/>
        <w:topLinePunct w:val="0"/>
        <w:autoSpaceDE/>
        <w:autoSpaceDN/>
        <w:bidi w:val="0"/>
        <w:adjustRightInd/>
        <w:snapToGrid/>
        <w:ind w:firstLine="600" w:firstLineChars="250"/>
        <w:textAlignment w:val="auto"/>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（2）开标地点：政府采购云平台(https://www.zcygov.cn)</w:t>
      </w:r>
    </w:p>
    <w:p>
      <w:pPr>
        <w:pStyle w:val="489"/>
        <w:keepNext w:val="0"/>
        <w:keepLines w:val="0"/>
        <w:pageBreakBefore w:val="0"/>
        <w:widowControl w:val="0"/>
        <w:kinsoku/>
        <w:wordWrap/>
        <w:overflowPunct/>
        <w:topLinePunct w:val="0"/>
        <w:autoSpaceDE/>
        <w:autoSpaceDN/>
        <w:bidi w:val="0"/>
        <w:adjustRightInd/>
        <w:snapToGrid/>
        <w:ind w:firstLine="600" w:firstLineChars="250"/>
        <w:textAlignment w:val="auto"/>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（3）本项目只接受投标人加密并递交至“政府采购云平台”的投标文件。</w:t>
      </w:r>
    </w:p>
    <w:p>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color w:val="auto"/>
          <w:sz w:val="24"/>
          <w:szCs w:val="28"/>
        </w:rPr>
      </w:pPr>
      <w:r>
        <w:rPr>
          <w:rFonts w:hint="eastAsia" w:asciiTheme="minorEastAsia" w:hAnsiTheme="minorEastAsia" w:eastAsiaTheme="minorEastAsia" w:cstheme="minorEastAsia"/>
          <w:b/>
          <w:color w:val="auto"/>
          <w:sz w:val="24"/>
          <w:szCs w:val="28"/>
          <w:lang w:eastAsia="zh-CN"/>
        </w:rPr>
        <w:t>十三、</w:t>
      </w:r>
      <w:r>
        <w:rPr>
          <w:rFonts w:hint="eastAsia" w:asciiTheme="minorEastAsia" w:hAnsiTheme="minorEastAsia" w:eastAsiaTheme="minorEastAsia" w:cstheme="minorEastAsia"/>
          <w:b/>
          <w:color w:val="auto"/>
          <w:sz w:val="24"/>
          <w:szCs w:val="28"/>
        </w:rPr>
        <w:t>本</w:t>
      </w:r>
      <w:r>
        <w:rPr>
          <w:rFonts w:hint="eastAsia" w:asciiTheme="minorEastAsia" w:hAnsiTheme="minorEastAsia" w:eastAsiaTheme="minorEastAsia" w:cstheme="minorEastAsia"/>
          <w:b/>
          <w:color w:val="auto"/>
          <w:sz w:val="24"/>
          <w:szCs w:val="28"/>
          <w:lang w:eastAsia="zh-CN"/>
        </w:rPr>
        <w:t>项目</w:t>
      </w:r>
      <w:r>
        <w:rPr>
          <w:rFonts w:hint="eastAsia" w:asciiTheme="minorEastAsia" w:hAnsiTheme="minorEastAsia" w:eastAsiaTheme="minorEastAsia" w:cstheme="minorEastAsia"/>
          <w:b/>
          <w:color w:val="auto"/>
          <w:sz w:val="24"/>
          <w:szCs w:val="28"/>
        </w:rPr>
        <w:t>投标邀</w:t>
      </w:r>
      <w:r>
        <w:rPr>
          <w:rFonts w:hint="eastAsia" w:asciiTheme="minorEastAsia" w:hAnsiTheme="minorEastAsia" w:eastAsiaTheme="minorEastAsia" w:cstheme="minorEastAsia"/>
          <w:b/>
          <w:color w:val="auto"/>
          <w:sz w:val="24"/>
          <w:szCs w:val="28"/>
          <w:lang w:val="en-US" w:eastAsia="zh-CN"/>
        </w:rPr>
        <w:t>请在四川政府采购网（http://www.ccgp-sichuan.gov.cn）上以公告形式发布。</w:t>
      </w:r>
    </w:p>
    <w:p>
      <w:pPr>
        <w:pStyle w:val="489"/>
        <w:ind w:firstLine="482"/>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十</w:t>
      </w:r>
      <w:r>
        <w:rPr>
          <w:rFonts w:hint="eastAsia" w:asciiTheme="minorEastAsia" w:hAnsiTheme="minorEastAsia" w:eastAsiaTheme="minorEastAsia" w:cstheme="minorEastAsia"/>
          <w:b/>
          <w:color w:val="auto"/>
          <w:sz w:val="24"/>
          <w:lang w:eastAsia="zh-CN"/>
        </w:rPr>
        <w:t>四</w:t>
      </w:r>
      <w:r>
        <w:rPr>
          <w:rFonts w:hint="eastAsia" w:asciiTheme="minorEastAsia" w:hAnsiTheme="minorEastAsia" w:eastAsiaTheme="minorEastAsia" w:cstheme="minorEastAsia"/>
          <w:b/>
          <w:color w:val="auto"/>
          <w:sz w:val="24"/>
        </w:rPr>
        <w:t>、联系方式</w:t>
      </w:r>
    </w:p>
    <w:bookmarkEnd w:id="5"/>
    <w:p>
      <w:pPr>
        <w:pStyle w:val="489"/>
        <w:ind w:firstLine="1068" w:firstLineChars="445"/>
        <w:rPr>
          <w:rFonts w:hint="eastAsia" w:asciiTheme="minorEastAsia" w:hAnsiTheme="minorEastAsia" w:eastAsiaTheme="minorEastAsia" w:cstheme="minorEastAsia"/>
          <w:color w:val="auto"/>
          <w:kern w:val="2"/>
          <w:sz w:val="24"/>
          <w:szCs w:val="24"/>
          <w:lang w:eastAsia="zh-CN"/>
        </w:rPr>
      </w:pPr>
      <w:r>
        <w:rPr>
          <w:rFonts w:hint="eastAsia" w:asciiTheme="minorEastAsia" w:hAnsiTheme="minorEastAsia" w:eastAsiaTheme="minorEastAsia" w:cstheme="minorEastAsia"/>
          <w:color w:val="auto"/>
          <w:kern w:val="2"/>
          <w:sz w:val="24"/>
          <w:szCs w:val="24"/>
        </w:rPr>
        <w:t>采购人：成都市新都区发展和改革局</w:t>
      </w:r>
    </w:p>
    <w:p>
      <w:pPr>
        <w:pStyle w:val="489"/>
        <w:ind w:firstLine="1068" w:firstLineChars="445"/>
        <w:rPr>
          <w:rFonts w:hint="eastAsia"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rPr>
        <w:t>通讯地址：</w:t>
      </w:r>
      <w:r>
        <w:rPr>
          <w:rFonts w:hint="eastAsia" w:asciiTheme="minorEastAsia" w:hAnsiTheme="minorEastAsia" w:eastAsiaTheme="minorEastAsia" w:cstheme="minorEastAsia"/>
          <w:color w:val="auto"/>
          <w:kern w:val="2"/>
          <w:sz w:val="24"/>
          <w:szCs w:val="24"/>
          <w:lang w:eastAsia="zh-CN"/>
        </w:rPr>
        <w:t>成都市新都区静安路469号</w:t>
      </w:r>
    </w:p>
    <w:p>
      <w:pPr>
        <w:pStyle w:val="489"/>
        <w:ind w:firstLine="1068" w:firstLineChars="445"/>
        <w:rPr>
          <w:rFonts w:hint="eastAsia" w:asciiTheme="minorEastAsia" w:hAnsiTheme="minorEastAsia" w:eastAsiaTheme="minorEastAsia" w:cstheme="minorEastAsia"/>
          <w:color w:val="auto"/>
          <w:kern w:val="2"/>
          <w:sz w:val="24"/>
          <w:szCs w:val="24"/>
          <w:lang w:eastAsia="zh-CN"/>
        </w:rPr>
      </w:pPr>
      <w:r>
        <w:rPr>
          <w:rFonts w:hint="eastAsia" w:asciiTheme="minorEastAsia" w:hAnsiTheme="minorEastAsia" w:eastAsiaTheme="minorEastAsia" w:cstheme="minorEastAsia"/>
          <w:color w:val="auto"/>
          <w:kern w:val="2"/>
          <w:sz w:val="24"/>
          <w:szCs w:val="24"/>
        </w:rPr>
        <w:t>联 系 人：王女士</w:t>
      </w:r>
    </w:p>
    <w:p>
      <w:pPr>
        <w:pStyle w:val="489"/>
        <w:ind w:firstLine="1068" w:firstLineChars="445"/>
        <w:rPr>
          <w:rFonts w:hint="eastAsia"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rPr>
        <w:t>联系电话：028-83928008</w:t>
      </w:r>
    </w:p>
    <w:p>
      <w:pPr>
        <w:pStyle w:val="489"/>
        <w:ind w:firstLine="1068" w:firstLineChars="445"/>
        <w:rPr>
          <w:rFonts w:hint="eastAsia" w:asciiTheme="minorEastAsia" w:hAnsiTheme="minorEastAsia" w:eastAsiaTheme="minorEastAsia" w:cstheme="minorEastAsia"/>
          <w:color w:val="auto"/>
          <w:sz w:val="24"/>
          <w:szCs w:val="22"/>
        </w:rPr>
      </w:pPr>
      <w:r>
        <w:rPr>
          <w:rFonts w:hint="eastAsia" w:asciiTheme="minorEastAsia" w:hAnsiTheme="minorEastAsia" w:eastAsiaTheme="minorEastAsia" w:cstheme="minorEastAsia"/>
          <w:color w:val="auto"/>
          <w:sz w:val="24"/>
          <w:szCs w:val="22"/>
        </w:rPr>
        <w:t>采购代理机构：四川协友招标代理有限公司</w:t>
      </w:r>
    </w:p>
    <w:p>
      <w:pPr>
        <w:pStyle w:val="489"/>
        <w:ind w:firstLine="1068" w:firstLineChars="445"/>
        <w:rPr>
          <w:rFonts w:hint="eastAsia" w:asciiTheme="minorEastAsia" w:hAnsiTheme="minorEastAsia" w:eastAsiaTheme="minorEastAsia" w:cstheme="minorEastAsia"/>
          <w:color w:val="auto"/>
          <w:sz w:val="24"/>
          <w:szCs w:val="22"/>
        </w:rPr>
      </w:pPr>
      <w:r>
        <w:rPr>
          <w:rFonts w:hint="eastAsia" w:asciiTheme="minorEastAsia" w:hAnsiTheme="minorEastAsia" w:eastAsiaTheme="minorEastAsia" w:cstheme="minorEastAsia"/>
          <w:color w:val="auto"/>
          <w:sz w:val="24"/>
          <w:szCs w:val="22"/>
        </w:rPr>
        <w:t>通讯地址：成都市金牛区蜀西路48号西城国际506</w:t>
      </w:r>
    </w:p>
    <w:p>
      <w:pPr>
        <w:pStyle w:val="489"/>
        <w:ind w:firstLine="1068" w:firstLineChars="445"/>
        <w:rPr>
          <w:rFonts w:hint="eastAsia" w:asciiTheme="minorEastAsia" w:hAnsiTheme="minorEastAsia" w:eastAsiaTheme="minorEastAsia" w:cstheme="minorEastAsia"/>
          <w:color w:val="auto"/>
          <w:sz w:val="24"/>
          <w:szCs w:val="22"/>
        </w:rPr>
      </w:pPr>
      <w:r>
        <w:rPr>
          <w:rFonts w:hint="eastAsia" w:asciiTheme="minorEastAsia" w:hAnsiTheme="minorEastAsia" w:eastAsiaTheme="minorEastAsia" w:cstheme="minorEastAsia"/>
          <w:color w:val="auto"/>
          <w:sz w:val="24"/>
          <w:szCs w:val="22"/>
        </w:rPr>
        <w:t>联 系 人：</w:t>
      </w:r>
      <w:r>
        <w:rPr>
          <w:rFonts w:hint="eastAsia" w:asciiTheme="minorEastAsia" w:hAnsiTheme="minorEastAsia" w:eastAsiaTheme="minorEastAsia" w:cstheme="minorEastAsia"/>
          <w:color w:val="auto"/>
          <w:sz w:val="24"/>
          <w:szCs w:val="22"/>
          <w:lang w:eastAsia="zh-CN"/>
        </w:rPr>
        <w:t>冯</w:t>
      </w:r>
      <w:r>
        <w:rPr>
          <w:rFonts w:hint="eastAsia" w:asciiTheme="minorEastAsia" w:hAnsiTheme="minorEastAsia" w:eastAsiaTheme="minorEastAsia" w:cstheme="minorEastAsia"/>
          <w:color w:val="auto"/>
          <w:sz w:val="24"/>
          <w:szCs w:val="22"/>
        </w:rPr>
        <w:t>先生</w:t>
      </w:r>
    </w:p>
    <w:p>
      <w:pPr>
        <w:pStyle w:val="489"/>
        <w:ind w:firstLine="1068" w:firstLineChars="445"/>
        <w:rPr>
          <w:rFonts w:hint="eastAsia" w:asciiTheme="minorEastAsia" w:hAnsiTheme="minorEastAsia" w:eastAsiaTheme="minorEastAsia" w:cstheme="minorEastAsia"/>
          <w:color w:val="auto"/>
          <w:sz w:val="24"/>
          <w:szCs w:val="22"/>
        </w:rPr>
      </w:pPr>
      <w:r>
        <w:rPr>
          <w:rFonts w:hint="eastAsia" w:asciiTheme="minorEastAsia" w:hAnsiTheme="minorEastAsia" w:eastAsiaTheme="minorEastAsia" w:cstheme="minorEastAsia"/>
          <w:color w:val="auto"/>
          <w:sz w:val="24"/>
          <w:szCs w:val="22"/>
        </w:rPr>
        <w:t>联系电话：028-87510677</w:t>
      </w:r>
    </w:p>
    <w:p>
      <w:pPr>
        <w:pStyle w:val="4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4"/>
        </w:rPr>
        <w:br w:type="page"/>
      </w:r>
      <w:bookmarkStart w:id="7" w:name="_Toc213397009"/>
      <w:bookmarkStart w:id="8" w:name="_Toc213396945"/>
      <w:bookmarkStart w:id="9" w:name="_Toc213496267"/>
      <w:bookmarkStart w:id="10" w:name="_Toc213396759"/>
      <w:bookmarkStart w:id="11" w:name="_Toc217446031"/>
      <w:bookmarkStart w:id="12" w:name="_Toc1142"/>
      <w:bookmarkStart w:id="13" w:name="_Toc18031"/>
      <w:bookmarkStart w:id="14" w:name="_Toc29385"/>
      <w:r>
        <w:rPr>
          <w:rFonts w:hint="eastAsia" w:asciiTheme="minorEastAsia" w:hAnsiTheme="minorEastAsia" w:eastAsiaTheme="minorEastAsia" w:cstheme="minorEastAsia"/>
          <w:color w:val="auto"/>
        </w:rPr>
        <w:t>第二章  投标人须知</w:t>
      </w:r>
      <w:bookmarkEnd w:id="7"/>
      <w:bookmarkEnd w:id="8"/>
      <w:bookmarkEnd w:id="9"/>
      <w:bookmarkEnd w:id="10"/>
      <w:bookmarkEnd w:id="11"/>
      <w:bookmarkEnd w:id="12"/>
      <w:bookmarkEnd w:id="13"/>
      <w:bookmarkEnd w:id="14"/>
    </w:p>
    <w:p>
      <w:pPr>
        <w:pStyle w:val="4"/>
        <w:spacing w:line="240" w:lineRule="atLeast"/>
        <w:jc w:val="center"/>
        <w:rPr>
          <w:rFonts w:hint="eastAsia" w:asciiTheme="minorEastAsia" w:hAnsiTheme="minorEastAsia" w:eastAsiaTheme="minorEastAsia" w:cstheme="minorEastAsia"/>
          <w:color w:val="auto"/>
          <w:sz w:val="30"/>
          <w:szCs w:val="30"/>
        </w:rPr>
      </w:pPr>
      <w:bookmarkStart w:id="15" w:name="_Toc189727030"/>
      <w:bookmarkStart w:id="16" w:name="_Toc213496268"/>
      <w:bookmarkStart w:id="17" w:name="_Toc213396760"/>
      <w:bookmarkStart w:id="18" w:name="_Toc213396946"/>
      <w:bookmarkStart w:id="19" w:name="_Toc213397010"/>
      <w:bookmarkStart w:id="20" w:name="_Toc217446032"/>
      <w:r>
        <w:rPr>
          <w:rFonts w:hint="eastAsia" w:asciiTheme="minorEastAsia" w:hAnsiTheme="minorEastAsia" w:eastAsiaTheme="minorEastAsia" w:cstheme="minorEastAsia"/>
          <w:color w:val="auto"/>
          <w:sz w:val="30"/>
          <w:szCs w:val="30"/>
        </w:rPr>
        <w:t>一、投标人须知附表</w:t>
      </w:r>
      <w:bookmarkEnd w:id="15"/>
      <w:bookmarkEnd w:id="16"/>
      <w:bookmarkEnd w:id="17"/>
      <w:bookmarkEnd w:id="18"/>
      <w:bookmarkEnd w:id="19"/>
      <w:bookmarkEnd w:id="20"/>
    </w:p>
    <w:tbl>
      <w:tblPr>
        <w:tblStyle w:val="46"/>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978"/>
        <w:gridCol w:w="2171"/>
        <w:gridCol w:w="6357"/>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tblHeader/>
          <w:jc w:val="center"/>
        </w:trPr>
        <w:tc>
          <w:tcPr>
            <w:tcW w:w="978" w:type="dxa"/>
            <w:vAlign w:val="center"/>
          </w:tcPr>
          <w:p>
            <w:pPr>
              <w:pStyle w:val="394"/>
              <w:spacing w:line="36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序号</w:t>
            </w:r>
          </w:p>
        </w:tc>
        <w:tc>
          <w:tcPr>
            <w:tcW w:w="2171" w:type="dxa"/>
            <w:vAlign w:val="center"/>
          </w:tcPr>
          <w:p>
            <w:pPr>
              <w:pStyle w:val="394"/>
              <w:spacing w:line="36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应知事项</w:t>
            </w:r>
          </w:p>
        </w:tc>
        <w:tc>
          <w:tcPr>
            <w:tcW w:w="6357" w:type="dxa"/>
            <w:vAlign w:val="center"/>
          </w:tcPr>
          <w:p>
            <w:pPr>
              <w:pStyle w:val="394"/>
              <w:spacing w:line="360" w:lineRule="auto"/>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94" w:hRule="atLeast"/>
          <w:jc w:val="center"/>
        </w:trPr>
        <w:tc>
          <w:tcPr>
            <w:tcW w:w="978" w:type="dxa"/>
            <w:vMerge w:val="restart"/>
            <w:vAlign w:val="center"/>
          </w:tcPr>
          <w:p>
            <w:pPr>
              <w:pStyle w:val="394"/>
              <w:spacing w:line="36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1</w:t>
            </w:r>
          </w:p>
        </w:tc>
        <w:tc>
          <w:tcPr>
            <w:tcW w:w="2171" w:type="dxa"/>
            <w:vAlign w:val="center"/>
          </w:tcPr>
          <w:p>
            <w:pPr>
              <w:pStyle w:val="394"/>
              <w:spacing w:line="36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采购预算</w:t>
            </w:r>
          </w:p>
          <w:p>
            <w:pPr>
              <w:pStyle w:val="394"/>
              <w:spacing w:line="36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（实质性要求）</w:t>
            </w:r>
          </w:p>
        </w:tc>
        <w:tc>
          <w:tcPr>
            <w:tcW w:w="6357" w:type="dxa"/>
            <w:vAlign w:val="center"/>
          </w:tcPr>
          <w:p>
            <w:pPr>
              <w:pStyle w:val="394"/>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本项目属于</w:t>
            </w:r>
            <w:r>
              <w:rPr>
                <w:rFonts w:hint="eastAsia" w:asciiTheme="minorEastAsia" w:hAnsiTheme="minorEastAsia" w:eastAsiaTheme="minorEastAsia" w:cstheme="minorEastAsia"/>
                <w:color w:val="auto"/>
                <w:sz w:val="21"/>
                <w:szCs w:val="21"/>
                <w:u w:val="single"/>
                <w:lang w:val="en-US" w:eastAsia="zh-CN"/>
              </w:rPr>
              <w:t xml:space="preserve"> 租赁和商务服务 </w:t>
            </w:r>
            <w:r>
              <w:rPr>
                <w:rFonts w:hint="eastAsia" w:asciiTheme="minorEastAsia" w:hAnsiTheme="minorEastAsia" w:eastAsiaTheme="minorEastAsia" w:cstheme="minorEastAsia"/>
                <w:color w:val="auto"/>
                <w:sz w:val="21"/>
                <w:szCs w:val="21"/>
                <w:lang w:val="en-US" w:eastAsia="zh-CN"/>
              </w:rPr>
              <w:t>行业；本项目采购预算品目为</w:t>
            </w:r>
            <w:r>
              <w:rPr>
                <w:rFonts w:hint="eastAsia" w:asciiTheme="minorEastAsia" w:hAnsiTheme="minorEastAsia" w:eastAsiaTheme="minorEastAsia" w:cstheme="minorEastAsia"/>
                <w:color w:val="auto"/>
                <w:sz w:val="21"/>
                <w:szCs w:val="21"/>
                <w:u w:val="single"/>
                <w:lang w:val="en-US" w:eastAsia="zh-CN"/>
              </w:rPr>
              <w:t xml:space="preserve"> 工程造价咨询服务 </w:t>
            </w:r>
            <w:r>
              <w:rPr>
                <w:rFonts w:hint="eastAsia" w:asciiTheme="minorEastAsia" w:hAnsiTheme="minorEastAsia" w:eastAsiaTheme="minorEastAsia" w:cstheme="minorEastAsia"/>
                <w:color w:val="auto"/>
                <w:sz w:val="21"/>
                <w:szCs w:val="21"/>
                <w:lang w:val="en-US" w:eastAsia="zh-CN"/>
              </w:rPr>
              <w:t>，预算金额为人民币850万元/年。（第1包预算金额：510万元/年；第2包预算金额：340万元/年)</w:t>
            </w:r>
            <w:r>
              <w:rPr>
                <w:rFonts w:hint="eastAsia" w:asciiTheme="minorEastAsia" w:hAnsiTheme="minorEastAsia" w:eastAsiaTheme="minorEastAsia" w:cstheme="minorEastAsia"/>
                <w:color w:val="auto"/>
                <w:sz w:val="21"/>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98" w:hRule="atLeast"/>
          <w:jc w:val="center"/>
        </w:trPr>
        <w:tc>
          <w:tcPr>
            <w:tcW w:w="978" w:type="dxa"/>
            <w:vMerge w:val="continue"/>
            <w:vAlign w:val="center"/>
          </w:tcPr>
          <w:p>
            <w:pPr>
              <w:pStyle w:val="394"/>
              <w:spacing w:line="360" w:lineRule="auto"/>
              <w:ind w:left="38"/>
              <w:jc w:val="center"/>
              <w:rPr>
                <w:rFonts w:hint="eastAsia" w:asciiTheme="minorEastAsia" w:hAnsiTheme="minorEastAsia" w:eastAsiaTheme="minorEastAsia" w:cstheme="minorEastAsia"/>
                <w:color w:val="auto"/>
                <w:sz w:val="21"/>
                <w:szCs w:val="21"/>
                <w:lang w:val="zh-CN"/>
              </w:rPr>
            </w:pPr>
          </w:p>
        </w:tc>
        <w:tc>
          <w:tcPr>
            <w:tcW w:w="2171" w:type="dxa"/>
            <w:vAlign w:val="center"/>
          </w:tcPr>
          <w:p>
            <w:pPr>
              <w:pStyle w:val="394"/>
              <w:spacing w:line="36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最高限价</w:t>
            </w:r>
          </w:p>
          <w:p>
            <w:pPr>
              <w:pStyle w:val="394"/>
              <w:spacing w:line="36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（实质性要求）</w:t>
            </w:r>
          </w:p>
        </w:tc>
        <w:tc>
          <w:tcPr>
            <w:tcW w:w="6357" w:type="dxa"/>
            <w:vAlign w:val="center"/>
          </w:tcPr>
          <w:p>
            <w:pPr>
              <w:pStyle w:val="394"/>
              <w:spacing w:line="360" w:lineRule="auto"/>
              <w:ind w:left="38"/>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第1包为：</w:t>
            </w:r>
            <w:r>
              <w:rPr>
                <w:rFonts w:hint="eastAsia" w:asciiTheme="minorEastAsia" w:hAnsiTheme="minorEastAsia" w:eastAsiaTheme="minorEastAsia" w:cstheme="minorEastAsia"/>
                <w:color w:val="auto"/>
                <w:sz w:val="21"/>
                <w:szCs w:val="21"/>
                <w:lang w:val="en-US" w:eastAsia="zh-CN"/>
              </w:rPr>
              <w:t>510</w:t>
            </w:r>
            <w:r>
              <w:rPr>
                <w:rFonts w:hint="eastAsia" w:asciiTheme="minorEastAsia" w:hAnsiTheme="minorEastAsia" w:eastAsiaTheme="minorEastAsia" w:cstheme="minorEastAsia"/>
                <w:color w:val="auto"/>
                <w:sz w:val="21"/>
                <w:szCs w:val="21"/>
                <w:lang w:val="zh-CN"/>
              </w:rPr>
              <w:t>万元</w:t>
            </w:r>
            <w:r>
              <w:rPr>
                <w:rFonts w:hint="eastAsia" w:asciiTheme="minorEastAsia" w:hAnsiTheme="minorEastAsia" w:eastAsiaTheme="minorEastAsia" w:cstheme="minorEastAsia"/>
                <w:color w:val="auto"/>
                <w:sz w:val="21"/>
                <w:szCs w:val="21"/>
                <w:lang w:val="en-US" w:eastAsia="zh-CN"/>
              </w:rPr>
              <w:t>/年</w:t>
            </w:r>
            <w:r>
              <w:rPr>
                <w:rFonts w:hint="eastAsia" w:asciiTheme="minorEastAsia" w:hAnsiTheme="minorEastAsia" w:eastAsiaTheme="minorEastAsia" w:cstheme="minorEastAsia"/>
                <w:color w:val="auto"/>
                <w:sz w:val="21"/>
                <w:szCs w:val="21"/>
                <w:lang w:val="zh-CN"/>
              </w:rPr>
              <w:t>；第2包为：</w:t>
            </w:r>
            <w:r>
              <w:rPr>
                <w:rFonts w:hint="eastAsia" w:asciiTheme="minorEastAsia" w:hAnsiTheme="minorEastAsia" w:eastAsiaTheme="minorEastAsia" w:cstheme="minorEastAsia"/>
                <w:color w:val="auto"/>
                <w:sz w:val="21"/>
                <w:szCs w:val="21"/>
                <w:lang w:val="en-US" w:eastAsia="zh-CN"/>
              </w:rPr>
              <w:t>340</w:t>
            </w:r>
            <w:r>
              <w:rPr>
                <w:rFonts w:hint="eastAsia" w:asciiTheme="minorEastAsia" w:hAnsiTheme="minorEastAsia" w:eastAsiaTheme="minorEastAsia" w:cstheme="minorEastAsia"/>
                <w:color w:val="auto"/>
                <w:sz w:val="21"/>
                <w:szCs w:val="21"/>
                <w:lang w:val="zh-CN"/>
              </w:rPr>
              <w:t>万元</w:t>
            </w:r>
            <w:r>
              <w:rPr>
                <w:rFonts w:hint="eastAsia" w:asciiTheme="minorEastAsia" w:hAnsiTheme="minorEastAsia" w:eastAsiaTheme="minorEastAsia" w:cstheme="minorEastAsia"/>
                <w:color w:val="auto"/>
                <w:sz w:val="21"/>
                <w:szCs w:val="21"/>
                <w:lang w:val="en-US" w:eastAsia="zh-CN"/>
              </w:rPr>
              <w:t>/年</w:t>
            </w:r>
            <w:r>
              <w:rPr>
                <w:rFonts w:hint="eastAsia" w:asciiTheme="minorEastAsia" w:hAnsiTheme="minorEastAsia" w:eastAsiaTheme="minorEastAsia" w:cstheme="minorEastAsia"/>
                <w:color w:val="auto"/>
                <w:sz w:val="21"/>
                <w:szCs w:val="21"/>
                <w:lang w:val="zh-CN"/>
              </w:rPr>
              <w:t>。</w:t>
            </w:r>
          </w:p>
          <w:p>
            <w:pPr>
              <w:pStyle w:val="394"/>
              <w:spacing w:line="360" w:lineRule="auto"/>
              <w:ind w:left="38"/>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本项目采用固定价格进行采购，投标人投标报价时须填报“按照《咨询机构费用管理》计费标准的100%计取。”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90" w:hRule="atLeast"/>
          <w:jc w:val="center"/>
        </w:trPr>
        <w:tc>
          <w:tcPr>
            <w:tcW w:w="978" w:type="dxa"/>
            <w:vMerge w:val="continue"/>
            <w:vAlign w:val="center"/>
          </w:tcPr>
          <w:p>
            <w:pPr>
              <w:pStyle w:val="394"/>
              <w:spacing w:line="360" w:lineRule="auto"/>
              <w:ind w:left="38"/>
              <w:jc w:val="center"/>
              <w:rPr>
                <w:rFonts w:hint="eastAsia" w:asciiTheme="minorEastAsia" w:hAnsiTheme="minorEastAsia" w:eastAsiaTheme="minorEastAsia" w:cstheme="minorEastAsia"/>
                <w:color w:val="auto"/>
                <w:sz w:val="21"/>
                <w:szCs w:val="21"/>
                <w:lang w:val="zh-CN"/>
              </w:rPr>
            </w:pPr>
          </w:p>
        </w:tc>
        <w:tc>
          <w:tcPr>
            <w:tcW w:w="2171" w:type="dxa"/>
            <w:vAlign w:val="center"/>
          </w:tcPr>
          <w:p>
            <w:pPr>
              <w:pStyle w:val="394"/>
              <w:spacing w:line="36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是否专门面向中小</w:t>
            </w:r>
          </w:p>
          <w:p>
            <w:pPr>
              <w:pStyle w:val="394"/>
              <w:spacing w:line="36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企业（实质性要求）</w:t>
            </w:r>
          </w:p>
        </w:tc>
        <w:tc>
          <w:tcPr>
            <w:tcW w:w="6357" w:type="dxa"/>
            <w:vAlign w:val="center"/>
          </w:tcPr>
          <w:p>
            <w:pPr>
              <w:pStyle w:val="394"/>
              <w:spacing w:line="360" w:lineRule="auto"/>
              <w:ind w:left="38"/>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是（监狱企业、残疾人福利性单位视同为小微企业）</w:t>
            </w:r>
            <w:r>
              <w:rPr>
                <w:rFonts w:hint="eastAsia" w:asciiTheme="minorEastAsia" w:hAnsiTheme="minorEastAsia" w:eastAsiaTheme="minorEastAsia" w:cstheme="minorEastAsia"/>
                <w:color w:val="auto"/>
                <w:sz w:val="21"/>
                <w:szCs w:val="21"/>
                <w:lang w:eastAsia="zh-CN"/>
              </w:rPr>
              <w:t>，若以联合体形式参加投标的联合体各成员均须为中小微企业，非中小微企业禁止参加本次采购活动。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398" w:hRule="atLeast"/>
          <w:jc w:val="center"/>
        </w:trPr>
        <w:tc>
          <w:tcPr>
            <w:tcW w:w="978" w:type="dxa"/>
            <w:vAlign w:val="center"/>
          </w:tcPr>
          <w:p>
            <w:pPr>
              <w:pStyle w:val="394"/>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2</w:t>
            </w:r>
          </w:p>
        </w:tc>
        <w:tc>
          <w:tcPr>
            <w:tcW w:w="2171" w:type="dxa"/>
            <w:vAlign w:val="center"/>
          </w:tcPr>
          <w:p>
            <w:pPr>
              <w:pStyle w:val="394"/>
              <w:spacing w:line="24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采购方式</w:t>
            </w:r>
          </w:p>
        </w:tc>
        <w:tc>
          <w:tcPr>
            <w:tcW w:w="6357" w:type="dxa"/>
            <w:vAlign w:val="center"/>
          </w:tcPr>
          <w:p>
            <w:pPr>
              <w:rPr>
                <w:rFonts w:hint="eastAsia" w:asciiTheme="minorEastAsia" w:hAnsiTheme="minorEastAsia" w:eastAsiaTheme="minorEastAsia" w:cstheme="minorEastAsia"/>
                <w:color w:val="auto"/>
                <w:sz w:val="34"/>
                <w:lang w:val="en-US" w:eastAsia="zh-CN" w:bidi="ar-SA"/>
              </w:rPr>
            </w:pPr>
            <w:r>
              <w:rPr>
                <w:rFonts w:hint="eastAsia" w:asciiTheme="minorEastAsia" w:hAnsiTheme="minorEastAsia" w:eastAsiaTheme="minorEastAsia" w:cstheme="minorEastAsia"/>
                <w:color w:val="auto"/>
                <w:sz w:val="21"/>
                <w:szCs w:val="21"/>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20" w:hRule="atLeast"/>
          <w:jc w:val="center"/>
        </w:trPr>
        <w:tc>
          <w:tcPr>
            <w:tcW w:w="978" w:type="dxa"/>
            <w:vAlign w:val="center"/>
          </w:tcPr>
          <w:p>
            <w:pPr>
              <w:pStyle w:val="394"/>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3</w:t>
            </w:r>
          </w:p>
        </w:tc>
        <w:tc>
          <w:tcPr>
            <w:tcW w:w="2171" w:type="dxa"/>
            <w:vAlign w:val="center"/>
          </w:tcPr>
          <w:p>
            <w:pPr>
              <w:pStyle w:val="394"/>
              <w:spacing w:line="36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联合体（实质性要求）</w:t>
            </w:r>
          </w:p>
        </w:tc>
        <w:tc>
          <w:tcPr>
            <w:tcW w:w="6357" w:type="dxa"/>
            <w:vAlign w:val="center"/>
          </w:tcPr>
          <w:p>
            <w:pPr>
              <w:pStyle w:val="394"/>
              <w:spacing w:line="360" w:lineRule="auto"/>
              <w:ind w:firstLine="420" w:firstLineChars="200"/>
              <w:jc w:val="both"/>
              <w:rPr>
                <w:rFonts w:hint="eastAsia" w:asciiTheme="minorEastAsia" w:hAnsiTheme="minorEastAsia" w:eastAsiaTheme="minorEastAsia" w:cstheme="minorEastAsia"/>
                <w:b w:val="0"/>
                <w:bCs w:val="0"/>
                <w:color w:val="auto"/>
                <w:sz w:val="21"/>
                <w:szCs w:val="21"/>
                <w:lang w:val="zh-CN"/>
              </w:rPr>
            </w:pPr>
            <w:r>
              <w:rPr>
                <w:rFonts w:hint="eastAsia" w:asciiTheme="minorEastAsia" w:hAnsiTheme="minorEastAsia" w:eastAsiaTheme="minorEastAsia" w:cstheme="minorEastAsia"/>
                <w:b w:val="0"/>
                <w:bCs w:val="0"/>
                <w:color w:val="auto"/>
                <w:sz w:val="21"/>
                <w:szCs w:val="21"/>
                <w:lang w:val="zh-CN"/>
              </w:rPr>
              <w:t>本项目接受联合体投标，投标人是联合体时，联合体各方应签订联合体投标协议书，并向采购人提交联合协议，明确联合体牵头人和各方权利义务。联合体各方应当共同与采购人签订采购合同，就采购合同约定事项对采购人承担连带责任。以联合体形式参加政府采购活动的，联合体各方不得再单独参加或者与其他供应商另外组成联合体参加本项目同一合同项下（同一包件）的投标。</w:t>
            </w:r>
          </w:p>
          <w:p>
            <w:pPr>
              <w:pStyle w:val="394"/>
              <w:spacing w:line="360" w:lineRule="auto"/>
              <w:ind w:firstLine="420" w:firstLineChars="200"/>
              <w:jc w:val="both"/>
              <w:rPr>
                <w:rFonts w:hint="eastAsia" w:asciiTheme="minorEastAsia" w:hAnsiTheme="minorEastAsia" w:eastAsiaTheme="minorEastAsia" w:cstheme="minorEastAsia"/>
                <w:b/>
                <w:bCs/>
                <w:color w:val="auto"/>
                <w:sz w:val="21"/>
                <w:szCs w:val="21"/>
                <w:lang w:val="zh-CN"/>
              </w:rPr>
            </w:pPr>
            <w:r>
              <w:rPr>
                <w:rFonts w:hint="eastAsia" w:asciiTheme="minorEastAsia" w:hAnsiTheme="minorEastAsia" w:eastAsiaTheme="minorEastAsia" w:cstheme="minorEastAsia"/>
                <w:b w:val="0"/>
                <w:bCs w:val="0"/>
                <w:color w:val="auto"/>
                <w:sz w:val="21"/>
                <w:szCs w:val="21"/>
                <w:lang w:val="zh-CN"/>
              </w:rPr>
              <w:t>根据《中华人民共和国政府采购法实施条例》第二十二条规定，联合体中有同类资质的供应商按照联合体分工承担相同工作的，应当按照资质等级较低的供应商确定资质等级。</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978" w:type="dxa"/>
            <w:vAlign w:val="center"/>
          </w:tcPr>
          <w:p>
            <w:pPr>
              <w:pStyle w:val="394"/>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4</w:t>
            </w:r>
          </w:p>
        </w:tc>
        <w:tc>
          <w:tcPr>
            <w:tcW w:w="2171" w:type="dxa"/>
            <w:vAlign w:val="center"/>
          </w:tcPr>
          <w:p>
            <w:pPr>
              <w:pStyle w:val="394"/>
              <w:spacing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低于成本价</w:t>
            </w:r>
          </w:p>
          <w:p>
            <w:pPr>
              <w:pStyle w:val="394"/>
              <w:spacing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不正当竞争预防措施</w:t>
            </w:r>
          </w:p>
          <w:p>
            <w:pPr>
              <w:pStyle w:val="394"/>
              <w:spacing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（实质性要求）</w:t>
            </w:r>
          </w:p>
        </w:tc>
        <w:tc>
          <w:tcPr>
            <w:tcW w:w="6357" w:type="dxa"/>
            <w:vAlign w:val="center"/>
          </w:tcPr>
          <w:p>
            <w:pPr>
              <w:pStyle w:val="394"/>
              <w:numPr>
                <w:ilvl w:val="0"/>
                <w:numId w:val="5"/>
              </w:numPr>
              <w:spacing w:line="360" w:lineRule="auto"/>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评标委员会认为投标人的报价明显低于其他通过符合性审查投标人的报价，有可能影响产品质量或者不能诚信履约的，应当要求其在合理的时间内提供书面说明，必要时提交相关证明材料（如涉及）</w:t>
            </w: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投标人不能证明其报价合理性的，评标委员会应当将其作为无效投标处理。</w:t>
            </w:r>
          </w:p>
          <w:p>
            <w:pPr>
              <w:pStyle w:val="394"/>
              <w:numPr>
                <w:ilvl w:val="0"/>
                <w:numId w:val="0"/>
              </w:numPr>
              <w:spacing w:line="360" w:lineRule="auto"/>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注：投标人提交的书面说明、相关证明材料（如涉及），应当加盖投标人（法定名称）电子签章，在评标委员会要求的时间内通过政府采购云平台进行递交，否则无效（给予供应商澄清、说明的时间不得少于30分钟，供应商已明确表示澄清、说明完毕的除外）。如因断电、断网、系统故障或其他不可抗力等因素，导致系统无法使用的，由投标人按评标委员会的要求进行澄清或者说明。</w:t>
            </w:r>
          </w:p>
          <w:p>
            <w:pPr>
              <w:pStyle w:val="394"/>
              <w:spacing w:line="360" w:lineRule="auto"/>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投标人</w:t>
            </w:r>
            <w:r>
              <w:rPr>
                <w:rFonts w:hint="eastAsia" w:asciiTheme="minorEastAsia" w:hAnsiTheme="minorEastAsia" w:eastAsiaTheme="minorEastAsia" w:cstheme="minorEastAsia"/>
                <w:color w:val="auto"/>
                <w:sz w:val="21"/>
                <w:szCs w:val="21"/>
              </w:rPr>
              <w:t>的书面说明材料应当按照国家财务会计制度的规定要求，逐项就供应商提供的货物、工程和服务的主营业务成本、税金及附加、销售费用、管理费用、财务费用等成本构成事项详细陈述。</w:t>
            </w:r>
          </w:p>
          <w:p>
            <w:pPr>
              <w:pStyle w:val="394"/>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2. </w:t>
            </w:r>
            <w:r>
              <w:rPr>
                <w:rFonts w:hint="eastAsia" w:asciiTheme="minorEastAsia" w:hAnsiTheme="minorEastAsia" w:eastAsiaTheme="minorEastAsia" w:cstheme="minorEastAsia"/>
                <w:color w:val="auto"/>
                <w:sz w:val="21"/>
                <w:szCs w:val="21"/>
                <w:lang w:eastAsia="zh-CN"/>
              </w:rPr>
              <w:t>投标人</w:t>
            </w:r>
            <w:r>
              <w:rPr>
                <w:rFonts w:hint="eastAsia" w:asciiTheme="minorEastAsia" w:hAnsiTheme="minorEastAsia" w:eastAsiaTheme="minorEastAsia" w:cstheme="minorEastAsia"/>
                <w:color w:val="auto"/>
                <w:sz w:val="21"/>
                <w:szCs w:val="21"/>
              </w:rPr>
              <w:t xml:space="preserve">书面说明应当签字确认或者加盖投标人（法定名称）电子签章，否则无效。书面说明的签字确认，由其法定代表人/主要负责人/本人或者其授权代表签字确认。 </w:t>
            </w:r>
          </w:p>
          <w:p>
            <w:pPr>
              <w:pStyle w:val="394"/>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w:t>
            </w:r>
            <w:r>
              <w:rPr>
                <w:rFonts w:hint="eastAsia" w:asciiTheme="minorEastAsia" w:hAnsiTheme="minorEastAsia" w:eastAsiaTheme="minorEastAsia" w:cstheme="minorEastAsia"/>
                <w:color w:val="auto"/>
                <w:sz w:val="21"/>
                <w:szCs w:val="21"/>
                <w:lang w:eastAsia="zh-CN"/>
              </w:rPr>
              <w:t>投标人</w:t>
            </w:r>
            <w:r>
              <w:rPr>
                <w:rFonts w:hint="eastAsia" w:asciiTheme="minorEastAsia" w:hAnsiTheme="minorEastAsia" w:eastAsiaTheme="minorEastAsia" w:cstheme="minorEastAsia"/>
                <w:color w:val="auto"/>
                <w:sz w:val="21"/>
                <w:szCs w:val="21"/>
              </w:rPr>
              <w:t>提供书面说明后，评审小组应当结合采购项目采购需求、专业实际情况、</w:t>
            </w:r>
            <w:r>
              <w:rPr>
                <w:rFonts w:hint="eastAsia" w:asciiTheme="minorEastAsia" w:hAnsiTheme="minorEastAsia" w:eastAsiaTheme="minorEastAsia" w:cstheme="minorEastAsia"/>
                <w:color w:val="auto"/>
                <w:sz w:val="21"/>
                <w:szCs w:val="21"/>
                <w:lang w:eastAsia="zh-CN"/>
              </w:rPr>
              <w:t>投标人</w:t>
            </w:r>
            <w:r>
              <w:rPr>
                <w:rFonts w:hint="eastAsia" w:asciiTheme="minorEastAsia" w:hAnsiTheme="minorEastAsia" w:eastAsiaTheme="minorEastAsia" w:cstheme="minorEastAsia"/>
                <w:color w:val="auto"/>
                <w:sz w:val="21"/>
                <w:szCs w:val="21"/>
              </w:rPr>
              <w:t>财务状况报告、与其他</w:t>
            </w:r>
            <w:r>
              <w:rPr>
                <w:rFonts w:hint="eastAsia" w:asciiTheme="minorEastAsia" w:hAnsiTheme="minorEastAsia" w:eastAsiaTheme="minorEastAsia" w:cstheme="minorEastAsia"/>
                <w:color w:val="auto"/>
                <w:sz w:val="21"/>
                <w:szCs w:val="21"/>
                <w:lang w:eastAsia="zh-CN"/>
              </w:rPr>
              <w:t>投标人</w:t>
            </w:r>
            <w:r>
              <w:rPr>
                <w:rFonts w:hint="eastAsia" w:asciiTheme="minorEastAsia" w:hAnsiTheme="minorEastAsia" w:eastAsiaTheme="minorEastAsia" w:cstheme="minorEastAsia"/>
                <w:color w:val="auto"/>
                <w:sz w:val="21"/>
                <w:szCs w:val="21"/>
              </w:rPr>
              <w:t>比较情况等就</w:t>
            </w:r>
            <w:r>
              <w:rPr>
                <w:rFonts w:hint="eastAsia" w:asciiTheme="minorEastAsia" w:hAnsiTheme="minorEastAsia" w:eastAsiaTheme="minorEastAsia" w:cstheme="minorEastAsia"/>
                <w:color w:val="auto"/>
                <w:sz w:val="21"/>
                <w:szCs w:val="21"/>
                <w:lang w:eastAsia="zh-CN"/>
              </w:rPr>
              <w:t>投标人</w:t>
            </w:r>
            <w:r>
              <w:rPr>
                <w:rFonts w:hint="eastAsia" w:asciiTheme="minorEastAsia" w:hAnsiTheme="minorEastAsia" w:eastAsiaTheme="minorEastAsia" w:cstheme="minorEastAsia"/>
                <w:color w:val="auto"/>
                <w:sz w:val="21"/>
                <w:szCs w:val="21"/>
              </w:rPr>
              <w:t>书面说明进行审查评价。</w:t>
            </w:r>
            <w:r>
              <w:rPr>
                <w:rFonts w:hint="eastAsia" w:asciiTheme="minorEastAsia" w:hAnsiTheme="minorEastAsia" w:eastAsiaTheme="minorEastAsia" w:cstheme="minorEastAsia"/>
                <w:color w:val="auto"/>
                <w:sz w:val="21"/>
                <w:szCs w:val="21"/>
                <w:lang w:eastAsia="zh-CN"/>
              </w:rPr>
              <w:t>投标人</w:t>
            </w:r>
            <w:r>
              <w:rPr>
                <w:rFonts w:hint="eastAsia" w:asciiTheme="minorEastAsia" w:hAnsiTheme="minorEastAsia" w:eastAsiaTheme="minorEastAsia" w:cstheme="minorEastAsia"/>
                <w:color w:val="auto"/>
                <w:sz w:val="21"/>
                <w:szCs w:val="21"/>
              </w:rPr>
              <w:t>拒绝或者变相拒绝提供有效书面说明或者书面说明不能证明其报价合理性的或未在规定时间内递交有效书面说明书的，评审小组应当将其</w:t>
            </w:r>
            <w:r>
              <w:rPr>
                <w:rFonts w:hint="eastAsia" w:asciiTheme="minorEastAsia" w:hAnsiTheme="minorEastAsia" w:eastAsiaTheme="minorEastAsia" w:cstheme="minorEastAsia"/>
                <w:color w:val="auto"/>
                <w:sz w:val="21"/>
                <w:szCs w:val="21"/>
                <w:lang w:eastAsia="zh-CN"/>
              </w:rPr>
              <w:t>投标</w:t>
            </w:r>
            <w:r>
              <w:rPr>
                <w:rFonts w:hint="eastAsia" w:asciiTheme="minorEastAsia" w:hAnsiTheme="minorEastAsia" w:eastAsiaTheme="minorEastAsia" w:cstheme="minorEastAsia"/>
                <w:color w:val="auto"/>
                <w:sz w:val="21"/>
                <w:szCs w:val="21"/>
              </w:rPr>
              <w:t>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978" w:type="dxa"/>
            <w:vAlign w:val="center"/>
          </w:tcPr>
          <w:p>
            <w:pPr>
              <w:pStyle w:val="394"/>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5</w:t>
            </w:r>
          </w:p>
        </w:tc>
        <w:tc>
          <w:tcPr>
            <w:tcW w:w="2171" w:type="dxa"/>
            <w:vAlign w:val="center"/>
          </w:tcPr>
          <w:p>
            <w:pPr>
              <w:pStyle w:val="394"/>
              <w:spacing w:line="36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小微企业（监狱企业、残疾人福利性单位视同小微企业）价格扣除和失信企业报价加成或者扣分</w:t>
            </w:r>
          </w:p>
          <w:p>
            <w:pPr>
              <w:pStyle w:val="394"/>
              <w:spacing w:line="360" w:lineRule="auto"/>
              <w:ind w:left="38"/>
              <w:jc w:val="center"/>
              <w:rPr>
                <w:rFonts w:hint="eastAsia" w:asciiTheme="minorEastAsia" w:hAnsiTheme="minorEastAsia" w:eastAsiaTheme="minorEastAsia" w:cstheme="minorEastAsia"/>
                <w:color w:val="auto"/>
                <w:sz w:val="21"/>
                <w:szCs w:val="21"/>
                <w:lang w:val="zh-CN"/>
              </w:rPr>
            </w:pPr>
          </w:p>
        </w:tc>
        <w:tc>
          <w:tcPr>
            <w:tcW w:w="6357" w:type="dxa"/>
            <w:vAlign w:val="center"/>
          </w:tcPr>
          <w:p>
            <w:pPr>
              <w:pStyle w:val="394"/>
              <w:spacing w:line="360" w:lineRule="auto"/>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根据《政府采购促进中小企业发展管理办法》（财库〔2020〕46号）、《关于政府采购支持监狱企业发展有关问题的通知》（财库〔2014〕68 号）、《财政部 民政部 中国残疾人联合会关于促进残疾人就业政府采购政策的通知》（财库〔2017〕141号）的规定，在政府采购活动中，监狱企业、残疾人福利性单位视同小型、微型企业，享受预留份额。</w:t>
            </w:r>
          </w:p>
          <w:p>
            <w:pPr>
              <w:pStyle w:val="394"/>
              <w:spacing w:line="360" w:lineRule="auto"/>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一、本项目为专门面向中小型企业采购项目，不涉及小微企业、监狱企业、残疾人福利性单位价格扣除。</w:t>
            </w:r>
          </w:p>
          <w:p>
            <w:pPr>
              <w:pStyle w:val="394"/>
              <w:spacing w:line="360" w:lineRule="auto"/>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1、参加政府采购活动的中小企业应当提供《中小企业声明函》原件。</w:t>
            </w:r>
          </w:p>
          <w:p>
            <w:pPr>
              <w:pStyle w:val="394"/>
              <w:spacing w:line="360" w:lineRule="auto"/>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2、参加政府采购活动的监狱企业应当提供省级以上监狱管理局、戒毒管理局（含新疆生产建设兵团）出具的属于监狱企业的证明文件。</w:t>
            </w:r>
          </w:p>
          <w:p>
            <w:pPr>
              <w:pStyle w:val="394"/>
              <w:spacing w:line="360" w:lineRule="auto"/>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3、参加政府采购活动的残疾人福利性单位应当提供《残疾人福利性单位声明函》原件。</w:t>
            </w:r>
          </w:p>
          <w:p>
            <w:pPr>
              <w:pStyle w:val="394"/>
              <w:spacing w:line="360" w:lineRule="auto"/>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二、失信企业加成</w:t>
            </w:r>
          </w:p>
          <w:p>
            <w:pPr>
              <w:pStyle w:val="394"/>
              <w:spacing w:line="360" w:lineRule="auto"/>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1、记入诚信档案的且在有效期内的失信投标人，在参加政府采购活动中实行直接从总分中扣除3分，且投标人失信行为惩戒实行无限制累加制，直至总分扣完为止。</w:t>
            </w:r>
          </w:p>
          <w:p>
            <w:pPr>
              <w:pStyle w:val="394"/>
              <w:spacing w:line="360" w:lineRule="auto"/>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2、投标人参加政府采购活动时，应当就自己的诚信情况在投标文件中进行承诺。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20" w:hRule="atLeast"/>
          <w:jc w:val="center"/>
        </w:trPr>
        <w:tc>
          <w:tcPr>
            <w:tcW w:w="978" w:type="dxa"/>
            <w:vAlign w:val="center"/>
          </w:tcPr>
          <w:p>
            <w:pPr>
              <w:pStyle w:val="394"/>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6</w:t>
            </w:r>
          </w:p>
        </w:tc>
        <w:tc>
          <w:tcPr>
            <w:tcW w:w="2171" w:type="dxa"/>
            <w:vAlign w:val="center"/>
          </w:tcPr>
          <w:p>
            <w:pPr>
              <w:pStyle w:val="394"/>
              <w:spacing w:line="36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国家规定的强制采购范围 （实质性要求）</w:t>
            </w:r>
          </w:p>
        </w:tc>
        <w:tc>
          <w:tcPr>
            <w:tcW w:w="6357" w:type="dxa"/>
            <w:vAlign w:val="center"/>
          </w:tcPr>
          <w:p>
            <w:pPr>
              <w:pStyle w:val="394"/>
              <w:spacing w:line="360" w:lineRule="auto"/>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严格执行《财政部 发展改革委 生态环境部 市场监管总局关于调整优化节能产品、环境标志产品政府采购执行机制的通知》（财库〔2019〕9号）、关于印发节能产品政府采购品目清单的通知（财库〔2019〕19号）、关于印发环境标志产品政府采购品目清单的通知（财库〔2019〕18号）、市场监管总局关于发布参与实施政府采购节能产品、环境标志产品认证机构名录的公告（2019年第16号），本次投标产品类别属于政府强制采购产品类别的，须按照要求提供依据国家确定的认证机构出具的、处于有效期之内的节能产品或环境标志产品认证证书，否则投标无效；属于政府优先采购产品类别的，须按照要求提供依据国家确定的认证机构出具的、处于有效期之内的节能产品或环境标志产品认证证书，否则不予认定。（不涉及则不适用本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20" w:hRule="atLeast"/>
          <w:jc w:val="center"/>
        </w:trPr>
        <w:tc>
          <w:tcPr>
            <w:tcW w:w="978" w:type="dxa"/>
            <w:vAlign w:val="center"/>
          </w:tcPr>
          <w:p>
            <w:pPr>
              <w:pStyle w:val="394"/>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7</w:t>
            </w:r>
          </w:p>
        </w:tc>
        <w:tc>
          <w:tcPr>
            <w:tcW w:w="2171" w:type="dxa"/>
            <w:vAlign w:val="center"/>
          </w:tcPr>
          <w:p>
            <w:pPr>
              <w:pStyle w:val="394"/>
              <w:spacing w:line="24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参数说明（如有）</w:t>
            </w:r>
          </w:p>
        </w:tc>
        <w:tc>
          <w:tcPr>
            <w:tcW w:w="6357" w:type="dxa"/>
            <w:vAlign w:val="center"/>
          </w:tcPr>
          <w:p>
            <w:pPr>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 w:val="21"/>
                <w:szCs w:val="21"/>
                <w:lang w:val="zh-CN" w:eastAsia="zh-CN" w:bidi="ar-SA"/>
              </w:rPr>
              <w:t>本项目中对未有注明的参数要求，均以标准配置为准。如在各技术参数中指出某些技术参数仅为某一品牌所特有的，仅起说明作用，并没有任何限制性。投标人在投标中可以选用替代标准，但这些替代要实质性相当于技术规格的要求，并提供相关证明材料；在招标文件中有未提及到的技术细节或招标文件中任何条款的叙述中没有明确的规定的，都视为是指国家（或部颁行业）的标准和规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20" w:hRule="atLeast"/>
          <w:jc w:val="center"/>
        </w:trPr>
        <w:tc>
          <w:tcPr>
            <w:tcW w:w="978" w:type="dxa"/>
            <w:vAlign w:val="center"/>
          </w:tcPr>
          <w:p>
            <w:pPr>
              <w:pStyle w:val="394"/>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8</w:t>
            </w:r>
          </w:p>
        </w:tc>
        <w:tc>
          <w:tcPr>
            <w:tcW w:w="2171" w:type="dxa"/>
            <w:vAlign w:val="center"/>
          </w:tcPr>
          <w:p>
            <w:pPr>
              <w:pStyle w:val="394"/>
              <w:spacing w:line="24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构成招标文件的</w:t>
            </w:r>
          </w:p>
          <w:p>
            <w:pPr>
              <w:pStyle w:val="394"/>
              <w:spacing w:line="24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其他文件</w:t>
            </w:r>
          </w:p>
        </w:tc>
        <w:tc>
          <w:tcPr>
            <w:tcW w:w="6357" w:type="dxa"/>
            <w:vAlign w:val="center"/>
          </w:tcPr>
          <w:p>
            <w:pPr>
              <w:pStyle w:val="394"/>
              <w:spacing w:line="24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招标文件的澄清、修改书及有关补充通知为招标文件的有效组成部分。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509" w:hRule="atLeast"/>
          <w:jc w:val="center"/>
        </w:trPr>
        <w:tc>
          <w:tcPr>
            <w:tcW w:w="978" w:type="dxa"/>
            <w:vAlign w:val="center"/>
          </w:tcPr>
          <w:p>
            <w:pPr>
              <w:pStyle w:val="394"/>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9</w:t>
            </w:r>
          </w:p>
        </w:tc>
        <w:tc>
          <w:tcPr>
            <w:tcW w:w="2171" w:type="dxa"/>
            <w:vAlign w:val="center"/>
          </w:tcPr>
          <w:p>
            <w:pPr>
              <w:pStyle w:val="394"/>
              <w:spacing w:line="24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投标有效期</w:t>
            </w:r>
          </w:p>
          <w:p>
            <w:pPr>
              <w:pStyle w:val="394"/>
              <w:spacing w:line="24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（实质性要求）</w:t>
            </w:r>
          </w:p>
        </w:tc>
        <w:tc>
          <w:tcPr>
            <w:tcW w:w="6357" w:type="dxa"/>
            <w:vAlign w:val="center"/>
          </w:tcPr>
          <w:p>
            <w:pPr>
              <w:pStyle w:val="394"/>
              <w:spacing w:line="24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从提交投标文件的截止之日起90天。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1035" w:hRule="atLeast"/>
          <w:jc w:val="center"/>
        </w:trPr>
        <w:tc>
          <w:tcPr>
            <w:tcW w:w="978" w:type="dxa"/>
            <w:vAlign w:val="center"/>
          </w:tcPr>
          <w:p>
            <w:pPr>
              <w:pStyle w:val="394"/>
              <w:spacing w:line="360" w:lineRule="auto"/>
              <w:ind w:left="38"/>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10</w:t>
            </w:r>
          </w:p>
        </w:tc>
        <w:tc>
          <w:tcPr>
            <w:tcW w:w="2171" w:type="dxa"/>
            <w:vAlign w:val="center"/>
          </w:tcPr>
          <w:p>
            <w:pPr>
              <w:pStyle w:val="394"/>
              <w:spacing w:line="24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投标保证金</w:t>
            </w:r>
          </w:p>
        </w:tc>
        <w:tc>
          <w:tcPr>
            <w:tcW w:w="6357" w:type="dxa"/>
            <w:vAlign w:val="center"/>
          </w:tcPr>
          <w:p>
            <w:pPr>
              <w:pStyle w:val="394"/>
              <w:spacing w:line="240" w:lineRule="auto"/>
              <w:jc w:val="both"/>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270" w:hRule="atLeast"/>
          <w:jc w:val="center"/>
        </w:trPr>
        <w:tc>
          <w:tcPr>
            <w:tcW w:w="978" w:type="dxa"/>
            <w:vAlign w:val="center"/>
          </w:tcPr>
          <w:p>
            <w:pPr>
              <w:pStyle w:val="394"/>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11</w:t>
            </w:r>
          </w:p>
        </w:tc>
        <w:tc>
          <w:tcPr>
            <w:tcW w:w="2171" w:type="dxa"/>
            <w:vAlign w:val="center"/>
          </w:tcPr>
          <w:p>
            <w:pPr>
              <w:pStyle w:val="394"/>
              <w:spacing w:line="24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履约保证金</w:t>
            </w:r>
          </w:p>
        </w:tc>
        <w:tc>
          <w:tcPr>
            <w:tcW w:w="6357" w:type="dxa"/>
            <w:vAlign w:val="center"/>
          </w:tcPr>
          <w:p>
            <w:pPr>
              <w:pStyle w:val="394"/>
              <w:spacing w:line="240" w:lineRule="auto"/>
              <w:ind w:left="38"/>
              <w:jc w:val="both"/>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本项目不收取履约保证金。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270" w:hRule="atLeast"/>
          <w:jc w:val="center"/>
        </w:trPr>
        <w:tc>
          <w:tcPr>
            <w:tcW w:w="978" w:type="dxa"/>
            <w:vAlign w:val="center"/>
          </w:tcPr>
          <w:p>
            <w:pPr>
              <w:pStyle w:val="394"/>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en-US" w:eastAsia="zh-CN"/>
              </w:rPr>
              <w:t>12</w:t>
            </w:r>
          </w:p>
        </w:tc>
        <w:tc>
          <w:tcPr>
            <w:tcW w:w="2171" w:type="dxa"/>
            <w:vAlign w:val="center"/>
          </w:tcPr>
          <w:p>
            <w:pPr>
              <w:tabs>
                <w:tab w:val="left" w:pos="7665"/>
              </w:tabs>
              <w:snapToGrid w:val="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eastAsia="zh-CN" w:bidi="ar-SA"/>
              </w:rPr>
              <w:t>投标文件的制作和签章、加密</w:t>
            </w:r>
          </w:p>
        </w:tc>
        <w:tc>
          <w:tcPr>
            <w:tcW w:w="6357" w:type="dxa"/>
            <w:vAlign w:val="center"/>
          </w:tcPr>
          <w:p>
            <w:pPr>
              <w:tabs>
                <w:tab w:val="left" w:pos="7665"/>
              </w:tabs>
              <w:snapToGrid w:val="0"/>
              <w:jc w:val="left"/>
              <w:rPr>
                <w:rFonts w:hint="default"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详见投标人须知第18点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270" w:hRule="atLeast"/>
          <w:jc w:val="center"/>
        </w:trPr>
        <w:tc>
          <w:tcPr>
            <w:tcW w:w="978" w:type="dxa"/>
            <w:vAlign w:val="center"/>
          </w:tcPr>
          <w:p>
            <w:pPr>
              <w:pStyle w:val="394"/>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13</w:t>
            </w:r>
          </w:p>
        </w:tc>
        <w:tc>
          <w:tcPr>
            <w:tcW w:w="2171" w:type="dxa"/>
            <w:vAlign w:val="center"/>
          </w:tcPr>
          <w:p>
            <w:pPr>
              <w:tabs>
                <w:tab w:val="left" w:pos="7665"/>
              </w:tabs>
              <w:snapToGrid w:val="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eastAsia="zh-CN" w:bidi="ar-SA"/>
              </w:rPr>
              <w:t>投标文件的递交</w:t>
            </w:r>
          </w:p>
        </w:tc>
        <w:tc>
          <w:tcPr>
            <w:tcW w:w="6357" w:type="dxa"/>
            <w:vAlign w:val="center"/>
          </w:tcPr>
          <w:p>
            <w:pPr>
              <w:tabs>
                <w:tab w:val="left" w:pos="7665"/>
              </w:tabs>
              <w:snapToGrid w:val="0"/>
              <w:spacing w:line="360" w:lineRule="auto"/>
              <w:jc w:val="left"/>
              <w:rPr>
                <w:rFonts w:hint="default"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详见投标人须知第19点</w:t>
            </w:r>
          </w:p>
          <w:p>
            <w:pPr>
              <w:tabs>
                <w:tab w:val="left" w:pos="7665"/>
              </w:tabs>
              <w:snapToGrid w:val="0"/>
              <w:spacing w:line="360" w:lineRule="auto"/>
              <w:jc w:val="left"/>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注：投标人使用CA证书在投标截止时间前，将投标文件上传至政府采购云平台，上传前须对投标文件是否有电子签章等进行核对。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978" w:type="dxa"/>
            <w:vAlign w:val="center"/>
          </w:tcPr>
          <w:p>
            <w:pPr>
              <w:pStyle w:val="394"/>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14</w:t>
            </w:r>
          </w:p>
        </w:tc>
        <w:tc>
          <w:tcPr>
            <w:tcW w:w="2171" w:type="dxa"/>
            <w:vAlign w:val="center"/>
          </w:tcPr>
          <w:p>
            <w:pPr>
              <w:tabs>
                <w:tab w:val="left" w:pos="7665"/>
              </w:tabs>
              <w:snapToGrid w:val="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eastAsia="zh-CN" w:bidi="ar-SA"/>
              </w:rPr>
              <w:t>投标文件的补充、修改</w:t>
            </w:r>
          </w:p>
        </w:tc>
        <w:tc>
          <w:tcPr>
            <w:tcW w:w="6357" w:type="dxa"/>
            <w:vAlign w:val="center"/>
          </w:tcPr>
          <w:p>
            <w:pPr>
              <w:tabs>
                <w:tab w:val="left" w:pos="7665"/>
              </w:tabs>
              <w:snapToGrid w:val="0"/>
              <w:jc w:val="left"/>
              <w:rPr>
                <w:rFonts w:hint="default"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详见投标人须知第20点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70" w:hRule="atLeast"/>
          <w:jc w:val="center"/>
        </w:trPr>
        <w:tc>
          <w:tcPr>
            <w:tcW w:w="978" w:type="dxa"/>
            <w:vAlign w:val="center"/>
          </w:tcPr>
          <w:p>
            <w:pPr>
              <w:pStyle w:val="394"/>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15</w:t>
            </w:r>
          </w:p>
        </w:tc>
        <w:tc>
          <w:tcPr>
            <w:tcW w:w="2171" w:type="dxa"/>
            <w:vAlign w:val="center"/>
          </w:tcPr>
          <w:p>
            <w:pPr>
              <w:tabs>
                <w:tab w:val="left" w:pos="7665"/>
              </w:tabs>
              <w:snapToGrid w:val="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eastAsia="zh-CN" w:bidi="ar-SA"/>
              </w:rPr>
              <w:t>投标文件的撤回</w:t>
            </w:r>
          </w:p>
        </w:tc>
        <w:tc>
          <w:tcPr>
            <w:tcW w:w="6357" w:type="dxa"/>
            <w:vAlign w:val="center"/>
          </w:tcPr>
          <w:p>
            <w:pPr>
              <w:tabs>
                <w:tab w:val="left" w:pos="7665"/>
              </w:tabs>
              <w:snapToGrid w:val="0"/>
              <w:jc w:val="left"/>
              <w:rPr>
                <w:rFonts w:hint="default"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详见投标人须知第21点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70" w:hRule="atLeast"/>
          <w:jc w:val="center"/>
        </w:trPr>
        <w:tc>
          <w:tcPr>
            <w:tcW w:w="978" w:type="dxa"/>
            <w:vAlign w:val="center"/>
          </w:tcPr>
          <w:p>
            <w:pPr>
              <w:pStyle w:val="394"/>
              <w:spacing w:line="360" w:lineRule="auto"/>
              <w:ind w:left="38" w:left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zh-CN"/>
              </w:rPr>
              <w:t>16</w:t>
            </w:r>
          </w:p>
        </w:tc>
        <w:tc>
          <w:tcPr>
            <w:tcW w:w="2171" w:type="dxa"/>
            <w:vAlign w:val="center"/>
          </w:tcPr>
          <w:p>
            <w:pPr>
              <w:pStyle w:val="394"/>
              <w:spacing w:line="24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备选投标方案和报价（实质性要求）</w:t>
            </w:r>
          </w:p>
        </w:tc>
        <w:tc>
          <w:tcPr>
            <w:tcW w:w="6357" w:type="dxa"/>
            <w:vAlign w:val="center"/>
          </w:tcPr>
          <w:p>
            <w:pPr>
              <w:pStyle w:val="394"/>
              <w:spacing w:line="240" w:lineRule="auto"/>
              <w:ind w:left="38"/>
              <w:jc w:val="both"/>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不接受备选投标方案和多个报价。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3" w:hRule="atLeast"/>
          <w:jc w:val="center"/>
        </w:trPr>
        <w:tc>
          <w:tcPr>
            <w:tcW w:w="978" w:type="dxa"/>
            <w:vAlign w:val="center"/>
          </w:tcPr>
          <w:p>
            <w:pPr>
              <w:pStyle w:val="394"/>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17</w:t>
            </w:r>
          </w:p>
        </w:tc>
        <w:tc>
          <w:tcPr>
            <w:tcW w:w="2171" w:type="dxa"/>
            <w:vAlign w:val="center"/>
          </w:tcPr>
          <w:p>
            <w:pPr>
              <w:pStyle w:val="394"/>
              <w:spacing w:line="36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bCs/>
                <w:color w:val="auto"/>
                <w:sz w:val="21"/>
                <w:szCs w:val="21"/>
              </w:rPr>
              <w:t>招标</w:t>
            </w:r>
            <w:r>
              <w:rPr>
                <w:rFonts w:hint="eastAsia" w:asciiTheme="minorEastAsia" w:hAnsiTheme="minorEastAsia" w:eastAsiaTheme="minorEastAsia" w:cstheme="minorEastAsia"/>
                <w:color w:val="auto"/>
                <w:sz w:val="21"/>
                <w:szCs w:val="21"/>
                <w:lang w:val="zh-CN"/>
              </w:rPr>
              <w:t>文件咨询</w:t>
            </w:r>
          </w:p>
        </w:tc>
        <w:tc>
          <w:tcPr>
            <w:tcW w:w="6357" w:type="dxa"/>
            <w:vAlign w:val="center"/>
          </w:tcPr>
          <w:p>
            <w:pPr>
              <w:pStyle w:val="394"/>
              <w:spacing w:line="360" w:lineRule="auto"/>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zh-CN"/>
              </w:rPr>
              <w:t>联系人：冯先生</w:t>
            </w:r>
          </w:p>
          <w:p>
            <w:pPr>
              <w:pStyle w:val="394"/>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联系电话：028-87510677</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978" w:type="dxa"/>
            <w:vAlign w:val="center"/>
          </w:tcPr>
          <w:p>
            <w:pPr>
              <w:pStyle w:val="394"/>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18</w:t>
            </w:r>
          </w:p>
        </w:tc>
        <w:tc>
          <w:tcPr>
            <w:tcW w:w="2171" w:type="dxa"/>
            <w:vAlign w:val="center"/>
          </w:tcPr>
          <w:p>
            <w:pPr>
              <w:pStyle w:val="394"/>
              <w:spacing w:line="36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招标过程、结果工作咨询</w:t>
            </w:r>
          </w:p>
        </w:tc>
        <w:tc>
          <w:tcPr>
            <w:tcW w:w="6357" w:type="dxa"/>
            <w:vAlign w:val="center"/>
          </w:tcPr>
          <w:p>
            <w:pPr>
              <w:pStyle w:val="394"/>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联系人：冯先生</w:t>
            </w:r>
          </w:p>
          <w:p>
            <w:pPr>
              <w:pStyle w:val="394"/>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联系电话：028-87510677</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20" w:hRule="atLeast"/>
          <w:jc w:val="center"/>
        </w:trPr>
        <w:tc>
          <w:tcPr>
            <w:tcW w:w="978" w:type="dxa"/>
            <w:vAlign w:val="center"/>
          </w:tcPr>
          <w:p>
            <w:pPr>
              <w:pStyle w:val="394"/>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19</w:t>
            </w:r>
          </w:p>
        </w:tc>
        <w:tc>
          <w:tcPr>
            <w:tcW w:w="2171" w:type="dxa"/>
            <w:vAlign w:val="center"/>
          </w:tcPr>
          <w:p>
            <w:pPr>
              <w:pStyle w:val="394"/>
              <w:spacing w:line="360" w:lineRule="auto"/>
              <w:ind w:firstLine="210" w:firstLineChars="100"/>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rPr>
              <w:t>中标</w:t>
            </w:r>
            <w:r>
              <w:rPr>
                <w:rFonts w:hint="eastAsia" w:asciiTheme="minorEastAsia" w:hAnsiTheme="minorEastAsia" w:eastAsiaTheme="minorEastAsia" w:cstheme="minorEastAsia"/>
                <w:color w:val="auto"/>
                <w:sz w:val="21"/>
                <w:szCs w:val="21"/>
                <w:lang w:val="zh-CN"/>
              </w:rPr>
              <w:t>通知书领取</w:t>
            </w:r>
          </w:p>
        </w:tc>
        <w:tc>
          <w:tcPr>
            <w:tcW w:w="6357" w:type="dxa"/>
            <w:vAlign w:val="center"/>
          </w:tcPr>
          <w:p>
            <w:pPr>
              <w:pStyle w:val="394"/>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中标公告在四川政府采购网上公告后，中标人自行登录政府采购云平台下载中标通知书。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978" w:type="dxa"/>
            <w:vAlign w:val="center"/>
          </w:tcPr>
          <w:p>
            <w:pPr>
              <w:pStyle w:val="394"/>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en-US" w:eastAsia="zh-CN"/>
              </w:rPr>
              <w:t>20</w:t>
            </w:r>
          </w:p>
        </w:tc>
        <w:tc>
          <w:tcPr>
            <w:tcW w:w="2171" w:type="dxa"/>
            <w:vAlign w:val="center"/>
          </w:tcPr>
          <w:p>
            <w:pPr>
              <w:pStyle w:val="394"/>
              <w:spacing w:line="360" w:lineRule="auto"/>
              <w:ind w:firstLine="210" w:firstLineChars="100"/>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供应商询问</w:t>
            </w:r>
          </w:p>
        </w:tc>
        <w:tc>
          <w:tcPr>
            <w:tcW w:w="6357" w:type="dxa"/>
            <w:vAlign w:val="center"/>
          </w:tcPr>
          <w:p>
            <w:pPr>
              <w:pStyle w:val="394"/>
              <w:spacing w:line="360" w:lineRule="auto"/>
              <w:jc w:val="both"/>
              <w:rPr>
                <w:rFonts w:hint="eastAsia" w:asciiTheme="minorEastAsia" w:hAnsiTheme="minorEastAsia" w:eastAsiaTheme="minorEastAsia" w:cstheme="minorEastAsia"/>
                <w:color w:val="auto"/>
                <w:sz w:val="21"/>
                <w:szCs w:val="21"/>
                <w:lang w:val="zh-CN"/>
              </w:rPr>
            </w:pPr>
            <w:bookmarkStart w:id="21" w:name="PO_默认文件内容_9"/>
            <w:r>
              <w:rPr>
                <w:rFonts w:hint="eastAsia" w:asciiTheme="minorEastAsia" w:hAnsiTheme="minorEastAsia" w:eastAsiaTheme="minorEastAsia" w:cstheme="minorEastAsia"/>
                <w:color w:val="auto"/>
                <w:sz w:val="21"/>
                <w:szCs w:val="21"/>
                <w:lang w:val="zh-CN"/>
              </w:rPr>
              <w:t>根据委托代理协议约定，供应商询问由采购代理机构负责答复。</w:t>
            </w:r>
          </w:p>
          <w:bookmarkEnd w:id="21"/>
          <w:p>
            <w:pPr>
              <w:pStyle w:val="394"/>
              <w:spacing w:line="360" w:lineRule="auto"/>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zh-CN"/>
              </w:rPr>
              <w:t>联系人：冯先生</w:t>
            </w:r>
          </w:p>
          <w:p>
            <w:pPr>
              <w:pStyle w:val="394"/>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联系电话：028-87510677</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978" w:type="dxa"/>
            <w:vAlign w:val="center"/>
          </w:tcPr>
          <w:p>
            <w:pPr>
              <w:pStyle w:val="394"/>
              <w:spacing w:line="360" w:lineRule="auto"/>
              <w:ind w:left="38" w:leftChars="0"/>
              <w:jc w:val="center"/>
              <w:rPr>
                <w:rFonts w:hint="default"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21</w:t>
            </w:r>
          </w:p>
        </w:tc>
        <w:tc>
          <w:tcPr>
            <w:tcW w:w="2171" w:type="dxa"/>
            <w:vAlign w:val="center"/>
          </w:tcPr>
          <w:p>
            <w:pPr>
              <w:pStyle w:val="394"/>
              <w:spacing w:line="360" w:lineRule="auto"/>
              <w:ind w:firstLine="210" w:firstLineChars="100"/>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供应商质疑</w:t>
            </w:r>
          </w:p>
        </w:tc>
        <w:tc>
          <w:tcPr>
            <w:tcW w:w="6357" w:type="dxa"/>
            <w:vAlign w:val="center"/>
          </w:tcPr>
          <w:p>
            <w:pPr>
              <w:pStyle w:val="394"/>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1.对招标文件技术指标、参数、资质要求、评分办法的质疑：</w:t>
            </w:r>
          </w:p>
          <w:p>
            <w:pPr>
              <w:pStyle w:val="394"/>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向采购人提出，并由采购人按相关规定作出答复或采购代理机构代为答复。</w:t>
            </w:r>
          </w:p>
          <w:p>
            <w:pPr>
              <w:pStyle w:val="394"/>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质疑时间：购买招标文件之日起七个工作日内。</w:t>
            </w:r>
          </w:p>
          <w:p>
            <w:pPr>
              <w:pStyle w:val="394"/>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联 系 人、联系电话、联系地址：详见第一章招标公告中的采购人联系方式。</w:t>
            </w:r>
          </w:p>
          <w:p>
            <w:pPr>
              <w:pStyle w:val="394"/>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2.对采购过程和采购结果的质疑：</w:t>
            </w:r>
          </w:p>
          <w:p>
            <w:pPr>
              <w:pStyle w:val="394"/>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向采购代理机构提出，并由采购代理机构按相关规定作出答复。</w:t>
            </w:r>
          </w:p>
          <w:p>
            <w:pPr>
              <w:pStyle w:val="394"/>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对采购过程质疑时间：为各采购程序环节结束之日起七个工作日内。</w:t>
            </w:r>
          </w:p>
          <w:p>
            <w:pPr>
              <w:pStyle w:val="394"/>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对采购结果提出质疑时间：为中标结果公告期限界满之日起七个工作日内。</w:t>
            </w:r>
          </w:p>
          <w:p>
            <w:pPr>
              <w:pStyle w:val="394"/>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联 系 人、联系电话、联系地址：详见第一章招标公告中的采购代理机构联系方式。</w:t>
            </w:r>
          </w:p>
          <w:p>
            <w:pPr>
              <w:pStyle w:val="394"/>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3.质疑必须以书面形式(原件)提出，以其他形式提出的质疑均不接受和回复。</w:t>
            </w:r>
          </w:p>
          <w:p>
            <w:pPr>
              <w:pStyle w:val="394"/>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注：根据《中华人民共和国政府采购法》等规定，供应商质疑不得超出采购文件、采购过程、采购结果的范围,投标人针对同一采购程序环节的质疑应在法定质疑期内一次性提出。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978" w:type="dxa"/>
            <w:vAlign w:val="center"/>
          </w:tcPr>
          <w:p>
            <w:pPr>
              <w:pStyle w:val="394"/>
              <w:spacing w:line="360" w:lineRule="auto"/>
              <w:ind w:left="38" w:leftChars="0"/>
              <w:jc w:val="center"/>
              <w:rPr>
                <w:rFonts w:hint="default"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22</w:t>
            </w:r>
          </w:p>
        </w:tc>
        <w:tc>
          <w:tcPr>
            <w:tcW w:w="2171" w:type="dxa"/>
            <w:vAlign w:val="center"/>
          </w:tcPr>
          <w:p>
            <w:pPr>
              <w:pStyle w:val="394"/>
              <w:spacing w:line="360" w:lineRule="auto"/>
              <w:ind w:firstLine="210" w:firstLineChars="100"/>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供应商投诉</w:t>
            </w:r>
          </w:p>
        </w:tc>
        <w:tc>
          <w:tcPr>
            <w:tcW w:w="6357" w:type="dxa"/>
            <w:vAlign w:val="center"/>
          </w:tcPr>
          <w:p>
            <w:pPr>
              <w:pStyle w:val="394"/>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投诉受理单位：本项目同级财政部门，即：</w:t>
            </w:r>
            <w:r>
              <w:rPr>
                <w:rFonts w:hint="eastAsia" w:asciiTheme="minorEastAsia" w:hAnsiTheme="minorEastAsia" w:eastAsiaTheme="minorEastAsia" w:cstheme="minorEastAsia"/>
                <w:color w:val="auto"/>
                <w:sz w:val="21"/>
                <w:szCs w:val="21"/>
                <w:u w:val="single"/>
                <w:lang w:val="zh-CN"/>
              </w:rPr>
              <w:t>成都市新都区财政局</w:t>
            </w:r>
            <w:r>
              <w:rPr>
                <w:rFonts w:hint="eastAsia" w:asciiTheme="minorEastAsia" w:hAnsiTheme="minorEastAsia" w:eastAsiaTheme="minorEastAsia" w:cstheme="minorEastAsia"/>
                <w:color w:val="auto"/>
                <w:sz w:val="21"/>
                <w:szCs w:val="21"/>
                <w:lang w:val="zh-CN"/>
              </w:rPr>
              <w:t>。</w:t>
            </w:r>
          </w:p>
          <w:p>
            <w:pPr>
              <w:pStyle w:val="394"/>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联系电话：028-89396791</w:t>
            </w:r>
          </w:p>
          <w:p>
            <w:pPr>
              <w:pStyle w:val="394"/>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 xml:space="preserve">注：根据《中华人民共和国政府采购法实施条例》等规定，投标人投诉事项不得超出已质疑事项的范围。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978" w:type="dxa"/>
            <w:vAlign w:val="center"/>
          </w:tcPr>
          <w:p>
            <w:pPr>
              <w:pStyle w:val="394"/>
              <w:spacing w:line="360" w:lineRule="auto"/>
              <w:ind w:left="38" w:leftChars="0"/>
              <w:jc w:val="center"/>
              <w:rPr>
                <w:rFonts w:hint="default"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23</w:t>
            </w:r>
          </w:p>
        </w:tc>
        <w:tc>
          <w:tcPr>
            <w:tcW w:w="2171" w:type="dxa"/>
            <w:vAlign w:val="center"/>
          </w:tcPr>
          <w:p>
            <w:pPr>
              <w:pStyle w:val="394"/>
              <w:spacing w:line="360" w:lineRule="auto"/>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政府采购合同公告备案</w:t>
            </w:r>
          </w:p>
        </w:tc>
        <w:tc>
          <w:tcPr>
            <w:tcW w:w="6357" w:type="dxa"/>
            <w:vAlign w:val="center"/>
          </w:tcPr>
          <w:p>
            <w:pPr>
              <w:pStyle w:val="394"/>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政府采购合同签订之日起2个工作日内，采购人应将政府采购合同在四川政府采购网公告；政府采购合同签订之日起七个工作日内，政府采购合同将向本采购项目同级财政部门备案。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978" w:type="dxa"/>
            <w:vAlign w:val="center"/>
          </w:tcPr>
          <w:p>
            <w:pPr>
              <w:pStyle w:val="394"/>
              <w:spacing w:line="360" w:lineRule="auto"/>
              <w:ind w:left="38" w:leftChars="0"/>
              <w:jc w:val="center"/>
              <w:rPr>
                <w:rFonts w:hint="default"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24</w:t>
            </w:r>
          </w:p>
        </w:tc>
        <w:tc>
          <w:tcPr>
            <w:tcW w:w="2171" w:type="dxa"/>
            <w:vAlign w:val="center"/>
          </w:tcPr>
          <w:p>
            <w:pPr>
              <w:pStyle w:val="394"/>
              <w:spacing w:line="360" w:lineRule="auto"/>
              <w:ind w:left="96"/>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rPr>
              <w:t>中标</w:t>
            </w:r>
            <w:r>
              <w:rPr>
                <w:rFonts w:hint="eastAsia" w:asciiTheme="minorEastAsia" w:hAnsiTheme="minorEastAsia" w:eastAsiaTheme="minorEastAsia" w:cstheme="minorEastAsia"/>
                <w:color w:val="auto"/>
                <w:sz w:val="21"/>
                <w:szCs w:val="21"/>
                <w:lang w:val="zh-CN"/>
              </w:rPr>
              <w:t>服务费</w:t>
            </w:r>
          </w:p>
        </w:tc>
        <w:tc>
          <w:tcPr>
            <w:tcW w:w="6357" w:type="dxa"/>
            <w:vAlign w:val="center"/>
          </w:tcPr>
          <w:p>
            <w:pPr>
              <w:pStyle w:val="394"/>
              <w:spacing w:line="360" w:lineRule="auto"/>
              <w:rPr>
                <w:rFonts w:hint="eastAsia" w:asciiTheme="minorEastAsia" w:hAnsiTheme="minorEastAsia" w:eastAsiaTheme="minorEastAsia" w:cstheme="minorEastAsia"/>
                <w:color w:val="auto"/>
                <w:sz w:val="21"/>
                <w:szCs w:val="21"/>
                <w:lang w:eastAsia="zh-CN"/>
              </w:rPr>
            </w:pPr>
            <w:bookmarkStart w:id="22" w:name="PO_默认文件内容_21"/>
            <w:r>
              <w:rPr>
                <w:rFonts w:hint="eastAsia" w:asciiTheme="minorEastAsia" w:hAnsiTheme="minorEastAsia" w:eastAsiaTheme="minorEastAsia" w:cstheme="minorEastAsia"/>
                <w:b/>
                <w:bCs/>
                <w:color w:val="auto"/>
                <w:sz w:val="21"/>
                <w:szCs w:val="21"/>
              </w:rPr>
              <w:t>中标</w:t>
            </w:r>
            <w:r>
              <w:rPr>
                <w:rFonts w:hint="eastAsia" w:asciiTheme="minorEastAsia" w:hAnsiTheme="minorEastAsia" w:eastAsiaTheme="minorEastAsia" w:cstheme="minorEastAsia"/>
                <w:b/>
                <w:bCs/>
                <w:color w:val="auto"/>
                <w:sz w:val="21"/>
                <w:szCs w:val="21"/>
                <w:lang w:eastAsia="zh-CN"/>
              </w:rPr>
              <w:t>人</w:t>
            </w:r>
            <w:r>
              <w:rPr>
                <w:rFonts w:hint="eastAsia" w:asciiTheme="minorEastAsia" w:hAnsiTheme="minorEastAsia" w:eastAsiaTheme="minorEastAsia" w:cstheme="minorEastAsia"/>
                <w:b/>
                <w:bCs/>
                <w:color w:val="auto"/>
                <w:sz w:val="21"/>
                <w:szCs w:val="21"/>
                <w:lang w:val="zh-CN"/>
              </w:rPr>
              <w:t>领取</w:t>
            </w:r>
            <w:r>
              <w:rPr>
                <w:rFonts w:hint="eastAsia" w:asciiTheme="minorEastAsia" w:hAnsiTheme="minorEastAsia" w:eastAsiaTheme="minorEastAsia" w:cstheme="minorEastAsia"/>
                <w:b/>
                <w:bCs/>
                <w:color w:val="auto"/>
                <w:sz w:val="21"/>
                <w:szCs w:val="21"/>
              </w:rPr>
              <w:t>中标</w:t>
            </w:r>
            <w:r>
              <w:rPr>
                <w:rFonts w:hint="eastAsia" w:asciiTheme="minorEastAsia" w:hAnsiTheme="minorEastAsia" w:eastAsiaTheme="minorEastAsia" w:cstheme="minorEastAsia"/>
                <w:b/>
                <w:bCs/>
                <w:color w:val="auto"/>
                <w:sz w:val="21"/>
                <w:szCs w:val="21"/>
                <w:lang w:val="zh-CN"/>
              </w:rPr>
              <w:t>通知书时，应向采购代理机构交纳</w:t>
            </w:r>
            <w:r>
              <w:rPr>
                <w:rFonts w:hint="eastAsia" w:asciiTheme="minorEastAsia" w:hAnsiTheme="minorEastAsia" w:eastAsiaTheme="minorEastAsia" w:cstheme="minorEastAsia"/>
                <w:b/>
                <w:bCs/>
                <w:color w:val="auto"/>
                <w:sz w:val="21"/>
                <w:szCs w:val="21"/>
              </w:rPr>
              <w:t>中标</w:t>
            </w:r>
            <w:r>
              <w:rPr>
                <w:rFonts w:hint="eastAsia" w:asciiTheme="minorEastAsia" w:hAnsiTheme="minorEastAsia" w:eastAsiaTheme="minorEastAsia" w:cstheme="minorEastAsia"/>
                <w:b/>
                <w:bCs/>
                <w:color w:val="auto"/>
                <w:sz w:val="21"/>
                <w:szCs w:val="21"/>
                <w:lang w:val="zh-CN"/>
              </w:rPr>
              <w:t>服务费</w:t>
            </w:r>
            <w:r>
              <w:rPr>
                <w:rFonts w:hint="eastAsia" w:asciiTheme="minorEastAsia" w:hAnsiTheme="minorEastAsia" w:eastAsiaTheme="minorEastAsia" w:cstheme="minorEastAsia"/>
                <w:color w:val="auto"/>
                <w:sz w:val="21"/>
                <w:szCs w:val="21"/>
                <w:lang w:val="zh-CN"/>
              </w:rPr>
              <w:t>。服务费</w:t>
            </w:r>
            <w:r>
              <w:rPr>
                <w:rFonts w:hint="eastAsia" w:asciiTheme="minorEastAsia" w:hAnsiTheme="minorEastAsia" w:eastAsiaTheme="minorEastAsia" w:cstheme="minorEastAsia"/>
                <w:color w:val="auto"/>
                <w:sz w:val="21"/>
                <w:szCs w:val="21"/>
              </w:rPr>
              <w:t>以各包预算金额为计费基数，参照《招标代理服务收费管理暂行办法》（计价格[2002]1980号）文件规定的收费标准下浮20%执行，由各包中标人分别向采购代理机构支付。</w:t>
            </w:r>
            <w:bookmarkEnd w:id="22"/>
            <w:r>
              <w:rPr>
                <w:rFonts w:hint="eastAsia" w:asciiTheme="minorEastAsia" w:hAnsiTheme="minorEastAsia" w:eastAsiaTheme="minorEastAsia" w:cstheme="minorEastAsia"/>
                <w:color w:val="auto"/>
                <w:sz w:val="21"/>
                <w:szCs w:val="21"/>
                <w:lang w:eastAsia="zh-CN"/>
              </w:rPr>
              <w:t>（其中第</w:t>
            </w:r>
            <w:r>
              <w:rPr>
                <w:rFonts w:hint="eastAsia" w:asciiTheme="minorEastAsia" w:hAnsiTheme="minorEastAsia" w:eastAsiaTheme="minorEastAsia" w:cstheme="minorEastAsia"/>
                <w:color w:val="auto"/>
                <w:sz w:val="21"/>
                <w:szCs w:val="21"/>
                <w:lang w:val="en-US" w:eastAsia="zh-CN"/>
              </w:rPr>
              <w:t>1包中标服务费：66200元，</w:t>
            </w:r>
            <w:r>
              <w:rPr>
                <w:rFonts w:hint="eastAsia" w:asciiTheme="minorEastAsia" w:hAnsiTheme="minorEastAsia" w:eastAsiaTheme="minorEastAsia" w:cstheme="minorEastAsia"/>
                <w:color w:val="auto"/>
                <w:sz w:val="21"/>
                <w:szCs w:val="21"/>
                <w:lang w:eastAsia="zh-CN"/>
              </w:rPr>
              <w:t>第</w:t>
            </w:r>
            <w:r>
              <w:rPr>
                <w:rFonts w:hint="eastAsia" w:asciiTheme="minorEastAsia" w:hAnsiTheme="minorEastAsia" w:eastAsiaTheme="minorEastAsia" w:cstheme="minorEastAsia"/>
                <w:color w:val="auto"/>
                <w:sz w:val="21"/>
                <w:szCs w:val="21"/>
                <w:lang w:val="en-US" w:eastAsia="zh-CN"/>
              </w:rPr>
              <w:t>2包中标服务费：56000元</w:t>
            </w:r>
            <w:r>
              <w:rPr>
                <w:rFonts w:hint="eastAsia" w:asciiTheme="minorEastAsia" w:hAnsiTheme="minorEastAsia" w:eastAsiaTheme="minorEastAsia" w:cstheme="minorEastAsia"/>
                <w:color w:val="auto"/>
                <w:sz w:val="21"/>
                <w:szCs w:val="21"/>
                <w:lang w:eastAsia="zh-CN"/>
              </w:rPr>
              <w:t>）</w:t>
            </w:r>
          </w:p>
          <w:p>
            <w:pPr>
              <w:pStyle w:val="394"/>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收款单位：四川协友招标代理有限公司。</w:t>
            </w:r>
          </w:p>
          <w:p>
            <w:pPr>
              <w:pStyle w:val="394"/>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开 户 行：中国建设银行股份有限公司成都蜀西路支行</w:t>
            </w:r>
          </w:p>
          <w:p>
            <w:pPr>
              <w:pStyle w:val="394"/>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银行账号：51050110198200000285</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20" w:hRule="atLeast"/>
          <w:jc w:val="center"/>
        </w:trPr>
        <w:tc>
          <w:tcPr>
            <w:tcW w:w="978" w:type="dxa"/>
            <w:vAlign w:val="center"/>
          </w:tcPr>
          <w:p>
            <w:pPr>
              <w:pStyle w:val="394"/>
              <w:spacing w:line="360" w:lineRule="auto"/>
              <w:ind w:left="38"/>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25</w:t>
            </w:r>
          </w:p>
        </w:tc>
        <w:tc>
          <w:tcPr>
            <w:tcW w:w="2171" w:type="dxa"/>
            <w:vAlign w:val="center"/>
          </w:tcPr>
          <w:p>
            <w:pPr>
              <w:pStyle w:val="394"/>
              <w:spacing w:line="360" w:lineRule="auto"/>
              <w:ind w:left="96"/>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分包</w:t>
            </w:r>
          </w:p>
        </w:tc>
        <w:tc>
          <w:tcPr>
            <w:tcW w:w="6357" w:type="dxa"/>
            <w:vAlign w:val="center"/>
          </w:tcPr>
          <w:p>
            <w:pPr>
              <w:pStyle w:val="394"/>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不允许分包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20" w:hRule="atLeast"/>
          <w:jc w:val="center"/>
        </w:trPr>
        <w:tc>
          <w:tcPr>
            <w:tcW w:w="978" w:type="dxa"/>
            <w:vAlign w:val="center"/>
          </w:tcPr>
          <w:p>
            <w:pPr>
              <w:pStyle w:val="394"/>
              <w:spacing w:line="360" w:lineRule="auto"/>
              <w:ind w:left="38"/>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26</w:t>
            </w:r>
          </w:p>
        </w:tc>
        <w:tc>
          <w:tcPr>
            <w:tcW w:w="2171" w:type="dxa"/>
            <w:vAlign w:val="center"/>
          </w:tcPr>
          <w:p>
            <w:pPr>
              <w:pStyle w:val="394"/>
              <w:spacing w:line="360" w:lineRule="auto"/>
              <w:ind w:left="96"/>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推进四川省政府采购供应商信用融资</w:t>
            </w:r>
          </w:p>
        </w:tc>
        <w:tc>
          <w:tcPr>
            <w:tcW w:w="6357" w:type="dxa"/>
            <w:vAlign w:val="center"/>
          </w:tcPr>
          <w:p>
            <w:pPr>
              <w:pStyle w:val="394"/>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1.根据《四川省财政厅关于推进四川省政府采购供应商信用融资工作的通知》（川财采〔2018〕123号），有融资需求的供应商可根据四川政府采购网公示的银行及其“政采贷”产品，自行选择符合自身情况的“政采贷”银行及其产品，凭中标（成交）通知书向银行提出贷款意向申请。银行应及时按照有关规定完成对供应商的信用审查以及开设账户等相关工作。</w:t>
            </w:r>
          </w:p>
          <w:p>
            <w:pPr>
              <w:pStyle w:val="394"/>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成财采〔2019〕17号”）。</w:t>
            </w:r>
          </w:p>
          <w:p>
            <w:pPr>
              <w:pStyle w:val="394"/>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en-US" w:eastAsia="zh-CN"/>
              </w:rPr>
              <w:t>3.</w:t>
            </w:r>
            <w:r>
              <w:rPr>
                <w:rFonts w:hint="eastAsia" w:asciiTheme="minorEastAsia" w:hAnsiTheme="minorEastAsia" w:eastAsiaTheme="minorEastAsia" w:cstheme="minorEastAsia"/>
                <w:color w:val="auto"/>
                <w:sz w:val="21"/>
                <w:szCs w:val="21"/>
                <w:lang w:val="zh-CN"/>
              </w:rPr>
              <w:t>根据《成都市新都区财政局关于公布新都区开展政府采购信用融资业务金融机构名单的通知》（新都财采〔2021〕160号）等有关规定，符合通知要求，有融资需求的供应商可根据各级财政部门公示的银行或融资机构及其“政采贷”产品，自行选择符合自身情况的“政采贷”银行及其产品，凭中标（成交）通知书、政府采购合同向银行提出贷款申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978" w:type="dxa"/>
            <w:vAlign w:val="center"/>
          </w:tcPr>
          <w:p>
            <w:pPr>
              <w:pStyle w:val="394"/>
              <w:spacing w:line="360" w:lineRule="auto"/>
              <w:ind w:left="38"/>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27</w:t>
            </w:r>
          </w:p>
        </w:tc>
        <w:tc>
          <w:tcPr>
            <w:tcW w:w="2171" w:type="dxa"/>
            <w:vAlign w:val="center"/>
          </w:tcPr>
          <w:p>
            <w:pPr>
              <w:pStyle w:val="394"/>
              <w:spacing w:line="360" w:lineRule="auto"/>
              <w:ind w:left="96"/>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中小企业政府采购信用融资</w:t>
            </w:r>
          </w:p>
        </w:tc>
        <w:tc>
          <w:tcPr>
            <w:tcW w:w="6357" w:type="dxa"/>
            <w:vAlign w:val="center"/>
          </w:tcPr>
          <w:p>
            <w:pPr>
              <w:pStyle w:val="394"/>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参加本次采购活动成交的中小企业无需提供财产抵押或第三方担保，凭借政府采购合同可向金融机构申请融资。相关政策规定内容请在“四川政府采购网”查询。</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978" w:type="dxa"/>
            <w:vAlign w:val="center"/>
          </w:tcPr>
          <w:p>
            <w:pPr>
              <w:pStyle w:val="394"/>
              <w:spacing w:line="360" w:lineRule="auto"/>
              <w:ind w:left="38"/>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28</w:t>
            </w:r>
          </w:p>
        </w:tc>
        <w:tc>
          <w:tcPr>
            <w:tcW w:w="2171" w:type="dxa"/>
            <w:vAlign w:val="center"/>
          </w:tcPr>
          <w:p>
            <w:pPr>
              <w:pStyle w:val="394"/>
              <w:spacing w:line="360" w:lineRule="auto"/>
              <w:ind w:left="96"/>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声明承诺提醒</w:t>
            </w:r>
          </w:p>
        </w:tc>
        <w:tc>
          <w:tcPr>
            <w:tcW w:w="6357" w:type="dxa"/>
            <w:vAlign w:val="center"/>
          </w:tcPr>
          <w:p>
            <w:pPr>
              <w:pStyle w:val="394"/>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投标人投标文件中提供的各种声明和承诺应当真实有效，无效声明和承诺、虚假声明和承诺将由投标人自己承担由此带来的任何不利后果，虚假声明和承诺还将报告监管部门追究法律责任。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978" w:type="dxa"/>
            <w:vAlign w:val="center"/>
          </w:tcPr>
          <w:p>
            <w:pPr>
              <w:pStyle w:val="394"/>
              <w:spacing w:line="360" w:lineRule="auto"/>
              <w:ind w:left="38"/>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29</w:t>
            </w:r>
          </w:p>
        </w:tc>
        <w:tc>
          <w:tcPr>
            <w:tcW w:w="2171" w:type="dxa"/>
            <w:vAlign w:val="center"/>
          </w:tcPr>
          <w:p>
            <w:pPr>
              <w:pStyle w:val="394"/>
              <w:spacing w:line="360" w:lineRule="auto"/>
              <w:ind w:left="96"/>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温馨提示</w:t>
            </w:r>
          </w:p>
        </w:tc>
        <w:tc>
          <w:tcPr>
            <w:tcW w:w="6357" w:type="dxa"/>
            <w:vAlign w:val="center"/>
          </w:tcPr>
          <w:p>
            <w:pPr>
              <w:pStyle w:val="394"/>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1.供应商需准备全流程所必需的硬件设备包括电脑（版本 win7 64位及以上）、麦克风、摄像头、CA证书等。建议使用同一台电脑完成投标、评标相关事宜，推荐安装 chrome 浏览器，且解密CA必须和加密CA为同一把。</w:t>
            </w:r>
          </w:p>
          <w:p>
            <w:pPr>
              <w:pStyle w:val="394"/>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2.政府采购云平台供应商注册地址：</w:t>
            </w:r>
          </w:p>
          <w:p>
            <w:pPr>
              <w:pStyle w:val="394"/>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https://middle.zcygov.cn/v-settle-front/registry?settleCategory=1&amp;entranceType=119&amp;utm=a0017.b1347.cl50.3.c0de9400b91b11eb870ad7da87d69c97</w:t>
            </w:r>
          </w:p>
        </w:tc>
      </w:tr>
    </w:tbl>
    <w:p>
      <w:pPr>
        <w:rPr>
          <w:rFonts w:hint="eastAsia" w:asciiTheme="minorEastAsia" w:hAnsiTheme="minorEastAsia" w:eastAsiaTheme="minorEastAsia" w:cstheme="minorEastAsia"/>
          <w:color w:val="auto"/>
        </w:rPr>
      </w:pPr>
    </w:p>
    <w:p>
      <w:pPr>
        <w:pStyle w:val="4"/>
        <w:spacing w:line="400" w:lineRule="exact"/>
        <w:jc w:val="center"/>
        <w:rPr>
          <w:rFonts w:hint="eastAsia" w:asciiTheme="minorEastAsia" w:hAnsiTheme="minorEastAsia" w:eastAsiaTheme="minorEastAsia" w:cstheme="minorEastAsia"/>
          <w:bCs w:val="0"/>
          <w:color w:val="auto"/>
        </w:rPr>
      </w:pPr>
      <w:r>
        <w:rPr>
          <w:rFonts w:hint="eastAsia" w:asciiTheme="minorEastAsia" w:hAnsiTheme="minorEastAsia" w:eastAsiaTheme="minorEastAsia" w:cstheme="minorEastAsia"/>
          <w:bCs w:val="0"/>
          <w:color w:val="auto"/>
        </w:rPr>
        <w:t>二、总  则</w:t>
      </w:r>
    </w:p>
    <w:p>
      <w:pPr>
        <w:pStyle w:val="5"/>
        <w:spacing w:line="276" w:lineRule="auto"/>
        <w:ind w:firstLine="482" w:firstLineChars="200"/>
        <w:rPr>
          <w:rFonts w:hint="eastAsia" w:asciiTheme="minorEastAsia" w:hAnsiTheme="minorEastAsia" w:eastAsiaTheme="minorEastAsia" w:cstheme="minorEastAsia"/>
          <w:color w:val="auto"/>
          <w:sz w:val="24"/>
        </w:rPr>
      </w:pPr>
      <w:bookmarkStart w:id="23" w:name="_Toc183582205"/>
      <w:bookmarkStart w:id="24" w:name="_Toc183682342"/>
      <w:bookmarkStart w:id="25" w:name="_Toc217446034"/>
      <w:r>
        <w:rPr>
          <w:rFonts w:hint="eastAsia" w:asciiTheme="minorEastAsia" w:hAnsiTheme="minorEastAsia" w:eastAsiaTheme="minorEastAsia" w:cstheme="minorEastAsia"/>
          <w:color w:val="auto"/>
          <w:sz w:val="24"/>
        </w:rPr>
        <w:t>1.</w:t>
      </w:r>
      <w:bookmarkEnd w:id="23"/>
      <w:bookmarkEnd w:id="24"/>
      <w:r>
        <w:rPr>
          <w:rFonts w:hint="eastAsia" w:asciiTheme="minorEastAsia" w:hAnsiTheme="minorEastAsia" w:eastAsiaTheme="minorEastAsia" w:cstheme="minorEastAsia"/>
          <w:color w:val="auto"/>
        </w:rPr>
        <w:t xml:space="preserve"> </w:t>
      </w:r>
      <w:r>
        <w:rPr>
          <w:rFonts w:hint="eastAsia" w:asciiTheme="minorEastAsia" w:hAnsiTheme="minorEastAsia" w:eastAsiaTheme="minorEastAsia" w:cstheme="minorEastAsia"/>
          <w:color w:val="auto"/>
          <w:sz w:val="24"/>
          <w:szCs w:val="24"/>
        </w:rPr>
        <w:t>适用范围</w:t>
      </w:r>
      <w:bookmarkEnd w:id="25"/>
    </w:p>
    <w:p>
      <w:pPr>
        <w:tabs>
          <w:tab w:val="left" w:pos="7665"/>
        </w:tabs>
        <w:spacing w:line="276"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1.1 本招标文件仅适用于本次公开招标采购项目。</w:t>
      </w:r>
    </w:p>
    <w:p>
      <w:pPr>
        <w:pStyle w:val="5"/>
        <w:spacing w:line="276" w:lineRule="auto"/>
        <w:ind w:firstLine="482" w:firstLineChars="200"/>
        <w:rPr>
          <w:rFonts w:hint="eastAsia" w:asciiTheme="minorEastAsia" w:hAnsiTheme="minorEastAsia" w:eastAsiaTheme="minorEastAsia" w:cstheme="minorEastAsia"/>
          <w:color w:val="auto"/>
          <w:sz w:val="24"/>
        </w:rPr>
      </w:pPr>
      <w:bookmarkStart w:id="26" w:name="_Toc183582206"/>
      <w:bookmarkStart w:id="27" w:name="_Toc183682343"/>
      <w:bookmarkStart w:id="28" w:name="_Toc217446035"/>
      <w:r>
        <w:rPr>
          <w:rFonts w:hint="eastAsia" w:asciiTheme="minorEastAsia" w:hAnsiTheme="minorEastAsia" w:eastAsiaTheme="minorEastAsia" w:cstheme="minorEastAsia"/>
          <w:color w:val="auto"/>
          <w:sz w:val="24"/>
        </w:rPr>
        <w:t xml:space="preserve">2. </w:t>
      </w:r>
      <w:bookmarkEnd w:id="26"/>
      <w:bookmarkEnd w:id="27"/>
      <w:r>
        <w:rPr>
          <w:rFonts w:hint="eastAsia" w:asciiTheme="minorEastAsia" w:hAnsiTheme="minorEastAsia" w:eastAsiaTheme="minorEastAsia" w:cstheme="minorEastAsia"/>
          <w:color w:val="auto"/>
          <w:sz w:val="24"/>
        </w:rPr>
        <w:t>有关</w:t>
      </w:r>
      <w:r>
        <w:rPr>
          <w:rFonts w:hint="eastAsia" w:asciiTheme="minorEastAsia" w:hAnsiTheme="minorEastAsia" w:eastAsiaTheme="minorEastAsia" w:cstheme="minorEastAsia"/>
          <w:color w:val="auto"/>
          <w:sz w:val="24"/>
          <w:szCs w:val="24"/>
        </w:rPr>
        <w:t>定义</w:t>
      </w:r>
      <w:bookmarkEnd w:id="28"/>
    </w:p>
    <w:p>
      <w:pPr>
        <w:tabs>
          <w:tab w:val="left" w:pos="7665"/>
        </w:tabs>
        <w:spacing w:line="276" w:lineRule="auto"/>
        <w:ind w:firstLine="480" w:firstLineChars="200"/>
        <w:rPr>
          <w:rFonts w:hint="eastAsia" w:asciiTheme="minorEastAsia" w:hAnsiTheme="minorEastAsia" w:eastAsiaTheme="minorEastAsia" w:cstheme="minorEastAsia"/>
          <w:color w:val="auto"/>
          <w:sz w:val="24"/>
          <w:lang w:eastAsia="zh-CN"/>
        </w:rPr>
      </w:pPr>
      <w:r>
        <w:rPr>
          <w:rFonts w:hint="eastAsia" w:asciiTheme="minorEastAsia" w:hAnsiTheme="minorEastAsia" w:eastAsiaTheme="minorEastAsia" w:cstheme="minorEastAsia"/>
          <w:color w:val="auto"/>
          <w:sz w:val="24"/>
        </w:rPr>
        <w:t>2.1 “采购人”系指依法进行政府采购的国家机关、事业单位、团体组织。本次招标的采购人是</w:t>
      </w:r>
      <w:r>
        <w:rPr>
          <w:rFonts w:hint="eastAsia" w:asciiTheme="minorEastAsia" w:hAnsiTheme="minorEastAsia" w:eastAsiaTheme="minorEastAsia" w:cstheme="minorEastAsia"/>
          <w:color w:val="auto"/>
          <w:sz w:val="24"/>
          <w:u w:val="single"/>
          <w:lang w:eastAsia="zh-CN"/>
        </w:rPr>
        <w:t>成都市新都区发展和改革局</w:t>
      </w:r>
      <w:r>
        <w:rPr>
          <w:rFonts w:hint="eastAsia" w:asciiTheme="minorEastAsia" w:hAnsiTheme="minorEastAsia" w:eastAsiaTheme="minorEastAsia" w:cstheme="minorEastAsia"/>
          <w:color w:val="auto"/>
          <w:sz w:val="24"/>
          <w:u w:val="none"/>
          <w:lang w:eastAsia="zh-CN"/>
        </w:rPr>
        <w:t>。</w:t>
      </w:r>
    </w:p>
    <w:p>
      <w:pPr>
        <w:tabs>
          <w:tab w:val="left" w:pos="7665"/>
        </w:tabs>
        <w:spacing w:line="276"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2.2 “采购代理机构” 系指根据采购人的委托依法办理招标事宜的采购机构。本次招标的采购代理机构是</w:t>
      </w:r>
      <w:r>
        <w:rPr>
          <w:rFonts w:hint="eastAsia" w:asciiTheme="minorEastAsia" w:hAnsiTheme="minorEastAsia" w:eastAsiaTheme="minorEastAsia" w:cstheme="minorEastAsia"/>
          <w:color w:val="auto"/>
          <w:sz w:val="24"/>
          <w:u w:val="single"/>
        </w:rPr>
        <w:t>四川协友招标代理有限公司</w:t>
      </w:r>
      <w:r>
        <w:rPr>
          <w:rFonts w:hint="eastAsia" w:asciiTheme="minorEastAsia" w:hAnsiTheme="minorEastAsia" w:eastAsiaTheme="minorEastAsia" w:cstheme="minorEastAsia"/>
          <w:color w:val="auto"/>
          <w:sz w:val="24"/>
        </w:rPr>
        <w:t>。</w:t>
      </w:r>
    </w:p>
    <w:p>
      <w:pPr>
        <w:tabs>
          <w:tab w:val="left" w:pos="7665"/>
        </w:tabs>
        <w:spacing w:line="276"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2.3 “招标采购单位”系指“采购人”和“采购代理机构”的统称。</w:t>
      </w:r>
    </w:p>
    <w:p>
      <w:pPr>
        <w:tabs>
          <w:tab w:val="left" w:pos="7665"/>
        </w:tabs>
        <w:spacing w:line="276"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2.4 “投标人”系</w:t>
      </w:r>
      <w:r>
        <w:rPr>
          <w:rFonts w:hint="eastAsia" w:asciiTheme="minorEastAsia" w:hAnsiTheme="minorEastAsia" w:eastAsiaTheme="minorEastAsia" w:cstheme="minorEastAsia"/>
          <w:color w:val="auto"/>
          <w:sz w:val="24"/>
          <w:lang w:eastAsia="zh-CN"/>
        </w:rPr>
        <w:t>指从“政府采购云平台”获取采购文件拟参加投标和向采购人提供货物及相应服务的供应商。</w:t>
      </w:r>
    </w:p>
    <w:p>
      <w:pPr>
        <w:pStyle w:val="5"/>
        <w:spacing w:line="276" w:lineRule="auto"/>
        <w:ind w:firstLine="482" w:firstLineChars="200"/>
        <w:rPr>
          <w:rFonts w:hint="eastAsia" w:asciiTheme="minorEastAsia" w:hAnsiTheme="minorEastAsia" w:eastAsiaTheme="minorEastAsia" w:cstheme="minorEastAsia"/>
          <w:color w:val="auto"/>
          <w:sz w:val="24"/>
        </w:rPr>
      </w:pPr>
      <w:bookmarkStart w:id="29" w:name="_Toc217390843"/>
      <w:bookmarkStart w:id="30" w:name="_Toc183682344"/>
      <w:bookmarkStart w:id="31" w:name="_Toc217446036"/>
      <w:bookmarkStart w:id="32" w:name="_Toc183582207"/>
      <w:r>
        <w:rPr>
          <w:rFonts w:hint="eastAsia" w:asciiTheme="minorEastAsia" w:hAnsiTheme="minorEastAsia" w:eastAsiaTheme="minorEastAsia" w:cstheme="minorEastAsia"/>
          <w:color w:val="auto"/>
          <w:sz w:val="24"/>
        </w:rPr>
        <w:t>3. 合格的投标人</w:t>
      </w:r>
      <w:bookmarkEnd w:id="29"/>
      <w:bookmarkEnd w:id="30"/>
      <w:bookmarkEnd w:id="31"/>
      <w:bookmarkEnd w:id="32"/>
      <w:r>
        <w:rPr>
          <w:rFonts w:hint="eastAsia" w:asciiTheme="minorEastAsia" w:hAnsiTheme="minorEastAsia" w:eastAsiaTheme="minorEastAsia" w:cstheme="minorEastAsia"/>
          <w:color w:val="auto"/>
          <w:sz w:val="24"/>
          <w:szCs w:val="24"/>
        </w:rPr>
        <w:t>（实质性要求）</w:t>
      </w:r>
    </w:p>
    <w:p>
      <w:pPr>
        <w:tabs>
          <w:tab w:val="left" w:pos="7665"/>
        </w:tabs>
        <w:spacing w:line="40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color w:val="auto"/>
          <w:sz w:val="24"/>
        </w:rPr>
        <w:t xml:space="preserve">   </w:t>
      </w:r>
      <w:r>
        <w:rPr>
          <w:rFonts w:hint="eastAsia" w:asciiTheme="minorEastAsia" w:hAnsiTheme="minorEastAsia" w:eastAsiaTheme="minorEastAsia" w:cstheme="minorEastAsia"/>
          <w:color w:val="auto"/>
          <w:sz w:val="24"/>
        </w:rPr>
        <w:t>合格的投标人应具备以下条件：</w:t>
      </w:r>
    </w:p>
    <w:p>
      <w:pPr>
        <w:tabs>
          <w:tab w:val="left" w:pos="7665"/>
        </w:tabs>
        <w:spacing w:line="400" w:lineRule="exact"/>
        <w:ind w:firstLine="480" w:firstLineChars="200"/>
        <w:rPr>
          <w:rFonts w:hint="eastAsia" w:asciiTheme="minorEastAsia" w:hAnsiTheme="minorEastAsia" w:eastAsiaTheme="minorEastAsia" w:cstheme="minorEastAsia"/>
          <w:color w:val="auto"/>
          <w:spacing w:val="-4"/>
          <w:sz w:val="24"/>
        </w:rPr>
      </w:pPr>
      <w:r>
        <w:rPr>
          <w:rFonts w:hint="eastAsia" w:asciiTheme="minorEastAsia" w:hAnsiTheme="minorEastAsia" w:eastAsiaTheme="minorEastAsia" w:cstheme="minorEastAsia"/>
          <w:color w:val="auto"/>
          <w:sz w:val="24"/>
        </w:rPr>
        <w:t>（1）本招标文件规定的供应商资格条件</w:t>
      </w:r>
      <w:r>
        <w:rPr>
          <w:rFonts w:hint="eastAsia" w:asciiTheme="minorEastAsia" w:hAnsiTheme="minorEastAsia" w:eastAsiaTheme="minorEastAsia" w:cstheme="minorEastAsia"/>
          <w:color w:val="auto"/>
          <w:spacing w:val="-4"/>
          <w:sz w:val="24"/>
        </w:rPr>
        <w:t>；</w:t>
      </w:r>
    </w:p>
    <w:p>
      <w:pPr>
        <w:tabs>
          <w:tab w:val="left" w:pos="7665"/>
        </w:tabs>
        <w:spacing w:line="40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（2）遵守国家有关的法律、法规、规章和其他政策制度；</w:t>
      </w:r>
    </w:p>
    <w:p>
      <w:pPr>
        <w:tabs>
          <w:tab w:val="left" w:pos="7665"/>
        </w:tabs>
        <w:spacing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（3）按照招标文件“投标邀请”中第</w:t>
      </w:r>
      <w:r>
        <w:rPr>
          <w:rFonts w:hint="eastAsia" w:asciiTheme="minorEastAsia" w:hAnsiTheme="minorEastAsia" w:eastAsiaTheme="minorEastAsia" w:cstheme="minorEastAsia"/>
          <w:color w:val="auto"/>
          <w:sz w:val="24"/>
          <w:lang w:eastAsia="zh-CN"/>
        </w:rPr>
        <w:t>九</w:t>
      </w:r>
      <w:r>
        <w:rPr>
          <w:rFonts w:hint="eastAsia" w:asciiTheme="minorEastAsia" w:hAnsiTheme="minorEastAsia" w:eastAsiaTheme="minorEastAsia" w:cstheme="minorEastAsia"/>
          <w:color w:val="auto"/>
          <w:sz w:val="24"/>
        </w:rPr>
        <w:t>条规定获取了招标文件。</w:t>
      </w:r>
    </w:p>
    <w:p>
      <w:pPr>
        <w:pStyle w:val="5"/>
        <w:spacing w:line="276" w:lineRule="auto"/>
        <w:ind w:firstLine="482" w:firstLineChars="200"/>
        <w:rPr>
          <w:rFonts w:hint="eastAsia" w:asciiTheme="minorEastAsia" w:hAnsiTheme="minorEastAsia" w:eastAsiaTheme="minorEastAsia" w:cstheme="minorEastAsia"/>
          <w:color w:val="auto"/>
          <w:sz w:val="24"/>
        </w:rPr>
      </w:pPr>
      <w:bookmarkStart w:id="33" w:name="_Toc183582208"/>
      <w:bookmarkStart w:id="34" w:name="_Toc217446037"/>
      <w:bookmarkStart w:id="35" w:name="_Toc183682345"/>
      <w:r>
        <w:rPr>
          <w:rFonts w:hint="eastAsia" w:asciiTheme="minorEastAsia" w:hAnsiTheme="minorEastAsia" w:eastAsiaTheme="minorEastAsia" w:cstheme="minorEastAsia"/>
          <w:color w:val="auto"/>
          <w:sz w:val="24"/>
        </w:rPr>
        <w:t>4. 投标费用</w:t>
      </w:r>
      <w:bookmarkEnd w:id="33"/>
      <w:bookmarkEnd w:id="34"/>
      <w:bookmarkEnd w:id="35"/>
      <w:r>
        <w:rPr>
          <w:rFonts w:hint="eastAsia" w:asciiTheme="minorEastAsia" w:hAnsiTheme="minorEastAsia" w:eastAsiaTheme="minorEastAsia" w:cstheme="minorEastAsia"/>
          <w:color w:val="auto"/>
          <w:sz w:val="24"/>
          <w:szCs w:val="24"/>
        </w:rPr>
        <w:t>（实质性要求）</w:t>
      </w:r>
    </w:p>
    <w:p>
      <w:pPr>
        <w:tabs>
          <w:tab w:val="left" w:pos="7665"/>
        </w:tabs>
        <w:spacing w:line="276" w:lineRule="auto"/>
        <w:ind w:firstLine="48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投标人参加投标的有关费用由投标人自行承担。</w:t>
      </w:r>
    </w:p>
    <w:p>
      <w:pPr>
        <w:pStyle w:val="5"/>
        <w:spacing w:line="276" w:lineRule="auto"/>
        <w:ind w:firstLine="482"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5、充分、公平竞争保障措施</w:t>
      </w:r>
      <w:r>
        <w:rPr>
          <w:rFonts w:hint="eastAsia" w:asciiTheme="minorEastAsia" w:hAnsiTheme="minorEastAsia" w:eastAsiaTheme="minorEastAsia" w:cstheme="minorEastAsia"/>
          <w:color w:val="auto"/>
          <w:sz w:val="24"/>
          <w:szCs w:val="24"/>
        </w:rPr>
        <w:t>（实质性要求）</w:t>
      </w:r>
    </w:p>
    <w:p>
      <w:pPr>
        <w:pStyle w:val="286"/>
        <w:spacing w:line="360" w:lineRule="auto"/>
        <w:ind w:left="1" w:firstLine="482"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color w:val="auto"/>
          <w:sz w:val="24"/>
        </w:rPr>
        <w:t>5.1利害关系供应商处理。</w:t>
      </w:r>
      <w:r>
        <w:rPr>
          <w:rFonts w:hint="eastAsia" w:asciiTheme="minorEastAsia" w:hAnsiTheme="minorEastAsia" w:eastAsiaTheme="minorEastAsia" w:cstheme="minorEastAsia"/>
          <w:color w:val="auto"/>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471"/>
        <w:spacing w:line="360" w:lineRule="auto"/>
        <w:ind w:left="1" w:firstLine="482"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color w:val="auto"/>
          <w:sz w:val="24"/>
        </w:rPr>
        <w:t>5.2前期参与供应商处理。</w:t>
      </w:r>
      <w:r>
        <w:rPr>
          <w:rFonts w:hint="eastAsia" w:asciiTheme="minorEastAsia" w:hAnsiTheme="minorEastAsia" w:eastAsiaTheme="minorEastAsia" w:cstheme="minorEastAsia"/>
          <w:color w:val="auto"/>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spacing w:line="360" w:lineRule="auto"/>
        <w:ind w:firstLine="482"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color w:val="auto"/>
          <w:sz w:val="24"/>
        </w:rPr>
        <w:t>5.3 利害关系代理人处理。</w:t>
      </w:r>
      <w:r>
        <w:rPr>
          <w:rFonts w:hint="eastAsia" w:asciiTheme="minorEastAsia" w:hAnsiTheme="minorEastAsia" w:eastAsiaTheme="minorEastAsia" w:cstheme="minorEastAsia"/>
          <w:color w:val="auto"/>
          <w:sz w:val="24"/>
        </w:rPr>
        <w:t>2家以上的供应商不得在同一合同项下的采购项目中，同时委托同一个自然人、同一家庭的人员、同一单位的人员作为其代理人，否则，其投标（响应）文件作为无效处理。</w:t>
      </w:r>
    </w:p>
    <w:p>
      <w:pPr>
        <w:pStyle w:val="4"/>
        <w:spacing w:line="276" w:lineRule="auto"/>
        <w:jc w:val="center"/>
        <w:rPr>
          <w:rFonts w:hint="eastAsia" w:asciiTheme="minorEastAsia" w:hAnsiTheme="minorEastAsia" w:eastAsiaTheme="minorEastAsia" w:cstheme="minorEastAsia"/>
          <w:bCs w:val="0"/>
          <w:color w:val="auto"/>
        </w:rPr>
      </w:pPr>
      <w:bookmarkStart w:id="36" w:name="_Toc89075875"/>
      <w:bookmarkStart w:id="37" w:name="_Toc77400779"/>
      <w:bookmarkStart w:id="38" w:name="_Toc183582209"/>
      <w:bookmarkStart w:id="39" w:name="_Toc217446038"/>
      <w:bookmarkStart w:id="40" w:name="_Toc183682346"/>
      <w:r>
        <w:rPr>
          <w:rFonts w:hint="eastAsia" w:asciiTheme="minorEastAsia" w:hAnsiTheme="minorEastAsia" w:eastAsiaTheme="minorEastAsia" w:cstheme="minorEastAsia"/>
          <w:bCs w:val="0"/>
          <w:color w:val="auto"/>
        </w:rPr>
        <w:t>三、招标文件</w:t>
      </w:r>
      <w:bookmarkEnd w:id="36"/>
      <w:bookmarkEnd w:id="37"/>
      <w:bookmarkEnd w:id="38"/>
      <w:bookmarkEnd w:id="39"/>
      <w:bookmarkEnd w:id="40"/>
    </w:p>
    <w:p>
      <w:pPr>
        <w:pStyle w:val="5"/>
        <w:spacing w:line="276" w:lineRule="auto"/>
        <w:ind w:firstLine="482" w:firstLineChars="200"/>
        <w:rPr>
          <w:rFonts w:hint="eastAsia" w:asciiTheme="minorEastAsia" w:hAnsiTheme="minorEastAsia" w:eastAsiaTheme="minorEastAsia" w:cstheme="minorEastAsia"/>
          <w:color w:val="auto"/>
          <w:sz w:val="24"/>
        </w:rPr>
      </w:pPr>
      <w:bookmarkStart w:id="41" w:name="_Toc183682347"/>
      <w:bookmarkStart w:id="42" w:name="_Toc217446039"/>
      <w:bookmarkStart w:id="43" w:name="_Toc183582210"/>
      <w:r>
        <w:rPr>
          <w:rFonts w:hint="eastAsia" w:asciiTheme="minorEastAsia" w:hAnsiTheme="minorEastAsia" w:eastAsiaTheme="minorEastAsia" w:cstheme="minorEastAsia"/>
          <w:color w:val="auto"/>
          <w:sz w:val="24"/>
        </w:rPr>
        <w:t>6．招标文件的构成</w:t>
      </w:r>
      <w:bookmarkEnd w:id="41"/>
      <w:bookmarkEnd w:id="42"/>
      <w:bookmarkEnd w:id="43"/>
    </w:p>
    <w:p>
      <w:pPr>
        <w:tabs>
          <w:tab w:val="left" w:pos="7665"/>
        </w:tabs>
        <w:spacing w:line="360" w:lineRule="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6</w:t>
      </w:r>
      <w:r>
        <w:rPr>
          <w:rFonts w:hint="eastAsia" w:asciiTheme="minorEastAsia" w:hAnsiTheme="minorEastAsia" w:eastAsiaTheme="minorEastAsia" w:cstheme="minorEastAsia"/>
          <w:b/>
          <w:bCs/>
          <w:color w:val="auto"/>
          <w:sz w:val="24"/>
        </w:rPr>
        <w:t>.</w:t>
      </w:r>
      <w:r>
        <w:rPr>
          <w:rFonts w:hint="eastAsia" w:asciiTheme="minorEastAsia" w:hAnsiTheme="minorEastAsia" w:eastAsiaTheme="minorEastAsia" w:cstheme="minorEastAsia"/>
          <w:color w:val="auto"/>
          <w:sz w:val="24"/>
        </w:rPr>
        <w:t>1 招标文件是</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（一）投标邀请；</w:t>
      </w:r>
    </w:p>
    <w:p>
      <w:pPr>
        <w:tabs>
          <w:tab w:val="left" w:pos="720"/>
        </w:tabs>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（二）投标人须知；</w:t>
      </w:r>
    </w:p>
    <w:p>
      <w:pPr>
        <w:tabs>
          <w:tab w:val="left" w:pos="720"/>
        </w:tabs>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（三）投标文件格式；</w:t>
      </w:r>
    </w:p>
    <w:p>
      <w:pPr>
        <w:tabs>
          <w:tab w:val="left" w:pos="720"/>
        </w:tabs>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（四）投标人应当提供的资格、资质性及其他类似效力要求的相关证明材料；</w:t>
      </w:r>
    </w:p>
    <w:p>
      <w:pPr>
        <w:tabs>
          <w:tab w:val="left" w:pos="720"/>
        </w:tabs>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（五）技术、商务及其他要求；</w:t>
      </w:r>
    </w:p>
    <w:p>
      <w:pPr>
        <w:tabs>
          <w:tab w:val="left" w:pos="720"/>
        </w:tabs>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（六）评标办法；</w:t>
      </w:r>
    </w:p>
    <w:p>
      <w:pPr>
        <w:tabs>
          <w:tab w:val="left" w:pos="720"/>
        </w:tabs>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（七）合同主要条款。</w:t>
      </w:r>
    </w:p>
    <w:p>
      <w:pPr>
        <w:tabs>
          <w:tab w:val="left" w:pos="7665"/>
        </w:tabs>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w:t>
      </w:r>
      <w:r>
        <w:rPr>
          <w:rFonts w:hint="eastAsia" w:asciiTheme="minorEastAsia" w:hAnsiTheme="minorEastAsia" w:eastAsiaTheme="minorEastAsia" w:cstheme="minorEastAsia"/>
          <w:b/>
          <w:bCs/>
          <w:color w:val="auto"/>
          <w:sz w:val="24"/>
        </w:rPr>
        <w:t>.</w:t>
      </w:r>
      <w:r>
        <w:rPr>
          <w:rFonts w:hint="eastAsia" w:asciiTheme="minorEastAsia" w:hAnsiTheme="minorEastAsia" w:eastAsiaTheme="minorEastAsia" w:cstheme="minorEastAsia"/>
          <w:color w:val="auto"/>
          <w:sz w:val="24"/>
        </w:rPr>
        <w:t>2 投标人应认真阅读和充分理解招标文件中所有的事项、格式条款和规范要求。投标人没有对招标文件全面做出实质性响应是投标人的风险。没有按照招标文件要求作出实质性响应的投标文件将被拒绝。</w:t>
      </w:r>
    </w:p>
    <w:p>
      <w:pPr>
        <w:pStyle w:val="5"/>
        <w:spacing w:line="276" w:lineRule="auto"/>
        <w:ind w:firstLine="482" w:firstLineChars="200"/>
        <w:rPr>
          <w:rFonts w:hint="eastAsia" w:asciiTheme="minorEastAsia" w:hAnsiTheme="minorEastAsia" w:eastAsiaTheme="minorEastAsia" w:cstheme="minorEastAsia"/>
          <w:color w:val="auto"/>
          <w:sz w:val="24"/>
        </w:rPr>
      </w:pPr>
      <w:bookmarkStart w:id="44" w:name="_Toc183582211"/>
      <w:bookmarkStart w:id="45" w:name="_Toc183682348"/>
      <w:bookmarkStart w:id="46" w:name="_Toc217446040"/>
      <w:r>
        <w:rPr>
          <w:rFonts w:hint="eastAsia" w:asciiTheme="minorEastAsia" w:hAnsiTheme="minorEastAsia" w:eastAsiaTheme="minorEastAsia" w:cstheme="minorEastAsia"/>
          <w:color w:val="auto"/>
          <w:sz w:val="24"/>
        </w:rPr>
        <w:t>7. 招标文件的澄清</w:t>
      </w:r>
      <w:bookmarkEnd w:id="44"/>
      <w:bookmarkEnd w:id="45"/>
      <w:r>
        <w:rPr>
          <w:rFonts w:hint="eastAsia" w:asciiTheme="minorEastAsia" w:hAnsiTheme="minorEastAsia" w:eastAsiaTheme="minorEastAsia" w:cstheme="minorEastAsia"/>
          <w:color w:val="auto"/>
          <w:sz w:val="24"/>
        </w:rPr>
        <w:t>和修改</w:t>
      </w:r>
      <w:bookmarkEnd w:id="46"/>
    </w:p>
    <w:p>
      <w:pPr>
        <w:tabs>
          <w:tab w:val="left" w:pos="720"/>
        </w:tabs>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7.1 在投标截止时间前，采购人或采购代理机构无论出于何种原因，可以对招标文件进行澄清或者修改。</w:t>
      </w:r>
    </w:p>
    <w:p>
      <w:pPr>
        <w:tabs>
          <w:tab w:val="left" w:pos="720"/>
        </w:tabs>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7.2 采购人或采购代理机构对已发出的招标文件进行澄清或者修改，将在“四川政府采购网”网站上发布</w:t>
      </w:r>
      <w:r>
        <w:rPr>
          <w:rFonts w:hint="eastAsia" w:asciiTheme="minorEastAsia" w:hAnsiTheme="minorEastAsia" w:eastAsiaTheme="minorEastAsia" w:cstheme="minorEastAsia"/>
          <w:color w:val="auto"/>
          <w:sz w:val="24"/>
          <w:lang w:eastAsia="zh-CN"/>
        </w:rPr>
        <w:t>更正</w:t>
      </w:r>
      <w:r>
        <w:rPr>
          <w:rFonts w:hint="eastAsia" w:asciiTheme="minorEastAsia" w:hAnsiTheme="minorEastAsia" w:eastAsiaTheme="minorEastAsia" w:cstheme="minorEastAsia"/>
          <w:color w:val="auto"/>
          <w:sz w:val="24"/>
        </w:rPr>
        <w:t>公告，同时通过政府采购云平台将澄清或者修改的内容告知所有在系统中成功获取招标文件的潜在投标人（投标人通过账号或CA证书登录云平台查看）。该澄清或者修改的内容为招标文件的组成部分，澄清或者修改的内容可能影响投标文件、资格预审申请文件编制的，采购人或者采购代理机构发布公告并书面通知供应商的时间，应当在投标截止时间至少</w:t>
      </w:r>
      <w:r>
        <w:rPr>
          <w:rFonts w:hint="default" w:asciiTheme="minorAscii" w:hAnsiTheme="minorAscii" w:eastAsiaTheme="minorEastAsia" w:cstheme="minorEastAsia"/>
          <w:color w:val="auto"/>
          <w:sz w:val="24"/>
        </w:rPr>
        <w:t>１５</w:t>
      </w:r>
      <w:r>
        <w:rPr>
          <w:rFonts w:hint="eastAsia" w:asciiTheme="minorEastAsia" w:hAnsiTheme="minorEastAsia" w:eastAsiaTheme="minorEastAsia" w:cstheme="minorEastAsia"/>
          <w:color w:val="auto"/>
          <w:sz w:val="24"/>
        </w:rPr>
        <w:t>日前、提交资格预审申请文件截止时间至少３日前；不足上述时间的，应当顺延提交投标文件、资格预审申请文件的截止时间。</w:t>
      </w:r>
    </w:p>
    <w:p>
      <w:pPr>
        <w:tabs>
          <w:tab w:val="left" w:pos="720"/>
        </w:tabs>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7.3</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应于投标文件递交截止时间之前在四川省政府采购网</w:t>
      </w:r>
      <w:r>
        <w:rPr>
          <w:rFonts w:hint="eastAsia" w:asciiTheme="minorEastAsia" w:hAnsiTheme="minorEastAsia" w:eastAsiaTheme="minorEastAsia" w:cstheme="minorEastAsia"/>
          <w:color w:val="auto"/>
          <w:sz w:val="24"/>
          <w:lang w:eastAsia="zh-CN"/>
        </w:rPr>
        <w:t>、政府采购云平台</w:t>
      </w:r>
      <w:r>
        <w:rPr>
          <w:rFonts w:hint="eastAsia" w:asciiTheme="minorEastAsia" w:hAnsiTheme="minorEastAsia" w:eastAsiaTheme="minorEastAsia" w:cstheme="minorEastAsia"/>
          <w:color w:val="auto"/>
          <w:sz w:val="24"/>
        </w:rPr>
        <w:t>查询本项目的更正公告，以保证其对招标文件做出正确的响应。</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未按要求下载相关文件，或由于未及时关注更正公告的信息造成的后果，其责任由</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自行负责。</w:t>
      </w:r>
    </w:p>
    <w:p>
      <w:pPr>
        <w:tabs>
          <w:tab w:val="left" w:pos="720"/>
        </w:tabs>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7.4投标人认为需要对招标文件进行澄清或者修改的，可以以书面形式向招标采购单位提出申请，但招标采购单位可以决定是否采纳投标人的申请事项。</w:t>
      </w:r>
    </w:p>
    <w:p>
      <w:pPr>
        <w:pStyle w:val="5"/>
        <w:spacing w:line="276" w:lineRule="auto"/>
        <w:ind w:firstLine="472" w:firstLineChars="196"/>
        <w:rPr>
          <w:rFonts w:hint="eastAsia" w:asciiTheme="minorEastAsia" w:hAnsiTheme="minorEastAsia" w:eastAsiaTheme="minorEastAsia" w:cstheme="minorEastAsia"/>
          <w:color w:val="auto"/>
          <w:sz w:val="24"/>
        </w:rPr>
      </w:pPr>
      <w:bookmarkStart w:id="47" w:name="_Toc208848971"/>
      <w:bookmarkStart w:id="48" w:name="_Toc217446041"/>
      <w:r>
        <w:rPr>
          <w:rFonts w:hint="eastAsia" w:asciiTheme="minorEastAsia" w:hAnsiTheme="minorEastAsia" w:eastAsiaTheme="minorEastAsia" w:cstheme="minorEastAsia"/>
          <w:color w:val="auto"/>
          <w:sz w:val="24"/>
        </w:rPr>
        <w:t>8. 答疑会和现场考察</w:t>
      </w:r>
      <w:bookmarkEnd w:id="47"/>
      <w:bookmarkEnd w:id="48"/>
    </w:p>
    <w:p>
      <w:pPr>
        <w:adjustRightInd w:val="0"/>
        <w:snapToGrid w:val="0"/>
        <w:spacing w:line="360" w:lineRule="auto"/>
        <w:ind w:firstLine="420" w:firstLineChars="175"/>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本项目不组织。</w:t>
      </w:r>
    </w:p>
    <w:p>
      <w:pPr>
        <w:pStyle w:val="4"/>
        <w:spacing w:line="276" w:lineRule="auto"/>
        <w:jc w:val="center"/>
        <w:rPr>
          <w:rFonts w:hint="eastAsia" w:asciiTheme="minorEastAsia" w:hAnsiTheme="minorEastAsia" w:eastAsiaTheme="minorEastAsia" w:cstheme="minorEastAsia"/>
          <w:bCs w:val="0"/>
          <w:color w:val="auto"/>
        </w:rPr>
      </w:pPr>
      <w:bookmarkStart w:id="49" w:name="_Toc77400780"/>
      <w:bookmarkStart w:id="50" w:name="_Toc183582214"/>
      <w:bookmarkStart w:id="51" w:name="_Toc89075876"/>
      <w:bookmarkStart w:id="52" w:name="_Toc183682351"/>
      <w:bookmarkStart w:id="53" w:name="_Toc217446042"/>
      <w:r>
        <w:rPr>
          <w:rFonts w:hint="eastAsia" w:asciiTheme="minorEastAsia" w:hAnsiTheme="minorEastAsia" w:eastAsiaTheme="minorEastAsia" w:cstheme="minorEastAsia"/>
          <w:bCs w:val="0"/>
          <w:color w:val="auto"/>
        </w:rPr>
        <w:t>四、投标文件</w:t>
      </w:r>
      <w:bookmarkEnd w:id="49"/>
      <w:bookmarkEnd w:id="50"/>
      <w:bookmarkEnd w:id="51"/>
      <w:bookmarkEnd w:id="52"/>
      <w:bookmarkEnd w:id="53"/>
    </w:p>
    <w:p>
      <w:pPr>
        <w:pStyle w:val="5"/>
        <w:spacing w:line="276" w:lineRule="auto"/>
        <w:ind w:firstLine="482" w:firstLineChars="200"/>
        <w:rPr>
          <w:rFonts w:hint="eastAsia" w:asciiTheme="minorEastAsia" w:hAnsiTheme="minorEastAsia" w:eastAsiaTheme="minorEastAsia" w:cstheme="minorEastAsia"/>
          <w:bCs w:val="0"/>
          <w:color w:val="auto"/>
          <w:sz w:val="24"/>
        </w:rPr>
      </w:pPr>
      <w:bookmarkStart w:id="54" w:name="_Toc217446043"/>
      <w:bookmarkStart w:id="55" w:name="_Toc183682352"/>
      <w:bookmarkStart w:id="56" w:name="_Toc183582215"/>
      <w:r>
        <w:rPr>
          <w:rFonts w:hint="eastAsia" w:asciiTheme="minorEastAsia" w:hAnsiTheme="minorEastAsia" w:eastAsiaTheme="minorEastAsia" w:cstheme="minorEastAsia"/>
          <w:bCs w:val="0"/>
          <w:color w:val="auto"/>
          <w:sz w:val="24"/>
        </w:rPr>
        <w:t>9．投标文件的语言</w:t>
      </w:r>
      <w:bookmarkEnd w:id="54"/>
      <w:bookmarkEnd w:id="55"/>
      <w:bookmarkEnd w:id="56"/>
      <w:r>
        <w:rPr>
          <w:rFonts w:hint="eastAsia" w:asciiTheme="minorEastAsia" w:hAnsiTheme="minorEastAsia" w:eastAsiaTheme="minorEastAsia" w:cstheme="minorEastAsia"/>
          <w:color w:val="auto"/>
          <w:sz w:val="24"/>
        </w:rPr>
        <w:t>（实质性要求）</w:t>
      </w:r>
    </w:p>
    <w:p>
      <w:pPr>
        <w:spacing w:line="360" w:lineRule="auto"/>
        <w:ind w:firstLine="480" w:firstLineChars="200"/>
        <w:rPr>
          <w:rFonts w:hint="eastAsia" w:asciiTheme="minorEastAsia" w:hAnsiTheme="minorEastAsia" w:eastAsiaTheme="minorEastAsia" w:cstheme="minorEastAsia"/>
          <w:color w:val="auto"/>
          <w:sz w:val="24"/>
        </w:rPr>
      </w:pPr>
      <w:bookmarkStart w:id="57" w:name="_Toc183582216"/>
      <w:bookmarkStart w:id="58" w:name="_Toc217446044"/>
      <w:bookmarkStart w:id="59" w:name="_Toc183682353"/>
      <w:r>
        <w:rPr>
          <w:rFonts w:hint="eastAsia" w:asciiTheme="minorEastAsia" w:hAnsiTheme="minorEastAsia" w:eastAsiaTheme="minorEastAsia" w:cstheme="minorEastAsia"/>
          <w:color w:val="auto"/>
          <w:sz w:val="24"/>
        </w:rPr>
        <w:t>9.1 投标人提交的投标文件以及投标人与采购人或采购代理机构就有关投标的所有来往书面文件均须使用中文。投标文件中如附有外文资料，必须逐一对应翻译成中文并加盖投标人</w:t>
      </w:r>
      <w:r>
        <w:rPr>
          <w:rFonts w:hint="eastAsia" w:asciiTheme="minorEastAsia" w:hAnsiTheme="minorEastAsia" w:eastAsiaTheme="minorEastAsia" w:cstheme="minorEastAsia"/>
          <w:color w:val="auto"/>
          <w:sz w:val="24"/>
          <w:lang w:eastAsia="zh-CN"/>
        </w:rPr>
        <w:t>电子签章</w:t>
      </w:r>
      <w:r>
        <w:rPr>
          <w:rFonts w:hint="eastAsia" w:asciiTheme="minorEastAsia" w:hAnsiTheme="minorEastAsia" w:eastAsiaTheme="minorEastAsia" w:cstheme="minorEastAsia"/>
          <w:color w:val="auto"/>
          <w:sz w:val="24"/>
        </w:rPr>
        <w:t>后附在相关外文资料后面，否则所提供的外文资料将可能被视为无效材料。（说明：</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的法定代表人为外籍人士的，法定代表人的签字和护照除外。）</w:t>
      </w:r>
    </w:p>
    <w:p>
      <w:pPr>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9.2 翻译的中文资料与外文资料如果出现差异和矛盾时，以中文为准。实质性翻译错误的外文资料将可能被视为无效材料。涉嫌虚假响应的按照相关法律法规处理。</w:t>
      </w:r>
    </w:p>
    <w:p>
      <w:pPr>
        <w:pStyle w:val="5"/>
        <w:spacing w:line="276" w:lineRule="auto"/>
        <w:ind w:firstLine="482"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10．计量单位</w:t>
      </w:r>
      <w:bookmarkEnd w:id="57"/>
      <w:bookmarkEnd w:id="58"/>
      <w:bookmarkEnd w:id="59"/>
      <w:r>
        <w:rPr>
          <w:rFonts w:hint="eastAsia" w:asciiTheme="minorEastAsia" w:hAnsiTheme="minorEastAsia" w:eastAsiaTheme="minorEastAsia" w:cstheme="minorEastAsia"/>
          <w:color w:val="auto"/>
          <w:sz w:val="24"/>
        </w:rPr>
        <w:t>（实质性要求）</w:t>
      </w:r>
    </w:p>
    <w:p>
      <w:pPr>
        <w:spacing w:line="360" w:lineRule="auto"/>
        <w:ind w:firstLine="470" w:firstLineChars="196"/>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除技术规格及要求中另有规定外，本采购项下的投标均采用国家法定的计量单位。</w:t>
      </w:r>
    </w:p>
    <w:p>
      <w:pPr>
        <w:pStyle w:val="5"/>
        <w:spacing w:line="276"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rPr>
        <w:t xml:space="preserve"> </w:t>
      </w:r>
      <w:bookmarkStart w:id="60" w:name="_Toc217446045"/>
      <w:r>
        <w:rPr>
          <w:rFonts w:hint="eastAsia" w:asciiTheme="minorEastAsia" w:hAnsiTheme="minorEastAsia" w:eastAsiaTheme="minorEastAsia" w:cstheme="minorEastAsia"/>
          <w:color w:val="auto"/>
        </w:rPr>
        <w:t xml:space="preserve">  </w:t>
      </w:r>
      <w:r>
        <w:rPr>
          <w:rFonts w:hint="eastAsia" w:asciiTheme="minorEastAsia" w:hAnsiTheme="minorEastAsia" w:eastAsiaTheme="minorEastAsia" w:cstheme="minorEastAsia"/>
          <w:color w:val="auto"/>
          <w:sz w:val="24"/>
          <w:szCs w:val="24"/>
        </w:rPr>
        <w:t>11. 投标货币</w:t>
      </w:r>
      <w:bookmarkEnd w:id="60"/>
      <w:r>
        <w:rPr>
          <w:rFonts w:hint="eastAsia" w:asciiTheme="minorEastAsia" w:hAnsiTheme="minorEastAsia" w:eastAsiaTheme="minorEastAsia" w:cstheme="minorEastAsia"/>
          <w:color w:val="auto"/>
          <w:sz w:val="24"/>
          <w:szCs w:val="24"/>
        </w:rPr>
        <w:t>（实质性要求）</w:t>
      </w:r>
    </w:p>
    <w:p>
      <w:pPr>
        <w:tabs>
          <w:tab w:val="left" w:pos="7665"/>
        </w:tabs>
        <w:spacing w:line="276" w:lineRule="auto"/>
        <w:ind w:left="13" w:hanging="118"/>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color w:val="auto"/>
          <w:sz w:val="24"/>
        </w:rPr>
        <w:t xml:space="preserve">    </w:t>
      </w:r>
      <w:r>
        <w:rPr>
          <w:rFonts w:hint="eastAsia" w:asciiTheme="minorEastAsia" w:hAnsiTheme="minorEastAsia" w:eastAsiaTheme="minorEastAsia" w:cstheme="minorEastAsia"/>
          <w:color w:val="auto"/>
          <w:sz w:val="24"/>
        </w:rPr>
        <w:t xml:space="preserve"> 除技术规格及要求中另有规定外，本采购项目的投标均采用国家法定的计量单位。</w:t>
      </w:r>
    </w:p>
    <w:p>
      <w:pPr>
        <w:pStyle w:val="5"/>
        <w:numPr>
          <w:ilvl w:val="0"/>
          <w:numId w:val="6"/>
        </w:numPr>
        <w:spacing w:line="276" w:lineRule="auto"/>
        <w:rPr>
          <w:rFonts w:hint="eastAsia" w:asciiTheme="minorEastAsia" w:hAnsiTheme="minorEastAsia" w:eastAsiaTheme="minorEastAsia" w:cstheme="minorEastAsia"/>
          <w:color w:val="auto"/>
          <w:sz w:val="24"/>
          <w:szCs w:val="24"/>
        </w:rPr>
      </w:pPr>
      <w:bookmarkStart w:id="61" w:name="_Toc217446046"/>
      <w:r>
        <w:rPr>
          <w:rFonts w:hint="eastAsia" w:asciiTheme="minorEastAsia" w:hAnsiTheme="minorEastAsia" w:eastAsiaTheme="minorEastAsia" w:cstheme="minorEastAsia"/>
          <w:color w:val="auto"/>
          <w:sz w:val="24"/>
          <w:szCs w:val="24"/>
        </w:rPr>
        <w:t>联合体投标</w:t>
      </w:r>
      <w:bookmarkEnd w:id="61"/>
      <w:r>
        <w:rPr>
          <w:rFonts w:hint="eastAsia" w:asciiTheme="minorEastAsia" w:hAnsiTheme="minorEastAsia" w:eastAsiaTheme="minorEastAsia" w:cstheme="minorEastAsia"/>
          <w:color w:val="auto"/>
          <w:sz w:val="24"/>
          <w:szCs w:val="24"/>
        </w:rPr>
        <w:t>（实质性要求）</w:t>
      </w:r>
    </w:p>
    <w:p>
      <w:pPr>
        <w:tabs>
          <w:tab w:val="left" w:pos="-142"/>
        </w:tabs>
        <w:spacing w:line="520" w:lineRule="exact"/>
        <w:ind w:firstLine="480"/>
        <w:rPr>
          <w:rFonts w:hint="eastAsia" w:asciiTheme="minorEastAsia" w:hAnsiTheme="minorEastAsia" w:eastAsiaTheme="minorEastAsia" w:cstheme="minorEastAsia"/>
          <w:b w:val="0"/>
          <w:bCs/>
          <w:color w:val="auto"/>
          <w:kern w:val="2"/>
          <w:sz w:val="24"/>
          <w:szCs w:val="24"/>
          <w:lang w:val="en-US"/>
        </w:rPr>
      </w:pPr>
      <w:bookmarkStart w:id="62" w:name="_Toc217446047"/>
      <w:r>
        <w:rPr>
          <w:rFonts w:hint="eastAsia" w:asciiTheme="minorEastAsia" w:hAnsiTheme="minorEastAsia" w:eastAsiaTheme="minorEastAsia" w:cstheme="minorEastAsia"/>
          <w:b w:val="0"/>
          <w:bCs/>
          <w:color w:val="auto"/>
          <w:kern w:val="2"/>
          <w:sz w:val="24"/>
          <w:szCs w:val="24"/>
          <w:lang w:val="en-US"/>
        </w:rPr>
        <w:t>1.两个以上供应商可以组成一个联合体投标，以一个投标人的身份投标。以联合体形式参加投标的，联合体各方均应当符合第一章第</w:t>
      </w:r>
      <w:r>
        <w:rPr>
          <w:rFonts w:hint="eastAsia" w:asciiTheme="minorEastAsia" w:hAnsiTheme="minorEastAsia" w:eastAsiaTheme="minorEastAsia" w:cstheme="minorEastAsia"/>
          <w:b w:val="0"/>
          <w:bCs/>
          <w:color w:val="auto"/>
          <w:kern w:val="2"/>
          <w:sz w:val="24"/>
          <w:szCs w:val="24"/>
          <w:lang w:val="en-US" w:eastAsia="zh-CN"/>
        </w:rPr>
        <w:t>六</w:t>
      </w:r>
      <w:r>
        <w:rPr>
          <w:rFonts w:hint="eastAsia" w:asciiTheme="minorEastAsia" w:hAnsiTheme="minorEastAsia" w:eastAsiaTheme="minorEastAsia" w:cstheme="minorEastAsia"/>
          <w:b w:val="0"/>
          <w:bCs/>
          <w:color w:val="auto"/>
          <w:kern w:val="2"/>
          <w:sz w:val="24"/>
          <w:szCs w:val="24"/>
          <w:lang w:val="en-US"/>
        </w:rPr>
        <w:t>条规定的条件。</w:t>
      </w:r>
    </w:p>
    <w:p>
      <w:pPr>
        <w:tabs>
          <w:tab w:val="left" w:pos="-142"/>
        </w:tabs>
        <w:spacing w:line="520" w:lineRule="exact"/>
        <w:ind w:firstLine="480"/>
        <w:rPr>
          <w:rFonts w:hint="eastAsia" w:asciiTheme="minorEastAsia" w:hAnsiTheme="minorEastAsia" w:eastAsiaTheme="minorEastAsia" w:cstheme="minorEastAsia"/>
          <w:b w:val="0"/>
          <w:bCs/>
          <w:color w:val="auto"/>
          <w:kern w:val="2"/>
          <w:sz w:val="24"/>
          <w:szCs w:val="24"/>
          <w:lang w:val="en-US"/>
        </w:rPr>
      </w:pPr>
      <w:r>
        <w:rPr>
          <w:rFonts w:hint="eastAsia" w:asciiTheme="minorEastAsia" w:hAnsiTheme="minorEastAsia" w:eastAsiaTheme="minorEastAsia" w:cstheme="minorEastAsia"/>
          <w:b w:val="0"/>
          <w:bCs/>
          <w:color w:val="auto"/>
          <w:kern w:val="2"/>
          <w:sz w:val="24"/>
          <w:szCs w:val="24"/>
          <w:lang w:val="en-US"/>
        </w:rPr>
        <w:t>2.联合体各方之间应当签订联合体投标协议，公平合理分工，相互协作配合，明确约定联合体各方承担的工作和相应的责任，并将共同联合体投标协议连同投标文件一并提交招标采购单位。</w:t>
      </w:r>
    </w:p>
    <w:p>
      <w:pPr>
        <w:tabs>
          <w:tab w:val="left" w:pos="-142"/>
        </w:tabs>
        <w:spacing w:line="520" w:lineRule="exact"/>
        <w:ind w:firstLine="480"/>
        <w:rPr>
          <w:rFonts w:hint="eastAsia" w:asciiTheme="minorEastAsia" w:hAnsiTheme="minorEastAsia" w:eastAsiaTheme="minorEastAsia" w:cstheme="minorEastAsia"/>
          <w:b w:val="0"/>
          <w:bCs/>
          <w:color w:val="auto"/>
          <w:kern w:val="2"/>
          <w:sz w:val="24"/>
          <w:szCs w:val="24"/>
          <w:lang w:val="en-US"/>
        </w:rPr>
      </w:pPr>
      <w:r>
        <w:rPr>
          <w:rFonts w:hint="eastAsia" w:asciiTheme="minorEastAsia" w:hAnsiTheme="minorEastAsia" w:eastAsiaTheme="minorEastAsia" w:cstheme="minorEastAsia"/>
          <w:b w:val="0"/>
          <w:bCs/>
          <w:color w:val="auto"/>
          <w:kern w:val="2"/>
          <w:sz w:val="24"/>
          <w:szCs w:val="24"/>
          <w:lang w:val="en-US"/>
        </w:rPr>
        <w:t>3.联合体应当确定其中一个单位为投标的全权代表，负责参加投标的一切事务，并承担投标及履约中应承担的全部责任与义务。</w:t>
      </w:r>
    </w:p>
    <w:p>
      <w:pPr>
        <w:tabs>
          <w:tab w:val="left" w:pos="-142"/>
        </w:tabs>
        <w:spacing w:line="520" w:lineRule="exact"/>
        <w:ind w:firstLine="480"/>
        <w:rPr>
          <w:rFonts w:hint="eastAsia" w:asciiTheme="minorEastAsia" w:hAnsiTheme="minorEastAsia" w:eastAsiaTheme="minorEastAsia" w:cstheme="minorEastAsia"/>
          <w:b w:val="0"/>
          <w:bCs/>
          <w:color w:val="auto"/>
          <w:kern w:val="2"/>
          <w:sz w:val="24"/>
          <w:szCs w:val="24"/>
          <w:lang w:val="en-US"/>
        </w:rPr>
      </w:pPr>
      <w:r>
        <w:rPr>
          <w:rFonts w:hint="eastAsia" w:asciiTheme="minorEastAsia" w:hAnsiTheme="minorEastAsia" w:eastAsiaTheme="minorEastAsia" w:cstheme="minorEastAsia"/>
          <w:b w:val="0"/>
          <w:bCs/>
          <w:color w:val="auto"/>
          <w:kern w:val="2"/>
          <w:sz w:val="24"/>
          <w:szCs w:val="24"/>
          <w:lang w:val="en-US"/>
        </w:rPr>
        <w:t>4.联合体各方应当共同与采购人签订采购合同，就采购合同约定的事项对采购人承担连带责任。</w:t>
      </w:r>
    </w:p>
    <w:p>
      <w:pPr>
        <w:tabs>
          <w:tab w:val="left" w:pos="-142"/>
        </w:tabs>
        <w:spacing w:line="520" w:lineRule="exact"/>
        <w:ind w:firstLine="480"/>
        <w:rPr>
          <w:rFonts w:hint="eastAsia" w:asciiTheme="minorEastAsia" w:hAnsiTheme="minorEastAsia" w:eastAsiaTheme="minorEastAsia" w:cstheme="minorEastAsia"/>
          <w:b w:val="0"/>
          <w:bCs/>
          <w:color w:val="auto"/>
          <w:kern w:val="2"/>
          <w:sz w:val="24"/>
          <w:szCs w:val="24"/>
          <w:lang w:val="en-US"/>
        </w:rPr>
      </w:pPr>
      <w:r>
        <w:rPr>
          <w:rFonts w:hint="eastAsia" w:asciiTheme="minorEastAsia" w:hAnsiTheme="minorEastAsia" w:eastAsiaTheme="minorEastAsia" w:cstheme="minorEastAsia"/>
          <w:b w:val="0"/>
          <w:bCs/>
          <w:color w:val="auto"/>
          <w:kern w:val="2"/>
          <w:sz w:val="24"/>
          <w:szCs w:val="24"/>
          <w:lang w:val="en-US"/>
        </w:rPr>
        <w:t>5.联合体中有同类资质的供应商按照联合体分工承担相同工作的，应当按照资质等级较低的供应商确定资质等级。</w:t>
      </w:r>
    </w:p>
    <w:p>
      <w:pPr>
        <w:tabs>
          <w:tab w:val="left" w:pos="-142"/>
        </w:tabs>
        <w:spacing w:line="520" w:lineRule="exact"/>
        <w:ind w:firstLine="480"/>
        <w:rPr>
          <w:rFonts w:hint="eastAsia" w:asciiTheme="minorEastAsia" w:hAnsiTheme="minorEastAsia" w:eastAsiaTheme="minorEastAsia" w:cstheme="minorEastAsia"/>
          <w:b w:val="0"/>
          <w:bCs/>
          <w:color w:val="auto"/>
          <w:kern w:val="2"/>
          <w:sz w:val="24"/>
          <w:szCs w:val="24"/>
          <w:lang w:val="en-US"/>
        </w:rPr>
      </w:pPr>
      <w:r>
        <w:rPr>
          <w:rFonts w:hint="eastAsia" w:asciiTheme="minorEastAsia" w:hAnsiTheme="minorEastAsia" w:eastAsiaTheme="minorEastAsia" w:cstheme="minorEastAsia"/>
          <w:b w:val="0"/>
          <w:bCs/>
          <w:color w:val="auto"/>
          <w:kern w:val="2"/>
          <w:sz w:val="24"/>
          <w:szCs w:val="24"/>
          <w:lang w:val="en-US"/>
        </w:rPr>
        <w:t>6.以联合体形式参加政府采购活动的，联合体各方不得再单独参加或者与其他供应商另外组成联合体参加本项目同一合同项下（同一包件）的投标。</w:t>
      </w:r>
    </w:p>
    <w:p>
      <w:pPr>
        <w:pStyle w:val="5"/>
        <w:spacing w:line="360" w:lineRule="auto"/>
        <w:ind w:firstLine="480" w:firstLineChars="200"/>
        <w:rPr>
          <w:rFonts w:hint="eastAsia" w:asciiTheme="minorEastAsia" w:hAnsiTheme="minorEastAsia" w:eastAsiaTheme="minorEastAsia" w:cstheme="minorEastAsia"/>
          <w:b w:val="0"/>
          <w:bCs/>
          <w:color w:val="auto"/>
          <w:kern w:val="2"/>
          <w:sz w:val="24"/>
          <w:szCs w:val="24"/>
          <w:lang w:val="en-US"/>
        </w:rPr>
      </w:pPr>
      <w:r>
        <w:rPr>
          <w:rFonts w:hint="eastAsia" w:asciiTheme="minorEastAsia" w:hAnsiTheme="minorEastAsia" w:eastAsiaTheme="minorEastAsia" w:cstheme="minorEastAsia"/>
          <w:b w:val="0"/>
          <w:bCs/>
          <w:color w:val="auto"/>
          <w:kern w:val="2"/>
          <w:sz w:val="24"/>
          <w:szCs w:val="24"/>
          <w:lang w:val="en-US"/>
        </w:rPr>
        <w:t>7.若投标人为联合体的，投标文件未明确规定需要联合体各方均提供和盖章部分的，只需要牵头人提供和盖</w:t>
      </w:r>
      <w:r>
        <w:rPr>
          <w:rFonts w:hint="eastAsia" w:asciiTheme="minorEastAsia" w:hAnsiTheme="minorEastAsia" w:eastAsiaTheme="minorEastAsia" w:cstheme="minorEastAsia"/>
          <w:b w:val="0"/>
          <w:bCs/>
          <w:color w:val="auto"/>
          <w:kern w:val="2"/>
          <w:sz w:val="24"/>
          <w:szCs w:val="24"/>
          <w:lang w:val="en-US" w:eastAsia="zh-CN"/>
        </w:rPr>
        <w:t>电子签</w:t>
      </w:r>
      <w:r>
        <w:rPr>
          <w:rFonts w:hint="eastAsia" w:asciiTheme="minorEastAsia" w:hAnsiTheme="minorEastAsia" w:eastAsiaTheme="minorEastAsia" w:cstheme="minorEastAsia"/>
          <w:b w:val="0"/>
          <w:bCs/>
          <w:color w:val="auto"/>
          <w:kern w:val="2"/>
          <w:sz w:val="24"/>
          <w:szCs w:val="24"/>
          <w:lang w:val="en-US"/>
        </w:rPr>
        <w:t>章即可。</w:t>
      </w:r>
    </w:p>
    <w:p>
      <w:pPr>
        <w:pStyle w:val="5"/>
        <w:spacing w:line="276" w:lineRule="auto"/>
        <w:ind w:firstLine="482" w:firstLineChars="200"/>
        <w:rPr>
          <w:rFonts w:hint="eastAsia" w:asciiTheme="minorEastAsia" w:hAnsiTheme="minorEastAsia" w:eastAsiaTheme="minorEastAsia" w:cstheme="minorEastAsia"/>
          <w:bCs w:val="0"/>
          <w:color w:val="auto"/>
          <w:sz w:val="24"/>
          <w:szCs w:val="24"/>
        </w:rPr>
      </w:pPr>
      <w:r>
        <w:rPr>
          <w:rFonts w:hint="eastAsia" w:asciiTheme="minorEastAsia" w:hAnsiTheme="minorEastAsia" w:eastAsiaTheme="minorEastAsia" w:cstheme="minorEastAsia"/>
          <w:bCs w:val="0"/>
          <w:color w:val="auto"/>
          <w:sz w:val="24"/>
          <w:szCs w:val="24"/>
        </w:rPr>
        <w:t>13. 知识产权</w:t>
      </w:r>
      <w:bookmarkEnd w:id="62"/>
      <w:r>
        <w:rPr>
          <w:rFonts w:hint="eastAsia" w:asciiTheme="minorEastAsia" w:hAnsiTheme="minorEastAsia" w:eastAsiaTheme="minorEastAsia" w:cstheme="minorEastAsia"/>
          <w:color w:val="auto"/>
          <w:sz w:val="24"/>
          <w:szCs w:val="24"/>
        </w:rPr>
        <w:t>（实质性要求）</w:t>
      </w:r>
    </w:p>
    <w:p>
      <w:pPr>
        <w:pStyle w:val="20"/>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20"/>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13.2 采购人享有本项目实施过程中产生的知识成果及知识产权。</w:t>
      </w:r>
    </w:p>
    <w:p>
      <w:pPr>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13.3 投标人如欲在项目实施过程中采用自有知识成果，需在投标文件中声明，并提供相关知识产权证明文件。使用该知识成果后，投标人需提供开发接口和开发手册等技术文档，并承诺提供无限期技术支持，采购人享有永久使用权（含采购人委托第三方在该项目后续开发的使用权）。</w:t>
      </w:r>
    </w:p>
    <w:p>
      <w:pPr>
        <w:spacing w:line="360" w:lineRule="auto"/>
        <w:ind w:firstLine="460" w:firstLineChars="192"/>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13.4 如采用投标人所不拥有的知识产权，则在投标报价中必须包括合法获取该知识产权的相关费用。 </w:t>
      </w:r>
    </w:p>
    <w:p>
      <w:pPr>
        <w:spacing w:line="360" w:lineRule="auto"/>
        <w:ind w:left="3" w:leftChars="1" w:firstLine="482" w:firstLineChars="200"/>
        <w:rPr>
          <w:rFonts w:hint="eastAsia" w:asciiTheme="minorEastAsia" w:hAnsiTheme="minorEastAsia" w:eastAsiaTheme="minorEastAsia" w:cstheme="minorEastAsia"/>
          <w:color w:val="auto"/>
          <w:sz w:val="24"/>
        </w:rPr>
      </w:pPr>
      <w:bookmarkStart w:id="63" w:name="_Toc217446048"/>
      <w:bookmarkStart w:id="64" w:name="_Toc183582217"/>
      <w:bookmarkStart w:id="65" w:name="_Toc183682354"/>
      <w:r>
        <w:rPr>
          <w:rFonts w:hint="eastAsia" w:asciiTheme="minorEastAsia" w:hAnsiTheme="minorEastAsia" w:eastAsiaTheme="minorEastAsia" w:cstheme="minorEastAsia"/>
          <w:b/>
          <w:color w:val="auto"/>
          <w:kern w:val="2"/>
          <w:sz w:val="24"/>
          <w:szCs w:val="24"/>
        </w:rPr>
        <w:t>14．</w:t>
      </w:r>
      <w:bookmarkEnd w:id="63"/>
      <w:bookmarkEnd w:id="64"/>
      <w:bookmarkEnd w:id="65"/>
      <w:r>
        <w:rPr>
          <w:rFonts w:hint="eastAsia" w:asciiTheme="minorEastAsia" w:hAnsiTheme="minorEastAsia" w:eastAsiaTheme="minorEastAsia" w:cstheme="minorEastAsia"/>
          <w:b/>
          <w:color w:val="auto"/>
          <w:kern w:val="2"/>
          <w:sz w:val="24"/>
          <w:szCs w:val="24"/>
        </w:rPr>
        <w:t>投标文件的组成</w:t>
      </w:r>
      <w:r>
        <w:rPr>
          <w:rFonts w:hint="eastAsia" w:asciiTheme="minorEastAsia" w:hAnsiTheme="minorEastAsia" w:eastAsiaTheme="minorEastAsia" w:cstheme="minorEastAsia"/>
          <w:color w:val="auto"/>
          <w:sz w:val="24"/>
        </w:rPr>
        <w:t xml:space="preserve"> </w:t>
      </w:r>
    </w:p>
    <w:p>
      <w:pPr>
        <w:spacing w:line="360" w:lineRule="auto"/>
        <w:ind w:firstLine="42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投标人应按照招标文件的规定和要求编制投标文件。投标人编写的投标文件应至少包括下列两部分文件：</w:t>
      </w:r>
    </w:p>
    <w:p>
      <w:pPr>
        <w:spacing w:line="360" w:lineRule="auto"/>
        <w:ind w:left="3" w:leftChars="1"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文件一：资格性投标文件</w:t>
      </w:r>
    </w:p>
    <w:p>
      <w:pPr>
        <w:spacing w:line="360" w:lineRule="auto"/>
        <w:ind w:left="3" w:leftChars="1"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资格性投标文件用于资格审查，应严格按照第</w:t>
      </w:r>
      <w:r>
        <w:rPr>
          <w:rFonts w:hint="eastAsia" w:asciiTheme="minorEastAsia" w:hAnsiTheme="minorEastAsia" w:eastAsiaTheme="minorEastAsia" w:cstheme="minorEastAsia"/>
          <w:color w:val="auto"/>
          <w:sz w:val="24"/>
          <w:lang w:eastAsia="zh-CN"/>
        </w:rPr>
        <w:t>四</w:t>
      </w:r>
      <w:r>
        <w:rPr>
          <w:rFonts w:hint="eastAsia" w:asciiTheme="minorEastAsia" w:hAnsiTheme="minorEastAsia" w:eastAsiaTheme="minorEastAsia" w:cstheme="minorEastAsia"/>
          <w:color w:val="auto"/>
          <w:sz w:val="24"/>
        </w:rPr>
        <w:t>章</w:t>
      </w:r>
      <w:r>
        <w:rPr>
          <w:rFonts w:hint="eastAsia" w:asciiTheme="minorEastAsia" w:hAnsiTheme="minorEastAsia" w:eastAsiaTheme="minorEastAsia" w:cstheme="minorEastAsia"/>
          <w:color w:val="auto"/>
          <w:sz w:val="24"/>
          <w:lang w:eastAsia="zh-CN"/>
        </w:rPr>
        <w:t>、第五章</w:t>
      </w:r>
      <w:r>
        <w:rPr>
          <w:rFonts w:hint="eastAsia" w:asciiTheme="minorEastAsia" w:hAnsiTheme="minorEastAsia" w:eastAsiaTheme="minorEastAsia" w:cstheme="minorEastAsia"/>
          <w:color w:val="auto"/>
          <w:sz w:val="24"/>
        </w:rPr>
        <w:t>要求提供相关资格、资质性及其他类似效力要求的相关证明材料。</w:t>
      </w:r>
    </w:p>
    <w:p>
      <w:pPr>
        <w:spacing w:line="360" w:lineRule="auto"/>
        <w:ind w:left="3" w:leftChars="1"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文件二：其它投标文件</w:t>
      </w:r>
    </w:p>
    <w:p>
      <w:pPr>
        <w:spacing w:line="360" w:lineRule="auto"/>
        <w:ind w:left="3" w:leftChars="1"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其他投标文件用于符合性审查和综合评审，包括投标人响应招标文件要求的资格条件以外的所有材料，包括但不限于下列部分：</w:t>
      </w:r>
    </w:p>
    <w:p>
      <w:pPr>
        <w:numPr>
          <w:ilvl w:val="0"/>
          <w:numId w:val="7"/>
        </w:numPr>
        <w:spacing w:line="360" w:lineRule="auto"/>
        <w:ind w:left="3" w:leftChars="1"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eastAsia="zh-CN"/>
        </w:rPr>
        <w:t>其他</w:t>
      </w:r>
      <w:r>
        <w:rPr>
          <w:rFonts w:hint="eastAsia" w:asciiTheme="minorEastAsia" w:hAnsiTheme="minorEastAsia" w:eastAsiaTheme="minorEastAsia" w:cstheme="minorEastAsia"/>
          <w:color w:val="auto"/>
          <w:sz w:val="24"/>
        </w:rPr>
        <w:t>投标文件封面</w:t>
      </w:r>
    </w:p>
    <w:p>
      <w:pPr>
        <w:numPr>
          <w:ilvl w:val="0"/>
          <w:numId w:val="7"/>
        </w:numPr>
        <w:spacing w:line="360" w:lineRule="auto"/>
        <w:ind w:left="3" w:leftChars="1"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投标函</w:t>
      </w:r>
    </w:p>
    <w:p>
      <w:pPr>
        <w:numPr>
          <w:ilvl w:val="0"/>
          <w:numId w:val="7"/>
        </w:numPr>
        <w:spacing w:line="360" w:lineRule="auto"/>
        <w:ind w:left="3" w:leftChars="1"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开标一览表</w:t>
      </w:r>
    </w:p>
    <w:p>
      <w:pPr>
        <w:numPr>
          <w:ilvl w:val="0"/>
          <w:numId w:val="7"/>
        </w:numPr>
        <w:spacing w:line="360" w:lineRule="auto"/>
        <w:ind w:left="3" w:leftChars="1"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服务偏离表</w:t>
      </w:r>
    </w:p>
    <w:p>
      <w:pPr>
        <w:numPr>
          <w:ilvl w:val="0"/>
          <w:numId w:val="7"/>
        </w:numPr>
        <w:spacing w:line="360" w:lineRule="auto"/>
        <w:ind w:left="3" w:leftChars="1"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商务偏离表</w:t>
      </w:r>
    </w:p>
    <w:p>
      <w:pPr>
        <w:numPr>
          <w:ilvl w:val="0"/>
          <w:numId w:val="7"/>
        </w:numPr>
        <w:spacing w:line="360" w:lineRule="auto"/>
        <w:ind w:left="3" w:leftChars="1"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投标人基本情况表</w:t>
      </w:r>
    </w:p>
    <w:p>
      <w:pPr>
        <w:numPr>
          <w:ilvl w:val="0"/>
          <w:numId w:val="7"/>
        </w:numPr>
        <w:spacing w:line="360" w:lineRule="auto"/>
        <w:ind w:left="3" w:leftChars="1"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实施本项目的主要人员情况表</w:t>
      </w:r>
    </w:p>
    <w:p>
      <w:pPr>
        <w:numPr>
          <w:ilvl w:val="0"/>
          <w:numId w:val="7"/>
        </w:numPr>
        <w:spacing w:line="360" w:lineRule="auto"/>
        <w:ind w:left="3" w:leftChars="1"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投标人类似项目业绩一览表</w:t>
      </w:r>
    </w:p>
    <w:p>
      <w:pPr>
        <w:numPr>
          <w:ilvl w:val="0"/>
          <w:numId w:val="7"/>
        </w:numPr>
        <w:spacing w:line="360" w:lineRule="auto"/>
        <w:ind w:left="3" w:leftChars="1"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实施方案</w:t>
      </w:r>
    </w:p>
    <w:p>
      <w:pPr>
        <w:numPr>
          <w:ilvl w:val="0"/>
          <w:numId w:val="7"/>
        </w:numPr>
        <w:spacing w:line="360" w:lineRule="auto"/>
        <w:ind w:left="3" w:leftChars="1"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诚信情况承诺函</w:t>
      </w:r>
    </w:p>
    <w:p>
      <w:pPr>
        <w:numPr>
          <w:ilvl w:val="0"/>
          <w:numId w:val="7"/>
        </w:numPr>
        <w:spacing w:line="360" w:lineRule="auto"/>
        <w:ind w:left="3" w:leftChars="1"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投标人认为需要提供的其他文件和资料</w:t>
      </w:r>
    </w:p>
    <w:p>
      <w:pPr>
        <w:spacing w:line="360" w:lineRule="auto"/>
        <w:ind w:left="3" w:leftChars="1" w:firstLine="482" w:firstLineChars="200"/>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如涉及）投标人承诺给予采购人或者采购代理机构的各种优惠条件（优惠条件事项不能包括采购项目本身所包括涉及的采购事项。投标人不能以“赠送、赠予”等任何名义提供货物和服务以规避招标文件的约束。否则，投标人提供的投标文件将作为无效投标处理，即使中标也将取消中标资格）；(实质性要求)</w:t>
      </w:r>
    </w:p>
    <w:p>
      <w:pPr>
        <w:pStyle w:val="5"/>
        <w:tabs>
          <w:tab w:val="left" w:pos="3480"/>
        </w:tabs>
        <w:spacing w:line="276" w:lineRule="auto"/>
        <w:ind w:firstLine="482" w:firstLineChars="200"/>
        <w:rPr>
          <w:rFonts w:hint="eastAsia" w:asciiTheme="minorEastAsia" w:hAnsiTheme="minorEastAsia" w:eastAsiaTheme="minorEastAsia" w:cstheme="minorEastAsia"/>
          <w:color w:val="auto"/>
          <w:sz w:val="24"/>
        </w:rPr>
      </w:pPr>
      <w:bookmarkStart w:id="66" w:name="_Toc183682355"/>
      <w:bookmarkStart w:id="67" w:name="_Toc183582218"/>
      <w:bookmarkStart w:id="68" w:name="_Toc217446049"/>
      <w:r>
        <w:rPr>
          <w:rFonts w:hint="eastAsia" w:asciiTheme="minorEastAsia" w:hAnsiTheme="minorEastAsia" w:eastAsiaTheme="minorEastAsia" w:cstheme="minorEastAsia"/>
          <w:color w:val="auto"/>
          <w:sz w:val="24"/>
        </w:rPr>
        <w:t>15．投标文件格式</w:t>
      </w:r>
      <w:bookmarkEnd w:id="66"/>
      <w:bookmarkEnd w:id="67"/>
      <w:bookmarkEnd w:id="68"/>
      <w:r>
        <w:rPr>
          <w:rFonts w:hint="eastAsia" w:asciiTheme="minorEastAsia" w:hAnsiTheme="minorEastAsia" w:eastAsiaTheme="minorEastAsia" w:cstheme="minorEastAsia"/>
          <w:color w:val="auto"/>
          <w:sz w:val="24"/>
        </w:rPr>
        <w:tab/>
      </w:r>
    </w:p>
    <w:p>
      <w:pPr>
        <w:tabs>
          <w:tab w:val="left" w:pos="7665"/>
        </w:tabs>
        <w:spacing w:line="360" w:lineRule="auto"/>
        <w:ind w:left="20" w:leftChars="6"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15.1投标人应执行招标文件第三章的规定要求。</w:t>
      </w:r>
    </w:p>
    <w:p>
      <w:pPr>
        <w:tabs>
          <w:tab w:val="left" w:pos="7665"/>
        </w:tabs>
        <w:spacing w:line="360" w:lineRule="auto"/>
        <w:ind w:left="20" w:leftChars="6"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15.2 对于没有格式要求的投标文件由投标人自行编写。</w:t>
      </w:r>
    </w:p>
    <w:p>
      <w:pPr>
        <w:pStyle w:val="5"/>
        <w:spacing w:line="276" w:lineRule="auto"/>
        <w:ind w:firstLine="482" w:firstLineChars="200"/>
        <w:rPr>
          <w:rFonts w:hint="eastAsia" w:asciiTheme="minorEastAsia" w:hAnsiTheme="minorEastAsia" w:eastAsiaTheme="minorEastAsia" w:cstheme="minorEastAsia"/>
          <w:bCs w:val="0"/>
          <w:color w:val="auto"/>
          <w:sz w:val="24"/>
        </w:rPr>
      </w:pPr>
      <w:bookmarkStart w:id="69" w:name="_Toc217446050"/>
      <w:bookmarkStart w:id="70" w:name="_Toc183582223"/>
      <w:bookmarkStart w:id="71" w:name="_Toc183682360"/>
      <w:r>
        <w:rPr>
          <w:rFonts w:hint="eastAsia" w:asciiTheme="minorEastAsia" w:hAnsiTheme="minorEastAsia" w:eastAsiaTheme="minorEastAsia" w:cstheme="minorEastAsia"/>
          <w:bCs w:val="0"/>
          <w:color w:val="auto"/>
          <w:sz w:val="24"/>
        </w:rPr>
        <w:t>16．投标保证金</w:t>
      </w:r>
      <w:bookmarkEnd w:id="69"/>
      <w:bookmarkEnd w:id="70"/>
      <w:bookmarkEnd w:id="71"/>
      <w:r>
        <w:rPr>
          <w:rFonts w:hint="eastAsia" w:asciiTheme="minorEastAsia" w:hAnsiTheme="minorEastAsia" w:eastAsiaTheme="minorEastAsia" w:cstheme="minorEastAsia"/>
          <w:bCs w:val="0"/>
          <w:color w:val="auto"/>
          <w:sz w:val="24"/>
        </w:rPr>
        <w:t>(实质性要求)</w:t>
      </w:r>
    </w:p>
    <w:p>
      <w:pPr>
        <w:pStyle w:val="8"/>
        <w:ind w:firstLine="482"/>
        <w:rPr>
          <w:rFonts w:hint="eastAsia" w:asciiTheme="minorEastAsia" w:hAnsiTheme="minorEastAsia" w:eastAsiaTheme="minorEastAsia" w:cstheme="minorEastAsia"/>
          <w:color w:val="auto"/>
          <w:sz w:val="24"/>
        </w:rPr>
      </w:pPr>
      <w:bookmarkStart w:id="72" w:name="_Toc183682361"/>
      <w:bookmarkStart w:id="73" w:name="_Toc217446051"/>
      <w:bookmarkStart w:id="74" w:name="_Toc183582224"/>
      <w:r>
        <w:rPr>
          <w:rFonts w:hint="eastAsia" w:asciiTheme="minorEastAsia" w:hAnsiTheme="minorEastAsia" w:eastAsiaTheme="minorEastAsia" w:cstheme="minorEastAsia"/>
          <w:b/>
          <w:color w:val="auto"/>
          <w:sz w:val="24"/>
        </w:rPr>
        <w:t>本项目不收取投标保证金。</w:t>
      </w:r>
    </w:p>
    <w:p>
      <w:pPr>
        <w:pStyle w:val="5"/>
        <w:spacing w:line="276" w:lineRule="auto"/>
        <w:ind w:firstLine="482" w:firstLineChars="200"/>
        <w:rPr>
          <w:rFonts w:hint="eastAsia" w:asciiTheme="minorEastAsia" w:hAnsiTheme="minorEastAsia" w:eastAsiaTheme="minorEastAsia" w:cstheme="minorEastAsia"/>
          <w:bCs w:val="0"/>
          <w:color w:val="auto"/>
          <w:sz w:val="24"/>
        </w:rPr>
      </w:pPr>
      <w:r>
        <w:rPr>
          <w:rFonts w:hint="eastAsia" w:asciiTheme="minorEastAsia" w:hAnsiTheme="minorEastAsia" w:eastAsiaTheme="minorEastAsia" w:cstheme="minorEastAsia"/>
          <w:bCs w:val="0"/>
          <w:color w:val="auto"/>
          <w:sz w:val="24"/>
        </w:rPr>
        <w:t>17．投标有效期</w:t>
      </w:r>
      <w:bookmarkEnd w:id="72"/>
      <w:bookmarkEnd w:id="73"/>
      <w:bookmarkEnd w:id="74"/>
      <w:r>
        <w:rPr>
          <w:rFonts w:hint="eastAsia" w:asciiTheme="minorEastAsia" w:hAnsiTheme="minorEastAsia" w:eastAsiaTheme="minorEastAsia" w:cstheme="minorEastAsia"/>
          <w:color w:val="auto"/>
          <w:sz w:val="24"/>
          <w:szCs w:val="24"/>
        </w:rPr>
        <w:t>（实质性要求）</w:t>
      </w:r>
    </w:p>
    <w:p>
      <w:pPr>
        <w:tabs>
          <w:tab w:val="left" w:pos="7665"/>
        </w:tabs>
        <w:spacing w:line="360" w:lineRule="auto"/>
        <w:ind w:left="20" w:leftChars="6"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17.1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360" w:lineRule="auto"/>
        <w:ind w:left="20" w:leftChars="6" w:firstLine="360" w:firstLineChars="15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360" w:lineRule="auto"/>
        <w:ind w:left="20" w:leftChars="6" w:firstLine="360" w:firstLineChars="15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5"/>
        <w:spacing w:line="276" w:lineRule="auto"/>
        <w:ind w:firstLine="482" w:firstLineChars="200"/>
        <w:rPr>
          <w:rFonts w:hint="eastAsia" w:asciiTheme="minorEastAsia" w:hAnsiTheme="minorEastAsia" w:eastAsiaTheme="minorEastAsia" w:cstheme="minorEastAsia"/>
          <w:bCs w:val="0"/>
          <w:color w:val="auto"/>
          <w:sz w:val="24"/>
        </w:rPr>
      </w:pPr>
      <w:bookmarkStart w:id="75" w:name="_Toc217446052"/>
      <w:bookmarkStart w:id="76" w:name="_Toc183682362"/>
      <w:bookmarkStart w:id="77" w:name="_Toc183582225"/>
      <w:r>
        <w:rPr>
          <w:rFonts w:hint="eastAsia" w:asciiTheme="minorEastAsia" w:hAnsiTheme="minorEastAsia" w:eastAsiaTheme="minorEastAsia" w:cstheme="minorEastAsia"/>
          <w:bCs w:val="0"/>
          <w:color w:val="auto"/>
          <w:sz w:val="24"/>
        </w:rPr>
        <w:t>18．</w:t>
      </w:r>
      <w:bookmarkEnd w:id="75"/>
      <w:bookmarkEnd w:id="76"/>
      <w:bookmarkEnd w:id="77"/>
      <w:r>
        <w:rPr>
          <w:rFonts w:hint="eastAsia" w:asciiTheme="minorEastAsia" w:hAnsiTheme="minorEastAsia" w:eastAsiaTheme="minorEastAsia" w:cstheme="minorEastAsia"/>
          <w:bCs w:val="0"/>
          <w:color w:val="auto"/>
          <w:sz w:val="24"/>
        </w:rPr>
        <w:t>投标文件的制作和签章、加密</w:t>
      </w:r>
    </w:p>
    <w:p>
      <w:pPr>
        <w:tabs>
          <w:tab w:val="left" w:pos="1080"/>
        </w:tabs>
        <w:spacing w:line="360" w:lineRule="auto"/>
        <w:ind w:firstLine="460" w:firstLineChars="192"/>
        <w:rPr>
          <w:rFonts w:hint="eastAsia" w:asciiTheme="minorEastAsia" w:hAnsiTheme="minorEastAsia" w:eastAsiaTheme="minorEastAsia" w:cstheme="minorEastAsia"/>
          <w:b/>
          <w:bCs/>
          <w:color w:val="auto"/>
          <w:sz w:val="24"/>
        </w:rPr>
      </w:pPr>
      <w:bookmarkStart w:id="78" w:name="_Toc217446053"/>
      <w:bookmarkStart w:id="79" w:name="_Toc77400781"/>
      <w:bookmarkStart w:id="80" w:name="_Toc183582226"/>
      <w:bookmarkStart w:id="81" w:name="_Toc89075877"/>
      <w:bookmarkStart w:id="82" w:name="_Toc183682363"/>
      <w:r>
        <w:rPr>
          <w:rFonts w:hint="eastAsia" w:asciiTheme="minorEastAsia" w:hAnsiTheme="minorEastAsia" w:eastAsiaTheme="minorEastAsia" w:cstheme="minorEastAsia"/>
          <w:color w:val="auto"/>
          <w:sz w:val="24"/>
        </w:rPr>
        <w:t>18.1 本项目实行电子投标。投标人应先安装“政采云投标客户端”。（政府采购云平台—CA管理—绑定CA—下载驱动—“政采云投标客户端”立即下载）。投标人应按招标文件要求，通过“政采云投标客户端”制作、加密并提交投标文件。</w:t>
      </w:r>
      <w:r>
        <w:rPr>
          <w:rFonts w:hint="eastAsia" w:asciiTheme="minorEastAsia" w:hAnsiTheme="minorEastAsia" w:eastAsiaTheme="minorEastAsia" w:cstheme="minorEastAsia"/>
          <w:b/>
          <w:bCs/>
          <w:color w:val="auto"/>
          <w:sz w:val="24"/>
        </w:rPr>
        <w:t>（实质性要求）。</w:t>
      </w:r>
    </w:p>
    <w:p>
      <w:pPr>
        <w:tabs>
          <w:tab w:val="left" w:pos="1095"/>
        </w:tabs>
        <w:spacing w:line="360" w:lineRule="auto"/>
        <w:ind w:firstLine="460" w:firstLineChars="192"/>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val="0"/>
          <w:bCs w:val="0"/>
          <w:color w:val="auto"/>
          <w:sz w:val="24"/>
        </w:rPr>
        <w:t>18.2 投标文件每页均应加盖投标人（法定名称）电子签章，不得使用投标人专用章（如经济合同章、投标专用章等）或下属单位印章代替。</w:t>
      </w:r>
      <w:r>
        <w:rPr>
          <w:rFonts w:hint="eastAsia" w:asciiTheme="minorEastAsia" w:hAnsiTheme="minorEastAsia" w:eastAsiaTheme="minorEastAsia" w:cstheme="minorEastAsia"/>
          <w:b/>
          <w:bCs/>
          <w:color w:val="auto"/>
          <w:sz w:val="24"/>
        </w:rPr>
        <w:t>（实质性要求）。</w:t>
      </w:r>
    </w:p>
    <w:p>
      <w:pPr>
        <w:tabs>
          <w:tab w:val="left" w:pos="1095"/>
        </w:tabs>
        <w:spacing w:line="360" w:lineRule="auto"/>
        <w:ind w:firstLine="460" w:firstLineChars="192"/>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color w:val="auto"/>
          <w:sz w:val="24"/>
        </w:rPr>
        <w:t>18.3</w:t>
      </w:r>
      <w:r>
        <w:rPr>
          <w:rFonts w:hint="eastAsia" w:asciiTheme="minorEastAsia" w:hAnsiTheme="minorEastAsia" w:eastAsiaTheme="minorEastAsia" w:cstheme="minorEastAsia"/>
          <w:color w:val="auto"/>
          <w:sz w:val="24"/>
          <w:lang w:val="en-US" w:eastAsia="zh-CN"/>
        </w:rPr>
        <w:t xml:space="preserve"> </w:t>
      </w:r>
      <w:r>
        <w:rPr>
          <w:rFonts w:hint="eastAsia" w:asciiTheme="minorEastAsia" w:hAnsiTheme="minorEastAsia" w:eastAsiaTheme="minorEastAsia" w:cstheme="minorEastAsia"/>
          <w:color w:val="auto"/>
          <w:sz w:val="24"/>
        </w:rPr>
        <w:t>投标人应使用本企业CA数字证书对投标文件进行加密。</w:t>
      </w:r>
      <w:r>
        <w:rPr>
          <w:rFonts w:hint="eastAsia" w:asciiTheme="minorEastAsia" w:hAnsiTheme="minorEastAsia" w:eastAsiaTheme="minorEastAsia" w:cstheme="minorEastAsia"/>
          <w:b/>
          <w:bCs/>
          <w:color w:val="auto"/>
          <w:sz w:val="24"/>
        </w:rPr>
        <w:t>（实质性要求）。</w:t>
      </w:r>
    </w:p>
    <w:p>
      <w:pPr>
        <w:spacing w:line="360" w:lineRule="auto"/>
        <w:ind w:firstLine="468" w:firstLineChars="195"/>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18.4</w:t>
      </w:r>
      <w:r>
        <w:rPr>
          <w:rFonts w:hint="eastAsia" w:asciiTheme="minorEastAsia" w:hAnsiTheme="minorEastAsia" w:eastAsiaTheme="minorEastAsia" w:cstheme="minorEastAsia"/>
          <w:bCs/>
          <w:color w:val="auto"/>
          <w:sz w:val="24"/>
        </w:rPr>
        <w:t xml:space="preserve"> </w:t>
      </w:r>
      <w:r>
        <w:rPr>
          <w:rFonts w:hint="eastAsia" w:asciiTheme="minorEastAsia" w:hAnsiTheme="minorEastAsia" w:eastAsiaTheme="minorEastAsia" w:cstheme="minorEastAsia"/>
          <w:color w:val="auto"/>
          <w:sz w:val="24"/>
        </w:rPr>
        <w:t>招标文件若有修改，投标人根据修改后的招标文件制作或修改并递交投标文件。</w:t>
      </w:r>
    </w:p>
    <w:p>
      <w:pPr>
        <w:spacing w:line="360" w:lineRule="auto"/>
        <w:ind w:firstLine="468" w:firstLineChars="195"/>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val="0"/>
          <w:bCs w:val="0"/>
          <w:color w:val="auto"/>
          <w:sz w:val="24"/>
        </w:rPr>
        <w:t>18.5 使用“政府采购云平台”需要提前申领CA数字证书及电子签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r>
        <w:rPr>
          <w:rFonts w:hint="eastAsia" w:asciiTheme="minorEastAsia" w:hAnsiTheme="minorEastAsia" w:eastAsiaTheme="minorEastAsia" w:cstheme="minorEastAsia"/>
          <w:b/>
          <w:bCs/>
          <w:color w:val="auto"/>
          <w:sz w:val="24"/>
        </w:rPr>
        <w:t>（实质性要求）</w:t>
      </w:r>
      <w:r>
        <w:rPr>
          <w:rFonts w:hint="eastAsia" w:asciiTheme="minorEastAsia" w:hAnsiTheme="minorEastAsia" w:eastAsiaTheme="minorEastAsia" w:cstheme="minorEastAsia"/>
          <w:color w:val="auto"/>
          <w:sz w:val="24"/>
        </w:rPr>
        <w:t>。</w:t>
      </w:r>
    </w:p>
    <w:p>
      <w:pPr>
        <w:spacing w:line="360" w:lineRule="auto"/>
        <w:ind w:firstLine="468" w:firstLineChars="195"/>
        <w:rPr>
          <w:rFonts w:hint="default"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18.6 投标文件应根据招标文件的要求进行制作。（说明：1、招标文件中要求提供复印件证明材料的，包含提供原件的影印件或复印件。2、要求提供复印件的证明材料须清晰可辨。）</w:t>
      </w:r>
    </w:p>
    <w:p>
      <w:pPr>
        <w:pStyle w:val="5"/>
        <w:spacing w:line="276" w:lineRule="auto"/>
        <w:ind w:firstLine="482" w:firstLineChars="200"/>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bCs w:val="0"/>
          <w:color w:val="auto"/>
          <w:sz w:val="24"/>
          <w:szCs w:val="24"/>
        </w:rPr>
        <w:t>19.</w:t>
      </w:r>
      <w:bookmarkEnd w:id="78"/>
      <w:bookmarkEnd w:id="79"/>
      <w:bookmarkEnd w:id="80"/>
      <w:bookmarkEnd w:id="81"/>
      <w:bookmarkEnd w:id="82"/>
      <w:r>
        <w:rPr>
          <w:rFonts w:hint="eastAsia" w:asciiTheme="minorEastAsia" w:hAnsiTheme="minorEastAsia" w:eastAsiaTheme="minorEastAsia" w:cstheme="minorEastAsia"/>
          <w:b/>
          <w:bCs w:val="0"/>
          <w:color w:val="auto"/>
          <w:sz w:val="24"/>
          <w:szCs w:val="24"/>
        </w:rPr>
        <w:t>投标文件的递交</w:t>
      </w:r>
    </w:p>
    <w:p>
      <w:pPr>
        <w:tabs>
          <w:tab w:val="left" w:pos="1095"/>
        </w:tabs>
        <w:spacing w:line="360" w:lineRule="auto"/>
        <w:ind w:firstLine="460" w:firstLineChars="192"/>
        <w:rPr>
          <w:rFonts w:hint="eastAsia" w:asciiTheme="minorEastAsia" w:hAnsiTheme="minorEastAsia" w:eastAsiaTheme="minorEastAsia" w:cstheme="minorEastAsia"/>
          <w:b w:val="0"/>
          <w:bCs/>
          <w:color w:val="auto"/>
          <w:sz w:val="24"/>
          <w:szCs w:val="22"/>
        </w:rPr>
      </w:pPr>
      <w:r>
        <w:rPr>
          <w:rFonts w:hint="eastAsia" w:asciiTheme="minorEastAsia" w:hAnsiTheme="minorEastAsia" w:eastAsiaTheme="minorEastAsia" w:cstheme="minorEastAsia"/>
          <w:b w:val="0"/>
          <w:bCs/>
          <w:color w:val="auto"/>
          <w:sz w:val="24"/>
          <w:szCs w:val="22"/>
          <w:lang w:val="en-US" w:eastAsia="zh-CN"/>
        </w:rPr>
        <w:t>19.1</w:t>
      </w:r>
      <w:r>
        <w:rPr>
          <w:rFonts w:hint="eastAsia" w:asciiTheme="minorEastAsia" w:hAnsiTheme="minorEastAsia" w:eastAsiaTheme="minorEastAsia" w:cstheme="minorEastAsia"/>
          <w:b w:val="0"/>
          <w:bCs/>
          <w:color w:val="auto"/>
          <w:sz w:val="24"/>
          <w:szCs w:val="22"/>
        </w:rPr>
        <w:t>投标人应当在投标文件递交截止时间前，将生成的已加密的电子投标文件成功递交至“政府采购云平台”。</w:t>
      </w:r>
    </w:p>
    <w:p>
      <w:pPr>
        <w:tabs>
          <w:tab w:val="left" w:pos="1095"/>
        </w:tabs>
        <w:spacing w:line="360" w:lineRule="auto"/>
        <w:ind w:firstLine="460" w:firstLineChars="192"/>
        <w:rPr>
          <w:rFonts w:hint="eastAsia" w:asciiTheme="minorEastAsia" w:hAnsiTheme="minorEastAsia" w:eastAsiaTheme="minorEastAsia" w:cstheme="minorEastAsia"/>
          <w:b w:val="0"/>
          <w:bCs/>
          <w:color w:val="auto"/>
          <w:sz w:val="24"/>
          <w:szCs w:val="22"/>
        </w:rPr>
      </w:pPr>
      <w:r>
        <w:rPr>
          <w:rFonts w:hint="eastAsia" w:asciiTheme="minorEastAsia" w:hAnsiTheme="minorEastAsia" w:eastAsiaTheme="minorEastAsia" w:cstheme="minorEastAsia"/>
          <w:b w:val="0"/>
          <w:bCs/>
          <w:color w:val="auto"/>
          <w:sz w:val="24"/>
          <w:szCs w:val="22"/>
        </w:rPr>
        <w:t>19.</w:t>
      </w:r>
      <w:r>
        <w:rPr>
          <w:rFonts w:hint="eastAsia" w:asciiTheme="minorEastAsia" w:hAnsiTheme="minorEastAsia" w:eastAsiaTheme="minorEastAsia" w:cstheme="minorEastAsia"/>
          <w:b w:val="0"/>
          <w:bCs/>
          <w:color w:val="auto"/>
          <w:sz w:val="24"/>
          <w:szCs w:val="22"/>
          <w:lang w:val="en-US" w:eastAsia="zh-CN"/>
        </w:rPr>
        <w:t>2</w:t>
      </w:r>
      <w:r>
        <w:rPr>
          <w:rFonts w:hint="eastAsia" w:asciiTheme="minorEastAsia" w:hAnsiTheme="minorEastAsia" w:eastAsiaTheme="minorEastAsia" w:cstheme="minorEastAsia"/>
          <w:b w:val="0"/>
          <w:bCs/>
          <w:color w:val="auto"/>
          <w:sz w:val="24"/>
          <w:szCs w:val="22"/>
        </w:rPr>
        <w:t xml:space="preserve"> 投标人应充分考虑递交文件的不可预见因素，在投标截止时间后将无法递交。 </w:t>
      </w:r>
    </w:p>
    <w:p>
      <w:pPr>
        <w:pStyle w:val="5"/>
        <w:spacing w:line="276" w:lineRule="auto"/>
        <w:ind w:firstLine="482" w:firstLineChars="200"/>
        <w:rPr>
          <w:rFonts w:hint="eastAsia" w:asciiTheme="minorEastAsia" w:hAnsiTheme="minorEastAsia" w:eastAsiaTheme="minorEastAsia" w:cstheme="minorEastAsia"/>
          <w:bCs w:val="0"/>
          <w:color w:val="auto"/>
          <w:sz w:val="24"/>
          <w:szCs w:val="24"/>
        </w:rPr>
      </w:pPr>
      <w:bookmarkStart w:id="83" w:name="_Toc183682365"/>
      <w:bookmarkStart w:id="84" w:name="_Toc183582228"/>
      <w:bookmarkStart w:id="85" w:name="_Toc217446055"/>
      <w:r>
        <w:rPr>
          <w:rFonts w:hint="eastAsia" w:asciiTheme="minorEastAsia" w:hAnsiTheme="minorEastAsia" w:eastAsiaTheme="minorEastAsia" w:cstheme="minorEastAsia"/>
          <w:bCs w:val="0"/>
          <w:color w:val="auto"/>
          <w:sz w:val="24"/>
          <w:szCs w:val="24"/>
        </w:rPr>
        <w:t>2</w:t>
      </w:r>
      <w:r>
        <w:rPr>
          <w:rFonts w:hint="eastAsia" w:asciiTheme="minorEastAsia" w:hAnsiTheme="minorEastAsia" w:eastAsiaTheme="minorEastAsia" w:cstheme="minorEastAsia"/>
          <w:bCs w:val="0"/>
          <w:color w:val="auto"/>
          <w:sz w:val="24"/>
          <w:szCs w:val="24"/>
          <w:lang w:val="en-US" w:eastAsia="zh-CN"/>
        </w:rPr>
        <w:t>0</w:t>
      </w:r>
      <w:r>
        <w:rPr>
          <w:rFonts w:hint="eastAsia" w:asciiTheme="minorEastAsia" w:hAnsiTheme="minorEastAsia" w:eastAsiaTheme="minorEastAsia" w:cstheme="minorEastAsia"/>
          <w:bCs w:val="0"/>
          <w:color w:val="auto"/>
          <w:sz w:val="24"/>
          <w:szCs w:val="24"/>
        </w:rPr>
        <w:t>．投标文件的修改和撤</w:t>
      </w:r>
      <w:bookmarkEnd w:id="83"/>
      <w:bookmarkEnd w:id="84"/>
      <w:r>
        <w:rPr>
          <w:rFonts w:hint="eastAsia" w:asciiTheme="minorEastAsia" w:hAnsiTheme="minorEastAsia" w:eastAsiaTheme="minorEastAsia" w:cstheme="minorEastAsia"/>
          <w:bCs w:val="0"/>
          <w:color w:val="auto"/>
          <w:sz w:val="24"/>
          <w:szCs w:val="24"/>
        </w:rPr>
        <w:t>回</w:t>
      </w:r>
      <w:bookmarkEnd w:id="85"/>
    </w:p>
    <w:p>
      <w:pPr>
        <w:spacing w:line="360" w:lineRule="auto"/>
        <w:ind w:firstLine="470" w:firstLineChars="196"/>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0</w:t>
      </w:r>
      <w:r>
        <w:rPr>
          <w:rFonts w:hint="eastAsia" w:asciiTheme="minorEastAsia" w:hAnsiTheme="minorEastAsia" w:eastAsiaTheme="minorEastAsia" w:cstheme="minorEastAsia"/>
          <w:color w:val="auto"/>
          <w:sz w:val="24"/>
        </w:rPr>
        <w:t>.1 投标截止时间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spacing w:line="360" w:lineRule="auto"/>
        <w:ind w:firstLine="470" w:firstLineChars="196"/>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0</w:t>
      </w:r>
      <w:r>
        <w:rPr>
          <w:rFonts w:hint="eastAsia" w:asciiTheme="minorEastAsia" w:hAnsiTheme="minorEastAsia" w:eastAsiaTheme="minorEastAsia" w:cstheme="minorEastAsia"/>
          <w:color w:val="auto"/>
          <w:sz w:val="24"/>
        </w:rPr>
        <w:t>.2 投标截止时间后，投标人不得对其递交的投标文件做任何补充、修改。</w:t>
      </w:r>
    </w:p>
    <w:p>
      <w:pPr>
        <w:spacing w:line="360" w:lineRule="auto"/>
        <w:ind w:firstLine="48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0</w:t>
      </w: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color w:val="auto"/>
          <w:sz w:val="24"/>
          <w:lang w:val="en-US" w:eastAsia="zh-CN"/>
        </w:rPr>
        <w:t>3</w:t>
      </w:r>
      <w:r>
        <w:rPr>
          <w:rFonts w:hint="eastAsia" w:asciiTheme="minorEastAsia" w:hAnsiTheme="minorEastAsia" w:eastAsiaTheme="minorEastAsia" w:cstheme="minorEastAsia"/>
          <w:color w:val="auto"/>
          <w:sz w:val="24"/>
        </w:rPr>
        <w:t xml:space="preserve"> 投标文件中如果出现计算上或累加上的算术错误，可按以下原则进行修改：</w:t>
      </w:r>
    </w:p>
    <w:p>
      <w:pPr>
        <w:spacing w:line="360" w:lineRule="auto"/>
        <w:ind w:firstLine="48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（1）用数字表示的金额和用文字表示的金额不一致，应以文字表示的金额为准。</w:t>
      </w:r>
    </w:p>
    <w:p>
      <w:pPr>
        <w:spacing w:line="360" w:lineRule="auto"/>
        <w:ind w:firstLine="48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（2）单价和数量的乘积与总价不一致时，以单价为准，并修正总价。</w:t>
      </w:r>
    </w:p>
    <w:p>
      <w:pPr>
        <w:spacing w:line="360" w:lineRule="auto"/>
        <w:ind w:firstLine="48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（3）单价金额小数点有明显错误的，以总价为准，修正单价。</w:t>
      </w:r>
    </w:p>
    <w:p>
      <w:pPr>
        <w:spacing w:line="360" w:lineRule="auto"/>
        <w:ind w:firstLine="48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按上述修正错误的方法调整的投标报价应对投标人具有约束力。如果投标人不接受修正后的价格，其投标将被拒绝。</w:t>
      </w:r>
    </w:p>
    <w:p>
      <w:pPr>
        <w:pStyle w:val="5"/>
        <w:spacing w:line="276" w:lineRule="auto"/>
        <w:ind w:firstLine="482" w:firstLineChars="200"/>
        <w:rPr>
          <w:rFonts w:hint="eastAsia" w:asciiTheme="minorEastAsia" w:hAnsiTheme="minorEastAsia" w:eastAsiaTheme="minorEastAsia" w:cstheme="minorEastAsia"/>
          <w:bCs w:val="0"/>
          <w:color w:val="auto"/>
          <w:sz w:val="24"/>
          <w:szCs w:val="24"/>
        </w:rPr>
      </w:pPr>
      <w:r>
        <w:rPr>
          <w:rFonts w:hint="eastAsia" w:asciiTheme="minorEastAsia" w:hAnsiTheme="minorEastAsia" w:eastAsiaTheme="minorEastAsia" w:cstheme="minorEastAsia"/>
          <w:bCs w:val="0"/>
          <w:color w:val="auto"/>
          <w:sz w:val="24"/>
          <w:szCs w:val="24"/>
        </w:rPr>
        <w:t>2</w:t>
      </w:r>
      <w:r>
        <w:rPr>
          <w:rFonts w:hint="eastAsia" w:asciiTheme="minorEastAsia" w:hAnsiTheme="minorEastAsia" w:eastAsiaTheme="minorEastAsia" w:cstheme="minorEastAsia"/>
          <w:bCs w:val="0"/>
          <w:color w:val="auto"/>
          <w:sz w:val="24"/>
          <w:szCs w:val="24"/>
          <w:lang w:val="en-US" w:eastAsia="zh-CN"/>
        </w:rPr>
        <w:t>1</w:t>
      </w:r>
      <w:r>
        <w:rPr>
          <w:rFonts w:hint="eastAsia" w:asciiTheme="minorEastAsia" w:hAnsiTheme="minorEastAsia" w:eastAsiaTheme="minorEastAsia" w:cstheme="minorEastAsia"/>
          <w:bCs w:val="0"/>
          <w:color w:val="auto"/>
          <w:sz w:val="24"/>
          <w:szCs w:val="24"/>
        </w:rPr>
        <w:t>.投标文件的解密</w:t>
      </w:r>
    </w:p>
    <w:p>
      <w:pPr>
        <w:spacing w:line="360" w:lineRule="auto"/>
        <w:ind w:firstLine="470" w:firstLineChars="196"/>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val="en-US" w:eastAsia="zh-CN"/>
        </w:rPr>
        <w:t>投标人登录政府采购云平台，点击“项目采购—开标评标”</w:t>
      </w:r>
      <w:r>
        <w:rPr>
          <w:rFonts w:hint="eastAsia" w:asciiTheme="minorEastAsia" w:hAnsiTheme="minorEastAsia" w:eastAsiaTheme="minorEastAsia" w:cstheme="minorEastAsia"/>
          <w:color w:val="auto"/>
          <w:sz w:val="24"/>
        </w:rPr>
        <w:t>模块，进入本项目“开标大厅”，等待代理机构开启解密后，进行线上解密。除因断电、断网、系统故障或其他不可抗力等因素，导致系统无法使用外，投标人在规定的解密时间内，未成功解密的投标文件将视为无效投标文件。</w:t>
      </w:r>
    </w:p>
    <w:p>
      <w:pPr>
        <w:pStyle w:val="4"/>
        <w:spacing w:line="276" w:lineRule="auto"/>
        <w:jc w:val="center"/>
        <w:rPr>
          <w:rFonts w:hint="eastAsia" w:asciiTheme="minorEastAsia" w:hAnsiTheme="minorEastAsia" w:eastAsiaTheme="minorEastAsia" w:cstheme="minorEastAsia"/>
          <w:color w:val="auto"/>
        </w:rPr>
      </w:pPr>
      <w:bookmarkStart w:id="86" w:name="_Toc183582231"/>
      <w:bookmarkStart w:id="87" w:name="_Toc217446056"/>
      <w:bookmarkStart w:id="88" w:name="_Toc89075878"/>
      <w:bookmarkStart w:id="89" w:name="_Toc183682368"/>
      <w:bookmarkStart w:id="90" w:name="_Toc77400782"/>
      <w:r>
        <w:rPr>
          <w:rFonts w:hint="eastAsia" w:asciiTheme="minorEastAsia" w:hAnsiTheme="minorEastAsia" w:eastAsiaTheme="minorEastAsia" w:cstheme="minorEastAsia"/>
          <w:color w:val="auto"/>
        </w:rPr>
        <w:t>五、开标和中标</w:t>
      </w:r>
      <w:bookmarkEnd w:id="86"/>
      <w:bookmarkEnd w:id="87"/>
      <w:bookmarkEnd w:id="88"/>
      <w:bookmarkEnd w:id="89"/>
      <w:bookmarkEnd w:id="90"/>
    </w:p>
    <w:p>
      <w:pPr>
        <w:pStyle w:val="5"/>
        <w:spacing w:line="276" w:lineRule="auto"/>
        <w:ind w:firstLine="482" w:firstLineChars="200"/>
        <w:rPr>
          <w:rFonts w:hint="eastAsia" w:asciiTheme="minorEastAsia" w:hAnsiTheme="minorEastAsia" w:eastAsiaTheme="minorEastAsia" w:cstheme="minorEastAsia"/>
          <w:bCs w:val="0"/>
          <w:color w:val="auto"/>
          <w:sz w:val="24"/>
        </w:rPr>
      </w:pPr>
      <w:bookmarkStart w:id="91" w:name="_Toc217446057"/>
      <w:bookmarkStart w:id="92" w:name="_Toc183582232"/>
      <w:bookmarkStart w:id="93" w:name="_Toc183682369"/>
      <w:r>
        <w:rPr>
          <w:rFonts w:hint="eastAsia" w:asciiTheme="minorEastAsia" w:hAnsiTheme="minorEastAsia" w:eastAsiaTheme="minorEastAsia" w:cstheme="minorEastAsia"/>
          <w:bCs w:val="0"/>
          <w:color w:val="auto"/>
          <w:sz w:val="24"/>
        </w:rPr>
        <w:t>22．开标</w:t>
      </w:r>
      <w:bookmarkEnd w:id="91"/>
      <w:bookmarkEnd w:id="92"/>
      <w:bookmarkEnd w:id="93"/>
    </w:p>
    <w:p>
      <w:pPr>
        <w:spacing w:line="360" w:lineRule="auto"/>
        <w:ind w:firstLine="470" w:firstLineChars="196"/>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22.1 本项目为不见面开标项目。（递交电子投标文件的投标人不足3家的，不予开标。）</w:t>
      </w:r>
    </w:p>
    <w:p>
      <w:pPr>
        <w:spacing w:line="360" w:lineRule="auto"/>
        <w:ind w:firstLine="470" w:firstLineChars="196"/>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2</w:t>
      </w:r>
      <w:r>
        <w:rPr>
          <w:rFonts w:hint="eastAsia" w:asciiTheme="minorEastAsia" w:hAnsiTheme="minorEastAsia" w:eastAsiaTheme="minorEastAsia" w:cstheme="minorEastAsia"/>
          <w:color w:val="auto"/>
          <w:sz w:val="24"/>
        </w:rPr>
        <w:t>.2开标准备工作。投标人需在开标当日、投标截止时间前登录“政府采购云平台”，通过本项目“开标大厅”参与不见面开标。登录政府采购云平台—项目采购—开标评标—开标大厅（确保进入本项目开标大厅）。</w:t>
      </w:r>
    </w:p>
    <w:p>
      <w:pPr>
        <w:spacing w:line="360" w:lineRule="auto"/>
        <w:ind w:firstLine="472" w:firstLineChars="196"/>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提示：投标人未按时登录不见面开标系统，错过开标解密时间的，由投标人自行承担不利后果。</w:t>
      </w:r>
    </w:p>
    <w:p>
      <w:pPr>
        <w:spacing w:line="360" w:lineRule="auto"/>
        <w:ind w:firstLine="470" w:firstLineChars="196"/>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val="en-US" w:eastAsia="zh-CN"/>
        </w:rPr>
        <w:t>22</w:t>
      </w:r>
      <w:r>
        <w:rPr>
          <w:rFonts w:hint="eastAsia" w:asciiTheme="minorEastAsia" w:hAnsiTheme="minorEastAsia" w:eastAsiaTheme="minorEastAsia" w:cstheme="minorEastAsia"/>
          <w:color w:val="auto"/>
          <w:sz w:val="24"/>
        </w:rPr>
        <w:t>.3解密投标文件。等待代理机构开启解密后，投标人进行线上解密。开启解密后，投标人应在60分钟内，使用加密该投标文件的CA数字证书在线完成投标文件的解密。除因断电、断网、系统故障或其他不可抗力等因素，导致系统无法使用外，投标人在规定的解密时间内，未成功解密的投标文件将视为无效投标文件。</w:t>
      </w:r>
    </w:p>
    <w:p>
      <w:pPr>
        <w:spacing w:line="360" w:lineRule="auto"/>
        <w:ind w:firstLine="470" w:firstLineChars="196"/>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2</w:t>
      </w:r>
      <w:r>
        <w:rPr>
          <w:rFonts w:hint="eastAsia" w:asciiTheme="minorEastAsia" w:hAnsiTheme="minorEastAsia" w:eastAsiaTheme="minorEastAsia" w:cstheme="minorEastAsia"/>
          <w:color w:val="auto"/>
          <w:sz w:val="24"/>
        </w:rPr>
        <w:t>.4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spacing w:line="360" w:lineRule="auto"/>
        <w:ind w:firstLine="470" w:firstLineChars="196"/>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2</w:t>
      </w:r>
      <w:r>
        <w:rPr>
          <w:rFonts w:hint="eastAsia" w:asciiTheme="minorEastAsia" w:hAnsiTheme="minorEastAsia" w:eastAsiaTheme="minorEastAsia" w:cstheme="minorEastAsia"/>
          <w:color w:val="auto"/>
          <w:sz w:val="24"/>
        </w:rPr>
        <w:t>.5投标人电脑终端等硬件设备和软件系统配置：投标人电脑终端等硬件设备和软件系统配置应符合电子投标（含不见面开标大厅）投标人电脑终端配置要求并运行正常，投标人承担因未尽职责产生的不利后果。</w:t>
      </w:r>
    </w:p>
    <w:p>
      <w:pPr>
        <w:spacing w:line="360" w:lineRule="auto"/>
        <w:ind w:firstLine="470" w:firstLineChars="196"/>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2</w:t>
      </w:r>
      <w:r>
        <w:rPr>
          <w:rFonts w:hint="eastAsia" w:asciiTheme="minorEastAsia" w:hAnsiTheme="minorEastAsia" w:eastAsiaTheme="minorEastAsia" w:cstheme="minorEastAsia"/>
          <w:color w:val="auto"/>
          <w:sz w:val="24"/>
        </w:rPr>
        <w:t>.6因断电、断网、系统故障或其他不可抗力等因素导致不见面开标系统无法正常运行的，开标活动中止或延迟，待系统恢复正常后继续进行开标活动。</w:t>
      </w:r>
    </w:p>
    <w:p>
      <w:pPr>
        <w:spacing w:line="360" w:lineRule="auto"/>
        <w:ind w:firstLine="470" w:firstLineChars="196"/>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2</w:t>
      </w:r>
      <w:r>
        <w:rPr>
          <w:rFonts w:hint="eastAsia" w:asciiTheme="minorEastAsia" w:hAnsiTheme="minorEastAsia" w:eastAsiaTheme="minorEastAsia" w:cstheme="minorEastAsia"/>
          <w:color w:val="auto"/>
          <w:sz w:val="24"/>
        </w:rPr>
        <w:t>.7不见面开标过程中，各方主体均应遵守互联网有关规定，不得发表与交易活动无关的言论。</w:t>
      </w:r>
    </w:p>
    <w:p>
      <w:pPr>
        <w:pStyle w:val="5"/>
        <w:spacing w:line="276" w:lineRule="auto"/>
        <w:ind w:firstLine="482" w:firstLineChars="200"/>
        <w:rPr>
          <w:rFonts w:hint="eastAsia" w:asciiTheme="minorEastAsia" w:hAnsiTheme="minorEastAsia" w:eastAsiaTheme="minorEastAsia" w:cstheme="minorEastAsia"/>
          <w:bCs w:val="0"/>
          <w:color w:val="auto"/>
          <w:sz w:val="24"/>
        </w:rPr>
      </w:pPr>
      <w:r>
        <w:rPr>
          <w:rFonts w:hint="eastAsia" w:asciiTheme="minorEastAsia" w:hAnsiTheme="minorEastAsia" w:eastAsiaTheme="minorEastAsia" w:cstheme="minorEastAsia"/>
          <w:bCs w:val="0"/>
          <w:color w:val="auto"/>
          <w:sz w:val="24"/>
        </w:rPr>
        <w:t>2</w:t>
      </w:r>
      <w:r>
        <w:rPr>
          <w:rFonts w:hint="eastAsia" w:asciiTheme="minorEastAsia" w:hAnsiTheme="minorEastAsia" w:eastAsiaTheme="minorEastAsia" w:cstheme="minorEastAsia"/>
          <w:bCs w:val="0"/>
          <w:color w:val="auto"/>
          <w:sz w:val="24"/>
          <w:lang w:val="en-US" w:eastAsia="zh-CN"/>
        </w:rPr>
        <w:t>3</w:t>
      </w:r>
      <w:r>
        <w:rPr>
          <w:rFonts w:hint="eastAsia" w:asciiTheme="minorEastAsia" w:hAnsiTheme="minorEastAsia" w:eastAsiaTheme="minorEastAsia" w:cstheme="minorEastAsia"/>
          <w:bCs w:val="0"/>
          <w:color w:val="auto"/>
          <w:sz w:val="24"/>
        </w:rPr>
        <w:t>．开评标过程存档</w:t>
      </w:r>
    </w:p>
    <w:p>
      <w:pPr>
        <w:spacing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szCs w:val="24"/>
        </w:rPr>
        <w:t>开标和评标过程进行全过程电子监控，并将电子监控资料存储介质留存归档。</w:t>
      </w:r>
    </w:p>
    <w:p>
      <w:pPr>
        <w:pStyle w:val="5"/>
        <w:spacing w:line="276" w:lineRule="auto"/>
        <w:ind w:firstLine="420"/>
        <w:rPr>
          <w:rFonts w:hint="eastAsia" w:asciiTheme="minorEastAsia" w:hAnsiTheme="minorEastAsia" w:eastAsiaTheme="minorEastAsia" w:cstheme="minorEastAsia"/>
          <w:bCs w:val="0"/>
          <w:color w:val="auto"/>
          <w:sz w:val="24"/>
        </w:rPr>
      </w:pPr>
      <w:bookmarkStart w:id="94" w:name="_Toc183582238"/>
      <w:bookmarkStart w:id="95" w:name="_Toc183682375"/>
      <w:bookmarkStart w:id="96" w:name="_Toc217446063"/>
      <w:r>
        <w:rPr>
          <w:rFonts w:hint="eastAsia" w:asciiTheme="minorEastAsia" w:hAnsiTheme="minorEastAsia" w:eastAsiaTheme="minorEastAsia" w:cstheme="minorEastAsia"/>
          <w:bCs w:val="0"/>
          <w:color w:val="auto"/>
          <w:sz w:val="24"/>
        </w:rPr>
        <w:t>2</w:t>
      </w:r>
      <w:r>
        <w:rPr>
          <w:rFonts w:hint="eastAsia" w:asciiTheme="minorEastAsia" w:hAnsiTheme="minorEastAsia" w:eastAsiaTheme="minorEastAsia" w:cstheme="minorEastAsia"/>
          <w:bCs w:val="0"/>
          <w:color w:val="auto"/>
          <w:sz w:val="24"/>
          <w:lang w:val="en-US" w:eastAsia="zh-CN"/>
        </w:rPr>
        <w:t>4</w:t>
      </w:r>
      <w:r>
        <w:rPr>
          <w:rFonts w:hint="eastAsia" w:asciiTheme="minorEastAsia" w:hAnsiTheme="minorEastAsia" w:eastAsiaTheme="minorEastAsia" w:cstheme="minorEastAsia"/>
          <w:bCs w:val="0"/>
          <w:color w:val="auto"/>
          <w:sz w:val="24"/>
        </w:rPr>
        <w:t xml:space="preserve">.评标情况公告 </w:t>
      </w:r>
    </w:p>
    <w:p>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 w:val="24"/>
          <w:szCs w:val="24"/>
        </w:rPr>
        <w:t>评标结果将在四川政府采购网上予以公告。</w:t>
      </w:r>
    </w:p>
    <w:p>
      <w:pPr>
        <w:pStyle w:val="5"/>
        <w:spacing w:line="276" w:lineRule="auto"/>
        <w:ind w:firstLine="482" w:firstLineChars="200"/>
        <w:rPr>
          <w:rFonts w:hint="eastAsia" w:asciiTheme="minorEastAsia" w:hAnsiTheme="minorEastAsia" w:eastAsiaTheme="minorEastAsia" w:cstheme="minorEastAsia"/>
          <w:bCs w:val="0"/>
          <w:color w:val="auto"/>
          <w:sz w:val="24"/>
        </w:rPr>
      </w:pPr>
      <w:r>
        <w:rPr>
          <w:rFonts w:hint="eastAsia" w:asciiTheme="minorEastAsia" w:hAnsiTheme="minorEastAsia" w:eastAsiaTheme="minorEastAsia" w:cstheme="minorEastAsia"/>
          <w:bCs w:val="0"/>
          <w:color w:val="auto"/>
          <w:sz w:val="24"/>
        </w:rPr>
        <w:t>2</w:t>
      </w:r>
      <w:r>
        <w:rPr>
          <w:rFonts w:hint="eastAsia" w:asciiTheme="minorEastAsia" w:hAnsiTheme="minorEastAsia" w:eastAsiaTheme="minorEastAsia" w:cstheme="minorEastAsia"/>
          <w:bCs w:val="0"/>
          <w:color w:val="auto"/>
          <w:sz w:val="24"/>
          <w:lang w:val="en-US" w:eastAsia="zh-CN"/>
        </w:rPr>
        <w:t>5</w:t>
      </w:r>
      <w:r>
        <w:rPr>
          <w:rFonts w:hint="eastAsia" w:asciiTheme="minorEastAsia" w:hAnsiTheme="minorEastAsia" w:eastAsiaTheme="minorEastAsia" w:cstheme="minorEastAsia"/>
          <w:bCs w:val="0"/>
          <w:color w:val="auto"/>
          <w:sz w:val="24"/>
        </w:rPr>
        <w:t>．中标通知</w:t>
      </w:r>
      <w:bookmarkEnd w:id="94"/>
      <w:bookmarkEnd w:id="95"/>
      <w:r>
        <w:rPr>
          <w:rFonts w:hint="eastAsia" w:asciiTheme="minorEastAsia" w:hAnsiTheme="minorEastAsia" w:eastAsiaTheme="minorEastAsia" w:cstheme="minorEastAsia"/>
          <w:bCs w:val="0"/>
          <w:color w:val="auto"/>
          <w:sz w:val="24"/>
        </w:rPr>
        <w:t>书</w:t>
      </w:r>
      <w:bookmarkEnd w:id="96"/>
    </w:p>
    <w:p>
      <w:pPr>
        <w:tabs>
          <w:tab w:val="left" w:pos="7665"/>
        </w:tabs>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5</w:t>
      </w:r>
      <w:r>
        <w:rPr>
          <w:rFonts w:hint="eastAsia" w:asciiTheme="minorEastAsia" w:hAnsiTheme="minorEastAsia" w:eastAsiaTheme="minorEastAsia" w:cstheme="minorEastAsia"/>
          <w:b/>
          <w:bCs/>
          <w:color w:val="auto"/>
          <w:sz w:val="24"/>
        </w:rPr>
        <w:t>.</w:t>
      </w:r>
      <w:r>
        <w:rPr>
          <w:rFonts w:hint="eastAsia" w:asciiTheme="minorEastAsia" w:hAnsiTheme="minorEastAsia" w:eastAsiaTheme="minorEastAsia" w:cstheme="minorEastAsia"/>
          <w:color w:val="auto"/>
          <w:sz w:val="24"/>
        </w:rPr>
        <w:t>1 中标通知书为签订政府采购合同的依据，是合同的有效组成部分。</w:t>
      </w:r>
    </w:p>
    <w:p>
      <w:pPr>
        <w:tabs>
          <w:tab w:val="left" w:pos="7665"/>
        </w:tabs>
        <w:spacing w:line="360" w:lineRule="auto"/>
        <w:ind w:firstLine="48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5</w:t>
      </w:r>
      <w:r>
        <w:rPr>
          <w:rFonts w:hint="eastAsia" w:asciiTheme="minorEastAsia" w:hAnsiTheme="minorEastAsia" w:eastAsiaTheme="minorEastAsia" w:cstheme="minorEastAsia"/>
          <w:color w:val="auto"/>
          <w:sz w:val="24"/>
        </w:rPr>
        <w:t>.2 中标通知书对采购人和中标人均具有法律效力。中标通知书发出后，采购人改变中标结果，或者中标人无正当理由放弃中标的，应当承担相应的法律责任。</w:t>
      </w:r>
    </w:p>
    <w:p>
      <w:pPr>
        <w:tabs>
          <w:tab w:val="left" w:pos="7665"/>
        </w:tabs>
        <w:spacing w:line="360" w:lineRule="auto"/>
        <w:ind w:firstLine="48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5.</w:t>
      </w:r>
      <w:r>
        <w:rPr>
          <w:rFonts w:hint="eastAsia" w:asciiTheme="minorEastAsia" w:hAnsiTheme="minorEastAsia" w:eastAsiaTheme="minorEastAsia" w:cstheme="minorEastAsia"/>
          <w:color w:val="auto"/>
          <w:sz w:val="24"/>
        </w:rPr>
        <w:t xml:space="preserve">3中标人的投标文件本应作为无效投标处理或者有政府采购法律法规规章制度规定的中标无效情形的，采购代理机构在取得有权主体的认定以后，应当宣布发出的中标通知书无效，并收回发出的中标通知书（中标人也应当缴回），依法重新确定中标人或者重新开展采购活动。 </w:t>
      </w:r>
    </w:p>
    <w:p>
      <w:pPr>
        <w:pageBreakBefore w:val="0"/>
        <w:widowControl w:val="0"/>
        <w:tabs>
          <w:tab w:val="left" w:pos="7665"/>
        </w:tabs>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5</w:t>
      </w:r>
      <w:r>
        <w:rPr>
          <w:rFonts w:hint="eastAsia" w:asciiTheme="minorEastAsia" w:hAnsiTheme="minorEastAsia" w:eastAsiaTheme="minorEastAsia" w:cstheme="minorEastAsia"/>
          <w:color w:val="auto"/>
          <w:sz w:val="24"/>
        </w:rPr>
        <w:t>.4 在四川政府采购网公告中标结果同时发出中标通知书，中标</w:t>
      </w:r>
      <w:r>
        <w:rPr>
          <w:rFonts w:hint="eastAsia" w:asciiTheme="minorEastAsia" w:hAnsiTheme="minorEastAsia" w:eastAsiaTheme="minorEastAsia" w:cstheme="minorEastAsia"/>
          <w:color w:val="auto"/>
          <w:sz w:val="24"/>
          <w:lang w:eastAsia="zh-CN"/>
        </w:rPr>
        <w:t>人</w:t>
      </w:r>
      <w:r>
        <w:rPr>
          <w:rFonts w:hint="eastAsia" w:asciiTheme="minorEastAsia" w:hAnsiTheme="minorEastAsia" w:eastAsiaTheme="minorEastAsia" w:cstheme="minorEastAsia"/>
          <w:color w:val="auto"/>
          <w:sz w:val="24"/>
        </w:rPr>
        <w:t>自行登录政府采购云平台下载中标通知书。</w:t>
      </w:r>
    </w:p>
    <w:p>
      <w:pPr>
        <w:pStyle w:val="4"/>
        <w:pageBreakBefore w:val="0"/>
        <w:widowControl w:val="0"/>
        <w:kinsoku/>
        <w:wordWrap/>
        <w:overflowPunct/>
        <w:topLinePunct w:val="0"/>
        <w:autoSpaceDE/>
        <w:autoSpaceDN/>
        <w:bidi w:val="0"/>
        <w:adjustRightInd/>
        <w:snapToGrid/>
        <w:spacing w:before="0" w:after="0" w:line="276" w:lineRule="auto"/>
        <w:jc w:val="center"/>
        <w:textAlignment w:val="auto"/>
        <w:rPr>
          <w:rFonts w:hint="eastAsia" w:asciiTheme="minorEastAsia" w:hAnsiTheme="minorEastAsia" w:eastAsiaTheme="minorEastAsia" w:cstheme="minorEastAsia"/>
          <w:color w:val="auto"/>
        </w:rPr>
      </w:pPr>
      <w:bookmarkStart w:id="97" w:name="_Toc217446064"/>
      <w:bookmarkStart w:id="98" w:name="_Toc183582240"/>
      <w:bookmarkStart w:id="99" w:name="_Toc183682377"/>
      <w:r>
        <w:rPr>
          <w:rFonts w:hint="eastAsia" w:asciiTheme="minorEastAsia" w:hAnsiTheme="minorEastAsia" w:eastAsiaTheme="minorEastAsia" w:cstheme="minorEastAsia"/>
          <w:color w:val="auto"/>
        </w:rPr>
        <w:t>六、签订及履行合同和验收</w:t>
      </w:r>
      <w:bookmarkEnd w:id="97"/>
    </w:p>
    <w:p>
      <w:pPr>
        <w:pStyle w:val="4"/>
        <w:spacing w:line="276" w:lineRule="auto"/>
        <w:ind w:firstLine="472" w:firstLineChars="196"/>
        <w:rPr>
          <w:rFonts w:hint="eastAsia" w:asciiTheme="minorEastAsia" w:hAnsiTheme="minorEastAsia" w:eastAsiaTheme="minorEastAsia" w:cstheme="minorEastAsia"/>
          <w:color w:val="auto"/>
          <w:sz w:val="24"/>
          <w:szCs w:val="24"/>
        </w:rPr>
      </w:pPr>
      <w:bookmarkStart w:id="100" w:name="_Toc217446065"/>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6</w:t>
      </w:r>
      <w:r>
        <w:rPr>
          <w:rFonts w:hint="eastAsia" w:asciiTheme="minorEastAsia" w:hAnsiTheme="minorEastAsia" w:eastAsiaTheme="minorEastAsia" w:cstheme="minorEastAsia"/>
          <w:color w:val="auto"/>
          <w:sz w:val="24"/>
        </w:rPr>
        <w:t xml:space="preserve">. </w:t>
      </w:r>
      <w:r>
        <w:rPr>
          <w:rFonts w:hint="eastAsia" w:asciiTheme="minorEastAsia" w:hAnsiTheme="minorEastAsia" w:eastAsiaTheme="minorEastAsia" w:cstheme="minorEastAsia"/>
          <w:color w:val="auto"/>
          <w:sz w:val="24"/>
          <w:szCs w:val="24"/>
        </w:rPr>
        <w:t>签订合同</w:t>
      </w:r>
      <w:bookmarkEnd w:id="100"/>
    </w:p>
    <w:p>
      <w:pPr>
        <w:pStyle w:val="4"/>
        <w:spacing w:line="360" w:lineRule="auto"/>
        <w:ind w:firstLine="470" w:firstLineChars="196"/>
        <w:rPr>
          <w:rFonts w:hint="eastAsia" w:asciiTheme="minorEastAsia" w:hAnsiTheme="minorEastAsia" w:eastAsiaTheme="minorEastAsia" w:cstheme="minorEastAsia"/>
          <w:b w:val="0"/>
          <w:bCs w:val="0"/>
          <w:color w:val="auto"/>
          <w:kern w:val="0"/>
          <w:sz w:val="24"/>
          <w:szCs w:val="22"/>
        </w:rPr>
      </w:pPr>
      <w:bookmarkStart w:id="101" w:name="_Toc217446066"/>
      <w:r>
        <w:rPr>
          <w:rFonts w:hint="eastAsia" w:asciiTheme="minorEastAsia" w:hAnsiTheme="minorEastAsia" w:eastAsiaTheme="minorEastAsia" w:cstheme="minorEastAsia"/>
          <w:b w:val="0"/>
          <w:bCs w:val="0"/>
          <w:color w:val="auto"/>
          <w:kern w:val="0"/>
          <w:sz w:val="24"/>
          <w:szCs w:val="22"/>
        </w:rPr>
        <w:t>2</w:t>
      </w:r>
      <w:r>
        <w:rPr>
          <w:rFonts w:hint="eastAsia" w:asciiTheme="minorEastAsia" w:hAnsiTheme="minorEastAsia" w:eastAsiaTheme="minorEastAsia" w:cstheme="minorEastAsia"/>
          <w:b w:val="0"/>
          <w:bCs w:val="0"/>
          <w:color w:val="auto"/>
          <w:kern w:val="0"/>
          <w:sz w:val="24"/>
          <w:szCs w:val="22"/>
          <w:lang w:val="en-US" w:eastAsia="zh-CN"/>
        </w:rPr>
        <w:t>6</w:t>
      </w:r>
      <w:r>
        <w:rPr>
          <w:rFonts w:hint="eastAsia" w:asciiTheme="minorEastAsia" w:hAnsiTheme="minorEastAsia" w:eastAsiaTheme="minorEastAsia" w:cstheme="minorEastAsia"/>
          <w:b w:val="0"/>
          <w:bCs w:val="0"/>
          <w:color w:val="auto"/>
          <w:kern w:val="0"/>
          <w:sz w:val="24"/>
          <w:szCs w:val="22"/>
        </w:rPr>
        <w:t>.1</w:t>
      </w:r>
      <w:r>
        <w:rPr>
          <w:rFonts w:hint="eastAsia" w:asciiTheme="minorEastAsia" w:hAnsiTheme="minorEastAsia" w:eastAsiaTheme="minorEastAsia" w:cstheme="minorEastAsia"/>
          <w:b w:val="0"/>
          <w:bCs w:val="0"/>
          <w:color w:val="auto"/>
          <w:kern w:val="0"/>
          <w:sz w:val="24"/>
          <w:szCs w:val="22"/>
          <w:lang w:val="en-US" w:eastAsia="zh-CN"/>
        </w:rPr>
        <w:t xml:space="preserve"> </w:t>
      </w:r>
      <w:r>
        <w:rPr>
          <w:rFonts w:hint="eastAsia" w:asciiTheme="minorEastAsia" w:hAnsiTheme="minorEastAsia" w:eastAsiaTheme="minorEastAsia" w:cstheme="minorEastAsia"/>
          <w:b w:val="0"/>
          <w:bCs w:val="0"/>
          <w:color w:val="auto"/>
          <w:kern w:val="0"/>
          <w:sz w:val="24"/>
          <w:szCs w:val="22"/>
        </w:rPr>
        <w:t>中标人应在中标通知书发出之日起三十日内与采购人签订采购合同。由于中标人的原因逾期未与采购人签订采购合同的，将视为放弃中标，取消其中标资格并将按相关规定进行处理。</w:t>
      </w:r>
    </w:p>
    <w:p>
      <w:pPr>
        <w:pStyle w:val="4"/>
        <w:spacing w:line="276" w:lineRule="auto"/>
        <w:ind w:firstLine="470" w:firstLineChars="196"/>
        <w:rPr>
          <w:rFonts w:hint="eastAsia" w:asciiTheme="minorEastAsia" w:hAnsiTheme="minorEastAsia" w:eastAsiaTheme="minorEastAsia" w:cstheme="minorEastAsia"/>
          <w:b w:val="0"/>
          <w:bCs w:val="0"/>
          <w:color w:val="auto"/>
          <w:kern w:val="0"/>
          <w:sz w:val="24"/>
          <w:szCs w:val="22"/>
        </w:rPr>
      </w:pPr>
      <w:r>
        <w:rPr>
          <w:rFonts w:hint="eastAsia" w:asciiTheme="minorEastAsia" w:hAnsiTheme="minorEastAsia" w:eastAsiaTheme="minorEastAsia" w:cstheme="minorEastAsia"/>
          <w:b w:val="0"/>
          <w:bCs w:val="0"/>
          <w:color w:val="auto"/>
          <w:kern w:val="0"/>
          <w:sz w:val="24"/>
          <w:szCs w:val="22"/>
        </w:rPr>
        <w:t>2</w:t>
      </w:r>
      <w:r>
        <w:rPr>
          <w:rFonts w:hint="eastAsia" w:asciiTheme="minorEastAsia" w:hAnsiTheme="minorEastAsia" w:eastAsiaTheme="minorEastAsia" w:cstheme="minorEastAsia"/>
          <w:b w:val="0"/>
          <w:bCs w:val="0"/>
          <w:color w:val="auto"/>
          <w:kern w:val="0"/>
          <w:sz w:val="24"/>
          <w:szCs w:val="22"/>
          <w:lang w:val="en-US" w:eastAsia="zh-CN"/>
        </w:rPr>
        <w:t>6</w:t>
      </w:r>
      <w:r>
        <w:rPr>
          <w:rFonts w:hint="eastAsia" w:asciiTheme="minorEastAsia" w:hAnsiTheme="minorEastAsia" w:eastAsiaTheme="minorEastAsia" w:cstheme="minorEastAsia"/>
          <w:b w:val="0"/>
          <w:bCs w:val="0"/>
          <w:color w:val="auto"/>
          <w:kern w:val="0"/>
          <w:sz w:val="24"/>
          <w:szCs w:val="22"/>
        </w:rPr>
        <w:t>.2</w:t>
      </w:r>
      <w:r>
        <w:rPr>
          <w:rFonts w:hint="eastAsia" w:asciiTheme="minorEastAsia" w:hAnsiTheme="minorEastAsia" w:eastAsiaTheme="minorEastAsia" w:cstheme="minorEastAsia"/>
          <w:b w:val="0"/>
          <w:bCs w:val="0"/>
          <w:color w:val="auto"/>
          <w:kern w:val="0"/>
          <w:sz w:val="24"/>
          <w:szCs w:val="22"/>
          <w:lang w:val="en-US" w:eastAsia="zh-CN"/>
        </w:rPr>
        <w:t xml:space="preserve"> </w:t>
      </w:r>
      <w:r>
        <w:rPr>
          <w:rFonts w:hint="eastAsia" w:asciiTheme="minorEastAsia" w:hAnsiTheme="minorEastAsia" w:eastAsiaTheme="minorEastAsia" w:cstheme="minorEastAsia"/>
          <w:b w:val="0"/>
          <w:bCs w:val="0"/>
          <w:color w:val="auto"/>
          <w:kern w:val="0"/>
          <w:sz w:val="24"/>
          <w:szCs w:val="22"/>
        </w:rPr>
        <w:t>采购人不得向中标人提出任何不合理的要求作为签订合同的条件。</w:t>
      </w:r>
    </w:p>
    <w:p>
      <w:pPr>
        <w:pStyle w:val="4"/>
        <w:spacing w:line="360" w:lineRule="auto"/>
        <w:ind w:firstLine="470" w:firstLineChars="196"/>
        <w:rPr>
          <w:rFonts w:hint="eastAsia" w:asciiTheme="minorEastAsia" w:hAnsiTheme="minorEastAsia" w:eastAsiaTheme="minorEastAsia" w:cstheme="minorEastAsia"/>
          <w:b w:val="0"/>
          <w:bCs w:val="0"/>
          <w:color w:val="auto"/>
          <w:kern w:val="0"/>
          <w:sz w:val="24"/>
          <w:szCs w:val="22"/>
        </w:rPr>
      </w:pPr>
      <w:r>
        <w:rPr>
          <w:rFonts w:hint="eastAsia" w:asciiTheme="minorEastAsia" w:hAnsiTheme="minorEastAsia" w:eastAsiaTheme="minorEastAsia" w:cstheme="minorEastAsia"/>
          <w:b w:val="0"/>
          <w:bCs w:val="0"/>
          <w:color w:val="auto"/>
          <w:kern w:val="0"/>
          <w:sz w:val="24"/>
          <w:szCs w:val="22"/>
        </w:rPr>
        <w:t>2</w:t>
      </w:r>
      <w:r>
        <w:rPr>
          <w:rFonts w:hint="eastAsia" w:asciiTheme="minorEastAsia" w:hAnsiTheme="minorEastAsia" w:eastAsiaTheme="minorEastAsia" w:cstheme="minorEastAsia"/>
          <w:b w:val="0"/>
          <w:bCs w:val="0"/>
          <w:color w:val="auto"/>
          <w:kern w:val="0"/>
          <w:sz w:val="24"/>
          <w:szCs w:val="22"/>
          <w:lang w:val="en-US" w:eastAsia="zh-CN"/>
        </w:rPr>
        <w:t>6</w:t>
      </w:r>
      <w:r>
        <w:rPr>
          <w:rFonts w:hint="eastAsia" w:asciiTheme="minorEastAsia" w:hAnsiTheme="minorEastAsia" w:eastAsiaTheme="minorEastAsia" w:cstheme="minorEastAsia"/>
          <w:b w:val="0"/>
          <w:bCs w:val="0"/>
          <w:color w:val="auto"/>
          <w:kern w:val="0"/>
          <w:sz w:val="24"/>
          <w:szCs w:val="22"/>
        </w:rPr>
        <w:t>.3</w:t>
      </w:r>
      <w:r>
        <w:rPr>
          <w:rFonts w:hint="eastAsia" w:asciiTheme="minorEastAsia" w:hAnsiTheme="minorEastAsia" w:eastAsiaTheme="minorEastAsia" w:cstheme="minorEastAsia"/>
          <w:b w:val="0"/>
          <w:bCs w:val="0"/>
          <w:color w:val="auto"/>
          <w:kern w:val="0"/>
          <w:sz w:val="24"/>
          <w:szCs w:val="22"/>
          <w:lang w:val="en-US" w:eastAsia="zh-CN"/>
        </w:rPr>
        <w:t xml:space="preserve"> </w:t>
      </w:r>
      <w:r>
        <w:rPr>
          <w:rFonts w:hint="eastAsia" w:asciiTheme="minorEastAsia" w:hAnsiTheme="minorEastAsia" w:eastAsiaTheme="minorEastAsia" w:cstheme="minorEastAsia"/>
          <w:b w:val="0"/>
          <w:bCs w:val="0"/>
          <w:color w:val="auto"/>
          <w:kern w:val="0"/>
          <w:sz w:val="24"/>
          <w:szCs w:val="22"/>
        </w:rPr>
        <w:t>政府采购合同应当包括采购人与中标人的名称和住所、标的、数量、质量、价款或者报酬、履行期限及地点和方式、验收要求、违约责任、解决争议的方法等内容。</w:t>
      </w:r>
    </w:p>
    <w:p>
      <w:pPr>
        <w:pStyle w:val="4"/>
        <w:spacing w:line="360" w:lineRule="auto"/>
        <w:ind w:firstLine="470" w:firstLineChars="196"/>
        <w:rPr>
          <w:rFonts w:hint="eastAsia" w:asciiTheme="minorEastAsia" w:hAnsiTheme="minorEastAsia" w:eastAsiaTheme="minorEastAsia" w:cstheme="minorEastAsia"/>
          <w:b w:val="0"/>
          <w:bCs w:val="0"/>
          <w:color w:val="auto"/>
          <w:kern w:val="0"/>
          <w:sz w:val="24"/>
          <w:szCs w:val="22"/>
        </w:rPr>
      </w:pPr>
      <w:r>
        <w:rPr>
          <w:rFonts w:hint="eastAsia" w:asciiTheme="minorEastAsia" w:hAnsiTheme="minorEastAsia" w:eastAsiaTheme="minorEastAsia" w:cstheme="minorEastAsia"/>
          <w:b w:val="0"/>
          <w:bCs w:val="0"/>
          <w:color w:val="auto"/>
          <w:kern w:val="0"/>
          <w:sz w:val="24"/>
          <w:szCs w:val="22"/>
        </w:rPr>
        <w:t>2</w:t>
      </w:r>
      <w:r>
        <w:rPr>
          <w:rFonts w:hint="eastAsia" w:asciiTheme="minorEastAsia" w:hAnsiTheme="minorEastAsia" w:eastAsiaTheme="minorEastAsia" w:cstheme="minorEastAsia"/>
          <w:b w:val="0"/>
          <w:bCs w:val="0"/>
          <w:color w:val="auto"/>
          <w:kern w:val="0"/>
          <w:sz w:val="24"/>
          <w:szCs w:val="22"/>
          <w:lang w:val="en-US" w:eastAsia="zh-CN"/>
        </w:rPr>
        <w:t>6</w:t>
      </w:r>
      <w:r>
        <w:rPr>
          <w:rFonts w:hint="eastAsia" w:asciiTheme="minorEastAsia" w:hAnsiTheme="minorEastAsia" w:eastAsiaTheme="minorEastAsia" w:cstheme="minorEastAsia"/>
          <w:b w:val="0"/>
          <w:bCs w:val="0"/>
          <w:color w:val="auto"/>
          <w:kern w:val="0"/>
          <w:sz w:val="24"/>
          <w:szCs w:val="22"/>
        </w:rPr>
        <w:t>.4</w:t>
      </w:r>
      <w:r>
        <w:rPr>
          <w:rFonts w:hint="eastAsia" w:asciiTheme="minorEastAsia" w:hAnsiTheme="minorEastAsia" w:eastAsiaTheme="minorEastAsia" w:cstheme="minorEastAsia"/>
          <w:b w:val="0"/>
          <w:bCs w:val="0"/>
          <w:color w:val="auto"/>
          <w:kern w:val="0"/>
          <w:sz w:val="24"/>
          <w:szCs w:val="22"/>
          <w:lang w:val="en-US" w:eastAsia="zh-CN"/>
        </w:rPr>
        <w:t xml:space="preserve"> </w:t>
      </w:r>
      <w:r>
        <w:rPr>
          <w:rFonts w:hint="eastAsia" w:asciiTheme="minorEastAsia" w:hAnsiTheme="minorEastAsia" w:eastAsiaTheme="minorEastAsia" w:cstheme="minorEastAsia"/>
          <w:b w:val="0"/>
          <w:bCs w:val="0"/>
          <w:color w:val="auto"/>
          <w:kern w:val="0"/>
          <w:sz w:val="24"/>
          <w:szCs w:val="22"/>
        </w:rPr>
        <w:t>中标人因不可抗力原因不能履行采购合同或放弃中标的，采购人可以与排在中标人之后第一位的中标候选人签订采购合同，以此类推</w:t>
      </w:r>
      <w:bookmarkEnd w:id="101"/>
      <w:r>
        <w:rPr>
          <w:rFonts w:hint="eastAsia" w:asciiTheme="minorEastAsia" w:hAnsiTheme="minorEastAsia" w:eastAsiaTheme="minorEastAsia" w:cstheme="minorEastAsia"/>
          <w:b w:val="0"/>
          <w:bCs w:val="0"/>
          <w:color w:val="auto"/>
          <w:kern w:val="0"/>
          <w:sz w:val="24"/>
          <w:szCs w:val="22"/>
        </w:rPr>
        <w:t>，也可以重新开展政府采购合同。</w:t>
      </w:r>
    </w:p>
    <w:p>
      <w:pPr>
        <w:pStyle w:val="4"/>
        <w:spacing w:line="360" w:lineRule="auto"/>
        <w:ind w:firstLine="470" w:firstLineChars="196"/>
        <w:rPr>
          <w:rFonts w:hint="eastAsia" w:asciiTheme="minorEastAsia" w:hAnsiTheme="minorEastAsia" w:eastAsiaTheme="minorEastAsia" w:cstheme="minorEastAsia"/>
          <w:b w:val="0"/>
          <w:bCs w:val="0"/>
          <w:color w:val="auto"/>
          <w:kern w:val="0"/>
          <w:sz w:val="24"/>
          <w:szCs w:val="22"/>
        </w:rPr>
      </w:pPr>
      <w:r>
        <w:rPr>
          <w:rFonts w:hint="eastAsia" w:asciiTheme="minorEastAsia" w:hAnsiTheme="minorEastAsia" w:eastAsiaTheme="minorEastAsia" w:cstheme="minorEastAsia"/>
          <w:b w:val="0"/>
          <w:bCs w:val="0"/>
          <w:color w:val="auto"/>
          <w:kern w:val="0"/>
          <w:sz w:val="24"/>
          <w:szCs w:val="22"/>
        </w:rPr>
        <w:t>2</w:t>
      </w:r>
      <w:r>
        <w:rPr>
          <w:rFonts w:hint="eastAsia" w:asciiTheme="minorEastAsia" w:hAnsiTheme="minorEastAsia" w:eastAsiaTheme="minorEastAsia" w:cstheme="minorEastAsia"/>
          <w:b w:val="0"/>
          <w:bCs w:val="0"/>
          <w:color w:val="auto"/>
          <w:kern w:val="0"/>
          <w:sz w:val="24"/>
          <w:szCs w:val="22"/>
          <w:lang w:val="en-US" w:eastAsia="zh-CN"/>
        </w:rPr>
        <w:t>6</w:t>
      </w:r>
      <w:r>
        <w:rPr>
          <w:rFonts w:hint="eastAsia" w:asciiTheme="minorEastAsia" w:hAnsiTheme="minorEastAsia" w:eastAsiaTheme="minorEastAsia" w:cstheme="minorEastAsia"/>
          <w:b w:val="0"/>
          <w:bCs w:val="0"/>
          <w:color w:val="auto"/>
          <w:kern w:val="0"/>
          <w:sz w:val="24"/>
          <w:szCs w:val="22"/>
        </w:rPr>
        <w:t>.5 中标人在合同签订之后三个工作日内，将签订的合同（一式壹份）送采购代理机构。中标人应及时到采购代理机构办理。（详见须知附表中联系方式）</w:t>
      </w:r>
    </w:p>
    <w:p>
      <w:pPr>
        <w:spacing w:line="360" w:lineRule="auto"/>
        <w:ind w:firstLine="495"/>
        <w:rPr>
          <w:rFonts w:hint="eastAsia" w:asciiTheme="minorEastAsia" w:hAnsiTheme="minorEastAsia" w:eastAsiaTheme="minorEastAsia" w:cstheme="minorEastAsia"/>
          <w:b/>
          <w:color w:val="auto"/>
          <w:sz w:val="24"/>
          <w:szCs w:val="22"/>
        </w:rPr>
      </w:pPr>
      <w:bookmarkStart w:id="102" w:name="_Toc217446067"/>
      <w:r>
        <w:rPr>
          <w:rFonts w:hint="eastAsia" w:asciiTheme="minorEastAsia" w:hAnsiTheme="minorEastAsia" w:eastAsiaTheme="minorEastAsia" w:cstheme="minorEastAsia"/>
          <w:b/>
          <w:color w:val="auto"/>
          <w:sz w:val="24"/>
          <w:szCs w:val="22"/>
        </w:rPr>
        <w:t>2</w:t>
      </w:r>
      <w:r>
        <w:rPr>
          <w:rFonts w:hint="eastAsia" w:asciiTheme="minorEastAsia" w:hAnsiTheme="minorEastAsia" w:eastAsiaTheme="minorEastAsia" w:cstheme="minorEastAsia"/>
          <w:b/>
          <w:color w:val="auto"/>
          <w:sz w:val="24"/>
          <w:szCs w:val="22"/>
          <w:lang w:val="en-US" w:eastAsia="zh-CN"/>
        </w:rPr>
        <w:t>7</w:t>
      </w:r>
      <w:r>
        <w:rPr>
          <w:rFonts w:hint="eastAsia" w:asciiTheme="minorEastAsia" w:hAnsiTheme="minorEastAsia" w:eastAsiaTheme="minorEastAsia" w:cstheme="minorEastAsia"/>
          <w:b/>
          <w:color w:val="auto"/>
          <w:sz w:val="24"/>
          <w:szCs w:val="22"/>
        </w:rPr>
        <w:t xml:space="preserve">. 合同分包（实质性要求）  </w:t>
      </w:r>
    </w:p>
    <w:p>
      <w:pPr>
        <w:spacing w:line="360" w:lineRule="auto"/>
        <w:ind w:firstLine="495"/>
        <w:rPr>
          <w:rFonts w:hint="eastAsia" w:asciiTheme="minorEastAsia" w:hAnsiTheme="minorEastAsia" w:eastAsiaTheme="minorEastAsia" w:cstheme="minorEastAsia"/>
          <w:b/>
          <w:color w:val="auto"/>
          <w:sz w:val="24"/>
          <w:szCs w:val="22"/>
        </w:rPr>
      </w:pPr>
      <w:r>
        <w:rPr>
          <w:rFonts w:hint="eastAsia" w:asciiTheme="minorEastAsia" w:hAnsiTheme="minorEastAsia" w:eastAsiaTheme="minorEastAsia" w:cstheme="minorEastAsia"/>
          <w:b/>
          <w:color w:val="auto"/>
          <w:sz w:val="24"/>
          <w:szCs w:val="22"/>
        </w:rPr>
        <w:t>本项目不允许合同分包。</w:t>
      </w:r>
    </w:p>
    <w:p>
      <w:pPr>
        <w:spacing w:line="360" w:lineRule="auto"/>
        <w:ind w:firstLine="482" w:firstLineChars="200"/>
        <w:rPr>
          <w:rFonts w:hint="eastAsia" w:asciiTheme="minorEastAsia" w:hAnsiTheme="minorEastAsia" w:eastAsiaTheme="minorEastAsia" w:cstheme="minorEastAsia"/>
          <w:b/>
          <w:color w:val="auto"/>
          <w:sz w:val="24"/>
          <w:szCs w:val="22"/>
        </w:rPr>
      </w:pPr>
      <w:r>
        <w:rPr>
          <w:rFonts w:hint="eastAsia" w:asciiTheme="minorEastAsia" w:hAnsiTheme="minorEastAsia" w:eastAsiaTheme="minorEastAsia" w:cstheme="minorEastAsia"/>
          <w:b/>
          <w:color w:val="auto"/>
          <w:sz w:val="24"/>
          <w:szCs w:val="22"/>
        </w:rPr>
        <w:t>2</w:t>
      </w:r>
      <w:r>
        <w:rPr>
          <w:rFonts w:hint="eastAsia" w:asciiTheme="minorEastAsia" w:hAnsiTheme="minorEastAsia" w:eastAsiaTheme="minorEastAsia" w:cstheme="minorEastAsia"/>
          <w:b/>
          <w:color w:val="auto"/>
          <w:sz w:val="24"/>
          <w:szCs w:val="22"/>
          <w:lang w:val="en-US" w:eastAsia="zh-CN"/>
        </w:rPr>
        <w:t>8</w:t>
      </w:r>
      <w:r>
        <w:rPr>
          <w:rFonts w:hint="eastAsia" w:asciiTheme="minorEastAsia" w:hAnsiTheme="minorEastAsia" w:eastAsiaTheme="minorEastAsia" w:cstheme="minorEastAsia"/>
          <w:b/>
          <w:color w:val="auto"/>
          <w:sz w:val="24"/>
          <w:szCs w:val="22"/>
        </w:rPr>
        <w:t xml:space="preserve">. 合同转包（实质性要求） </w:t>
      </w:r>
    </w:p>
    <w:p>
      <w:pPr>
        <w:spacing w:line="360" w:lineRule="auto"/>
        <w:ind w:firstLine="495"/>
        <w:rPr>
          <w:rFonts w:hint="eastAsia" w:asciiTheme="minorEastAsia" w:hAnsiTheme="minorEastAsia" w:eastAsiaTheme="minorEastAsia" w:cstheme="minorEastAsia"/>
          <w:color w:val="auto"/>
          <w:sz w:val="24"/>
          <w:szCs w:val="22"/>
        </w:rPr>
      </w:pPr>
      <w:r>
        <w:rPr>
          <w:rFonts w:hint="eastAsia" w:asciiTheme="minorEastAsia" w:hAnsiTheme="minorEastAsia" w:eastAsiaTheme="minorEastAsia" w:cstheme="minorEastAsia"/>
          <w:color w:val="auto"/>
          <w:sz w:val="24"/>
          <w:szCs w:val="22"/>
        </w:rPr>
        <w:t>2</w:t>
      </w:r>
      <w:r>
        <w:rPr>
          <w:rFonts w:hint="eastAsia" w:asciiTheme="minorEastAsia" w:hAnsiTheme="minorEastAsia" w:eastAsiaTheme="minorEastAsia" w:cstheme="minorEastAsia"/>
          <w:color w:val="auto"/>
          <w:sz w:val="24"/>
          <w:szCs w:val="22"/>
          <w:lang w:val="en-US" w:eastAsia="zh-CN"/>
        </w:rPr>
        <w:t>8</w:t>
      </w:r>
      <w:r>
        <w:rPr>
          <w:rFonts w:hint="eastAsia" w:asciiTheme="minorEastAsia" w:hAnsiTheme="minorEastAsia" w:eastAsiaTheme="minorEastAsia" w:cstheme="minorEastAsia"/>
          <w:color w:val="auto"/>
          <w:sz w:val="24"/>
          <w:szCs w:val="22"/>
        </w:rPr>
        <w:t>.1.本项目严禁中标人将任何政府采购合同义务转包。本项目所称转包，是指中标人将政府采购合同义务转让给第三人，并退出现有政府采购合同当事人双方的权利义务关系，受让人（第三人）成为政府采购合同的另一方当事人的行为。</w:t>
      </w:r>
    </w:p>
    <w:p>
      <w:pPr>
        <w:spacing w:line="360" w:lineRule="auto"/>
        <w:ind w:firstLine="495"/>
        <w:rPr>
          <w:rFonts w:hint="eastAsia" w:asciiTheme="minorEastAsia" w:hAnsiTheme="minorEastAsia" w:eastAsiaTheme="minorEastAsia" w:cstheme="minorEastAsia"/>
          <w:color w:val="auto"/>
          <w:sz w:val="24"/>
          <w:szCs w:val="22"/>
        </w:rPr>
      </w:pPr>
      <w:r>
        <w:rPr>
          <w:rFonts w:hint="eastAsia" w:asciiTheme="minorEastAsia" w:hAnsiTheme="minorEastAsia" w:eastAsiaTheme="minorEastAsia" w:cstheme="minorEastAsia"/>
          <w:color w:val="auto"/>
          <w:sz w:val="24"/>
          <w:szCs w:val="22"/>
        </w:rPr>
        <w:t>2</w:t>
      </w:r>
      <w:r>
        <w:rPr>
          <w:rFonts w:hint="eastAsia" w:asciiTheme="minorEastAsia" w:hAnsiTheme="minorEastAsia" w:eastAsiaTheme="minorEastAsia" w:cstheme="minorEastAsia"/>
          <w:color w:val="auto"/>
          <w:sz w:val="24"/>
          <w:szCs w:val="22"/>
          <w:lang w:val="en-US" w:eastAsia="zh-CN"/>
        </w:rPr>
        <w:t>8</w:t>
      </w:r>
      <w:r>
        <w:rPr>
          <w:rFonts w:hint="eastAsia" w:asciiTheme="minorEastAsia" w:hAnsiTheme="minorEastAsia" w:eastAsiaTheme="minorEastAsia" w:cstheme="minorEastAsia"/>
          <w:color w:val="auto"/>
          <w:sz w:val="24"/>
          <w:szCs w:val="22"/>
        </w:rPr>
        <w:t>.2.中标人转包的，视同拒绝履行政府采购合同义务，将依法追究法律责任.</w:t>
      </w:r>
    </w:p>
    <w:p>
      <w:pPr>
        <w:spacing w:line="360" w:lineRule="auto"/>
        <w:ind w:firstLine="495"/>
        <w:rPr>
          <w:rFonts w:hint="eastAsia" w:asciiTheme="minorEastAsia" w:hAnsiTheme="minorEastAsia" w:eastAsiaTheme="minorEastAsia" w:cstheme="minorEastAsia"/>
          <w:b/>
          <w:color w:val="auto"/>
          <w:sz w:val="24"/>
          <w:szCs w:val="22"/>
        </w:rPr>
      </w:pPr>
      <w:r>
        <w:rPr>
          <w:rFonts w:hint="eastAsia" w:asciiTheme="minorEastAsia" w:hAnsiTheme="minorEastAsia" w:eastAsiaTheme="minorEastAsia" w:cstheme="minorEastAsia"/>
          <w:b/>
          <w:color w:val="auto"/>
          <w:sz w:val="24"/>
          <w:szCs w:val="22"/>
          <w:lang w:val="en-US" w:eastAsia="zh-CN"/>
        </w:rPr>
        <w:t>29</w:t>
      </w:r>
      <w:r>
        <w:rPr>
          <w:rFonts w:hint="eastAsia" w:asciiTheme="minorEastAsia" w:hAnsiTheme="minorEastAsia" w:eastAsiaTheme="minorEastAsia" w:cstheme="minorEastAsia"/>
          <w:b/>
          <w:color w:val="auto"/>
          <w:sz w:val="24"/>
          <w:szCs w:val="22"/>
        </w:rPr>
        <w:t xml:space="preserve">.补充合同 </w:t>
      </w:r>
    </w:p>
    <w:p>
      <w:pPr>
        <w:spacing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szCs w:val="22"/>
        </w:rPr>
        <w:t>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r>
        <w:rPr>
          <w:rFonts w:hint="eastAsia" w:asciiTheme="minorEastAsia" w:hAnsiTheme="minorEastAsia" w:eastAsiaTheme="minorEastAsia" w:cstheme="minorEastAsia"/>
          <w:color w:val="auto"/>
          <w:sz w:val="24"/>
        </w:rPr>
        <w:t xml:space="preserve"> </w:t>
      </w:r>
    </w:p>
    <w:p>
      <w:pPr>
        <w:spacing w:line="360" w:lineRule="auto"/>
        <w:ind w:firstLine="495"/>
        <w:rPr>
          <w:rFonts w:hint="eastAsia" w:asciiTheme="minorEastAsia" w:hAnsiTheme="minorEastAsia" w:eastAsiaTheme="minorEastAsia" w:cstheme="minorEastAsia"/>
          <w:color w:val="auto"/>
          <w:sz w:val="24"/>
          <w:szCs w:val="22"/>
        </w:rPr>
      </w:pPr>
    </w:p>
    <w:p>
      <w:pPr>
        <w:spacing w:line="360" w:lineRule="auto"/>
        <w:ind w:firstLine="495"/>
        <w:rPr>
          <w:rFonts w:hint="eastAsia" w:asciiTheme="minorEastAsia" w:hAnsiTheme="minorEastAsia" w:eastAsiaTheme="minorEastAsia" w:cstheme="minorEastAsia"/>
          <w:b/>
          <w:color w:val="auto"/>
          <w:sz w:val="24"/>
          <w:szCs w:val="22"/>
        </w:rPr>
      </w:pPr>
      <w:r>
        <w:rPr>
          <w:rFonts w:hint="eastAsia" w:asciiTheme="minorEastAsia" w:hAnsiTheme="minorEastAsia" w:eastAsiaTheme="minorEastAsia" w:cstheme="minorEastAsia"/>
          <w:b/>
          <w:color w:val="auto"/>
          <w:sz w:val="24"/>
          <w:szCs w:val="22"/>
        </w:rPr>
        <w:t>3</w:t>
      </w:r>
      <w:r>
        <w:rPr>
          <w:rFonts w:hint="eastAsia" w:asciiTheme="minorEastAsia" w:hAnsiTheme="minorEastAsia" w:eastAsiaTheme="minorEastAsia" w:cstheme="minorEastAsia"/>
          <w:b/>
          <w:color w:val="auto"/>
          <w:sz w:val="24"/>
          <w:szCs w:val="22"/>
          <w:lang w:val="en-US" w:eastAsia="zh-CN"/>
        </w:rPr>
        <w:t>0</w:t>
      </w:r>
      <w:r>
        <w:rPr>
          <w:rFonts w:hint="eastAsia" w:asciiTheme="minorEastAsia" w:hAnsiTheme="minorEastAsia" w:eastAsiaTheme="minorEastAsia" w:cstheme="minorEastAsia"/>
          <w:b/>
          <w:color w:val="auto"/>
          <w:sz w:val="24"/>
          <w:szCs w:val="22"/>
        </w:rPr>
        <w:t xml:space="preserve">. 履约保证金 </w:t>
      </w:r>
    </w:p>
    <w:p>
      <w:pPr>
        <w:spacing w:line="360" w:lineRule="auto"/>
        <w:ind w:firstLine="495"/>
        <w:rPr>
          <w:rFonts w:hint="eastAsia" w:asciiTheme="minorEastAsia" w:hAnsiTheme="minorEastAsia" w:eastAsiaTheme="minorEastAsia" w:cstheme="minorEastAsia"/>
          <w:b w:val="0"/>
          <w:bCs/>
          <w:color w:val="auto"/>
          <w:sz w:val="24"/>
          <w:szCs w:val="22"/>
        </w:rPr>
      </w:pPr>
      <w:r>
        <w:rPr>
          <w:rFonts w:hint="eastAsia" w:asciiTheme="minorEastAsia" w:hAnsiTheme="minorEastAsia" w:eastAsiaTheme="minorEastAsia" w:cstheme="minorEastAsia"/>
          <w:b w:val="0"/>
          <w:bCs/>
          <w:color w:val="auto"/>
          <w:sz w:val="24"/>
          <w:szCs w:val="22"/>
          <w:lang w:eastAsia="zh-CN"/>
        </w:rPr>
        <w:t>本项目不收取。</w:t>
      </w:r>
    </w:p>
    <w:p>
      <w:pPr>
        <w:spacing w:line="360" w:lineRule="auto"/>
        <w:ind w:firstLine="495"/>
        <w:rPr>
          <w:rFonts w:hint="eastAsia" w:asciiTheme="minorEastAsia" w:hAnsiTheme="minorEastAsia" w:eastAsiaTheme="minorEastAsia" w:cstheme="minorEastAsia"/>
          <w:b/>
          <w:color w:val="auto"/>
          <w:sz w:val="24"/>
          <w:szCs w:val="22"/>
        </w:rPr>
      </w:pPr>
      <w:r>
        <w:rPr>
          <w:rFonts w:hint="eastAsia" w:asciiTheme="minorEastAsia" w:hAnsiTheme="minorEastAsia" w:eastAsiaTheme="minorEastAsia" w:cstheme="minorEastAsia"/>
          <w:b/>
          <w:color w:val="auto"/>
          <w:sz w:val="24"/>
          <w:szCs w:val="22"/>
        </w:rPr>
        <w:t>3</w:t>
      </w:r>
      <w:r>
        <w:rPr>
          <w:rFonts w:hint="eastAsia" w:asciiTheme="minorEastAsia" w:hAnsiTheme="minorEastAsia" w:eastAsiaTheme="minorEastAsia" w:cstheme="minorEastAsia"/>
          <w:b/>
          <w:color w:val="auto"/>
          <w:sz w:val="24"/>
          <w:szCs w:val="22"/>
          <w:lang w:val="en-US" w:eastAsia="zh-CN"/>
        </w:rPr>
        <w:t>1</w:t>
      </w:r>
      <w:r>
        <w:rPr>
          <w:rFonts w:hint="eastAsia" w:asciiTheme="minorEastAsia" w:hAnsiTheme="minorEastAsia" w:eastAsiaTheme="minorEastAsia" w:cstheme="minorEastAsia"/>
          <w:b/>
          <w:color w:val="auto"/>
          <w:sz w:val="24"/>
          <w:szCs w:val="22"/>
        </w:rPr>
        <w:t>. 合同公告</w:t>
      </w:r>
    </w:p>
    <w:p>
      <w:pPr>
        <w:spacing w:line="360" w:lineRule="auto"/>
        <w:ind w:firstLine="495"/>
        <w:rPr>
          <w:rFonts w:hint="eastAsia" w:asciiTheme="minorEastAsia" w:hAnsiTheme="minorEastAsia" w:eastAsiaTheme="minorEastAsia" w:cstheme="minorEastAsia"/>
          <w:color w:val="auto"/>
          <w:sz w:val="24"/>
          <w:szCs w:val="22"/>
        </w:rPr>
      </w:pPr>
      <w:r>
        <w:rPr>
          <w:rFonts w:hint="eastAsia" w:asciiTheme="minorEastAsia" w:hAnsiTheme="minorEastAsia" w:eastAsiaTheme="minorEastAsia" w:cstheme="minorEastAsia"/>
          <w:color w:val="auto"/>
          <w:sz w:val="24"/>
          <w:szCs w:val="22"/>
        </w:rPr>
        <w:t>采购人应当自政府采购合同签订之日起2个工作日内，将政府采购合同在省级以上人民政府财政部门指定的媒体上公告（四川政府采购网），但政府采购合同中涉及国家秘密、商业秘密的内容除外。</w:t>
      </w:r>
    </w:p>
    <w:p>
      <w:pPr>
        <w:spacing w:line="360" w:lineRule="auto"/>
        <w:ind w:firstLine="495"/>
        <w:rPr>
          <w:rFonts w:hint="eastAsia" w:asciiTheme="minorEastAsia" w:hAnsiTheme="minorEastAsia" w:eastAsiaTheme="minorEastAsia" w:cstheme="minorEastAsia"/>
          <w:b/>
          <w:color w:val="auto"/>
          <w:sz w:val="24"/>
          <w:szCs w:val="22"/>
        </w:rPr>
      </w:pPr>
      <w:r>
        <w:rPr>
          <w:rFonts w:hint="eastAsia" w:asciiTheme="minorEastAsia" w:hAnsiTheme="minorEastAsia" w:eastAsiaTheme="minorEastAsia" w:cstheme="minorEastAsia"/>
          <w:b/>
          <w:color w:val="auto"/>
          <w:sz w:val="24"/>
          <w:szCs w:val="22"/>
        </w:rPr>
        <w:t>3</w:t>
      </w:r>
      <w:r>
        <w:rPr>
          <w:rFonts w:hint="eastAsia" w:asciiTheme="minorEastAsia" w:hAnsiTheme="minorEastAsia" w:eastAsiaTheme="minorEastAsia" w:cstheme="minorEastAsia"/>
          <w:b/>
          <w:color w:val="auto"/>
          <w:sz w:val="24"/>
          <w:szCs w:val="22"/>
          <w:lang w:val="en-US" w:eastAsia="zh-CN"/>
        </w:rPr>
        <w:t>2</w:t>
      </w:r>
      <w:r>
        <w:rPr>
          <w:rFonts w:hint="eastAsia" w:asciiTheme="minorEastAsia" w:hAnsiTheme="minorEastAsia" w:eastAsiaTheme="minorEastAsia" w:cstheme="minorEastAsia"/>
          <w:b/>
          <w:color w:val="auto"/>
          <w:sz w:val="24"/>
          <w:szCs w:val="22"/>
        </w:rPr>
        <w:t>. 合同备案</w:t>
      </w:r>
    </w:p>
    <w:p>
      <w:pPr>
        <w:spacing w:line="360" w:lineRule="auto"/>
        <w:ind w:firstLine="495"/>
        <w:rPr>
          <w:rFonts w:hint="eastAsia" w:asciiTheme="minorEastAsia" w:hAnsiTheme="minorEastAsia" w:eastAsiaTheme="minorEastAsia" w:cstheme="minorEastAsia"/>
          <w:b/>
          <w:color w:val="auto"/>
          <w:sz w:val="24"/>
          <w:szCs w:val="22"/>
        </w:rPr>
      </w:pPr>
      <w:r>
        <w:rPr>
          <w:rFonts w:hint="eastAsia" w:asciiTheme="minorEastAsia" w:hAnsiTheme="minorEastAsia" w:eastAsiaTheme="minorEastAsia" w:cstheme="minorEastAsia"/>
          <w:color w:val="auto"/>
          <w:sz w:val="24"/>
          <w:szCs w:val="22"/>
        </w:rPr>
        <w:t>采购人应当将政府采购合同副本自签订之日起七个工作日内通过政采云平台报同级财政部门备案。</w:t>
      </w:r>
    </w:p>
    <w:p>
      <w:pPr>
        <w:spacing w:line="360" w:lineRule="auto"/>
        <w:ind w:firstLine="495"/>
        <w:rPr>
          <w:rFonts w:hint="eastAsia" w:asciiTheme="minorEastAsia" w:hAnsiTheme="minorEastAsia" w:eastAsiaTheme="minorEastAsia" w:cstheme="minorEastAsia"/>
          <w:b/>
          <w:color w:val="auto"/>
          <w:sz w:val="24"/>
          <w:szCs w:val="22"/>
        </w:rPr>
      </w:pPr>
      <w:r>
        <w:rPr>
          <w:rFonts w:hint="eastAsia" w:asciiTheme="minorEastAsia" w:hAnsiTheme="minorEastAsia" w:eastAsiaTheme="minorEastAsia" w:cstheme="minorEastAsia"/>
          <w:b/>
          <w:color w:val="auto"/>
          <w:sz w:val="24"/>
          <w:szCs w:val="22"/>
        </w:rPr>
        <w:t>3</w:t>
      </w:r>
      <w:r>
        <w:rPr>
          <w:rFonts w:hint="eastAsia" w:asciiTheme="minorEastAsia" w:hAnsiTheme="minorEastAsia" w:eastAsiaTheme="minorEastAsia" w:cstheme="minorEastAsia"/>
          <w:b/>
          <w:color w:val="auto"/>
          <w:sz w:val="24"/>
          <w:szCs w:val="22"/>
          <w:lang w:val="en-US" w:eastAsia="zh-CN"/>
        </w:rPr>
        <w:t>3</w:t>
      </w:r>
      <w:r>
        <w:rPr>
          <w:rFonts w:hint="eastAsia" w:asciiTheme="minorEastAsia" w:hAnsiTheme="minorEastAsia" w:eastAsiaTheme="minorEastAsia" w:cstheme="minorEastAsia"/>
          <w:b/>
          <w:color w:val="auto"/>
          <w:sz w:val="24"/>
          <w:szCs w:val="22"/>
        </w:rPr>
        <w:t xml:space="preserve">. 履行合同 </w:t>
      </w:r>
    </w:p>
    <w:p>
      <w:pPr>
        <w:spacing w:line="40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w:t>
      </w:r>
      <w:r>
        <w:rPr>
          <w:rFonts w:hint="eastAsia" w:asciiTheme="minorEastAsia" w:hAnsiTheme="minorEastAsia" w:eastAsiaTheme="minorEastAsia" w:cstheme="minorEastAsia"/>
          <w:color w:val="auto"/>
          <w:sz w:val="24"/>
          <w:lang w:val="en-US" w:eastAsia="zh-CN"/>
        </w:rPr>
        <w:t xml:space="preserve"> </w:t>
      </w:r>
      <w:r>
        <w:rPr>
          <w:rFonts w:hint="eastAsia" w:asciiTheme="minorEastAsia" w:hAnsiTheme="minorEastAsia" w:eastAsiaTheme="minorEastAsia" w:cstheme="minorEastAsia"/>
          <w:color w:val="auto"/>
          <w:sz w:val="24"/>
        </w:rPr>
        <w:t xml:space="preserve"> 33.1 中标人与采购人签订合同后，合同双方应严格执行合同条款，履行合同规定的义务，保证合同的顺利完成。</w:t>
      </w:r>
    </w:p>
    <w:p>
      <w:pPr>
        <w:spacing w:line="400" w:lineRule="exact"/>
        <w:rPr>
          <w:rFonts w:hint="eastAsia" w:asciiTheme="minorEastAsia" w:hAnsiTheme="minorEastAsia" w:eastAsiaTheme="minorEastAsia" w:cstheme="minorEastAsia"/>
          <w:color w:val="auto"/>
          <w:sz w:val="24"/>
          <w:szCs w:val="22"/>
        </w:rPr>
      </w:pPr>
      <w:r>
        <w:rPr>
          <w:rFonts w:hint="eastAsia" w:asciiTheme="minorEastAsia" w:hAnsiTheme="minorEastAsia" w:eastAsiaTheme="minorEastAsia" w:cstheme="minorEastAsia"/>
          <w:color w:val="auto"/>
          <w:sz w:val="24"/>
        </w:rPr>
        <w:t xml:space="preserve">   </w:t>
      </w:r>
      <w:r>
        <w:rPr>
          <w:rFonts w:hint="eastAsia" w:asciiTheme="minorEastAsia" w:hAnsiTheme="minorEastAsia" w:eastAsiaTheme="minorEastAsia" w:cstheme="minorEastAsia"/>
          <w:color w:val="auto"/>
          <w:sz w:val="24"/>
          <w:lang w:val="en-US" w:eastAsia="zh-CN"/>
        </w:rPr>
        <w:t xml:space="preserve"> </w:t>
      </w:r>
      <w:r>
        <w:rPr>
          <w:rFonts w:hint="eastAsia" w:asciiTheme="minorEastAsia" w:hAnsiTheme="minorEastAsia" w:eastAsiaTheme="minorEastAsia" w:cstheme="minorEastAsia"/>
          <w:color w:val="auto"/>
          <w:sz w:val="24"/>
        </w:rPr>
        <w:t>33.2 在合同履行过程中，如发生合同纠纷，合同双方应合同相关约定进行处理。</w:t>
      </w:r>
    </w:p>
    <w:p>
      <w:pPr>
        <w:spacing w:line="360" w:lineRule="auto"/>
        <w:ind w:firstLine="495"/>
        <w:rPr>
          <w:rFonts w:hint="eastAsia" w:asciiTheme="minorEastAsia" w:hAnsiTheme="minorEastAsia" w:eastAsiaTheme="minorEastAsia" w:cstheme="minorEastAsia"/>
          <w:b/>
          <w:color w:val="auto"/>
          <w:sz w:val="24"/>
          <w:szCs w:val="22"/>
        </w:rPr>
      </w:pPr>
      <w:r>
        <w:rPr>
          <w:rFonts w:hint="eastAsia" w:asciiTheme="minorEastAsia" w:hAnsiTheme="minorEastAsia" w:eastAsiaTheme="minorEastAsia" w:cstheme="minorEastAsia"/>
          <w:b/>
          <w:color w:val="auto"/>
          <w:sz w:val="24"/>
          <w:szCs w:val="22"/>
        </w:rPr>
        <w:t>3</w:t>
      </w:r>
      <w:r>
        <w:rPr>
          <w:rFonts w:hint="eastAsia" w:asciiTheme="minorEastAsia" w:hAnsiTheme="minorEastAsia" w:eastAsiaTheme="minorEastAsia" w:cstheme="minorEastAsia"/>
          <w:b/>
          <w:color w:val="auto"/>
          <w:sz w:val="24"/>
          <w:szCs w:val="22"/>
          <w:lang w:val="en-US" w:eastAsia="zh-CN"/>
        </w:rPr>
        <w:t>4</w:t>
      </w:r>
      <w:r>
        <w:rPr>
          <w:rFonts w:hint="eastAsia" w:asciiTheme="minorEastAsia" w:hAnsiTheme="minorEastAsia" w:eastAsiaTheme="minorEastAsia" w:cstheme="minorEastAsia"/>
          <w:b/>
          <w:color w:val="auto"/>
          <w:sz w:val="24"/>
          <w:szCs w:val="22"/>
        </w:rPr>
        <w:t xml:space="preserve">. 验收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color w:val="auto"/>
          <w:sz w:val="24"/>
          <w:szCs w:val="22"/>
        </w:rPr>
      </w:pPr>
      <w:r>
        <w:rPr>
          <w:rFonts w:hint="eastAsia" w:asciiTheme="minorEastAsia" w:hAnsiTheme="minorEastAsia" w:eastAsiaTheme="minorEastAsia" w:cstheme="minorEastAsia"/>
          <w:color w:val="auto"/>
          <w:sz w:val="24"/>
        </w:rPr>
        <w:t>严格按照政府采购相关法律法规以及财库〔2016〕205号的要求进行验收。</w:t>
      </w:r>
    </w:p>
    <w:p>
      <w:pPr>
        <w:spacing w:line="360" w:lineRule="auto"/>
        <w:ind w:firstLine="495"/>
        <w:rPr>
          <w:rFonts w:hint="eastAsia" w:asciiTheme="minorEastAsia" w:hAnsiTheme="minorEastAsia" w:eastAsiaTheme="minorEastAsia" w:cstheme="minorEastAsia"/>
          <w:b/>
          <w:color w:val="auto"/>
          <w:sz w:val="24"/>
          <w:szCs w:val="22"/>
        </w:rPr>
      </w:pPr>
      <w:r>
        <w:rPr>
          <w:rFonts w:hint="eastAsia" w:asciiTheme="minorEastAsia" w:hAnsiTheme="minorEastAsia" w:eastAsiaTheme="minorEastAsia" w:cstheme="minorEastAsia"/>
          <w:b/>
          <w:color w:val="auto"/>
          <w:sz w:val="24"/>
          <w:szCs w:val="22"/>
        </w:rPr>
        <w:t>3</w:t>
      </w:r>
      <w:r>
        <w:rPr>
          <w:rFonts w:hint="eastAsia" w:asciiTheme="minorEastAsia" w:hAnsiTheme="minorEastAsia" w:eastAsiaTheme="minorEastAsia" w:cstheme="minorEastAsia"/>
          <w:b/>
          <w:color w:val="auto"/>
          <w:sz w:val="24"/>
          <w:szCs w:val="22"/>
          <w:lang w:val="en-US" w:eastAsia="zh-CN"/>
        </w:rPr>
        <w:t>5</w:t>
      </w:r>
      <w:r>
        <w:rPr>
          <w:rFonts w:hint="eastAsia" w:asciiTheme="minorEastAsia" w:hAnsiTheme="minorEastAsia" w:eastAsiaTheme="minorEastAsia" w:cstheme="minorEastAsia"/>
          <w:b/>
          <w:color w:val="auto"/>
          <w:sz w:val="24"/>
          <w:szCs w:val="22"/>
        </w:rPr>
        <w:t>.资金支付</w:t>
      </w:r>
    </w:p>
    <w:p>
      <w:pPr>
        <w:spacing w:line="360" w:lineRule="auto"/>
        <w:ind w:firstLine="495"/>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2"/>
        </w:rPr>
        <w:t>采购人将按照政府采购合同规定，及时向中标供应商支付采购资金。本项目采购资金付款详见第</w:t>
      </w:r>
      <w:r>
        <w:rPr>
          <w:rFonts w:hint="eastAsia" w:asciiTheme="minorEastAsia" w:hAnsiTheme="minorEastAsia" w:eastAsiaTheme="minorEastAsia" w:cstheme="minorEastAsia"/>
          <w:color w:val="auto"/>
          <w:sz w:val="24"/>
          <w:szCs w:val="22"/>
          <w:lang w:eastAsia="zh-CN"/>
        </w:rPr>
        <w:t>六</w:t>
      </w:r>
      <w:r>
        <w:rPr>
          <w:rFonts w:hint="eastAsia" w:asciiTheme="minorEastAsia" w:hAnsiTheme="minorEastAsia" w:eastAsiaTheme="minorEastAsia" w:cstheme="minorEastAsia"/>
          <w:color w:val="auto"/>
          <w:sz w:val="24"/>
          <w:szCs w:val="22"/>
        </w:rPr>
        <w:t>章商务要求中付款方式。</w:t>
      </w:r>
    </w:p>
    <w:bookmarkEnd w:id="98"/>
    <w:bookmarkEnd w:id="99"/>
    <w:bookmarkEnd w:id="102"/>
    <w:p>
      <w:pPr>
        <w:pStyle w:val="4"/>
        <w:spacing w:line="276" w:lineRule="auto"/>
        <w:jc w:val="center"/>
        <w:rPr>
          <w:rFonts w:hint="eastAsia" w:asciiTheme="minorEastAsia" w:hAnsiTheme="minorEastAsia" w:eastAsiaTheme="minorEastAsia" w:cstheme="minorEastAsia"/>
          <w:color w:val="auto"/>
          <w:szCs w:val="28"/>
        </w:rPr>
      </w:pPr>
      <w:bookmarkStart w:id="103" w:name="_Toc217446074"/>
      <w:bookmarkStart w:id="104" w:name="_Toc183682380"/>
      <w:bookmarkStart w:id="105" w:name="_Toc183582243"/>
      <w:r>
        <w:rPr>
          <w:rFonts w:hint="eastAsia" w:asciiTheme="minorEastAsia" w:hAnsiTheme="minorEastAsia" w:eastAsiaTheme="minorEastAsia" w:cstheme="minorEastAsia"/>
          <w:color w:val="auto"/>
          <w:szCs w:val="28"/>
        </w:rPr>
        <w:t>七、投标纪律要求</w:t>
      </w:r>
      <w:bookmarkEnd w:id="103"/>
    </w:p>
    <w:p>
      <w:pPr>
        <w:pStyle w:val="5"/>
        <w:spacing w:line="276" w:lineRule="auto"/>
        <w:ind w:firstLine="482" w:firstLineChars="200"/>
        <w:rPr>
          <w:rFonts w:hint="eastAsia" w:asciiTheme="minorEastAsia" w:hAnsiTheme="minorEastAsia" w:eastAsiaTheme="minorEastAsia" w:cstheme="minorEastAsia"/>
          <w:bCs w:val="0"/>
          <w:color w:val="auto"/>
          <w:sz w:val="24"/>
          <w:szCs w:val="24"/>
        </w:rPr>
      </w:pPr>
      <w:bookmarkStart w:id="106" w:name="_Toc217446075"/>
      <w:r>
        <w:rPr>
          <w:rFonts w:hint="eastAsia" w:asciiTheme="minorEastAsia" w:hAnsiTheme="minorEastAsia" w:eastAsiaTheme="minorEastAsia" w:cstheme="minorEastAsia"/>
          <w:color w:val="auto"/>
          <w:sz w:val="24"/>
        </w:rPr>
        <w:t>3</w:t>
      </w:r>
      <w:r>
        <w:rPr>
          <w:rFonts w:hint="eastAsia" w:asciiTheme="minorEastAsia" w:hAnsiTheme="minorEastAsia" w:eastAsiaTheme="minorEastAsia" w:cstheme="minorEastAsia"/>
          <w:color w:val="auto"/>
          <w:sz w:val="24"/>
          <w:lang w:val="en-US" w:eastAsia="zh-CN"/>
        </w:rPr>
        <w:t>6</w:t>
      </w:r>
      <w:r>
        <w:rPr>
          <w:rFonts w:hint="eastAsia" w:asciiTheme="minorEastAsia" w:hAnsiTheme="minorEastAsia" w:eastAsiaTheme="minorEastAsia" w:cstheme="minorEastAsia"/>
          <w:color w:val="auto"/>
          <w:sz w:val="24"/>
        </w:rPr>
        <w:t xml:space="preserve">. </w:t>
      </w:r>
      <w:bookmarkEnd w:id="106"/>
      <w:r>
        <w:rPr>
          <w:rFonts w:hint="eastAsia" w:asciiTheme="minorEastAsia" w:hAnsiTheme="minorEastAsia" w:eastAsiaTheme="minorEastAsia" w:cstheme="minorEastAsia"/>
          <w:bCs w:val="0"/>
          <w:color w:val="auto"/>
          <w:sz w:val="24"/>
          <w:szCs w:val="24"/>
        </w:rPr>
        <w:t>投标人纪律要求</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投标人应当遵循公平竞争的原则，不得恶意串通，不得妨碍其他投标人的竞争行为，不得损害采购人或者其他投标人的合法权益。</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在评标过程中发现投标人有上述情形的，评标委员会应当认定其投标无效，并书面报告本级财政部门。</w:t>
      </w:r>
    </w:p>
    <w:p>
      <w:pPr>
        <w:pStyle w:val="8"/>
        <w:spacing w:line="360" w:lineRule="auto"/>
        <w:ind w:firstLine="48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w:t>
      </w:r>
      <w:r>
        <w:rPr>
          <w:rFonts w:hint="eastAsia" w:asciiTheme="minorEastAsia" w:hAnsiTheme="minorEastAsia" w:eastAsiaTheme="minorEastAsia" w:cstheme="minorEastAsia"/>
          <w:color w:val="auto"/>
          <w:sz w:val="24"/>
          <w:lang w:val="en-US" w:eastAsia="zh-CN"/>
        </w:rPr>
        <w:t>6</w:t>
      </w:r>
      <w:r>
        <w:rPr>
          <w:rFonts w:hint="eastAsia" w:asciiTheme="minorEastAsia" w:hAnsiTheme="minorEastAsia" w:eastAsiaTheme="minorEastAsia" w:cstheme="minorEastAsia"/>
          <w:color w:val="auto"/>
          <w:sz w:val="24"/>
        </w:rPr>
        <w:t>.1投标人参加投标不得有下列情形：</w:t>
      </w:r>
      <w:bookmarkStart w:id="107" w:name="_Toc217446076"/>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（1）提供虚假材料谋取中标；</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（2）采取不正当手段诋毁、排挤其他投标人；</w:t>
      </w:r>
    </w:p>
    <w:p>
      <w:pPr>
        <w:pStyle w:val="8"/>
        <w:spacing w:line="360" w:lineRule="auto"/>
        <w:ind w:firstLine="480"/>
        <w:rPr>
          <w:rFonts w:hint="eastAsia" w:asciiTheme="minorEastAsia" w:hAnsiTheme="minorEastAsia" w:eastAsiaTheme="minorEastAsia" w:cstheme="minorEastAsia"/>
          <w:b/>
          <w:bCs/>
          <w:color w:val="auto"/>
          <w:kern w:val="0"/>
          <w:sz w:val="24"/>
          <w:szCs w:val="20"/>
        </w:rPr>
      </w:pPr>
      <w:r>
        <w:rPr>
          <w:rFonts w:hint="eastAsia" w:asciiTheme="minorEastAsia" w:hAnsiTheme="minorEastAsia" w:eastAsiaTheme="minorEastAsia" w:cstheme="minorEastAsia"/>
          <w:color w:val="auto"/>
          <w:kern w:val="0"/>
          <w:sz w:val="24"/>
          <w:szCs w:val="20"/>
        </w:rPr>
        <w:t>（3）与采购人、采购代理机构其他投标人恶意串通；</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（4）向采购人、采购代理机构、评标委员会成员行贿或者提供其他不正当利益；</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（5）在招标过程中与采购人、采购代理机构进行协商谈判；</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（6）中标或者成交后无正当理由拒不与采购人签订政府采购合同；</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（7）未按照采购文件确定的事项签订政府采购合同；</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（8）将政府采购合同转包或者违规分包；</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（9）提供假冒伪劣产品；</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（10）擅自变更、中止或者终止政府采购合同；</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（11）拒绝有关部门的监督检查或者向监督检查部门提供虚假情况；</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（12）法律法规规定的其他情形。</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投标人有上述情形的，按照规定追究法律责任，具备（1）-（10）条情形之一的，同时将取消中标资格或者认定中标无效。</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3</w:t>
      </w:r>
      <w:r>
        <w:rPr>
          <w:rFonts w:hint="eastAsia" w:asciiTheme="minorEastAsia" w:hAnsiTheme="minorEastAsia" w:eastAsiaTheme="minorEastAsia" w:cstheme="minorEastAsia"/>
          <w:color w:val="auto"/>
          <w:kern w:val="0"/>
          <w:sz w:val="24"/>
          <w:szCs w:val="20"/>
          <w:lang w:val="en-US" w:eastAsia="zh-CN"/>
        </w:rPr>
        <w:t>6</w:t>
      </w:r>
      <w:r>
        <w:rPr>
          <w:rFonts w:hint="eastAsia" w:asciiTheme="minorEastAsia" w:hAnsiTheme="minorEastAsia" w:eastAsiaTheme="minorEastAsia" w:cstheme="minorEastAsia"/>
          <w:color w:val="auto"/>
          <w:kern w:val="0"/>
          <w:sz w:val="24"/>
          <w:szCs w:val="20"/>
        </w:rPr>
        <w:t>.2 投标人有下列情形之一的，视为投标人串通投标，其投标无效：</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（1）不同投标人的投标文件由同一单位或者个人编制；</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（2）不同投标人委托同一单位或者个人办理投标事宜；</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（3）不同投标人的投标文件载明的项目管理成员或者联系人员为同一人；</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（4）不同投标人的投标文件异常一致或者投标报价呈规律性差异；</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（5）不同投标人的投标文件相互混装；</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（6）不同投标人的投标保证金从同一单位或者个人的账户转出。</w:t>
      </w:r>
    </w:p>
    <w:p>
      <w:pPr>
        <w:pStyle w:val="4"/>
        <w:spacing w:line="276" w:lineRule="auto"/>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八、</w:t>
      </w:r>
      <w:bookmarkEnd w:id="107"/>
      <w:bookmarkStart w:id="108" w:name="_Toc217446078"/>
      <w:r>
        <w:rPr>
          <w:rFonts w:hint="eastAsia" w:asciiTheme="minorEastAsia" w:hAnsiTheme="minorEastAsia" w:eastAsiaTheme="minorEastAsia" w:cstheme="minorEastAsia"/>
          <w:color w:val="auto"/>
          <w:szCs w:val="28"/>
        </w:rPr>
        <w:t>询问、质疑和投诉</w:t>
      </w:r>
      <w:bookmarkEnd w:id="108"/>
      <w:bookmarkStart w:id="109" w:name="_Toc217446079"/>
    </w:p>
    <w:bookmarkEnd w:id="109"/>
    <w:p>
      <w:pPr>
        <w:pStyle w:val="27"/>
        <w:spacing w:line="360" w:lineRule="auto"/>
        <w:ind w:left="0" w:leftChars="0" w:firstLine="482"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color w:val="auto"/>
          <w:sz w:val="24"/>
        </w:rPr>
        <w:t>3</w:t>
      </w:r>
      <w:r>
        <w:rPr>
          <w:rFonts w:hint="eastAsia" w:asciiTheme="minorEastAsia" w:hAnsiTheme="minorEastAsia" w:eastAsiaTheme="minorEastAsia" w:cstheme="minorEastAsia"/>
          <w:b/>
          <w:color w:val="auto"/>
          <w:sz w:val="24"/>
          <w:lang w:val="en-US" w:eastAsia="zh-CN"/>
        </w:rPr>
        <w:t>7</w:t>
      </w:r>
      <w:r>
        <w:rPr>
          <w:rFonts w:hint="eastAsia" w:asciiTheme="minorEastAsia" w:hAnsiTheme="minorEastAsia" w:eastAsiaTheme="minorEastAsia" w:cstheme="minorEastAsia"/>
          <w:color w:val="auto"/>
          <w:sz w:val="24"/>
        </w:rPr>
        <w:t>．</w:t>
      </w:r>
      <w:bookmarkEnd w:id="104"/>
      <w:bookmarkEnd w:id="105"/>
      <w:r>
        <w:rPr>
          <w:rFonts w:hint="eastAsia" w:asciiTheme="minorEastAsia" w:hAnsiTheme="minorEastAsia" w:eastAsiaTheme="minorEastAsia" w:cstheme="minorEastAsia"/>
          <w:color w:val="auto"/>
          <w:sz w:val="24"/>
        </w:rPr>
        <w:t>询问、质疑、投诉的接收和处理严格按照《中华人民共和国政府采购法》、《中华人民共和国政府采购法实施条例》、《政府采购货物和服务招标投标管理办法》、《政府采购质疑和投诉办法》、《财政部关于加强政府采购供应商投诉受理审查工作的通知》和《四川省政府采购供应商投诉处理工作规程》的规定办理（详细规定请在四川政府采购网政策法规模块查询）。</w:t>
      </w:r>
    </w:p>
    <w:p>
      <w:pPr>
        <w:pStyle w:val="4"/>
        <w:spacing w:line="400" w:lineRule="exact"/>
        <w:jc w:val="center"/>
        <w:rPr>
          <w:rFonts w:hint="eastAsia" w:asciiTheme="minorEastAsia" w:hAnsiTheme="minorEastAsia" w:eastAsiaTheme="minorEastAsia" w:cstheme="minorEastAsia"/>
          <w:bCs w:val="0"/>
          <w:color w:val="auto"/>
          <w:szCs w:val="28"/>
        </w:rPr>
      </w:pPr>
      <w:r>
        <w:rPr>
          <w:rFonts w:hint="eastAsia" w:asciiTheme="minorEastAsia" w:hAnsiTheme="minorEastAsia" w:eastAsiaTheme="minorEastAsia" w:cstheme="minorEastAsia"/>
          <w:bCs w:val="0"/>
          <w:color w:val="auto"/>
          <w:szCs w:val="28"/>
        </w:rPr>
        <w:t>九、其他</w:t>
      </w:r>
    </w:p>
    <w:p>
      <w:pPr>
        <w:pStyle w:val="27"/>
        <w:spacing w:line="360" w:lineRule="auto"/>
        <w:ind w:left="0" w:leftChars="0" w:firstLine="361" w:firstLineChars="15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color w:val="auto"/>
          <w:sz w:val="24"/>
        </w:rPr>
        <w:t>3</w:t>
      </w:r>
      <w:r>
        <w:rPr>
          <w:rFonts w:hint="eastAsia" w:asciiTheme="minorEastAsia" w:hAnsiTheme="minorEastAsia" w:eastAsiaTheme="minorEastAsia" w:cstheme="minorEastAsia"/>
          <w:b/>
          <w:color w:val="auto"/>
          <w:sz w:val="24"/>
          <w:lang w:val="en-US" w:eastAsia="zh-CN"/>
        </w:rPr>
        <w:t>8</w:t>
      </w:r>
      <w:r>
        <w:rPr>
          <w:rFonts w:hint="eastAsia" w:asciiTheme="minorEastAsia" w:hAnsiTheme="minorEastAsia" w:eastAsiaTheme="minorEastAsia" w:cstheme="minorEastAsia"/>
          <w:b/>
          <w:color w:val="auto"/>
          <w:sz w:val="24"/>
        </w:rPr>
        <w:t>.</w:t>
      </w:r>
      <w:r>
        <w:rPr>
          <w:rFonts w:hint="eastAsia" w:asciiTheme="minorEastAsia" w:hAnsiTheme="minorEastAsia" w:eastAsiaTheme="minorEastAsia" w:cstheme="minorEastAsia"/>
          <w:color w:val="auto"/>
          <w:sz w:val="24"/>
        </w:rPr>
        <w:t>本招标文件中所引相关法律制度规定，在政府采购中有变化的，按照变化后的相关法律制度规定执行。本章和第六章中“1.总则、2.评标方法、3.评标程序”规定的内容条款，在本项目投标截止时间届满后，因相关法律制度规定的变化导致不符合相关法律制度规定的，直接按照变化后的相关法律制度规定执行，本招标文件不再做调整。</w:t>
      </w:r>
    </w:p>
    <w:p>
      <w:pPr>
        <w:pStyle w:val="27"/>
        <w:spacing w:line="360" w:lineRule="auto"/>
        <w:ind w:left="0" w:leftChars="0" w:firstLine="361" w:firstLineChars="150"/>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z w:val="24"/>
          <w:lang w:val="en-US" w:eastAsia="zh-CN"/>
        </w:rPr>
        <w:t>39</w:t>
      </w:r>
      <w:r>
        <w:rPr>
          <w:rFonts w:hint="eastAsia" w:asciiTheme="minorEastAsia" w:hAnsiTheme="minorEastAsia" w:eastAsiaTheme="minorEastAsia" w:cstheme="minorEastAsia"/>
          <w:color w:val="auto"/>
          <w:sz w:val="24"/>
        </w:rPr>
        <w:t>.（实质性要求）国家或行业主管部门对采购产品的技术标准、质量标准和资格资质条件等有强制性规定的，必须符合其要求。</w:t>
      </w:r>
    </w:p>
    <w:p>
      <w:pPr>
        <w:pStyle w:val="27"/>
        <w:spacing w:line="360" w:lineRule="auto"/>
        <w:ind w:left="0" w:leftChars="0" w:firstLine="361" w:firstLineChars="150"/>
        <w:jc w:val="left"/>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lang w:val="en-US" w:eastAsia="zh-CN"/>
        </w:rPr>
        <w:t>40.</w:t>
      </w:r>
      <w:r>
        <w:rPr>
          <w:rFonts w:hint="eastAsia" w:asciiTheme="minorEastAsia" w:hAnsiTheme="minorEastAsia" w:eastAsiaTheme="minorEastAsia" w:cstheme="minorEastAsia"/>
          <w:b/>
          <w:bCs/>
          <w:color w:val="auto"/>
          <w:sz w:val="24"/>
        </w:rPr>
        <w:t>本章中实质性要求的说明</w:t>
      </w:r>
    </w:p>
    <w:p>
      <w:pPr>
        <w:pStyle w:val="27"/>
        <w:spacing w:line="360" w:lineRule="auto"/>
        <w:ind w:left="0" w:leftChars="0" w:firstLine="360" w:firstLineChars="150"/>
        <w:jc w:val="left"/>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val="0"/>
          <w:bCs w:val="0"/>
          <w:color w:val="auto"/>
          <w:sz w:val="24"/>
        </w:rPr>
        <w:t>本章中作为实质性要求的内容，除明确要求提供承诺函等证明材料的外，采购人或采购代理机构或评标委员会在评审时，仅对投标文件是否违背实质性要求进行审查。</w:t>
      </w:r>
      <w:r>
        <w:rPr>
          <w:rFonts w:hint="eastAsia" w:asciiTheme="minorEastAsia" w:hAnsiTheme="minorEastAsia" w:eastAsiaTheme="minorEastAsia" w:cstheme="minorEastAsia"/>
          <w:b/>
          <w:bCs/>
          <w:color w:val="auto"/>
          <w:sz w:val="24"/>
        </w:rPr>
        <w:br w:type="page"/>
      </w:r>
    </w:p>
    <w:p>
      <w:pPr>
        <w:pStyle w:val="42"/>
        <w:rPr>
          <w:rFonts w:hint="eastAsia" w:asciiTheme="minorEastAsia" w:hAnsiTheme="minorEastAsia" w:eastAsiaTheme="minorEastAsia" w:cstheme="minorEastAsia"/>
          <w:color w:val="auto"/>
        </w:rPr>
      </w:pPr>
      <w:bookmarkStart w:id="110" w:name="_Toc13209"/>
      <w:bookmarkStart w:id="111" w:name="_Toc1752"/>
      <w:bookmarkStart w:id="112" w:name="_Toc10597"/>
      <w:r>
        <w:rPr>
          <w:rFonts w:hint="eastAsia" w:asciiTheme="minorEastAsia" w:hAnsiTheme="minorEastAsia" w:eastAsiaTheme="minorEastAsia" w:cstheme="minorEastAsia"/>
          <w:color w:val="auto"/>
        </w:rPr>
        <w:t>第三章 投标文件格式</w:t>
      </w:r>
      <w:bookmarkEnd w:id="110"/>
      <w:bookmarkEnd w:id="111"/>
      <w:bookmarkEnd w:id="112"/>
    </w:p>
    <w:p>
      <w:pPr>
        <w:pStyle w:val="4"/>
        <w:spacing w:line="340" w:lineRule="exac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 xml:space="preserve">                       </w:t>
      </w:r>
      <w:bookmarkStart w:id="113" w:name="_Toc217446082"/>
    </w:p>
    <w:p>
      <w:pPr>
        <w:pStyle w:val="4"/>
        <w:spacing w:line="360" w:lineRule="auto"/>
        <w:ind w:firstLine="480" w:firstLineChars="200"/>
        <w:jc w:val="left"/>
        <w:rPr>
          <w:rFonts w:hint="eastAsia" w:asciiTheme="minorEastAsia" w:hAnsiTheme="minorEastAsia" w:eastAsiaTheme="minorEastAsia" w:cstheme="minorEastAsia"/>
          <w:b w:val="0"/>
          <w:color w:val="auto"/>
          <w:sz w:val="24"/>
          <w:szCs w:val="24"/>
        </w:rPr>
      </w:pPr>
      <w:r>
        <w:rPr>
          <w:rFonts w:hint="eastAsia" w:asciiTheme="minorEastAsia" w:hAnsiTheme="minorEastAsia" w:eastAsiaTheme="minorEastAsia" w:cstheme="minorEastAsia"/>
          <w:b w:val="0"/>
          <w:color w:val="auto"/>
          <w:sz w:val="24"/>
          <w:szCs w:val="24"/>
        </w:rPr>
        <w:t>一、本章所制投标文件格式，除格式中明确将该格式作为实质性要求的，一律不具有强制性。</w:t>
      </w:r>
    </w:p>
    <w:p>
      <w:pPr>
        <w:pStyle w:val="4"/>
        <w:spacing w:line="360" w:lineRule="auto"/>
        <w:ind w:firstLine="480" w:firstLineChars="200"/>
        <w:jc w:val="left"/>
        <w:rPr>
          <w:rFonts w:hint="eastAsia" w:asciiTheme="minorEastAsia" w:hAnsiTheme="minorEastAsia" w:eastAsiaTheme="minorEastAsia" w:cstheme="minorEastAsia"/>
          <w:b w:val="0"/>
          <w:color w:val="auto"/>
          <w:sz w:val="24"/>
          <w:szCs w:val="24"/>
        </w:rPr>
      </w:pPr>
      <w:r>
        <w:rPr>
          <w:rFonts w:hint="eastAsia" w:asciiTheme="minorEastAsia" w:hAnsiTheme="minorEastAsia" w:eastAsiaTheme="minorEastAsia" w:cstheme="minorEastAsia"/>
          <w:b w:val="0"/>
          <w:color w:val="auto"/>
          <w:sz w:val="24"/>
          <w:szCs w:val="24"/>
        </w:rPr>
        <w:t>二、本章所制投标文件格式有关表格中的备注栏，由投标人根据自身投标情况作解释性说明，不作为必填项。</w:t>
      </w:r>
    </w:p>
    <w:p>
      <w:pPr>
        <w:pStyle w:val="4"/>
        <w:spacing w:line="360" w:lineRule="auto"/>
        <w:ind w:firstLine="480" w:firstLineChars="200"/>
        <w:jc w:val="left"/>
        <w:rPr>
          <w:rFonts w:hint="eastAsia" w:asciiTheme="minorEastAsia" w:hAnsiTheme="minorEastAsia" w:eastAsiaTheme="minorEastAsia" w:cstheme="minorEastAsia"/>
          <w:b w:val="0"/>
          <w:color w:val="auto"/>
          <w:sz w:val="24"/>
          <w:szCs w:val="24"/>
        </w:rPr>
      </w:pPr>
      <w:r>
        <w:rPr>
          <w:rFonts w:hint="eastAsia" w:asciiTheme="minorEastAsia" w:hAnsiTheme="minorEastAsia" w:eastAsiaTheme="minorEastAsia" w:cstheme="minorEastAsia"/>
          <w:b w:val="0"/>
          <w:color w:val="auto"/>
          <w:sz w:val="24"/>
          <w:szCs w:val="24"/>
        </w:rPr>
        <w:t>三、本章所制投标文件格式中需要填写的相关内容事项，可能会与本采购项目无关，在不改变投标文件原义、不影响本项目采购需求的情况下，投标人可以不予填写，但应当注明。</w:t>
      </w:r>
    </w:p>
    <w:p>
      <w:pPr>
        <w:pStyle w:val="4"/>
        <w:spacing w:line="360" w:lineRule="auto"/>
        <w:ind w:firstLine="480" w:firstLineChars="200"/>
        <w:jc w:val="left"/>
        <w:rPr>
          <w:rFonts w:hint="eastAsia" w:asciiTheme="minorEastAsia" w:hAnsiTheme="minorEastAsia" w:eastAsiaTheme="minorEastAsia" w:cstheme="minorEastAsia"/>
          <w:b w:val="0"/>
          <w:color w:val="auto"/>
          <w:sz w:val="24"/>
          <w:szCs w:val="24"/>
          <w:lang w:eastAsia="zh-CN"/>
        </w:rPr>
      </w:pPr>
      <w:r>
        <w:rPr>
          <w:rFonts w:hint="eastAsia" w:asciiTheme="minorEastAsia" w:hAnsiTheme="minorEastAsia" w:eastAsiaTheme="minorEastAsia" w:cstheme="minorEastAsia"/>
          <w:b w:val="0"/>
          <w:color w:val="auto"/>
          <w:sz w:val="24"/>
          <w:szCs w:val="24"/>
          <w:lang w:eastAsia="zh-CN"/>
        </w:rPr>
        <w:t>四、若投标人为联合体的，投标文件未明确规定需要联合体各方均提供和盖章部分的，只需要牵头人提供和盖章即可。</w:t>
      </w:r>
    </w:p>
    <w:p>
      <w:pPr>
        <w:pStyle w:val="4"/>
        <w:spacing w:line="340" w:lineRule="exact"/>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 xml:space="preserve"> </w:t>
      </w:r>
    </w:p>
    <w:p>
      <w:pPr>
        <w:widowControl/>
        <w:jc w:val="left"/>
        <w:rPr>
          <w:rFonts w:hint="eastAsia" w:asciiTheme="minorEastAsia" w:hAnsiTheme="minorEastAsia" w:eastAsiaTheme="minorEastAsia" w:cstheme="minorEastAsia"/>
          <w:b/>
          <w:bCs/>
          <w:color w:val="auto"/>
          <w:kern w:val="2"/>
          <w:sz w:val="32"/>
          <w:szCs w:val="32"/>
        </w:rPr>
      </w:pPr>
      <w:r>
        <w:rPr>
          <w:rFonts w:hint="eastAsia" w:asciiTheme="minorEastAsia" w:hAnsiTheme="minorEastAsia" w:eastAsiaTheme="minorEastAsia" w:cstheme="minorEastAsia"/>
          <w:color w:val="auto"/>
        </w:rPr>
        <w:br w:type="page"/>
      </w:r>
    </w:p>
    <w:bookmarkEnd w:id="113"/>
    <w:p>
      <w:pPr>
        <w:pStyle w:val="4"/>
        <w:spacing w:line="340" w:lineRule="exact"/>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格式3.1</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2249" w:firstLineChars="200"/>
        <w:jc w:val="center"/>
        <w:rPr>
          <w:rFonts w:hint="eastAsia" w:asciiTheme="minorEastAsia" w:hAnsiTheme="minorEastAsia" w:eastAsiaTheme="minorEastAsia" w:cstheme="minorEastAsia"/>
          <w:color w:val="auto"/>
          <w:sz w:val="112"/>
          <w:szCs w:val="112"/>
        </w:rPr>
      </w:pPr>
    </w:p>
    <w:p>
      <w:pPr>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 w:val="112"/>
          <w:szCs w:val="112"/>
        </w:rPr>
        <w:t>资格性投标文件</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643" w:firstLineChars="200"/>
        <w:jc w:val="left"/>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采购项目名称： </w:t>
      </w:r>
    </w:p>
    <w:p>
      <w:pPr>
        <w:pStyle w:val="4"/>
        <w:spacing w:line="340" w:lineRule="exact"/>
        <w:ind w:firstLine="643" w:firstLineChars="200"/>
        <w:jc w:val="left"/>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采购项目编号：</w:t>
      </w:r>
    </w:p>
    <w:p>
      <w:pPr>
        <w:pStyle w:val="4"/>
        <w:spacing w:line="340" w:lineRule="exact"/>
        <w:ind w:firstLine="643" w:firstLineChars="200"/>
        <w:jc w:val="left"/>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lang w:eastAsia="zh-CN"/>
        </w:rPr>
        <w:t>包件号及名称：</w:t>
      </w:r>
    </w:p>
    <w:p>
      <w:pPr>
        <w:pStyle w:val="4"/>
        <w:spacing w:line="340" w:lineRule="exact"/>
        <w:ind w:firstLine="643" w:firstLineChars="200"/>
        <w:jc w:val="left"/>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643" w:firstLineChars="20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 xml:space="preserve"> </w:t>
      </w:r>
    </w:p>
    <w:p>
      <w:pPr>
        <w:pStyle w:val="4"/>
        <w:spacing w:line="340" w:lineRule="exact"/>
        <w:ind w:firstLine="643" w:firstLineChars="200"/>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投标人名称：</w:t>
      </w:r>
      <w:r>
        <w:rPr>
          <w:rFonts w:hint="eastAsia" w:asciiTheme="minorEastAsia" w:hAnsiTheme="minorEastAsia" w:eastAsiaTheme="minorEastAsia" w:cstheme="minorEastAsia"/>
          <w:color w:val="auto"/>
          <w:u w:val="single"/>
        </w:rPr>
        <w:t xml:space="preserve">         </w:t>
      </w:r>
      <w:r>
        <w:rPr>
          <w:rFonts w:hint="eastAsia" w:asciiTheme="minorEastAsia" w:hAnsiTheme="minorEastAsia" w:eastAsiaTheme="minorEastAsia" w:cstheme="minorEastAsia"/>
          <w:color w:val="auto"/>
          <w:u w:val="single"/>
          <w:lang w:val="en-US" w:eastAsia="zh-CN"/>
        </w:rPr>
        <w:t xml:space="preserve">    </w:t>
      </w:r>
      <w:r>
        <w:rPr>
          <w:rFonts w:hint="eastAsia" w:asciiTheme="minorEastAsia" w:hAnsiTheme="minorEastAsia" w:eastAsiaTheme="minorEastAsia" w:cstheme="minorEastAsia"/>
          <w:color w:val="auto"/>
        </w:rPr>
        <w:t>（加盖公章或电子签章）</w:t>
      </w:r>
    </w:p>
    <w:p>
      <w:pPr>
        <w:pStyle w:val="4"/>
        <w:spacing w:line="340" w:lineRule="exact"/>
        <w:ind w:firstLine="643" w:firstLineChars="200"/>
        <w:jc w:val="left"/>
        <w:rPr>
          <w:rFonts w:hint="eastAsia" w:asciiTheme="minorEastAsia" w:hAnsiTheme="minorEastAsia" w:eastAsiaTheme="minorEastAsia" w:cstheme="minorEastAsia"/>
          <w:color w:val="auto"/>
        </w:rPr>
      </w:pPr>
    </w:p>
    <w:p>
      <w:pPr>
        <w:pStyle w:val="4"/>
        <w:spacing w:line="340" w:lineRule="exact"/>
        <w:ind w:firstLine="643" w:firstLineChars="200"/>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日    期：</w:t>
      </w:r>
      <w:r>
        <w:rPr>
          <w:rFonts w:hint="eastAsia" w:asciiTheme="minorEastAsia" w:hAnsiTheme="minorEastAsia" w:eastAsiaTheme="minorEastAsia" w:cstheme="minorEastAsia"/>
          <w:color w:val="auto"/>
          <w:u w:val="single"/>
        </w:rPr>
        <w:t xml:space="preserve">    </w:t>
      </w:r>
      <w:r>
        <w:rPr>
          <w:rFonts w:hint="eastAsia" w:asciiTheme="minorEastAsia" w:hAnsiTheme="minorEastAsia" w:eastAsiaTheme="minorEastAsia" w:cstheme="minorEastAsia"/>
          <w:color w:val="auto"/>
        </w:rPr>
        <w:t>年</w:t>
      </w:r>
      <w:r>
        <w:rPr>
          <w:rFonts w:hint="eastAsia" w:asciiTheme="minorEastAsia" w:hAnsiTheme="minorEastAsia" w:eastAsiaTheme="minorEastAsia" w:cstheme="minorEastAsia"/>
          <w:color w:val="auto"/>
          <w:u w:val="single"/>
        </w:rPr>
        <w:t xml:space="preserve">    </w:t>
      </w:r>
      <w:r>
        <w:rPr>
          <w:rFonts w:hint="eastAsia" w:asciiTheme="minorEastAsia" w:hAnsiTheme="minorEastAsia" w:eastAsiaTheme="minorEastAsia" w:cstheme="minorEastAsia"/>
          <w:color w:val="auto"/>
        </w:rPr>
        <w:t xml:space="preserve"> 月</w:t>
      </w:r>
      <w:r>
        <w:rPr>
          <w:rFonts w:hint="eastAsia" w:asciiTheme="minorEastAsia" w:hAnsiTheme="minorEastAsia" w:eastAsiaTheme="minorEastAsia" w:cstheme="minorEastAsia"/>
          <w:color w:val="auto"/>
          <w:u w:val="single"/>
        </w:rPr>
        <w:t xml:space="preserve">    </w:t>
      </w:r>
      <w:r>
        <w:rPr>
          <w:rFonts w:hint="eastAsia" w:asciiTheme="minorEastAsia" w:hAnsiTheme="minorEastAsia" w:eastAsiaTheme="minorEastAsia" w:cstheme="minorEastAsia"/>
          <w:color w:val="auto"/>
        </w:rPr>
        <w:t xml:space="preserve"> 日 </w:t>
      </w:r>
    </w:p>
    <w:p>
      <w:pPr>
        <w:widowControl/>
        <w:jc w:val="left"/>
        <w:rPr>
          <w:rFonts w:hint="eastAsia" w:asciiTheme="minorEastAsia" w:hAnsiTheme="minorEastAsia" w:eastAsiaTheme="minorEastAsia" w:cstheme="minorEastAsia"/>
          <w:b/>
          <w:bCs/>
          <w:color w:val="auto"/>
          <w:kern w:val="2"/>
          <w:sz w:val="32"/>
          <w:szCs w:val="28"/>
        </w:rPr>
      </w:pPr>
      <w:r>
        <w:rPr>
          <w:rFonts w:hint="eastAsia" w:asciiTheme="minorEastAsia" w:hAnsiTheme="minorEastAsia" w:eastAsiaTheme="minorEastAsia" w:cstheme="minorEastAsia"/>
          <w:color w:val="auto"/>
          <w:szCs w:val="28"/>
        </w:rPr>
        <w:br w:type="page"/>
      </w:r>
    </w:p>
    <w:p>
      <w:pPr>
        <w:pStyle w:val="4"/>
        <w:spacing w:line="340" w:lineRule="exact"/>
        <w:ind w:firstLine="562" w:firstLineChars="200"/>
        <w:jc w:val="center"/>
        <w:rPr>
          <w:rFonts w:hint="eastAsia" w:asciiTheme="minorEastAsia" w:hAnsiTheme="minorEastAsia" w:eastAsiaTheme="minorEastAsia" w:cstheme="minorEastAsia"/>
          <w:color w:val="auto"/>
          <w:szCs w:val="28"/>
        </w:rPr>
      </w:pPr>
      <w:r>
        <w:rPr>
          <w:rStyle w:val="104"/>
          <w:rFonts w:hint="eastAsia" w:asciiTheme="minorEastAsia" w:hAnsiTheme="minorEastAsia" w:eastAsiaTheme="minorEastAsia" w:cstheme="minorEastAsia"/>
          <w:color w:val="auto"/>
        </w:rPr>
        <w:t>一</w:t>
      </w:r>
      <w:r>
        <w:rPr>
          <w:rFonts w:hint="eastAsia" w:asciiTheme="minorEastAsia" w:hAnsiTheme="minorEastAsia" w:eastAsiaTheme="minorEastAsia" w:cstheme="minorEastAsia"/>
          <w:color w:val="auto"/>
          <w:szCs w:val="28"/>
        </w:rPr>
        <w:t>、关于资格的声明函</w:t>
      </w:r>
    </w:p>
    <w:p>
      <w:pPr>
        <w:spacing w:line="360" w:lineRule="auto"/>
        <w:ind w:firstLine="560" w:firstLineChars="200"/>
        <w:rPr>
          <w:rFonts w:hint="eastAsia" w:asciiTheme="minorEastAsia" w:hAnsiTheme="minorEastAsia" w:eastAsiaTheme="minorEastAsia" w:cstheme="minorEastAsia"/>
          <w:color w:val="auto"/>
          <w:sz w:val="28"/>
          <w:szCs w:val="28"/>
        </w:rPr>
      </w:pPr>
    </w:p>
    <w:p>
      <w:pPr>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致：</w:t>
      </w:r>
      <w:r>
        <w:rPr>
          <w:rFonts w:hint="eastAsia" w:asciiTheme="minorEastAsia" w:hAnsiTheme="minorEastAsia" w:eastAsiaTheme="minorEastAsia" w:cstheme="minorEastAsia"/>
          <w:color w:val="auto"/>
          <w:sz w:val="28"/>
          <w:szCs w:val="28"/>
          <w:u w:val="single"/>
        </w:rPr>
        <w:t>四川协友招标代理有限公司</w:t>
      </w:r>
      <w:r>
        <w:rPr>
          <w:rFonts w:hint="eastAsia" w:asciiTheme="minorEastAsia" w:hAnsiTheme="minorEastAsia" w:eastAsiaTheme="minorEastAsia" w:cstheme="minorEastAsia"/>
          <w:color w:val="auto"/>
          <w:sz w:val="28"/>
          <w:szCs w:val="28"/>
        </w:rPr>
        <w:t>（采购代理机构）</w:t>
      </w:r>
    </w:p>
    <w:p>
      <w:pPr>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关于贵方组织的</w:t>
      </w:r>
      <w:r>
        <w:rPr>
          <w:rFonts w:hint="eastAsia" w:asciiTheme="minorEastAsia" w:hAnsiTheme="minorEastAsia" w:eastAsiaTheme="minorEastAsia" w:cstheme="minorEastAsia"/>
          <w:color w:val="auto"/>
          <w:sz w:val="28"/>
          <w:szCs w:val="28"/>
          <w:lang w:val="en-US" w:eastAsia="zh-CN"/>
        </w:rPr>
        <w:t xml:space="preserve"> </w:t>
      </w:r>
      <w:r>
        <w:rPr>
          <w:rFonts w:hint="eastAsia" w:asciiTheme="minorEastAsia" w:hAnsiTheme="minorEastAsia" w:eastAsiaTheme="minorEastAsia" w:cstheme="minorEastAsia"/>
          <w:color w:val="auto"/>
          <w:sz w:val="28"/>
          <w:szCs w:val="28"/>
          <w:u w:val="single"/>
          <w:lang w:val="en-US" w:eastAsia="zh-CN"/>
        </w:rPr>
        <w:t xml:space="preserve">          项目</w:t>
      </w:r>
      <w:r>
        <w:rPr>
          <w:rFonts w:hint="eastAsia" w:asciiTheme="minorEastAsia" w:hAnsiTheme="minorEastAsia" w:eastAsiaTheme="minorEastAsia" w:cstheme="minorEastAsia"/>
          <w:color w:val="auto"/>
          <w:sz w:val="28"/>
          <w:szCs w:val="28"/>
        </w:rPr>
        <w:t>（采购项目编号：</w:t>
      </w:r>
      <w:r>
        <w:rPr>
          <w:rFonts w:hint="eastAsia" w:asciiTheme="minorEastAsia" w:hAnsiTheme="minorEastAsia" w:eastAsiaTheme="minorEastAsia" w:cstheme="minorEastAsia"/>
          <w:color w:val="auto"/>
          <w:sz w:val="28"/>
          <w:szCs w:val="28"/>
          <w:u w:val="single"/>
        </w:rPr>
        <w:t xml:space="preserve">     </w:t>
      </w:r>
      <w:r>
        <w:rPr>
          <w:rFonts w:hint="eastAsia" w:asciiTheme="minorEastAsia" w:hAnsiTheme="minorEastAsia" w:eastAsiaTheme="minorEastAsia" w:cstheme="minorEastAsia"/>
          <w:color w:val="auto"/>
          <w:sz w:val="28"/>
          <w:szCs w:val="28"/>
        </w:rPr>
        <w:t>）（包件号及名称：</w:t>
      </w:r>
      <w:r>
        <w:rPr>
          <w:rFonts w:hint="eastAsia" w:asciiTheme="minorEastAsia" w:hAnsiTheme="minorEastAsia" w:eastAsiaTheme="minorEastAsia" w:cstheme="minorEastAsia"/>
          <w:color w:val="auto"/>
          <w:sz w:val="28"/>
          <w:szCs w:val="28"/>
          <w:u w:val="single"/>
        </w:rPr>
        <w:t xml:space="preserve">      </w:t>
      </w:r>
      <w:r>
        <w:rPr>
          <w:rFonts w:hint="eastAsia" w:asciiTheme="minorEastAsia" w:hAnsiTheme="minorEastAsia" w:eastAsiaTheme="minorEastAsia" w:cstheme="minorEastAsia"/>
          <w:color w:val="auto"/>
          <w:sz w:val="28"/>
          <w:szCs w:val="28"/>
        </w:rPr>
        <w:t>），本单位愿意参加投标，并提供本项目</w:t>
      </w:r>
      <w:r>
        <w:rPr>
          <w:rFonts w:hint="eastAsia" w:asciiTheme="minorEastAsia" w:hAnsiTheme="minorEastAsia" w:eastAsiaTheme="minorEastAsia" w:cstheme="minorEastAsia"/>
          <w:color w:val="auto"/>
          <w:sz w:val="28"/>
          <w:szCs w:val="28"/>
          <w:lang w:eastAsia="zh-CN"/>
        </w:rPr>
        <w:t>招标</w:t>
      </w:r>
      <w:r>
        <w:rPr>
          <w:rFonts w:hint="eastAsia" w:asciiTheme="minorEastAsia" w:hAnsiTheme="minorEastAsia" w:eastAsiaTheme="minorEastAsia" w:cstheme="minorEastAsia"/>
          <w:color w:val="auto"/>
          <w:sz w:val="28"/>
          <w:szCs w:val="28"/>
        </w:rPr>
        <w:t>文件中规定的要求，本单位确认资格性投标文件中所有提交的文件和材料是真实的、准确的。</w:t>
      </w:r>
    </w:p>
    <w:p>
      <w:pPr>
        <w:spacing w:line="360" w:lineRule="auto"/>
        <w:ind w:firstLine="560" w:firstLineChars="200"/>
        <w:rPr>
          <w:rFonts w:hint="eastAsia" w:asciiTheme="minorEastAsia" w:hAnsiTheme="minorEastAsia" w:eastAsiaTheme="minorEastAsia" w:cstheme="minorEastAsia"/>
          <w:color w:val="auto"/>
          <w:sz w:val="28"/>
          <w:szCs w:val="28"/>
        </w:rPr>
      </w:pPr>
    </w:p>
    <w:p>
      <w:pPr>
        <w:spacing w:line="360" w:lineRule="auto"/>
        <w:ind w:firstLine="560" w:firstLineChars="200"/>
        <w:rPr>
          <w:rFonts w:hint="eastAsia" w:asciiTheme="minorEastAsia" w:hAnsiTheme="minorEastAsia" w:eastAsiaTheme="minorEastAsia" w:cstheme="minorEastAsia"/>
          <w:color w:val="auto"/>
          <w:sz w:val="28"/>
          <w:szCs w:val="28"/>
        </w:rPr>
      </w:pPr>
    </w:p>
    <w:p>
      <w:pPr>
        <w:spacing w:line="360" w:lineRule="auto"/>
        <w:ind w:firstLine="560" w:firstLineChars="200"/>
        <w:rPr>
          <w:rFonts w:hint="eastAsia" w:asciiTheme="minorEastAsia" w:hAnsiTheme="minorEastAsia" w:eastAsiaTheme="minorEastAsia" w:cstheme="minorEastAsia"/>
          <w:color w:val="auto"/>
          <w:sz w:val="28"/>
          <w:szCs w:val="28"/>
        </w:rPr>
      </w:pPr>
    </w:p>
    <w:p>
      <w:pPr>
        <w:spacing w:line="360" w:lineRule="auto"/>
        <w:ind w:firstLine="560" w:firstLineChars="200"/>
        <w:rPr>
          <w:rFonts w:hint="eastAsia" w:asciiTheme="minorEastAsia" w:hAnsiTheme="minorEastAsia" w:eastAsiaTheme="minorEastAsia" w:cstheme="minorEastAsia"/>
          <w:color w:val="auto"/>
          <w:sz w:val="28"/>
          <w:szCs w:val="28"/>
        </w:rPr>
      </w:pPr>
    </w:p>
    <w:p>
      <w:pPr>
        <w:spacing w:line="360" w:lineRule="auto"/>
        <w:ind w:firstLine="560" w:firstLineChars="200"/>
        <w:rPr>
          <w:rFonts w:hint="eastAsia" w:asciiTheme="minorEastAsia" w:hAnsiTheme="minorEastAsia" w:eastAsiaTheme="minorEastAsia" w:cstheme="minorEastAsia"/>
          <w:color w:val="auto"/>
          <w:sz w:val="28"/>
          <w:szCs w:val="28"/>
          <w:lang w:val="en-US"/>
        </w:rPr>
      </w:pPr>
      <w:r>
        <w:rPr>
          <w:rFonts w:hint="eastAsia" w:asciiTheme="minorEastAsia" w:hAnsiTheme="minorEastAsia" w:eastAsiaTheme="minorEastAsia" w:cstheme="minorEastAsia"/>
          <w:color w:val="auto"/>
          <w:sz w:val="28"/>
          <w:szCs w:val="28"/>
          <w:lang w:val="en-US"/>
        </w:rPr>
        <w:t>投标人名称（加盖公章或电子签章）：</w:t>
      </w:r>
    </w:p>
    <w:p>
      <w:pPr>
        <w:spacing w:line="360" w:lineRule="auto"/>
        <w:ind w:firstLine="560" w:firstLineChars="200"/>
        <w:rPr>
          <w:rFonts w:hint="eastAsia" w:asciiTheme="minorEastAsia" w:hAnsiTheme="minorEastAsia" w:eastAsiaTheme="minorEastAsia" w:cstheme="minorEastAsia"/>
          <w:color w:val="auto"/>
          <w:sz w:val="28"/>
          <w:szCs w:val="28"/>
          <w:lang w:val="en-US"/>
        </w:rPr>
      </w:pPr>
      <w:r>
        <w:rPr>
          <w:rFonts w:hint="eastAsia" w:asciiTheme="minorEastAsia" w:hAnsiTheme="minorEastAsia" w:eastAsiaTheme="minorEastAsia" w:cstheme="minorEastAsia"/>
          <w:color w:val="auto"/>
          <w:sz w:val="28"/>
          <w:szCs w:val="28"/>
          <w:lang w:val="en-US"/>
        </w:rPr>
        <w:t>法定代表人或代理人（签字或加盖印章）：</w:t>
      </w:r>
    </w:p>
    <w:p>
      <w:pPr>
        <w:spacing w:line="360" w:lineRule="auto"/>
        <w:ind w:firstLine="560" w:firstLineChars="200"/>
        <w:rPr>
          <w:rFonts w:hint="eastAsia" w:asciiTheme="minorEastAsia" w:hAnsiTheme="minorEastAsia" w:eastAsiaTheme="minorEastAsia" w:cstheme="minorEastAsia"/>
          <w:color w:val="auto"/>
          <w:sz w:val="24"/>
          <w:szCs w:val="24"/>
          <w:lang w:val="en-US"/>
        </w:rPr>
      </w:pPr>
      <w:r>
        <w:rPr>
          <w:rFonts w:hint="eastAsia" w:asciiTheme="minorEastAsia" w:hAnsiTheme="minorEastAsia" w:eastAsiaTheme="minorEastAsia" w:cstheme="minorEastAsia"/>
          <w:color w:val="auto"/>
          <w:sz w:val="28"/>
          <w:szCs w:val="28"/>
          <w:lang w:val="en-US"/>
        </w:rPr>
        <w:t>日  期:</w:t>
      </w:r>
    </w:p>
    <w:p>
      <w:pPr>
        <w:spacing w:line="360" w:lineRule="auto"/>
        <w:ind w:firstLine="480" w:firstLineChars="200"/>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 w:val="24"/>
          <w:szCs w:val="24"/>
        </w:rPr>
        <w:br w:type="page"/>
      </w:r>
    </w:p>
    <w:p>
      <w:pPr>
        <w:pStyle w:val="2"/>
        <w:spacing w:line="360" w:lineRule="auto"/>
        <w:jc w:val="center"/>
        <w:rPr>
          <w:rFonts w:hint="eastAsia" w:asciiTheme="minorEastAsia" w:hAnsiTheme="minorEastAsia" w:eastAsiaTheme="minorEastAsia" w:cstheme="minorEastAsia"/>
          <w:b/>
          <w:bCs/>
          <w:color w:val="auto"/>
          <w:kern w:val="2"/>
          <w:sz w:val="32"/>
          <w:szCs w:val="28"/>
        </w:rPr>
      </w:pPr>
      <w:r>
        <w:rPr>
          <w:rFonts w:hint="eastAsia" w:asciiTheme="minorEastAsia" w:hAnsiTheme="minorEastAsia" w:eastAsiaTheme="minorEastAsia" w:cstheme="minorEastAsia"/>
          <w:b/>
          <w:bCs/>
          <w:color w:val="auto"/>
          <w:kern w:val="2"/>
          <w:sz w:val="32"/>
          <w:szCs w:val="28"/>
        </w:rPr>
        <w:t>二、法定代表人授权委托书及法定代表人身份证、代理人身份证复印件</w:t>
      </w:r>
    </w:p>
    <w:p>
      <w:pPr>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四川协友招标代理有限公司：</w:t>
      </w:r>
    </w:p>
    <w:p>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本授权声明：</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（投标人名称）</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（法定代表人姓名、职务）授权</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（被授权人姓名、职务）为我方 </w:t>
      </w:r>
      <w:r>
        <w:rPr>
          <w:rFonts w:hint="eastAsia" w:asciiTheme="minorEastAsia" w:hAnsiTheme="minorEastAsia" w:eastAsiaTheme="minorEastAsia" w:cstheme="minorEastAsia"/>
          <w:color w:val="auto"/>
          <w:sz w:val="24"/>
          <w:szCs w:val="24"/>
          <w:u w:val="single"/>
        </w:rPr>
        <w:t xml:space="preserve">                   项目</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eastAsia="zh-CN"/>
        </w:rPr>
        <w:t>采购项目</w:t>
      </w:r>
      <w:r>
        <w:rPr>
          <w:rFonts w:hint="eastAsia" w:asciiTheme="minorEastAsia" w:hAnsiTheme="minorEastAsia" w:eastAsiaTheme="minorEastAsia" w:cstheme="minorEastAsia"/>
          <w:color w:val="auto"/>
          <w:sz w:val="24"/>
          <w:szCs w:val="24"/>
        </w:rPr>
        <w:t xml:space="preserve">编号：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）（包件号及名称：</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）投标活动的合法代表，以代理人在本次招标中所签署的一切文件和处理的一切有关事宜，我公司均予承认，所产生的法律后果均由我单位承担。</w:t>
      </w:r>
    </w:p>
    <w:p>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代理人无转委托权，本授权书自</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日生效。</w:t>
      </w:r>
    </w:p>
    <w:p>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委托期限：从本授权委托书签署之日起至规定的“投标有效期”结束为止。</w:t>
      </w:r>
    </w:p>
    <w:p>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特此声明。</w:t>
      </w:r>
    </w:p>
    <w:p>
      <w:pPr>
        <w:spacing w:line="360" w:lineRule="auto"/>
        <w:ind w:firstLine="480" w:firstLineChars="200"/>
        <w:rPr>
          <w:rFonts w:hint="eastAsia" w:asciiTheme="minorEastAsia" w:hAnsiTheme="minorEastAsia" w:eastAsiaTheme="minorEastAsia" w:cstheme="minorEastAsia"/>
          <w:color w:val="auto"/>
          <w:sz w:val="24"/>
          <w:szCs w:val="24"/>
        </w:rPr>
      </w:pPr>
    </w:p>
    <w:p>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法定代表人（签字或加盖印章）：</w:t>
      </w:r>
    </w:p>
    <w:p>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被授权代表（签字或加盖印章）：</w:t>
      </w:r>
    </w:p>
    <w:p>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投标人名称（加盖公章或电子签章）：</w:t>
      </w:r>
    </w:p>
    <w:p>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日    期：</w:t>
      </w:r>
    </w:p>
    <w:p>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说明：1）附有法定代表人身份证复印件和代理人身份证复印件（身份证两面均应复印）时才能生效。2）投标文件均由投标人法定代表人签字</w:t>
      </w:r>
      <w:r>
        <w:rPr>
          <w:rFonts w:hint="eastAsia" w:asciiTheme="minorEastAsia" w:hAnsiTheme="minorEastAsia" w:eastAsiaTheme="minorEastAsia" w:cstheme="minorEastAsia"/>
          <w:color w:val="auto"/>
          <w:sz w:val="24"/>
          <w:szCs w:val="24"/>
          <w:lang w:val="en-US"/>
        </w:rPr>
        <w:t>或加盖印章</w:t>
      </w:r>
      <w:r>
        <w:rPr>
          <w:rFonts w:hint="eastAsia" w:asciiTheme="minorEastAsia" w:hAnsiTheme="minorEastAsia" w:eastAsiaTheme="minorEastAsia" w:cstheme="minorEastAsia"/>
          <w:color w:val="auto"/>
          <w:sz w:val="24"/>
          <w:szCs w:val="24"/>
        </w:rPr>
        <w:t>的,资格性投标文件中可不提供法定代表人授权委托书及代理人身份证复印件，但必须提供法定代表人身份证复印件。</w:t>
      </w:r>
    </w:p>
    <w:p>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法定代表人身份证和代理人身份证样式(仅供参考)：</w:t>
      </w:r>
    </w:p>
    <w:p>
      <w:pP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mc:AlternateContent>
          <mc:Choice Requires="wps">
            <w:drawing>
              <wp:anchor distT="0" distB="0" distL="114300" distR="114300" simplePos="0" relativeHeight="251665408" behindDoc="0" locked="0" layoutInCell="1" allowOverlap="1">
                <wp:simplePos x="0" y="0"/>
                <wp:positionH relativeFrom="column">
                  <wp:posOffset>2871470</wp:posOffset>
                </wp:positionH>
                <wp:positionV relativeFrom="paragraph">
                  <wp:posOffset>36830</wp:posOffset>
                </wp:positionV>
                <wp:extent cx="2386330" cy="1348105"/>
                <wp:effectExtent l="4445" t="4445" r="0" b="0"/>
                <wp:wrapTight wrapText="bothSides">
                  <wp:wrapPolygon>
                    <wp:start x="-40" y="-71"/>
                    <wp:lineTo x="-40" y="21295"/>
                    <wp:lineTo x="21514" y="21295"/>
                    <wp:lineTo x="21514" y="-71"/>
                    <wp:lineTo x="-40" y="-71"/>
                  </wp:wrapPolygon>
                </wp:wrapTight>
                <wp:docPr id="2" name="文本框 2"/>
                <wp:cNvGraphicFramePr/>
                <a:graphic xmlns:a="http://schemas.openxmlformats.org/drawingml/2006/main">
                  <a:graphicData uri="http://schemas.microsoft.com/office/word/2010/wordprocessingShape">
                    <wps:wsp>
                      <wps:cNvSpPr txBox="1"/>
                      <wps:spPr>
                        <a:xfrm>
                          <a:off x="0" y="0"/>
                          <a:ext cx="2386330" cy="1348105"/>
                        </a:xfrm>
                        <a:prstGeom prst="rect">
                          <a:avLst/>
                        </a:prstGeom>
                        <a:solidFill>
                          <a:srgbClr val="FFFFFF"/>
                        </a:solidFill>
                        <a:ln w="9525" cap="flat" cmpd="sng">
                          <a:solidFill>
                            <a:srgbClr val="000000"/>
                          </a:solidFill>
                          <a:prstDash val="dash"/>
                          <a:miter/>
                          <a:headEnd type="none" w="med" len="med"/>
                          <a:tailEnd type="none" w="med" len="med"/>
                        </a:ln>
                      </wps:spPr>
                      <wps:txbx>
                        <w:txbxContent>
                          <w:p>
                            <w:pPr>
                              <w:rPr>
                                <w:rFonts w:hint="eastAsia"/>
                              </w:rPr>
                            </w:pPr>
                          </w:p>
                          <w:p>
                            <w:pPr>
                              <w:ind w:firstLine="0" w:firstLineChars="0"/>
                              <w:jc w:val="center"/>
                              <w:rPr>
                                <w:color w:val="auto"/>
                              </w:rPr>
                            </w:pPr>
                            <w:r>
                              <w:rPr>
                                <w:rFonts w:hint="eastAsia"/>
                                <w:color w:val="auto"/>
                              </w:rPr>
                              <w:t>身份证复印件背面</w:t>
                            </w:r>
                          </w:p>
                        </w:txbxContent>
                      </wps:txbx>
                      <wps:bodyPr upright="1"/>
                    </wps:wsp>
                  </a:graphicData>
                </a:graphic>
              </wp:anchor>
            </w:drawing>
          </mc:Choice>
          <mc:Fallback>
            <w:pict>
              <v:shape id="_x0000_s1026" o:spid="_x0000_s1026" o:spt="202" type="#_x0000_t202" style="position:absolute;left:0pt;margin-left:226.1pt;margin-top:2.9pt;height:106.15pt;width:187.9pt;mso-wrap-distance-left:9pt;mso-wrap-distance-right:9pt;z-index:251665408;mso-width-relative:page;mso-height-relative:page;" fillcolor="#FFFFFF" filled="t" stroked="t" coordsize="21600,21600" wrapcoords="-40 -71 -40 21295 21514 21295 21514 -71 -40 -71" o:gfxdata="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fxX/3XAAAACQEAAA8AAAAAAAAAAQAgAAAA&#10;IgAAAGRycy9kb3ducmV2LnhtbFBLAQIUABQAAAAIAIdO4kDC3e1cDAIAADYEAAAOAAAAAAAAAAEA&#10;IAAAACYBAABkcnMvZTJvRG9jLnhtbFBLBQYAAAAABgAGAFkBAACkBQAAAAA=&#10;">
                <v:fill on="t" focussize="0,0"/>
                <v:stroke color="#000000" joinstyle="miter" dashstyle="dash"/>
                <v:imagedata o:title=""/>
                <o:lock v:ext="edit" aspectratio="f"/>
                <v:textbox>
                  <w:txbxContent>
                    <w:p>
                      <w:pPr>
                        <w:rPr>
                          <w:rFonts w:hint="eastAsia"/>
                        </w:rPr>
                      </w:pPr>
                    </w:p>
                    <w:p>
                      <w:pPr>
                        <w:ind w:firstLine="0" w:firstLineChars="0"/>
                        <w:jc w:val="center"/>
                        <w:rPr>
                          <w:color w:val="auto"/>
                        </w:rPr>
                      </w:pPr>
                      <w:r>
                        <w:rPr>
                          <w:rFonts w:hint="eastAsia"/>
                          <w:color w:val="auto"/>
                        </w:rPr>
                        <w:t>身份证复印件背面</w:t>
                      </w:r>
                    </w:p>
                  </w:txbxContent>
                </v:textbox>
                <w10:wrap type="tight"/>
              </v:shape>
            </w:pict>
          </mc:Fallback>
        </mc:AlternateContent>
      </w:r>
      <w:r>
        <w:rPr>
          <w:rFonts w:hint="eastAsia" w:asciiTheme="minorEastAsia" w:hAnsiTheme="minorEastAsia" w:eastAsiaTheme="minorEastAsia" w:cstheme="minorEastAsia"/>
          <w:color w:val="auto"/>
        </w:rPr>
        <mc:AlternateContent>
          <mc:Choice Requires="wps">
            <w:drawing>
              <wp:anchor distT="0" distB="0" distL="114300" distR="114300" simplePos="0" relativeHeight="251664384" behindDoc="1" locked="0" layoutInCell="1" allowOverlap="1">
                <wp:simplePos x="0" y="0"/>
                <wp:positionH relativeFrom="column">
                  <wp:posOffset>325120</wp:posOffset>
                </wp:positionH>
                <wp:positionV relativeFrom="paragraph">
                  <wp:posOffset>8255</wp:posOffset>
                </wp:positionV>
                <wp:extent cx="2376805" cy="1329055"/>
                <wp:effectExtent l="4445" t="4445" r="38100" b="57150"/>
                <wp:wrapTight wrapText="bothSides">
                  <wp:wrapPolygon>
                    <wp:start x="-40" y="-83"/>
                    <wp:lineTo x="-40" y="21280"/>
                    <wp:lineTo x="21427" y="21280"/>
                    <wp:lineTo x="21427" y="-83"/>
                    <wp:lineTo x="-40" y="-83"/>
                  </wp:wrapPolygon>
                </wp:wrapTight>
                <wp:docPr id="5" name="文本框 5"/>
                <wp:cNvGraphicFramePr/>
                <a:graphic xmlns:a="http://schemas.openxmlformats.org/drawingml/2006/main">
                  <a:graphicData uri="http://schemas.microsoft.com/office/word/2010/wordprocessingShape">
                    <wps:wsp>
                      <wps:cNvSpPr txBox="1"/>
                      <wps:spPr>
                        <a:xfrm>
                          <a:off x="0" y="0"/>
                          <a:ext cx="2376805" cy="1329055"/>
                        </a:xfrm>
                        <a:prstGeom prst="rect">
                          <a:avLst/>
                        </a:prstGeom>
                        <a:solidFill>
                          <a:srgbClr val="FFFFFF"/>
                        </a:solidFill>
                        <a:ln w="9525" cap="flat" cmpd="sng">
                          <a:solidFill>
                            <a:srgbClr val="000000"/>
                          </a:solidFill>
                          <a:prstDash val="dash"/>
                          <a:miter/>
                          <a:headEnd type="none" w="med" len="med"/>
                          <a:tailEnd type="none" w="med" len="med"/>
                        </a:ln>
                      </wps:spPr>
                      <wps:txbx>
                        <w:txbxContent>
                          <w:p>
                            <w:pPr>
                              <w:rPr>
                                <w:rFonts w:hint="eastAsia"/>
                              </w:rPr>
                            </w:pPr>
                          </w:p>
                          <w:p>
                            <w:pPr>
                              <w:ind w:firstLine="0" w:firstLineChars="0"/>
                              <w:jc w:val="center"/>
                              <w:rPr>
                                <w:color w:val="auto"/>
                              </w:rPr>
                            </w:pPr>
                            <w:r>
                              <w:rPr>
                                <w:rFonts w:hint="eastAsia"/>
                                <w:color w:val="auto"/>
                              </w:rPr>
                              <w:t>身份证复印件正面</w:t>
                            </w:r>
                          </w:p>
                        </w:txbxContent>
                      </wps:txbx>
                      <wps:bodyPr upright="1"/>
                    </wps:wsp>
                  </a:graphicData>
                </a:graphic>
              </wp:anchor>
            </w:drawing>
          </mc:Choice>
          <mc:Fallback>
            <w:pict>
              <v:shape id="_x0000_s1026" o:spid="_x0000_s1026" o:spt="202" type="#_x0000_t202" style="position:absolute;left:0pt;margin-left:25.6pt;margin-top:0.65pt;height:104.65pt;width:187.15pt;mso-wrap-distance-left:9pt;mso-wrap-distance-right:9pt;z-index:-251652096;mso-width-relative:page;mso-height-relative:page;" fillcolor="#FFFFFF" filled="t" stroked="t" coordsize="21600,21600" wrapcoords="-40 -83 -40 21280 21427 21280 21427 -83 -40 -83" o:gfxdata="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kl4C9cAAAAIAQAADwAAAAAAAAABACAA&#10;AAAiAAAAZHJzL2Rvd25yZXYueG1sUEsBAhQAFAAAAAgAh07iQDBtqLoOAgAANgQAAA4AAAAAAAAA&#10;AQAgAAAAJgEAAGRycy9lMm9Eb2MueG1sUEsFBgAAAAAGAAYAWQEAAKYFAAAAAA==&#10;">
                <v:fill on="t" focussize="0,0"/>
                <v:stroke color="#000000" joinstyle="miter" dashstyle="dash"/>
                <v:imagedata o:title=""/>
                <o:lock v:ext="edit" aspectratio="f"/>
                <v:textbox>
                  <w:txbxContent>
                    <w:p>
                      <w:pPr>
                        <w:rPr>
                          <w:rFonts w:hint="eastAsia"/>
                        </w:rPr>
                      </w:pPr>
                    </w:p>
                    <w:p>
                      <w:pPr>
                        <w:ind w:firstLine="0" w:firstLineChars="0"/>
                        <w:jc w:val="center"/>
                        <w:rPr>
                          <w:color w:val="auto"/>
                        </w:rPr>
                      </w:pPr>
                      <w:r>
                        <w:rPr>
                          <w:rFonts w:hint="eastAsia"/>
                          <w:color w:val="auto"/>
                        </w:rPr>
                        <w:t>身份证复印件正面</w:t>
                      </w:r>
                    </w:p>
                  </w:txbxContent>
                </v:textbox>
                <w10:wrap type="tight"/>
              </v:shape>
            </w:pict>
          </mc:Fallback>
        </mc:AlternateContent>
      </w:r>
    </w:p>
    <w:p>
      <w:pPr>
        <w:rPr>
          <w:rFonts w:hint="eastAsia" w:asciiTheme="minorEastAsia" w:hAnsiTheme="minorEastAsia" w:eastAsiaTheme="minorEastAsia" w:cstheme="minorEastAsia"/>
          <w:color w:val="auto"/>
        </w:rPr>
      </w:pPr>
    </w:p>
    <w:p>
      <w:pPr>
        <w:ind w:left="843" w:hanging="840" w:hangingChars="350"/>
        <w:jc w:val="left"/>
        <w:rPr>
          <w:rFonts w:hint="eastAsia" w:asciiTheme="minorEastAsia" w:hAnsiTheme="minorEastAsia" w:eastAsiaTheme="minorEastAsia" w:cstheme="minorEastAsia"/>
          <w:color w:val="auto"/>
          <w:sz w:val="24"/>
        </w:rPr>
      </w:pPr>
    </w:p>
    <w:p>
      <w:pPr>
        <w:ind w:left="843" w:hanging="840" w:hangingChars="350"/>
        <w:jc w:val="left"/>
        <w:rPr>
          <w:rFonts w:hint="eastAsia" w:asciiTheme="minorEastAsia" w:hAnsiTheme="minorEastAsia" w:eastAsiaTheme="minorEastAsia" w:cstheme="minorEastAsia"/>
          <w:color w:val="auto"/>
          <w:sz w:val="24"/>
        </w:rPr>
      </w:pPr>
    </w:p>
    <w:p>
      <w:pPr>
        <w:ind w:left="840" w:hanging="840" w:hangingChars="350"/>
        <w:jc w:val="left"/>
        <w:rPr>
          <w:rFonts w:hint="eastAsia" w:asciiTheme="minorEastAsia" w:hAnsiTheme="minorEastAsia" w:eastAsiaTheme="minorEastAsia" w:cstheme="minorEastAsia"/>
          <w:b w:val="0"/>
          <w:color w:val="auto"/>
          <w:sz w:val="24"/>
          <w:szCs w:val="24"/>
        </w:rPr>
      </w:pPr>
    </w:p>
    <w:p>
      <w:pPr>
        <w:ind w:left="840" w:hanging="840" w:hangingChars="350"/>
        <w:jc w:val="left"/>
        <w:rPr>
          <w:rFonts w:hint="eastAsia" w:asciiTheme="minorEastAsia" w:hAnsiTheme="minorEastAsia" w:eastAsiaTheme="minorEastAsia" w:cstheme="minorEastAsia"/>
          <w:b w:val="0"/>
          <w:color w:val="auto"/>
          <w:sz w:val="24"/>
          <w:szCs w:val="24"/>
        </w:rPr>
      </w:pPr>
    </w:p>
    <w:p>
      <w:pPr>
        <w:ind w:left="1041" w:leftChars="200" w:hanging="361" w:hangingChars="15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z w:val="24"/>
          <w:szCs w:val="24"/>
        </w:rPr>
        <w:t>附： 委托代理人投标使用</w:t>
      </w:r>
    </w:p>
    <w:p>
      <w:pPr>
        <w:pStyle w:val="4"/>
        <w:tabs>
          <w:tab w:val="left" w:pos="567"/>
        </w:tabs>
        <w:ind w:firstLine="562"/>
        <w:jc w:val="center"/>
        <w:rPr>
          <w:rFonts w:hint="eastAsia"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rPr>
        <w:t>三、法定代表人身份证明</w:t>
      </w:r>
    </w:p>
    <w:p>
      <w:pPr>
        <w:pStyle w:val="4"/>
        <w:tabs>
          <w:tab w:val="left" w:pos="567"/>
        </w:tabs>
        <w:ind w:firstLine="560"/>
        <w:rPr>
          <w:rFonts w:hint="eastAsia" w:asciiTheme="minorEastAsia" w:hAnsiTheme="minorEastAsia" w:eastAsiaTheme="minorEastAsia" w:cstheme="minorEastAsia"/>
          <w:color w:val="auto"/>
        </w:rPr>
      </w:pPr>
    </w:p>
    <w:p>
      <w:pPr>
        <w:spacing w:line="400" w:lineRule="exact"/>
        <w:ind w:firstLine="480"/>
        <w:rPr>
          <w:rFonts w:hint="eastAsia" w:asciiTheme="minorEastAsia" w:hAnsiTheme="minorEastAsia" w:eastAsiaTheme="minorEastAsia" w:cstheme="minorEastAsia"/>
          <w:b w:val="0"/>
          <w:color w:val="auto"/>
          <w:sz w:val="24"/>
          <w:u w:val="single"/>
        </w:rPr>
      </w:pPr>
      <w:r>
        <w:rPr>
          <w:rFonts w:hint="eastAsia" w:asciiTheme="minorEastAsia" w:hAnsiTheme="minorEastAsia" w:eastAsiaTheme="minorEastAsia" w:cstheme="minorEastAsia"/>
          <w:b w:val="0"/>
          <w:color w:val="auto"/>
          <w:sz w:val="24"/>
        </w:rPr>
        <w:t>投标人名称：</w:t>
      </w:r>
    </w:p>
    <w:p>
      <w:pPr>
        <w:spacing w:line="400" w:lineRule="exact"/>
        <w:ind w:firstLine="48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rPr>
        <w:t>单位性质：</w:t>
      </w:r>
    </w:p>
    <w:p>
      <w:pPr>
        <w:spacing w:line="400" w:lineRule="exact"/>
        <w:ind w:firstLine="480"/>
        <w:rPr>
          <w:rFonts w:hint="eastAsia" w:asciiTheme="minorEastAsia" w:hAnsiTheme="minorEastAsia" w:eastAsiaTheme="minorEastAsia" w:cstheme="minorEastAsia"/>
          <w:b w:val="0"/>
          <w:color w:val="auto"/>
          <w:sz w:val="24"/>
          <w:u w:val="single"/>
        </w:rPr>
      </w:pPr>
      <w:r>
        <w:rPr>
          <w:rFonts w:hint="eastAsia" w:asciiTheme="minorEastAsia" w:hAnsiTheme="minorEastAsia" w:eastAsiaTheme="minorEastAsia" w:cstheme="minorEastAsia"/>
          <w:b w:val="0"/>
          <w:color w:val="auto"/>
          <w:sz w:val="24"/>
        </w:rPr>
        <w:t>地址：</w:t>
      </w:r>
    </w:p>
    <w:p>
      <w:pPr>
        <w:spacing w:line="400" w:lineRule="exact"/>
        <w:ind w:firstLine="48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rPr>
        <w:t>成立时间：   年  月   日</w:t>
      </w:r>
    </w:p>
    <w:p>
      <w:pPr>
        <w:spacing w:line="400" w:lineRule="exact"/>
        <w:ind w:firstLine="480"/>
        <w:rPr>
          <w:rFonts w:hint="eastAsia" w:asciiTheme="minorEastAsia" w:hAnsiTheme="minorEastAsia" w:eastAsiaTheme="minorEastAsia" w:cstheme="minorEastAsia"/>
          <w:b w:val="0"/>
          <w:color w:val="auto"/>
          <w:sz w:val="24"/>
          <w:u w:val="single"/>
        </w:rPr>
      </w:pPr>
      <w:r>
        <w:rPr>
          <w:rFonts w:hint="eastAsia" w:asciiTheme="minorEastAsia" w:hAnsiTheme="minorEastAsia" w:eastAsiaTheme="minorEastAsia" w:cstheme="minorEastAsia"/>
          <w:b w:val="0"/>
          <w:color w:val="auto"/>
          <w:sz w:val="24"/>
        </w:rPr>
        <w:t>经营期限：</w:t>
      </w:r>
    </w:p>
    <w:p>
      <w:pPr>
        <w:spacing w:line="400" w:lineRule="exact"/>
        <w:ind w:firstLine="480"/>
        <w:rPr>
          <w:rFonts w:hint="eastAsia" w:asciiTheme="minorEastAsia" w:hAnsiTheme="minorEastAsia" w:eastAsiaTheme="minorEastAsia" w:cstheme="minorEastAsia"/>
          <w:b w:val="0"/>
          <w:color w:val="auto"/>
          <w:sz w:val="24"/>
        </w:rPr>
      </w:pPr>
    </w:p>
    <w:p>
      <w:pPr>
        <w:spacing w:line="400" w:lineRule="exact"/>
        <w:ind w:firstLine="480"/>
        <w:rPr>
          <w:rFonts w:hint="eastAsia" w:asciiTheme="minorEastAsia" w:hAnsiTheme="minorEastAsia" w:eastAsiaTheme="minorEastAsia" w:cstheme="minorEastAsia"/>
          <w:b w:val="0"/>
          <w:color w:val="auto"/>
          <w:sz w:val="24"/>
        </w:rPr>
      </w:pPr>
    </w:p>
    <w:p>
      <w:pPr>
        <w:spacing w:line="400" w:lineRule="exact"/>
        <w:ind w:firstLine="480"/>
        <w:rPr>
          <w:rFonts w:hint="eastAsia" w:asciiTheme="minorEastAsia" w:hAnsiTheme="minorEastAsia" w:eastAsiaTheme="minorEastAsia" w:cstheme="minorEastAsia"/>
          <w:b w:val="0"/>
          <w:color w:val="auto"/>
          <w:sz w:val="24"/>
        </w:rPr>
      </w:pPr>
    </w:p>
    <w:p>
      <w:pPr>
        <w:spacing w:line="400" w:lineRule="exact"/>
        <w:ind w:firstLine="480"/>
        <w:rPr>
          <w:rFonts w:hint="eastAsia" w:asciiTheme="minorEastAsia" w:hAnsiTheme="minorEastAsia" w:eastAsiaTheme="minorEastAsia" w:cstheme="minorEastAsia"/>
          <w:b w:val="0"/>
          <w:color w:val="auto"/>
          <w:sz w:val="24"/>
        </w:rPr>
      </w:pPr>
    </w:p>
    <w:p>
      <w:pPr>
        <w:spacing w:line="400" w:lineRule="exact"/>
        <w:ind w:firstLine="48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rPr>
        <w:t>姓名：</w:t>
      </w:r>
      <w:r>
        <w:rPr>
          <w:rFonts w:hint="eastAsia" w:asciiTheme="minorEastAsia" w:hAnsiTheme="minorEastAsia" w:eastAsiaTheme="minorEastAsia" w:cstheme="minorEastAsia"/>
          <w:b w:val="0"/>
          <w:color w:val="auto"/>
          <w:sz w:val="24"/>
          <w:u w:val="single"/>
          <w:lang w:val="en-US" w:eastAsia="zh-CN"/>
        </w:rPr>
        <w:t xml:space="preserve">         </w:t>
      </w:r>
      <w:r>
        <w:rPr>
          <w:rFonts w:hint="eastAsia" w:asciiTheme="minorEastAsia" w:hAnsiTheme="minorEastAsia" w:eastAsiaTheme="minorEastAsia" w:cstheme="minorEastAsia"/>
          <w:b w:val="0"/>
          <w:color w:val="auto"/>
          <w:sz w:val="24"/>
        </w:rPr>
        <w:t xml:space="preserve">系 </w:t>
      </w:r>
      <w:r>
        <w:rPr>
          <w:rFonts w:hint="eastAsia" w:asciiTheme="minorEastAsia" w:hAnsiTheme="minorEastAsia" w:eastAsiaTheme="minorEastAsia" w:cstheme="minorEastAsia"/>
          <w:b w:val="0"/>
          <w:color w:val="auto"/>
          <w:sz w:val="24"/>
          <w:u w:val="single"/>
        </w:rPr>
        <w:t xml:space="preserve"> （投标人全称）</w:t>
      </w:r>
      <w:r>
        <w:rPr>
          <w:rFonts w:hint="eastAsia" w:asciiTheme="minorEastAsia" w:hAnsiTheme="minorEastAsia" w:eastAsiaTheme="minorEastAsia" w:cstheme="minorEastAsia"/>
          <w:b w:val="0"/>
          <w:color w:val="auto"/>
          <w:sz w:val="24"/>
        </w:rPr>
        <w:t>的法定代表人（职务：</w:t>
      </w:r>
      <w:r>
        <w:rPr>
          <w:rFonts w:hint="eastAsia" w:asciiTheme="minorEastAsia" w:hAnsiTheme="minorEastAsia" w:eastAsiaTheme="minorEastAsia" w:cstheme="minorEastAsia"/>
          <w:b w:val="0"/>
          <w:color w:val="auto"/>
          <w:sz w:val="24"/>
          <w:u w:val="single"/>
        </w:rPr>
        <w:t xml:space="preserve">   </w:t>
      </w:r>
      <w:r>
        <w:rPr>
          <w:rFonts w:hint="eastAsia" w:asciiTheme="minorEastAsia" w:hAnsiTheme="minorEastAsia" w:eastAsiaTheme="minorEastAsia" w:cstheme="minorEastAsia"/>
          <w:b w:val="0"/>
          <w:color w:val="auto"/>
          <w:sz w:val="24"/>
        </w:rPr>
        <w:t>电话：</w:t>
      </w:r>
      <w:r>
        <w:rPr>
          <w:rFonts w:hint="eastAsia" w:asciiTheme="minorEastAsia" w:hAnsiTheme="minorEastAsia" w:eastAsiaTheme="minorEastAsia" w:cstheme="minorEastAsia"/>
          <w:b w:val="0"/>
          <w:color w:val="auto"/>
          <w:sz w:val="24"/>
          <w:u w:val="single"/>
        </w:rPr>
        <w:t xml:space="preserve">   </w:t>
      </w:r>
      <w:r>
        <w:rPr>
          <w:rFonts w:hint="eastAsia" w:asciiTheme="minorEastAsia" w:hAnsiTheme="minorEastAsia" w:eastAsiaTheme="minorEastAsia" w:cstheme="minorEastAsia"/>
          <w:b w:val="0"/>
          <w:color w:val="auto"/>
          <w:sz w:val="24"/>
        </w:rPr>
        <w:t>）</w:t>
      </w:r>
    </w:p>
    <w:p>
      <w:pPr>
        <w:spacing w:line="400" w:lineRule="exact"/>
        <w:ind w:firstLine="480"/>
        <w:rPr>
          <w:rFonts w:hint="eastAsia" w:asciiTheme="minorEastAsia" w:hAnsiTheme="minorEastAsia" w:eastAsiaTheme="minorEastAsia" w:cstheme="minorEastAsia"/>
          <w:b w:val="0"/>
          <w:color w:val="auto"/>
          <w:sz w:val="24"/>
        </w:rPr>
      </w:pPr>
    </w:p>
    <w:p>
      <w:pPr>
        <w:spacing w:line="400" w:lineRule="exact"/>
        <w:ind w:firstLine="480"/>
        <w:rPr>
          <w:rFonts w:hint="eastAsia" w:asciiTheme="minorEastAsia" w:hAnsiTheme="minorEastAsia" w:eastAsiaTheme="minorEastAsia" w:cstheme="minorEastAsia"/>
          <w:b w:val="0"/>
          <w:color w:val="auto"/>
          <w:sz w:val="24"/>
        </w:rPr>
      </w:pPr>
    </w:p>
    <w:p>
      <w:pPr>
        <w:spacing w:line="400" w:lineRule="exact"/>
        <w:ind w:firstLine="48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rPr>
        <w:t>特此证明</w:t>
      </w:r>
    </w:p>
    <w:p>
      <w:pPr>
        <w:spacing w:line="400" w:lineRule="exact"/>
        <w:ind w:firstLine="480"/>
        <w:rPr>
          <w:rFonts w:hint="eastAsia" w:asciiTheme="minorEastAsia" w:hAnsiTheme="minorEastAsia" w:eastAsiaTheme="minorEastAsia" w:cstheme="minorEastAsia"/>
          <w:b w:val="0"/>
          <w:color w:val="auto"/>
          <w:sz w:val="24"/>
        </w:rPr>
      </w:pPr>
    </w:p>
    <w:p>
      <w:pPr>
        <w:spacing w:line="400" w:lineRule="exact"/>
        <w:ind w:firstLine="480"/>
        <w:rPr>
          <w:rFonts w:hint="eastAsia" w:asciiTheme="minorEastAsia" w:hAnsiTheme="minorEastAsia" w:eastAsiaTheme="minorEastAsia" w:cstheme="minorEastAsia"/>
          <w:b w:val="0"/>
          <w:color w:val="auto"/>
          <w:sz w:val="24"/>
        </w:rPr>
      </w:pPr>
    </w:p>
    <w:p>
      <w:pPr>
        <w:spacing w:line="400" w:lineRule="exact"/>
        <w:ind w:firstLine="480"/>
        <w:rPr>
          <w:rFonts w:hint="eastAsia" w:asciiTheme="minorEastAsia" w:hAnsiTheme="minorEastAsia" w:eastAsiaTheme="minorEastAsia" w:cstheme="minorEastAsia"/>
          <w:b w:val="0"/>
          <w:color w:val="auto"/>
          <w:sz w:val="24"/>
        </w:rPr>
      </w:pPr>
    </w:p>
    <w:p>
      <w:pPr>
        <w:spacing w:line="400" w:lineRule="exact"/>
        <w:ind w:firstLine="360" w:firstLineChars="15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szCs w:val="24"/>
        </w:rPr>
        <w:t>投标人名称（加盖公章或电子签章）：</w:t>
      </w:r>
    </w:p>
    <w:p>
      <w:pPr>
        <w:spacing w:line="400" w:lineRule="exact"/>
        <w:ind w:firstLine="360" w:firstLineChars="150"/>
        <w:rPr>
          <w:rFonts w:hint="eastAsia" w:asciiTheme="minorEastAsia" w:hAnsiTheme="minorEastAsia" w:eastAsiaTheme="minorEastAsia" w:cstheme="minorEastAsia"/>
          <w:b w:val="0"/>
          <w:color w:val="auto"/>
          <w:szCs w:val="28"/>
          <w:u w:val="single"/>
        </w:rPr>
      </w:pPr>
      <w:r>
        <w:rPr>
          <w:rFonts w:hint="eastAsia" w:asciiTheme="minorEastAsia" w:hAnsiTheme="minorEastAsia" w:eastAsiaTheme="minorEastAsia" w:cstheme="minorEastAsia"/>
          <w:b w:val="0"/>
          <w:color w:val="auto"/>
          <w:sz w:val="24"/>
        </w:rPr>
        <w:t>日期：</w:t>
      </w:r>
    </w:p>
    <w:p>
      <w:pPr>
        <w:ind w:firstLine="640"/>
        <w:rPr>
          <w:rFonts w:hint="eastAsia" w:asciiTheme="minorEastAsia" w:hAnsiTheme="minorEastAsia" w:eastAsiaTheme="minorEastAsia" w:cstheme="minorEastAsia"/>
          <w:b w:val="0"/>
          <w:color w:val="auto"/>
          <w:szCs w:val="28"/>
          <w:u w:val="single"/>
        </w:rPr>
      </w:pPr>
    </w:p>
    <w:p>
      <w:pPr>
        <w:ind w:firstLine="640"/>
        <w:rPr>
          <w:rFonts w:hint="eastAsia" w:asciiTheme="minorEastAsia" w:hAnsiTheme="minorEastAsia" w:eastAsiaTheme="minorEastAsia" w:cstheme="minorEastAsia"/>
          <w:b w:val="0"/>
          <w:color w:val="auto"/>
          <w:szCs w:val="28"/>
          <w:u w:val="single"/>
        </w:rPr>
      </w:pPr>
    </w:p>
    <w:p>
      <w:pPr>
        <w:ind w:left="843" w:hanging="843" w:hangingChars="350"/>
        <w:jc w:val="left"/>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附：</w:t>
      </w:r>
    </w:p>
    <w:p>
      <w:pPr>
        <w:widowControl/>
        <w:numPr>
          <w:ilvl w:val="0"/>
          <w:numId w:val="8"/>
        </w:numPr>
        <w:snapToGrid/>
        <w:ind w:firstLine="482"/>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法定代表人身份证复印件（正反面）并加盖公章或电子签章</w:t>
      </w:r>
    </w:p>
    <w:p>
      <w:pPr>
        <w:widowControl/>
        <w:snapToGrid/>
        <w:ind w:left="480" w:firstLine="0" w:firstLineChars="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2、法定代表人投标使用。</w:t>
      </w:r>
    </w:p>
    <w:p>
      <w:pPr>
        <w:rPr>
          <w:rFonts w:hint="eastAsia" w:asciiTheme="minorEastAsia" w:hAnsiTheme="minorEastAsia" w:eastAsiaTheme="minorEastAsia" w:cstheme="minorEastAsia"/>
          <w:b/>
          <w:color w:val="auto"/>
          <w:sz w:val="32"/>
          <w:szCs w:val="32"/>
        </w:rPr>
      </w:pPr>
    </w:p>
    <w:p>
      <w:pPr>
        <w:rPr>
          <w:rFonts w:hint="eastAsia" w:asciiTheme="minorEastAsia" w:hAnsiTheme="minorEastAsia" w:eastAsiaTheme="minorEastAsia" w:cstheme="minorEastAsia"/>
          <w:b/>
          <w:color w:val="auto"/>
          <w:sz w:val="32"/>
          <w:szCs w:val="32"/>
        </w:rPr>
      </w:pPr>
      <w:r>
        <w:rPr>
          <w:rFonts w:hint="eastAsia" w:asciiTheme="minorEastAsia" w:hAnsiTheme="minorEastAsia" w:eastAsiaTheme="minorEastAsia" w:cstheme="minorEastAsia"/>
          <w:b/>
          <w:color w:val="auto"/>
          <w:sz w:val="32"/>
          <w:szCs w:val="32"/>
        </w:rPr>
        <w:br w:type="page"/>
      </w:r>
    </w:p>
    <w:p>
      <w:pPr>
        <w:spacing w:line="360" w:lineRule="auto"/>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32"/>
          <w:szCs w:val="32"/>
          <w:lang w:eastAsia="zh-CN"/>
        </w:rPr>
        <w:t>四</w:t>
      </w:r>
      <w:r>
        <w:rPr>
          <w:rFonts w:hint="eastAsia" w:asciiTheme="minorEastAsia" w:hAnsiTheme="minorEastAsia" w:eastAsiaTheme="minorEastAsia" w:cstheme="minorEastAsia"/>
          <w:b/>
          <w:color w:val="auto"/>
          <w:sz w:val="32"/>
          <w:szCs w:val="32"/>
        </w:rPr>
        <w:t>、承诺函</w:t>
      </w:r>
    </w:p>
    <w:p>
      <w:pPr>
        <w:widowControl/>
        <w:spacing w:line="360" w:lineRule="auto"/>
        <w:jc w:val="left"/>
        <w:outlineLvl w:val="1"/>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采购项目名称：</w:t>
      </w:r>
    </w:p>
    <w:p>
      <w:pPr>
        <w:widowControl/>
        <w:spacing w:line="360" w:lineRule="auto"/>
        <w:jc w:val="left"/>
        <w:outlineLvl w:val="1"/>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采购项目编号：</w:t>
      </w:r>
    </w:p>
    <w:p>
      <w:pPr>
        <w:widowControl/>
        <w:spacing w:line="360" w:lineRule="auto"/>
        <w:jc w:val="left"/>
        <w:outlineLvl w:val="1"/>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包件号及名称：</w:t>
      </w:r>
    </w:p>
    <w:p>
      <w:pPr>
        <w:widowControl/>
        <w:spacing w:line="360" w:lineRule="auto"/>
        <w:jc w:val="left"/>
        <w:outlineLvl w:val="1"/>
        <w:rPr>
          <w:rFonts w:hint="eastAsia" w:asciiTheme="minorEastAsia" w:hAnsiTheme="minorEastAsia" w:eastAsiaTheme="minorEastAsia" w:cstheme="minorEastAsia"/>
          <w:color w:val="auto"/>
          <w:sz w:val="24"/>
        </w:rPr>
      </w:pPr>
    </w:p>
    <w:p>
      <w:pPr>
        <w:widowControl/>
        <w:spacing w:line="360" w:lineRule="auto"/>
        <w:jc w:val="left"/>
        <w:outlineLvl w:val="1"/>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四川协友招标代理有限公司：</w:t>
      </w:r>
    </w:p>
    <w:p>
      <w:pPr>
        <w:spacing w:line="560" w:lineRule="atLeast"/>
        <w:ind w:firstLine="48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rPr>
        <w:t>我单位作为本项目的投标人，我单位不属于关于贯彻落实《中华人民共和国政府采购法实施条例》的若干规定（川财采〔2015〕37号）第十九条“单位负责人为同一人或者存在直接控股、管理关系的不同投标人不得参加同一合同项下的政府采购活动”、第二十一条“2家以上的投标人不得在同一合同项下的采购项目中，同时委托同一个自然人、同一家庭的人员、同一单位的人员作为其代理人”等条款及其它相关法律法规规定的回避对象。</w:t>
      </w:r>
    </w:p>
    <w:p>
      <w:pPr>
        <w:spacing w:line="560" w:lineRule="atLeast"/>
        <w:ind w:firstLine="48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lang w:val="en-US"/>
        </w:rPr>
        <w:t>参与本项目投标前，</w:t>
      </w:r>
      <w:r>
        <w:rPr>
          <w:rFonts w:hint="eastAsia" w:asciiTheme="minorEastAsia" w:hAnsiTheme="minorEastAsia" w:eastAsiaTheme="minorEastAsia" w:cstheme="minorEastAsia"/>
          <w:b w:val="0"/>
          <w:color w:val="auto"/>
          <w:sz w:val="24"/>
        </w:rPr>
        <w:t>我单位未对本次采购项目提供过整体设计、规范编制或者项目管理、监理服务。</w:t>
      </w:r>
    </w:p>
    <w:p>
      <w:pPr>
        <w:spacing w:line="560" w:lineRule="atLeast"/>
        <w:ind w:firstLine="48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rPr>
        <w:t>我单位实际控制人或者中高级管理人员，不存在同时是采购代理机构工作人员的情形。</w:t>
      </w:r>
    </w:p>
    <w:p>
      <w:pPr>
        <w:spacing w:line="560" w:lineRule="atLeast"/>
        <w:ind w:firstLine="48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rPr>
        <w:t>我单位不存在同一母公司的两家以上的子公司，以不同供应商身份同时参加本项目同一合同项下的采购活动的情形。</w:t>
      </w:r>
    </w:p>
    <w:p>
      <w:pPr>
        <w:spacing w:line="560" w:lineRule="atLeast"/>
        <w:ind w:firstLine="480"/>
        <w:rPr>
          <w:rFonts w:hint="eastAsia" w:asciiTheme="minorEastAsia" w:hAnsiTheme="minorEastAsia" w:eastAsiaTheme="minorEastAsia" w:cstheme="minorEastAsia"/>
          <w:b w:val="0"/>
          <w:color w:val="auto"/>
          <w:sz w:val="24"/>
          <w:szCs w:val="24"/>
          <w:lang w:val="en-US"/>
        </w:rPr>
      </w:pPr>
      <w:r>
        <w:rPr>
          <w:rFonts w:hint="eastAsia" w:asciiTheme="minorEastAsia" w:hAnsiTheme="minorEastAsia" w:eastAsiaTheme="minorEastAsia" w:cstheme="minorEastAsia"/>
          <w:b w:val="0"/>
          <w:color w:val="auto"/>
          <w:sz w:val="24"/>
          <w:szCs w:val="24"/>
          <w:lang w:val="en-US"/>
        </w:rPr>
        <w:t>我单位不存在与采购代理机构有关联关系，或者是采购代理机构的母公司或子公司参加本项目政府采购活动的情形。</w:t>
      </w:r>
    </w:p>
    <w:p>
      <w:pPr>
        <w:spacing w:line="560" w:lineRule="atLeast"/>
        <w:ind w:firstLine="48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kern w:val="2"/>
          <w:sz w:val="24"/>
          <w:szCs w:val="24"/>
          <w:lang w:val="en-US"/>
        </w:rPr>
        <w:t>我单位及其现任法定代表人、主要负责人不存在行贿犯罪记录</w:t>
      </w:r>
    </w:p>
    <w:p>
      <w:pPr>
        <w:spacing w:line="560" w:lineRule="atLeast"/>
        <w:ind w:firstLine="480"/>
        <w:rPr>
          <w:rFonts w:hint="eastAsia" w:asciiTheme="minorEastAsia" w:hAnsiTheme="minorEastAsia" w:eastAsiaTheme="minorEastAsia" w:cstheme="minorEastAsia"/>
          <w:b w:val="0"/>
          <w:color w:val="auto"/>
          <w:kern w:val="2"/>
          <w:sz w:val="24"/>
          <w:szCs w:val="24"/>
          <w:lang w:val="en-US" w:eastAsia="zh-CN"/>
        </w:rPr>
      </w:pPr>
      <w:r>
        <w:rPr>
          <w:rFonts w:hint="eastAsia" w:asciiTheme="minorEastAsia" w:hAnsiTheme="minorEastAsia" w:eastAsiaTheme="minorEastAsia" w:cstheme="minorEastAsia"/>
          <w:b w:val="0"/>
          <w:color w:val="auto"/>
          <w:sz w:val="24"/>
        </w:rPr>
        <w:t>声明：我单位</w:t>
      </w:r>
      <w:r>
        <w:rPr>
          <w:rFonts w:hint="eastAsia" w:asciiTheme="minorEastAsia" w:hAnsiTheme="minorEastAsia" w:eastAsiaTheme="minorEastAsia" w:cstheme="minorEastAsia"/>
          <w:b w:val="0"/>
          <w:color w:val="auto"/>
          <w:kern w:val="2"/>
          <w:sz w:val="24"/>
          <w:szCs w:val="24"/>
          <w:lang w:val="en-US"/>
        </w:rPr>
        <w:t>具有独立承担民事责任的能力</w:t>
      </w:r>
      <w:r>
        <w:rPr>
          <w:rFonts w:hint="eastAsia" w:asciiTheme="minorEastAsia" w:hAnsiTheme="minorEastAsia" w:eastAsiaTheme="minorEastAsia" w:cstheme="minorEastAsia"/>
          <w:b w:val="0"/>
          <w:color w:val="auto"/>
          <w:kern w:val="2"/>
          <w:sz w:val="24"/>
          <w:szCs w:val="24"/>
          <w:lang w:val="en-US" w:eastAsia="zh-CN"/>
        </w:rPr>
        <w:t>；</w:t>
      </w:r>
    </w:p>
    <w:p>
      <w:pPr>
        <w:spacing w:line="560" w:lineRule="atLeast"/>
        <w:ind w:firstLine="1200" w:firstLineChars="500"/>
        <w:rPr>
          <w:rFonts w:hint="eastAsia" w:asciiTheme="minorEastAsia" w:hAnsiTheme="minorEastAsia" w:eastAsiaTheme="minorEastAsia" w:cstheme="minorEastAsia"/>
          <w:b w:val="0"/>
          <w:color w:val="auto"/>
          <w:sz w:val="24"/>
          <w:lang w:eastAsia="zh-CN"/>
        </w:rPr>
      </w:pPr>
      <w:r>
        <w:rPr>
          <w:rFonts w:hint="eastAsia" w:asciiTheme="minorEastAsia" w:hAnsiTheme="minorEastAsia" w:eastAsiaTheme="minorEastAsia" w:cstheme="minorEastAsia"/>
          <w:b w:val="0"/>
          <w:color w:val="auto"/>
          <w:kern w:val="2"/>
          <w:sz w:val="24"/>
          <w:szCs w:val="24"/>
          <w:lang w:val="en-US"/>
        </w:rPr>
        <w:t>我单位具有依法缴纳税收和社会保障资金的良好记录</w:t>
      </w:r>
      <w:r>
        <w:rPr>
          <w:rFonts w:hint="eastAsia" w:asciiTheme="minorEastAsia" w:hAnsiTheme="minorEastAsia" w:eastAsiaTheme="minorEastAsia" w:cstheme="minorEastAsia"/>
          <w:b w:val="0"/>
          <w:color w:val="auto"/>
          <w:kern w:val="2"/>
          <w:sz w:val="24"/>
          <w:szCs w:val="24"/>
          <w:lang w:val="en-US" w:eastAsia="zh-CN"/>
        </w:rPr>
        <w:t>；</w:t>
      </w:r>
    </w:p>
    <w:p>
      <w:pPr>
        <w:spacing w:line="560" w:lineRule="atLeast"/>
        <w:ind w:firstLine="1200" w:firstLineChars="500"/>
        <w:rPr>
          <w:rFonts w:hint="eastAsia" w:asciiTheme="minorEastAsia" w:hAnsiTheme="minorEastAsia" w:eastAsiaTheme="minorEastAsia" w:cstheme="minorEastAsia"/>
          <w:b w:val="0"/>
          <w:color w:val="auto"/>
          <w:sz w:val="24"/>
          <w:lang w:eastAsia="zh-CN"/>
        </w:rPr>
      </w:pPr>
      <w:r>
        <w:rPr>
          <w:rFonts w:hint="eastAsia" w:asciiTheme="minorEastAsia" w:hAnsiTheme="minorEastAsia" w:eastAsiaTheme="minorEastAsia" w:cstheme="minorEastAsia"/>
          <w:b w:val="0"/>
          <w:color w:val="auto"/>
          <w:sz w:val="24"/>
        </w:rPr>
        <w:t>我单位参加政府采购活动前3年内在经营活动中没有重大违法记录</w:t>
      </w:r>
      <w:r>
        <w:rPr>
          <w:rFonts w:hint="eastAsia" w:asciiTheme="minorEastAsia" w:hAnsiTheme="minorEastAsia" w:eastAsiaTheme="minorEastAsia" w:cstheme="minorEastAsia"/>
          <w:b w:val="0"/>
          <w:color w:val="auto"/>
          <w:sz w:val="24"/>
          <w:lang w:eastAsia="zh-CN"/>
        </w:rPr>
        <w:t>；</w:t>
      </w:r>
    </w:p>
    <w:p>
      <w:pPr>
        <w:spacing w:line="560" w:lineRule="atLeast"/>
        <w:ind w:firstLine="1200" w:firstLineChars="500"/>
        <w:rPr>
          <w:rFonts w:hint="eastAsia" w:asciiTheme="minorEastAsia" w:hAnsiTheme="minorEastAsia" w:eastAsiaTheme="minorEastAsia" w:cstheme="minorEastAsia"/>
          <w:b w:val="0"/>
          <w:color w:val="auto"/>
          <w:sz w:val="24"/>
          <w:lang w:eastAsia="zh-CN"/>
        </w:rPr>
      </w:pPr>
      <w:r>
        <w:rPr>
          <w:rFonts w:hint="eastAsia" w:asciiTheme="minorEastAsia" w:hAnsiTheme="minorEastAsia" w:eastAsiaTheme="minorEastAsia" w:cstheme="minorEastAsia"/>
          <w:b w:val="0"/>
          <w:color w:val="auto"/>
          <w:sz w:val="24"/>
        </w:rPr>
        <w:t>我单位具有良好的商业信誉</w:t>
      </w:r>
      <w:r>
        <w:rPr>
          <w:rFonts w:hint="eastAsia" w:asciiTheme="minorEastAsia" w:hAnsiTheme="minorEastAsia" w:eastAsiaTheme="minorEastAsia" w:cstheme="minorEastAsia"/>
          <w:b w:val="0"/>
          <w:color w:val="auto"/>
          <w:kern w:val="2"/>
          <w:sz w:val="24"/>
          <w:szCs w:val="24"/>
          <w:lang w:val="en-US"/>
        </w:rPr>
        <w:t>和健全的财务会计制度</w:t>
      </w:r>
      <w:r>
        <w:rPr>
          <w:rFonts w:hint="eastAsia" w:asciiTheme="minorEastAsia" w:hAnsiTheme="minorEastAsia" w:eastAsiaTheme="minorEastAsia" w:cstheme="minorEastAsia"/>
          <w:b w:val="0"/>
          <w:color w:val="auto"/>
          <w:sz w:val="24"/>
          <w:lang w:eastAsia="zh-CN"/>
        </w:rPr>
        <w:t>；</w:t>
      </w:r>
    </w:p>
    <w:p>
      <w:pPr>
        <w:spacing w:line="560" w:lineRule="atLeast"/>
        <w:ind w:firstLine="1200" w:firstLineChars="500"/>
        <w:rPr>
          <w:rFonts w:hint="eastAsia" w:asciiTheme="minorEastAsia" w:hAnsiTheme="minorEastAsia" w:eastAsiaTheme="minorEastAsia" w:cstheme="minorEastAsia"/>
          <w:b w:val="0"/>
          <w:color w:val="auto"/>
          <w:sz w:val="24"/>
          <w:lang w:eastAsia="zh-CN"/>
        </w:rPr>
      </w:pPr>
      <w:r>
        <w:rPr>
          <w:rFonts w:hint="eastAsia" w:asciiTheme="minorEastAsia" w:hAnsiTheme="minorEastAsia" w:eastAsiaTheme="minorEastAsia" w:cstheme="minorEastAsia"/>
          <w:b w:val="0"/>
          <w:color w:val="auto"/>
          <w:sz w:val="24"/>
        </w:rPr>
        <w:t>我单位具有履行合同所必需的设备和专业技术能力</w:t>
      </w:r>
      <w:r>
        <w:rPr>
          <w:rFonts w:hint="eastAsia" w:asciiTheme="minorEastAsia" w:hAnsiTheme="minorEastAsia" w:eastAsiaTheme="minorEastAsia" w:cstheme="minorEastAsia"/>
          <w:b w:val="0"/>
          <w:color w:val="auto"/>
          <w:sz w:val="24"/>
          <w:lang w:eastAsia="zh-CN"/>
        </w:rPr>
        <w:t>；</w:t>
      </w:r>
    </w:p>
    <w:p>
      <w:pPr>
        <w:spacing w:line="560" w:lineRule="atLeast"/>
        <w:ind w:firstLine="1200" w:firstLineChars="50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rPr>
        <w:t>我单位具备法律、行政法规规定的其他条件。</w:t>
      </w:r>
    </w:p>
    <w:p>
      <w:pPr>
        <w:spacing w:line="560" w:lineRule="atLeast"/>
        <w:ind w:firstLine="1200" w:firstLineChars="50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rPr>
        <w:t>我单位承诺对上述事项的真实性负责；如有虚假，我单位愿意承担相应的法律责任。</w:t>
      </w:r>
    </w:p>
    <w:p>
      <w:pPr>
        <w:spacing w:line="560" w:lineRule="atLeast"/>
        <w:ind w:firstLine="480"/>
        <w:rPr>
          <w:rFonts w:hint="eastAsia" w:asciiTheme="minorEastAsia" w:hAnsiTheme="minorEastAsia" w:eastAsiaTheme="minorEastAsia" w:cstheme="minorEastAsia"/>
          <w:b w:val="0"/>
          <w:color w:val="auto"/>
          <w:sz w:val="24"/>
        </w:rPr>
      </w:pPr>
    </w:p>
    <w:p>
      <w:pPr>
        <w:spacing w:line="560" w:lineRule="atLeast"/>
        <w:ind w:firstLine="48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rPr>
        <w:t>投标人名称（加盖公章或电子签章）：</w:t>
      </w:r>
    </w:p>
    <w:p>
      <w:pPr>
        <w:spacing w:line="560" w:lineRule="atLeast"/>
        <w:ind w:firstLine="48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rPr>
        <w:t>法定代表人或代理人（签字</w:t>
      </w:r>
      <w:r>
        <w:rPr>
          <w:rFonts w:hint="eastAsia" w:asciiTheme="minorEastAsia" w:hAnsiTheme="minorEastAsia" w:eastAsiaTheme="minorEastAsia" w:cstheme="minorEastAsia"/>
          <w:b w:val="0"/>
          <w:color w:val="auto"/>
          <w:kern w:val="2"/>
          <w:sz w:val="24"/>
          <w:szCs w:val="24"/>
          <w:lang w:val="en-US"/>
        </w:rPr>
        <w:t>或加盖印章</w:t>
      </w:r>
      <w:r>
        <w:rPr>
          <w:rFonts w:hint="eastAsia" w:asciiTheme="minorEastAsia" w:hAnsiTheme="minorEastAsia" w:eastAsiaTheme="minorEastAsia" w:cstheme="minorEastAsia"/>
          <w:b w:val="0"/>
          <w:color w:val="auto"/>
          <w:sz w:val="24"/>
        </w:rPr>
        <w:t>）：</w:t>
      </w:r>
    </w:p>
    <w:p>
      <w:pPr>
        <w:spacing w:line="560" w:lineRule="atLeast"/>
        <w:ind w:firstLine="48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rPr>
        <w:t>日  期:</w:t>
      </w:r>
    </w:p>
    <w:p>
      <w:pPr>
        <w:spacing w:line="560" w:lineRule="atLeast"/>
        <w:ind w:firstLine="482"/>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注：</w:t>
      </w:r>
    </w:p>
    <w:p>
      <w:pPr>
        <w:spacing w:line="560" w:lineRule="atLeast"/>
        <w:ind w:firstLine="480"/>
        <w:rPr>
          <w:rFonts w:hint="eastAsia" w:asciiTheme="minorEastAsia" w:hAnsiTheme="minorEastAsia" w:eastAsiaTheme="minorEastAsia" w:cstheme="minorEastAsia"/>
          <w:b w:val="0"/>
          <w:color w:val="auto"/>
          <w:sz w:val="24"/>
          <w:szCs w:val="20"/>
        </w:rPr>
      </w:pPr>
      <w:r>
        <w:rPr>
          <w:rFonts w:hint="eastAsia" w:asciiTheme="minorEastAsia" w:hAnsiTheme="minorEastAsia" w:eastAsiaTheme="minorEastAsia" w:cstheme="minorEastAsia"/>
          <w:b w:val="0"/>
          <w:color w:val="auto"/>
          <w:sz w:val="24"/>
          <w:szCs w:val="20"/>
          <w:lang w:val="en-US"/>
        </w:rPr>
        <w:t>1</w:t>
      </w:r>
      <w:r>
        <w:rPr>
          <w:rFonts w:hint="eastAsia" w:asciiTheme="minorEastAsia" w:hAnsiTheme="minorEastAsia" w:eastAsiaTheme="minorEastAsia" w:cstheme="minorEastAsia"/>
          <w:b w:val="0"/>
          <w:color w:val="auto"/>
          <w:sz w:val="24"/>
          <w:szCs w:val="20"/>
        </w:rPr>
        <w:t>.</w:t>
      </w:r>
      <w:r>
        <w:rPr>
          <w:rFonts w:hint="eastAsia" w:asciiTheme="minorEastAsia" w:hAnsiTheme="minorEastAsia" w:eastAsiaTheme="minorEastAsia" w:cstheme="minorEastAsia"/>
          <w:b w:val="0"/>
          <w:color w:val="auto"/>
          <w:sz w:val="24"/>
          <w:szCs w:val="20"/>
          <w:lang w:val="en-US"/>
        </w:rPr>
        <w:t>投标人应根据自身实际情况据实进行承诺。</w:t>
      </w:r>
    </w:p>
    <w:p>
      <w:pPr>
        <w:spacing w:line="560" w:lineRule="atLeast"/>
        <w:ind w:firstLine="48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szCs w:val="20"/>
          <w:lang w:val="en-US"/>
        </w:rPr>
        <w:t>2.</w:t>
      </w:r>
      <w:r>
        <w:rPr>
          <w:rFonts w:hint="eastAsia" w:asciiTheme="minorEastAsia" w:hAnsiTheme="minorEastAsia" w:eastAsiaTheme="minorEastAsia" w:cstheme="minorEastAsia"/>
          <w:b w:val="0"/>
          <w:color w:val="auto"/>
          <w:sz w:val="24"/>
        </w:rPr>
        <w:t>投标人在参加政府采购活动前三年，政府采购合同履约过程中及其他经营活动履约过程中未依法履约被有关部门处罚（处理）的，不能认定为具有良好的商业信誉。</w:t>
      </w:r>
    </w:p>
    <w:p>
      <w:pPr>
        <w:spacing w:line="560" w:lineRule="atLeast"/>
        <w:ind w:firstLine="48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lang w:val="en-US"/>
        </w:rPr>
        <w:t>3</w:t>
      </w:r>
      <w:r>
        <w:rPr>
          <w:rFonts w:hint="eastAsia" w:asciiTheme="minorEastAsia" w:hAnsiTheme="minorEastAsia" w:eastAsiaTheme="minorEastAsia" w:cstheme="minorEastAsia"/>
          <w:b w:val="0"/>
          <w:color w:val="auto"/>
          <w:sz w:val="24"/>
        </w:rPr>
        <w:t>.重大违法记录中的较大数额罚款的具体金额标准是：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w:t>
      </w:r>
    </w:p>
    <w:p>
      <w:pPr>
        <w:pStyle w:val="2"/>
        <w:tabs>
          <w:tab w:val="left" w:pos="402"/>
          <w:tab w:val="center" w:pos="5656"/>
        </w:tabs>
        <w:spacing w:line="360" w:lineRule="auto"/>
        <w:ind w:firstLine="600" w:firstLineChars="250"/>
        <w:jc w:val="left"/>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b w:val="0"/>
          <w:color w:val="auto"/>
          <w:sz w:val="24"/>
          <w:lang w:val="en-US"/>
        </w:rPr>
        <w:t>4</w:t>
      </w:r>
      <w:r>
        <w:rPr>
          <w:rFonts w:hint="eastAsia" w:asciiTheme="minorEastAsia" w:hAnsiTheme="minorEastAsia" w:eastAsiaTheme="minorEastAsia" w:cstheme="minorEastAsia"/>
          <w:b w:val="0"/>
          <w:color w:val="auto"/>
          <w:sz w:val="24"/>
        </w:rPr>
        <w:t>.此承诺函为参考格式，投标人可根据自身情况调整并进行承诺。</w:t>
      </w:r>
    </w:p>
    <w:p>
      <w:pPr>
        <w:pStyle w:val="4"/>
        <w:spacing w:line="340" w:lineRule="exac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br w:type="page"/>
      </w:r>
    </w:p>
    <w:p>
      <w:pPr>
        <w:spacing w:line="360" w:lineRule="auto"/>
        <w:ind w:firstLine="790" w:firstLineChars="246"/>
        <w:jc w:val="center"/>
        <w:rPr>
          <w:rFonts w:hint="eastAsia" w:asciiTheme="minorEastAsia" w:hAnsiTheme="minorEastAsia" w:eastAsiaTheme="minorEastAsia" w:cstheme="minorEastAsia"/>
          <w:b/>
          <w:color w:val="auto"/>
          <w:sz w:val="32"/>
          <w:szCs w:val="32"/>
          <w:lang w:eastAsia="zh-CN"/>
        </w:rPr>
      </w:pPr>
      <w:r>
        <w:rPr>
          <w:rFonts w:hint="eastAsia" w:asciiTheme="minorEastAsia" w:hAnsiTheme="minorEastAsia" w:eastAsiaTheme="minorEastAsia" w:cstheme="minorEastAsia"/>
          <w:b/>
          <w:color w:val="auto"/>
          <w:sz w:val="32"/>
          <w:szCs w:val="32"/>
          <w:lang w:eastAsia="zh-CN"/>
        </w:rPr>
        <w:t>五</w:t>
      </w:r>
      <w:r>
        <w:rPr>
          <w:rFonts w:hint="eastAsia" w:asciiTheme="minorEastAsia" w:hAnsiTheme="minorEastAsia" w:eastAsiaTheme="minorEastAsia" w:cstheme="minorEastAsia"/>
          <w:b/>
          <w:color w:val="auto"/>
          <w:sz w:val="32"/>
          <w:szCs w:val="32"/>
        </w:rPr>
        <w:t>、</w:t>
      </w:r>
      <w:r>
        <w:rPr>
          <w:rFonts w:hint="eastAsia" w:asciiTheme="minorEastAsia" w:hAnsiTheme="minorEastAsia" w:eastAsiaTheme="minorEastAsia" w:cstheme="minorEastAsia"/>
          <w:b/>
          <w:color w:val="auto"/>
          <w:sz w:val="32"/>
          <w:szCs w:val="32"/>
          <w:lang w:eastAsia="zh-CN"/>
        </w:rPr>
        <w:t>联合体协议书</w:t>
      </w:r>
    </w:p>
    <w:p>
      <w:pPr>
        <w:pStyle w:val="4"/>
        <w:tabs>
          <w:tab w:val="left" w:pos="567"/>
        </w:tabs>
        <w:ind w:firstLine="562"/>
        <w:jc w:val="center"/>
        <w:rPr>
          <w:rFonts w:hint="eastAsia" w:asciiTheme="minorEastAsia" w:hAnsiTheme="minorEastAsia" w:eastAsiaTheme="minorEastAsia" w:cstheme="minorEastAsia"/>
          <w:b/>
          <w:bCs w:val="0"/>
          <w:color w:val="auto"/>
          <w:kern w:val="0"/>
          <w:sz w:val="32"/>
          <w:szCs w:val="32"/>
          <w:lang w:val="en-US" w:eastAsia="zh-CN" w:bidi="ar-SA"/>
        </w:rPr>
      </w:pPr>
      <w:r>
        <w:rPr>
          <w:rFonts w:hint="eastAsia" w:asciiTheme="minorEastAsia" w:hAnsiTheme="minorEastAsia" w:eastAsiaTheme="minorEastAsia" w:cstheme="minorEastAsia"/>
          <w:b/>
          <w:bCs w:val="0"/>
          <w:color w:val="auto"/>
          <w:kern w:val="0"/>
          <w:sz w:val="32"/>
          <w:szCs w:val="32"/>
          <w:lang w:val="en-US" w:eastAsia="zh-CN" w:bidi="ar-SA"/>
        </w:rPr>
        <w:t>联合体协议书</w:t>
      </w:r>
    </w:p>
    <w:p>
      <w:pPr>
        <w:spacing w:line="400" w:lineRule="exact"/>
        <w:ind w:firstLine="480"/>
        <w:rPr>
          <w:rFonts w:hint="eastAsia" w:asciiTheme="minorEastAsia" w:hAnsiTheme="minorEastAsia" w:eastAsiaTheme="minorEastAsia" w:cstheme="minorEastAsia"/>
          <w:b w:val="0"/>
          <w:bCs/>
          <w:color w:val="auto"/>
          <w:sz w:val="24"/>
        </w:rPr>
      </w:pPr>
      <w:r>
        <w:rPr>
          <w:rFonts w:hint="eastAsia" w:asciiTheme="minorEastAsia" w:hAnsiTheme="minorEastAsia" w:eastAsiaTheme="minorEastAsia" w:cstheme="minorEastAsia"/>
          <w:b w:val="0"/>
          <w:bCs/>
          <w:color w:val="auto"/>
          <w:sz w:val="24"/>
          <w:u w:val="single"/>
        </w:rPr>
        <w:t xml:space="preserve">          </w:t>
      </w:r>
      <w:r>
        <w:rPr>
          <w:rFonts w:hint="eastAsia" w:asciiTheme="minorEastAsia" w:hAnsiTheme="minorEastAsia" w:eastAsiaTheme="minorEastAsia" w:cstheme="minorEastAsia"/>
          <w:b w:val="0"/>
          <w:bCs/>
          <w:color w:val="auto"/>
          <w:sz w:val="24"/>
        </w:rPr>
        <w:t>（所有成员单位名称）自愿组成</w:t>
      </w:r>
      <w:r>
        <w:rPr>
          <w:rFonts w:hint="eastAsia" w:asciiTheme="minorEastAsia" w:hAnsiTheme="minorEastAsia" w:eastAsiaTheme="minorEastAsia" w:cstheme="minorEastAsia"/>
          <w:b w:val="0"/>
          <w:bCs/>
          <w:color w:val="auto"/>
          <w:sz w:val="24"/>
          <w:u w:val="single"/>
        </w:rPr>
        <w:t xml:space="preserve">         </w:t>
      </w:r>
      <w:r>
        <w:rPr>
          <w:rFonts w:hint="eastAsia" w:asciiTheme="minorEastAsia" w:hAnsiTheme="minorEastAsia" w:eastAsiaTheme="minorEastAsia" w:cstheme="minorEastAsia"/>
          <w:b w:val="0"/>
          <w:bCs/>
          <w:color w:val="auto"/>
          <w:sz w:val="24"/>
        </w:rPr>
        <w:t>（联合体名称）联合体，共同参加</w:t>
      </w:r>
      <w:r>
        <w:rPr>
          <w:rFonts w:hint="eastAsia" w:asciiTheme="minorEastAsia" w:hAnsiTheme="minorEastAsia" w:eastAsiaTheme="minorEastAsia" w:cstheme="minorEastAsia"/>
          <w:b w:val="0"/>
          <w:bCs/>
          <w:color w:val="auto"/>
          <w:sz w:val="24"/>
          <w:u w:val="single"/>
        </w:rPr>
        <w:t xml:space="preserve"> （采购项目名称） </w:t>
      </w:r>
      <w:r>
        <w:rPr>
          <w:rFonts w:hint="eastAsia" w:asciiTheme="minorEastAsia" w:hAnsiTheme="minorEastAsia" w:eastAsiaTheme="minorEastAsia" w:cstheme="minorEastAsia"/>
          <w:b w:val="0"/>
          <w:bCs/>
          <w:color w:val="auto"/>
          <w:sz w:val="24"/>
        </w:rPr>
        <w:t>（</w:t>
      </w:r>
      <w:r>
        <w:rPr>
          <w:rFonts w:hint="eastAsia" w:asciiTheme="minorEastAsia" w:hAnsiTheme="minorEastAsia" w:eastAsiaTheme="minorEastAsia" w:cstheme="minorEastAsia"/>
          <w:b w:val="0"/>
          <w:color w:val="auto"/>
          <w:sz w:val="24"/>
          <w:szCs w:val="24"/>
        </w:rPr>
        <w:t>采购项目编号：</w:t>
      </w:r>
      <w:r>
        <w:rPr>
          <w:rFonts w:hint="eastAsia" w:asciiTheme="minorEastAsia" w:hAnsiTheme="minorEastAsia" w:eastAsiaTheme="minorEastAsia" w:cstheme="minorEastAsia"/>
          <w:b w:val="0"/>
          <w:bCs/>
          <w:color w:val="auto"/>
          <w:sz w:val="24"/>
          <w:szCs w:val="24"/>
          <w:u w:val="single"/>
        </w:rPr>
        <w:t xml:space="preserve">          </w:t>
      </w:r>
      <w:r>
        <w:rPr>
          <w:rFonts w:hint="eastAsia" w:asciiTheme="minorEastAsia" w:hAnsiTheme="minorEastAsia" w:eastAsiaTheme="minorEastAsia" w:cstheme="minorEastAsia"/>
          <w:b w:val="0"/>
          <w:color w:val="auto"/>
          <w:sz w:val="24"/>
          <w:szCs w:val="24"/>
        </w:rPr>
        <w:t>）（包件号及名称：</w:t>
      </w:r>
      <w:r>
        <w:rPr>
          <w:rFonts w:hint="eastAsia" w:asciiTheme="minorEastAsia" w:hAnsiTheme="minorEastAsia" w:eastAsiaTheme="minorEastAsia" w:cstheme="minorEastAsia"/>
          <w:b w:val="0"/>
          <w:color w:val="auto"/>
          <w:sz w:val="24"/>
          <w:szCs w:val="24"/>
          <w:u w:val="single"/>
        </w:rPr>
        <w:t xml:space="preserve">         </w:t>
      </w:r>
      <w:r>
        <w:rPr>
          <w:rFonts w:hint="eastAsia" w:asciiTheme="minorEastAsia" w:hAnsiTheme="minorEastAsia" w:eastAsiaTheme="minorEastAsia" w:cstheme="minorEastAsia"/>
          <w:b w:val="0"/>
          <w:color w:val="auto"/>
          <w:sz w:val="24"/>
          <w:szCs w:val="24"/>
        </w:rPr>
        <w:t>）</w:t>
      </w:r>
      <w:r>
        <w:rPr>
          <w:rFonts w:hint="eastAsia" w:asciiTheme="minorEastAsia" w:hAnsiTheme="minorEastAsia" w:eastAsiaTheme="minorEastAsia" w:cstheme="minorEastAsia"/>
          <w:b w:val="0"/>
          <w:bCs/>
          <w:color w:val="auto"/>
          <w:sz w:val="24"/>
        </w:rPr>
        <w:t>。现就联合体参与项目事宜订立如下协议。</w:t>
      </w:r>
    </w:p>
    <w:p>
      <w:pPr>
        <w:spacing w:line="400" w:lineRule="exact"/>
        <w:ind w:firstLine="480"/>
        <w:rPr>
          <w:rFonts w:hint="eastAsia" w:asciiTheme="minorEastAsia" w:hAnsiTheme="minorEastAsia" w:eastAsiaTheme="minorEastAsia" w:cstheme="minorEastAsia"/>
          <w:b w:val="0"/>
          <w:bCs/>
          <w:color w:val="auto"/>
          <w:sz w:val="24"/>
        </w:rPr>
      </w:pPr>
      <w:r>
        <w:rPr>
          <w:rFonts w:hint="eastAsia" w:asciiTheme="minorEastAsia" w:hAnsiTheme="minorEastAsia" w:eastAsiaTheme="minorEastAsia" w:cstheme="minorEastAsia"/>
          <w:b w:val="0"/>
          <w:bCs/>
          <w:color w:val="auto"/>
          <w:sz w:val="24"/>
        </w:rPr>
        <w:t>1、</w:t>
      </w:r>
      <w:r>
        <w:rPr>
          <w:rFonts w:hint="eastAsia" w:asciiTheme="minorEastAsia" w:hAnsiTheme="minorEastAsia" w:eastAsiaTheme="minorEastAsia" w:cstheme="minorEastAsia"/>
          <w:b w:val="0"/>
          <w:bCs/>
          <w:color w:val="auto"/>
          <w:sz w:val="24"/>
          <w:u w:val="single"/>
        </w:rPr>
        <w:t xml:space="preserve">       </w:t>
      </w:r>
      <w:r>
        <w:rPr>
          <w:rFonts w:hint="eastAsia" w:asciiTheme="minorEastAsia" w:hAnsiTheme="minorEastAsia" w:eastAsiaTheme="minorEastAsia" w:cstheme="minorEastAsia"/>
          <w:b w:val="0"/>
          <w:bCs/>
          <w:color w:val="auto"/>
          <w:sz w:val="24"/>
        </w:rPr>
        <w:t>（某成员单位名称）为</w:t>
      </w:r>
      <w:r>
        <w:rPr>
          <w:rFonts w:hint="eastAsia" w:asciiTheme="minorEastAsia" w:hAnsiTheme="minorEastAsia" w:eastAsiaTheme="minorEastAsia" w:cstheme="minorEastAsia"/>
          <w:b w:val="0"/>
          <w:bCs/>
          <w:color w:val="auto"/>
          <w:sz w:val="24"/>
          <w:u w:val="single"/>
        </w:rPr>
        <w:t xml:space="preserve">        </w:t>
      </w:r>
      <w:r>
        <w:rPr>
          <w:rFonts w:hint="eastAsia" w:asciiTheme="minorEastAsia" w:hAnsiTheme="minorEastAsia" w:eastAsiaTheme="minorEastAsia" w:cstheme="minorEastAsia"/>
          <w:b w:val="0"/>
          <w:bCs/>
          <w:color w:val="auto"/>
          <w:sz w:val="24"/>
        </w:rPr>
        <w:t>（联合体名称）牵头人。</w:t>
      </w:r>
    </w:p>
    <w:p>
      <w:pPr>
        <w:spacing w:line="400" w:lineRule="exact"/>
        <w:ind w:firstLine="480"/>
        <w:rPr>
          <w:rFonts w:hint="eastAsia" w:asciiTheme="minorEastAsia" w:hAnsiTheme="minorEastAsia" w:eastAsiaTheme="minorEastAsia" w:cstheme="minorEastAsia"/>
          <w:b w:val="0"/>
          <w:bCs/>
          <w:color w:val="auto"/>
          <w:sz w:val="24"/>
        </w:rPr>
      </w:pPr>
      <w:r>
        <w:rPr>
          <w:rFonts w:hint="eastAsia" w:asciiTheme="minorEastAsia" w:hAnsiTheme="minorEastAsia" w:eastAsiaTheme="minorEastAsia" w:cstheme="minorEastAsia"/>
          <w:b w:val="0"/>
          <w:bCs/>
          <w:color w:val="auto"/>
          <w:sz w:val="24"/>
        </w:rPr>
        <w:t>2、联合体牵头人合法代表联合体各成员负责本招标项目投标文件的编制和合同谈判活动，并代表联合体提交和接收相关的资料、信息及指示，并处理与之有关的一切事务，负责合同实施阶段的主办、组织和协调工作，及后期服务质量的牵头工作。</w:t>
      </w:r>
    </w:p>
    <w:p>
      <w:pPr>
        <w:spacing w:line="400" w:lineRule="exact"/>
        <w:ind w:firstLine="480"/>
        <w:rPr>
          <w:rFonts w:hint="eastAsia" w:asciiTheme="minorEastAsia" w:hAnsiTheme="minorEastAsia" w:eastAsiaTheme="minorEastAsia" w:cstheme="minorEastAsia"/>
          <w:b w:val="0"/>
          <w:bCs/>
          <w:color w:val="auto"/>
          <w:sz w:val="24"/>
        </w:rPr>
      </w:pPr>
      <w:r>
        <w:rPr>
          <w:rFonts w:hint="eastAsia" w:asciiTheme="minorEastAsia" w:hAnsiTheme="minorEastAsia" w:eastAsiaTheme="minorEastAsia" w:cstheme="minorEastAsia"/>
          <w:b w:val="0"/>
          <w:bCs/>
          <w:color w:val="auto"/>
          <w:sz w:val="24"/>
        </w:rPr>
        <w:t>3、联合体将严格按照招标文件的各项要求，递交投标文件，履行合同，并对外承担连带责任。</w:t>
      </w:r>
    </w:p>
    <w:p>
      <w:pPr>
        <w:spacing w:line="400" w:lineRule="exact"/>
        <w:ind w:firstLine="480"/>
        <w:rPr>
          <w:rFonts w:hint="eastAsia" w:asciiTheme="minorEastAsia" w:hAnsiTheme="minorEastAsia" w:eastAsiaTheme="minorEastAsia" w:cstheme="minorEastAsia"/>
          <w:b w:val="0"/>
          <w:bCs/>
          <w:color w:val="auto"/>
          <w:sz w:val="24"/>
        </w:rPr>
      </w:pPr>
      <w:r>
        <w:rPr>
          <w:rFonts w:hint="eastAsia" w:asciiTheme="minorEastAsia" w:hAnsiTheme="minorEastAsia" w:eastAsiaTheme="minorEastAsia" w:cstheme="minorEastAsia"/>
          <w:b w:val="0"/>
          <w:bCs/>
          <w:color w:val="auto"/>
          <w:sz w:val="24"/>
        </w:rPr>
        <w:t>4、联合体各成员单位内部的职责分工如下：</w:t>
      </w:r>
      <w:r>
        <w:rPr>
          <w:rFonts w:hint="eastAsia" w:asciiTheme="minorEastAsia" w:hAnsiTheme="minorEastAsia" w:eastAsiaTheme="minorEastAsia" w:cstheme="minorEastAsia"/>
          <w:b w:val="0"/>
          <w:bCs/>
          <w:color w:val="auto"/>
          <w:sz w:val="24"/>
          <w:u w:val="single"/>
        </w:rPr>
        <w:t xml:space="preserve">                 </w:t>
      </w:r>
      <w:r>
        <w:rPr>
          <w:rFonts w:hint="eastAsia" w:asciiTheme="minorEastAsia" w:hAnsiTheme="minorEastAsia" w:eastAsiaTheme="minorEastAsia" w:cstheme="minorEastAsia"/>
          <w:b w:val="0"/>
          <w:bCs/>
          <w:color w:val="auto"/>
          <w:sz w:val="24"/>
        </w:rPr>
        <w:t xml:space="preserve"> 。</w:t>
      </w:r>
    </w:p>
    <w:p>
      <w:pPr>
        <w:spacing w:line="400" w:lineRule="exact"/>
        <w:ind w:firstLine="480"/>
        <w:rPr>
          <w:rFonts w:hint="eastAsia" w:asciiTheme="minorEastAsia" w:hAnsiTheme="minorEastAsia" w:eastAsiaTheme="minorEastAsia" w:cstheme="minorEastAsia"/>
          <w:b w:val="0"/>
          <w:bCs/>
          <w:color w:val="auto"/>
          <w:sz w:val="24"/>
        </w:rPr>
      </w:pPr>
      <w:r>
        <w:rPr>
          <w:rFonts w:hint="eastAsia" w:asciiTheme="minorEastAsia" w:hAnsiTheme="minorEastAsia" w:eastAsiaTheme="minorEastAsia" w:cstheme="minorEastAsia"/>
          <w:b w:val="0"/>
          <w:bCs/>
          <w:color w:val="auto"/>
          <w:sz w:val="24"/>
        </w:rPr>
        <w:t xml:space="preserve">5、本协议书自签署之日起生效，合同履行完毕后自动失效。 </w:t>
      </w:r>
    </w:p>
    <w:p>
      <w:pPr>
        <w:spacing w:line="400" w:lineRule="exact"/>
        <w:ind w:firstLine="480"/>
        <w:rPr>
          <w:rFonts w:hint="eastAsia" w:asciiTheme="minorEastAsia" w:hAnsiTheme="minorEastAsia" w:eastAsiaTheme="minorEastAsia" w:cstheme="minorEastAsia"/>
          <w:b w:val="0"/>
          <w:bCs/>
          <w:color w:val="auto"/>
          <w:sz w:val="24"/>
        </w:rPr>
      </w:pPr>
      <w:r>
        <w:rPr>
          <w:rFonts w:hint="eastAsia" w:asciiTheme="minorEastAsia" w:hAnsiTheme="minorEastAsia" w:eastAsiaTheme="minorEastAsia" w:cstheme="minorEastAsia"/>
          <w:b w:val="0"/>
          <w:bCs/>
          <w:color w:val="auto"/>
          <w:sz w:val="24"/>
        </w:rPr>
        <w:t>6、本协议书一式</w:t>
      </w:r>
      <w:r>
        <w:rPr>
          <w:rFonts w:hint="eastAsia" w:asciiTheme="minorEastAsia" w:hAnsiTheme="minorEastAsia" w:eastAsiaTheme="minorEastAsia" w:cstheme="minorEastAsia"/>
          <w:b w:val="0"/>
          <w:bCs/>
          <w:color w:val="auto"/>
          <w:sz w:val="24"/>
          <w:u w:val="single"/>
        </w:rPr>
        <w:t xml:space="preserve">     </w:t>
      </w:r>
      <w:r>
        <w:rPr>
          <w:rFonts w:hint="eastAsia" w:asciiTheme="minorEastAsia" w:hAnsiTheme="minorEastAsia" w:eastAsiaTheme="minorEastAsia" w:cstheme="minorEastAsia"/>
          <w:b w:val="0"/>
          <w:bCs/>
          <w:color w:val="auto"/>
          <w:sz w:val="24"/>
        </w:rPr>
        <w:t>份，联合体成员和</w:t>
      </w:r>
      <w:r>
        <w:rPr>
          <w:rFonts w:hint="eastAsia" w:asciiTheme="minorEastAsia" w:hAnsiTheme="minorEastAsia" w:eastAsiaTheme="minorEastAsia" w:cstheme="minorEastAsia"/>
          <w:b w:val="0"/>
          <w:bCs/>
          <w:color w:val="auto"/>
          <w:sz w:val="24"/>
          <w:lang w:eastAsia="zh-CN"/>
        </w:rPr>
        <w:t>采购</w:t>
      </w:r>
      <w:r>
        <w:rPr>
          <w:rFonts w:hint="eastAsia" w:asciiTheme="minorEastAsia" w:hAnsiTheme="minorEastAsia" w:eastAsiaTheme="minorEastAsia" w:cstheme="minorEastAsia"/>
          <w:b w:val="0"/>
          <w:bCs/>
          <w:color w:val="auto"/>
          <w:sz w:val="24"/>
        </w:rPr>
        <w:t>人各执一份。</w:t>
      </w:r>
    </w:p>
    <w:p>
      <w:pPr>
        <w:spacing w:line="400" w:lineRule="exact"/>
        <w:ind w:firstLine="480"/>
        <w:rPr>
          <w:rFonts w:hint="eastAsia" w:asciiTheme="minorEastAsia" w:hAnsiTheme="minorEastAsia" w:eastAsiaTheme="minorEastAsia" w:cstheme="minorEastAsia"/>
          <w:b w:val="0"/>
          <w:bCs/>
          <w:color w:val="auto"/>
          <w:sz w:val="24"/>
        </w:rPr>
      </w:pPr>
    </w:p>
    <w:p>
      <w:pPr>
        <w:spacing w:line="400" w:lineRule="exact"/>
        <w:ind w:firstLine="480"/>
        <w:rPr>
          <w:rFonts w:hint="eastAsia" w:asciiTheme="minorEastAsia" w:hAnsiTheme="minorEastAsia" w:eastAsiaTheme="minorEastAsia" w:cstheme="minorEastAsia"/>
          <w:b w:val="0"/>
          <w:bCs/>
          <w:color w:val="auto"/>
          <w:sz w:val="24"/>
        </w:rPr>
      </w:pPr>
      <w:r>
        <w:rPr>
          <w:rFonts w:hint="eastAsia" w:asciiTheme="minorEastAsia" w:hAnsiTheme="minorEastAsia" w:eastAsiaTheme="minorEastAsia" w:cstheme="minorEastAsia"/>
          <w:b w:val="0"/>
          <w:bCs/>
          <w:color w:val="auto"/>
          <w:sz w:val="24"/>
        </w:rPr>
        <w:t>注：本协议书由委托代理人签字的，应附法定代表人签字的授权委托书。</w:t>
      </w:r>
    </w:p>
    <w:p>
      <w:pPr>
        <w:spacing w:line="400" w:lineRule="exact"/>
        <w:ind w:firstLine="480"/>
        <w:rPr>
          <w:rFonts w:hint="eastAsia" w:asciiTheme="minorEastAsia" w:hAnsiTheme="minorEastAsia" w:eastAsiaTheme="minorEastAsia" w:cstheme="minorEastAsia"/>
          <w:b w:val="0"/>
          <w:bCs/>
          <w:color w:val="auto"/>
          <w:sz w:val="24"/>
        </w:rPr>
      </w:pPr>
    </w:p>
    <w:p>
      <w:pPr>
        <w:spacing w:line="400" w:lineRule="exact"/>
        <w:ind w:firstLine="480"/>
        <w:rPr>
          <w:rFonts w:hint="eastAsia" w:asciiTheme="minorEastAsia" w:hAnsiTheme="minorEastAsia" w:eastAsiaTheme="minorEastAsia" w:cstheme="minorEastAsia"/>
          <w:b w:val="0"/>
          <w:bCs/>
          <w:color w:val="auto"/>
          <w:sz w:val="24"/>
        </w:rPr>
      </w:pPr>
      <w:r>
        <w:rPr>
          <w:rFonts w:hint="eastAsia" w:asciiTheme="minorEastAsia" w:hAnsiTheme="minorEastAsia" w:eastAsiaTheme="minorEastAsia" w:cstheme="minorEastAsia"/>
          <w:b w:val="0"/>
          <w:bCs/>
          <w:color w:val="auto"/>
          <w:sz w:val="24"/>
        </w:rPr>
        <w:t>牵头人名称：</w:t>
      </w:r>
      <w:r>
        <w:rPr>
          <w:rFonts w:hint="eastAsia" w:asciiTheme="minorEastAsia" w:hAnsiTheme="minorEastAsia" w:eastAsiaTheme="minorEastAsia" w:cstheme="minorEastAsia"/>
          <w:b w:val="0"/>
          <w:bCs/>
          <w:color w:val="auto"/>
          <w:sz w:val="24"/>
          <w:u w:val="single"/>
        </w:rPr>
        <w:t xml:space="preserve">                                 </w:t>
      </w:r>
      <w:r>
        <w:rPr>
          <w:rFonts w:hint="eastAsia" w:asciiTheme="minorEastAsia" w:hAnsiTheme="minorEastAsia" w:eastAsiaTheme="minorEastAsia" w:cstheme="minorEastAsia"/>
          <w:b w:val="0"/>
          <w:bCs/>
          <w:color w:val="auto"/>
          <w:sz w:val="24"/>
        </w:rPr>
        <w:t>（加盖公章或电子签章）</w:t>
      </w:r>
    </w:p>
    <w:p>
      <w:pPr>
        <w:spacing w:line="400" w:lineRule="exact"/>
        <w:ind w:firstLine="480"/>
        <w:rPr>
          <w:rFonts w:hint="eastAsia" w:asciiTheme="minorEastAsia" w:hAnsiTheme="minorEastAsia" w:eastAsiaTheme="minorEastAsia" w:cstheme="minorEastAsia"/>
          <w:b w:val="0"/>
          <w:bCs/>
          <w:color w:val="auto"/>
          <w:sz w:val="24"/>
        </w:rPr>
      </w:pPr>
      <w:r>
        <w:rPr>
          <w:rFonts w:hint="eastAsia" w:asciiTheme="minorEastAsia" w:hAnsiTheme="minorEastAsia" w:eastAsiaTheme="minorEastAsia" w:cstheme="minorEastAsia"/>
          <w:b w:val="0"/>
          <w:bCs/>
          <w:color w:val="auto"/>
          <w:sz w:val="24"/>
        </w:rPr>
        <w:t>法定代表人或其委托代理人：</w:t>
      </w:r>
      <w:r>
        <w:rPr>
          <w:rFonts w:hint="eastAsia" w:asciiTheme="minorEastAsia" w:hAnsiTheme="minorEastAsia" w:eastAsiaTheme="minorEastAsia" w:cstheme="minorEastAsia"/>
          <w:b w:val="0"/>
          <w:bCs/>
          <w:color w:val="auto"/>
          <w:sz w:val="24"/>
          <w:u w:val="single"/>
        </w:rPr>
        <w:t xml:space="preserve">              </w:t>
      </w:r>
      <w:r>
        <w:rPr>
          <w:rFonts w:hint="eastAsia" w:asciiTheme="minorEastAsia" w:hAnsiTheme="minorEastAsia" w:eastAsiaTheme="minorEastAsia" w:cstheme="minorEastAsia"/>
          <w:b w:val="0"/>
          <w:bCs/>
          <w:color w:val="auto"/>
          <w:sz w:val="24"/>
        </w:rPr>
        <w:t>（签字或加盖印章）</w:t>
      </w:r>
    </w:p>
    <w:p>
      <w:pPr>
        <w:spacing w:line="400" w:lineRule="exact"/>
        <w:ind w:firstLine="480"/>
        <w:rPr>
          <w:rFonts w:hint="eastAsia" w:asciiTheme="minorEastAsia" w:hAnsiTheme="minorEastAsia" w:eastAsiaTheme="minorEastAsia" w:cstheme="minorEastAsia"/>
          <w:b w:val="0"/>
          <w:bCs/>
          <w:color w:val="auto"/>
          <w:sz w:val="24"/>
        </w:rPr>
      </w:pPr>
    </w:p>
    <w:p>
      <w:pPr>
        <w:spacing w:line="400" w:lineRule="exact"/>
        <w:ind w:firstLine="480"/>
        <w:rPr>
          <w:rFonts w:hint="eastAsia" w:asciiTheme="minorEastAsia" w:hAnsiTheme="minorEastAsia" w:eastAsiaTheme="minorEastAsia" w:cstheme="minorEastAsia"/>
          <w:b w:val="0"/>
          <w:bCs/>
          <w:color w:val="auto"/>
          <w:sz w:val="24"/>
        </w:rPr>
      </w:pPr>
      <w:r>
        <w:rPr>
          <w:rFonts w:hint="eastAsia" w:asciiTheme="minorEastAsia" w:hAnsiTheme="minorEastAsia" w:eastAsiaTheme="minorEastAsia" w:cstheme="minorEastAsia"/>
          <w:b w:val="0"/>
          <w:bCs/>
          <w:color w:val="auto"/>
          <w:sz w:val="24"/>
        </w:rPr>
        <w:t>成员一名称：</w:t>
      </w:r>
      <w:r>
        <w:rPr>
          <w:rFonts w:hint="eastAsia" w:asciiTheme="minorEastAsia" w:hAnsiTheme="minorEastAsia" w:eastAsiaTheme="minorEastAsia" w:cstheme="minorEastAsia"/>
          <w:b w:val="0"/>
          <w:bCs/>
          <w:color w:val="auto"/>
          <w:sz w:val="24"/>
          <w:u w:val="single"/>
        </w:rPr>
        <w:t xml:space="preserve">                                 </w:t>
      </w:r>
      <w:r>
        <w:rPr>
          <w:rFonts w:hint="eastAsia" w:asciiTheme="minorEastAsia" w:hAnsiTheme="minorEastAsia" w:eastAsiaTheme="minorEastAsia" w:cstheme="minorEastAsia"/>
          <w:b w:val="0"/>
          <w:bCs/>
          <w:color w:val="auto"/>
          <w:sz w:val="24"/>
        </w:rPr>
        <w:t>（加盖公章或电子签章）</w:t>
      </w:r>
    </w:p>
    <w:p>
      <w:pPr>
        <w:spacing w:line="400" w:lineRule="exact"/>
        <w:ind w:firstLine="480"/>
        <w:rPr>
          <w:rFonts w:hint="eastAsia" w:asciiTheme="minorEastAsia" w:hAnsiTheme="minorEastAsia" w:eastAsiaTheme="minorEastAsia" w:cstheme="minorEastAsia"/>
          <w:b w:val="0"/>
          <w:bCs/>
          <w:color w:val="auto"/>
          <w:sz w:val="24"/>
        </w:rPr>
      </w:pPr>
      <w:r>
        <w:rPr>
          <w:rFonts w:hint="eastAsia" w:asciiTheme="minorEastAsia" w:hAnsiTheme="minorEastAsia" w:eastAsiaTheme="minorEastAsia" w:cstheme="minorEastAsia"/>
          <w:b w:val="0"/>
          <w:bCs/>
          <w:color w:val="auto"/>
          <w:sz w:val="24"/>
        </w:rPr>
        <w:t>法定代表人或其委托代理人：</w:t>
      </w:r>
      <w:r>
        <w:rPr>
          <w:rFonts w:hint="eastAsia" w:asciiTheme="minorEastAsia" w:hAnsiTheme="minorEastAsia" w:eastAsiaTheme="minorEastAsia" w:cstheme="minorEastAsia"/>
          <w:b w:val="0"/>
          <w:bCs/>
          <w:color w:val="auto"/>
          <w:sz w:val="24"/>
          <w:u w:val="single"/>
        </w:rPr>
        <w:t xml:space="preserve">             </w:t>
      </w:r>
      <w:r>
        <w:rPr>
          <w:rFonts w:hint="eastAsia" w:asciiTheme="minorEastAsia" w:hAnsiTheme="minorEastAsia" w:eastAsiaTheme="minorEastAsia" w:cstheme="minorEastAsia"/>
          <w:b w:val="0"/>
          <w:bCs/>
          <w:color w:val="auto"/>
          <w:sz w:val="24"/>
        </w:rPr>
        <w:t>（签字或加盖印章）</w:t>
      </w:r>
    </w:p>
    <w:p>
      <w:pPr>
        <w:spacing w:line="400" w:lineRule="exact"/>
        <w:ind w:firstLine="480"/>
        <w:rPr>
          <w:rFonts w:hint="eastAsia" w:asciiTheme="minorEastAsia" w:hAnsiTheme="minorEastAsia" w:eastAsiaTheme="minorEastAsia" w:cstheme="minorEastAsia"/>
          <w:b w:val="0"/>
          <w:bCs/>
          <w:color w:val="auto"/>
          <w:sz w:val="24"/>
        </w:rPr>
      </w:pPr>
      <w:r>
        <w:rPr>
          <w:rFonts w:hint="eastAsia" w:asciiTheme="minorEastAsia" w:hAnsiTheme="minorEastAsia" w:eastAsiaTheme="minorEastAsia" w:cstheme="minorEastAsia"/>
          <w:b w:val="0"/>
          <w:bCs/>
          <w:color w:val="auto"/>
          <w:sz w:val="24"/>
        </w:rPr>
        <w:t xml:space="preserve"> </w:t>
      </w:r>
    </w:p>
    <w:p>
      <w:pPr>
        <w:spacing w:line="400" w:lineRule="exact"/>
        <w:ind w:firstLine="480"/>
        <w:rPr>
          <w:rFonts w:hint="eastAsia" w:asciiTheme="minorEastAsia" w:hAnsiTheme="minorEastAsia" w:eastAsiaTheme="minorEastAsia" w:cstheme="minorEastAsia"/>
          <w:b w:val="0"/>
          <w:bCs/>
          <w:color w:val="auto"/>
          <w:sz w:val="24"/>
        </w:rPr>
      </w:pPr>
      <w:r>
        <w:rPr>
          <w:rFonts w:hint="eastAsia" w:asciiTheme="minorEastAsia" w:hAnsiTheme="minorEastAsia" w:eastAsiaTheme="minorEastAsia" w:cstheme="minorEastAsia"/>
          <w:b w:val="0"/>
          <w:bCs/>
          <w:color w:val="auto"/>
          <w:sz w:val="24"/>
        </w:rPr>
        <w:t>成员二名称：</w:t>
      </w:r>
      <w:r>
        <w:rPr>
          <w:rFonts w:hint="eastAsia" w:asciiTheme="minorEastAsia" w:hAnsiTheme="minorEastAsia" w:eastAsiaTheme="minorEastAsia" w:cstheme="minorEastAsia"/>
          <w:b w:val="0"/>
          <w:bCs/>
          <w:color w:val="auto"/>
          <w:sz w:val="24"/>
          <w:u w:val="single"/>
        </w:rPr>
        <w:t xml:space="preserve">                                 </w:t>
      </w:r>
      <w:r>
        <w:rPr>
          <w:rFonts w:hint="eastAsia" w:asciiTheme="minorEastAsia" w:hAnsiTheme="minorEastAsia" w:eastAsiaTheme="minorEastAsia" w:cstheme="minorEastAsia"/>
          <w:b w:val="0"/>
          <w:bCs/>
          <w:color w:val="auto"/>
          <w:sz w:val="24"/>
        </w:rPr>
        <w:t>（加盖公章或电子签章）</w:t>
      </w:r>
    </w:p>
    <w:p>
      <w:pPr>
        <w:spacing w:line="400" w:lineRule="exact"/>
        <w:ind w:firstLine="480"/>
        <w:rPr>
          <w:rFonts w:hint="eastAsia" w:asciiTheme="minorEastAsia" w:hAnsiTheme="minorEastAsia" w:eastAsiaTheme="minorEastAsia" w:cstheme="minorEastAsia"/>
          <w:b w:val="0"/>
          <w:bCs/>
          <w:color w:val="auto"/>
          <w:sz w:val="24"/>
        </w:rPr>
      </w:pPr>
      <w:r>
        <w:rPr>
          <w:rFonts w:hint="eastAsia" w:asciiTheme="minorEastAsia" w:hAnsiTheme="minorEastAsia" w:eastAsiaTheme="minorEastAsia" w:cstheme="minorEastAsia"/>
          <w:b w:val="0"/>
          <w:bCs/>
          <w:color w:val="auto"/>
          <w:sz w:val="24"/>
        </w:rPr>
        <w:t>法定代表人或其委托代理人：</w:t>
      </w:r>
      <w:r>
        <w:rPr>
          <w:rFonts w:hint="eastAsia" w:asciiTheme="minorEastAsia" w:hAnsiTheme="minorEastAsia" w:eastAsiaTheme="minorEastAsia" w:cstheme="minorEastAsia"/>
          <w:b w:val="0"/>
          <w:bCs/>
          <w:color w:val="auto"/>
          <w:sz w:val="24"/>
          <w:u w:val="single"/>
        </w:rPr>
        <w:t xml:space="preserve">              </w:t>
      </w:r>
      <w:r>
        <w:rPr>
          <w:rFonts w:hint="eastAsia" w:asciiTheme="minorEastAsia" w:hAnsiTheme="minorEastAsia" w:eastAsiaTheme="minorEastAsia" w:cstheme="minorEastAsia"/>
          <w:b w:val="0"/>
          <w:bCs/>
          <w:color w:val="auto"/>
          <w:sz w:val="24"/>
        </w:rPr>
        <w:t>（签字或加盖印章）</w:t>
      </w:r>
    </w:p>
    <w:p>
      <w:pPr>
        <w:spacing w:line="400" w:lineRule="exact"/>
        <w:ind w:firstLine="480"/>
        <w:rPr>
          <w:rFonts w:hint="eastAsia" w:asciiTheme="minorEastAsia" w:hAnsiTheme="minorEastAsia" w:eastAsiaTheme="minorEastAsia" w:cstheme="minorEastAsia"/>
          <w:b w:val="0"/>
          <w:bCs/>
          <w:color w:val="auto"/>
          <w:sz w:val="24"/>
        </w:rPr>
      </w:pPr>
    </w:p>
    <w:p>
      <w:pPr>
        <w:spacing w:line="400" w:lineRule="exact"/>
        <w:ind w:firstLine="480"/>
        <w:rPr>
          <w:rFonts w:hint="eastAsia" w:asciiTheme="minorEastAsia" w:hAnsiTheme="minorEastAsia" w:eastAsiaTheme="minorEastAsia" w:cstheme="minorEastAsia"/>
          <w:b w:val="0"/>
          <w:bCs/>
          <w:color w:val="auto"/>
          <w:sz w:val="24"/>
        </w:rPr>
      </w:pPr>
      <w:r>
        <w:rPr>
          <w:rFonts w:hint="eastAsia" w:asciiTheme="minorEastAsia" w:hAnsiTheme="minorEastAsia" w:eastAsiaTheme="minorEastAsia" w:cstheme="minorEastAsia"/>
          <w:b w:val="0"/>
          <w:bCs/>
          <w:color w:val="auto"/>
          <w:sz w:val="24"/>
        </w:rPr>
        <w:t>......</w:t>
      </w:r>
    </w:p>
    <w:p>
      <w:pPr>
        <w:spacing w:line="400" w:lineRule="exact"/>
        <w:ind w:firstLine="480"/>
        <w:jc w:val="right"/>
        <w:rPr>
          <w:rFonts w:hint="eastAsia" w:asciiTheme="minorEastAsia" w:hAnsiTheme="minorEastAsia" w:eastAsiaTheme="minorEastAsia" w:cstheme="minorEastAsia"/>
          <w:b w:val="0"/>
          <w:bCs/>
          <w:color w:val="auto"/>
          <w:sz w:val="24"/>
        </w:rPr>
      </w:pPr>
      <w:r>
        <w:rPr>
          <w:rFonts w:hint="eastAsia" w:asciiTheme="minorEastAsia" w:hAnsiTheme="minorEastAsia" w:eastAsiaTheme="minorEastAsia" w:cstheme="minorEastAsia"/>
          <w:b w:val="0"/>
          <w:bCs/>
          <w:color w:val="auto"/>
          <w:sz w:val="24"/>
          <w:u w:val="single"/>
        </w:rPr>
        <w:t xml:space="preserve">        </w:t>
      </w:r>
      <w:r>
        <w:rPr>
          <w:rFonts w:hint="eastAsia" w:asciiTheme="minorEastAsia" w:hAnsiTheme="minorEastAsia" w:eastAsiaTheme="minorEastAsia" w:cstheme="minorEastAsia"/>
          <w:b w:val="0"/>
          <w:bCs/>
          <w:color w:val="auto"/>
          <w:sz w:val="24"/>
        </w:rPr>
        <w:t>年</w:t>
      </w:r>
      <w:r>
        <w:rPr>
          <w:rFonts w:hint="eastAsia" w:asciiTheme="minorEastAsia" w:hAnsiTheme="minorEastAsia" w:eastAsiaTheme="minorEastAsia" w:cstheme="minorEastAsia"/>
          <w:b w:val="0"/>
          <w:bCs/>
          <w:color w:val="auto"/>
          <w:sz w:val="24"/>
          <w:u w:val="single"/>
        </w:rPr>
        <w:t xml:space="preserve">       </w:t>
      </w:r>
      <w:r>
        <w:rPr>
          <w:rFonts w:hint="eastAsia" w:asciiTheme="minorEastAsia" w:hAnsiTheme="minorEastAsia" w:eastAsiaTheme="minorEastAsia" w:cstheme="minorEastAsia"/>
          <w:b w:val="0"/>
          <w:bCs/>
          <w:color w:val="auto"/>
          <w:sz w:val="24"/>
        </w:rPr>
        <w:t>月</w:t>
      </w:r>
      <w:r>
        <w:rPr>
          <w:rFonts w:hint="eastAsia" w:asciiTheme="minorEastAsia" w:hAnsiTheme="minorEastAsia" w:eastAsiaTheme="minorEastAsia" w:cstheme="minorEastAsia"/>
          <w:b w:val="0"/>
          <w:bCs/>
          <w:color w:val="auto"/>
          <w:sz w:val="24"/>
          <w:u w:val="single"/>
        </w:rPr>
        <w:t xml:space="preserve">       </w:t>
      </w:r>
      <w:r>
        <w:rPr>
          <w:rFonts w:hint="eastAsia" w:asciiTheme="minorEastAsia" w:hAnsiTheme="minorEastAsia" w:eastAsiaTheme="minorEastAsia" w:cstheme="minorEastAsia"/>
          <w:b w:val="0"/>
          <w:bCs/>
          <w:color w:val="auto"/>
          <w:sz w:val="24"/>
        </w:rPr>
        <w:t>日</w:t>
      </w:r>
    </w:p>
    <w:p>
      <w:pPr>
        <w:spacing w:line="400" w:lineRule="exact"/>
        <w:ind w:firstLineChars="0"/>
        <w:jc w:val="left"/>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rPr>
        <w:t>注： 1、非联合体投标的，投标人无需提供本协议。</w:t>
      </w:r>
    </w:p>
    <w:p>
      <w:pPr>
        <w:spacing w:line="400" w:lineRule="exact"/>
        <w:ind w:left="0" w:leftChars="0" w:firstLine="576" w:firstLineChars="240"/>
        <w:jc w:val="left"/>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rPr>
        <w:t>2、如为联合体投标的，该项由所有成员方盖章及签字。</w:t>
      </w:r>
    </w:p>
    <w:p>
      <w:pPr>
        <w:spacing w:line="360" w:lineRule="auto"/>
        <w:ind w:left="0" w:leftChars="0" w:firstLine="576" w:firstLineChars="240"/>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 w:val="0"/>
          <w:color w:val="auto"/>
          <w:sz w:val="24"/>
        </w:rPr>
        <w:t>3、联合体协议书可根据项目需要自行补充，但必须包含上述内容。</w:t>
      </w:r>
    </w:p>
    <w:p>
      <w:pPr>
        <w:spacing w:line="360" w:lineRule="auto"/>
        <w:jc w:val="center"/>
        <w:rPr>
          <w:rFonts w:hint="eastAsia" w:asciiTheme="minorEastAsia" w:hAnsiTheme="minorEastAsia" w:eastAsiaTheme="minorEastAsia" w:cstheme="minorEastAsia"/>
          <w:b/>
          <w:color w:val="auto"/>
          <w:sz w:val="32"/>
          <w:szCs w:val="32"/>
          <w:lang w:eastAsia="zh-CN"/>
        </w:rPr>
      </w:pPr>
      <w:r>
        <w:rPr>
          <w:rFonts w:hint="eastAsia" w:asciiTheme="minorEastAsia" w:hAnsiTheme="minorEastAsia" w:eastAsiaTheme="minorEastAsia" w:cstheme="minorEastAsia"/>
          <w:b/>
          <w:color w:val="auto"/>
          <w:sz w:val="32"/>
          <w:szCs w:val="32"/>
          <w:lang w:eastAsia="zh-CN"/>
        </w:rPr>
        <w:t>六、投标人应当提供的资格、资质性文件及其他具有类似效力的要求的相关证明材料</w:t>
      </w:r>
    </w:p>
    <w:p>
      <w:pPr>
        <w:spacing w:line="360" w:lineRule="auto"/>
        <w:jc w:val="center"/>
        <w:rPr>
          <w:rFonts w:hint="eastAsia" w:asciiTheme="minorEastAsia" w:hAnsiTheme="minorEastAsia" w:eastAsiaTheme="minorEastAsia" w:cstheme="minorEastAsia"/>
          <w:b/>
          <w:color w:val="auto"/>
          <w:sz w:val="32"/>
          <w:szCs w:val="32"/>
          <w:lang w:eastAsia="zh-CN"/>
        </w:rPr>
      </w:pPr>
      <w:r>
        <w:rPr>
          <w:rFonts w:hint="eastAsia" w:asciiTheme="minorEastAsia" w:hAnsiTheme="minorEastAsia" w:eastAsiaTheme="minorEastAsia" w:cstheme="minorEastAsia"/>
          <w:b/>
          <w:color w:val="auto"/>
          <w:sz w:val="32"/>
          <w:szCs w:val="32"/>
          <w:lang w:eastAsia="zh-CN"/>
        </w:rPr>
        <w:br w:type="page"/>
      </w:r>
    </w:p>
    <w:p>
      <w:pPr>
        <w:spacing w:line="360" w:lineRule="auto"/>
        <w:jc w:val="center"/>
        <w:rPr>
          <w:rFonts w:hint="eastAsia" w:asciiTheme="minorEastAsia" w:hAnsiTheme="minorEastAsia" w:eastAsiaTheme="minorEastAsia" w:cstheme="minorEastAsia"/>
          <w:b/>
          <w:color w:val="auto"/>
          <w:sz w:val="32"/>
          <w:szCs w:val="32"/>
          <w:lang w:eastAsia="zh-CN"/>
        </w:rPr>
      </w:pPr>
      <w:r>
        <w:rPr>
          <w:rFonts w:hint="eastAsia" w:asciiTheme="minorEastAsia" w:hAnsiTheme="minorEastAsia" w:eastAsiaTheme="minorEastAsia" w:cstheme="minorEastAsia"/>
          <w:b/>
          <w:color w:val="auto"/>
          <w:sz w:val="32"/>
          <w:szCs w:val="32"/>
          <w:lang w:eastAsia="zh-CN"/>
        </w:rPr>
        <w:t>七、中小企业声明函（服务）</w:t>
      </w:r>
    </w:p>
    <w:p>
      <w:pPr>
        <w:keepNext w:val="0"/>
        <w:keepLines w:val="0"/>
        <w:pageBreakBefore w:val="0"/>
        <w:widowControl/>
        <w:kinsoku/>
        <w:wordWrap/>
        <w:overflowPunct/>
        <w:topLinePunct w:val="0"/>
        <w:autoSpaceDE/>
        <w:autoSpaceDN/>
        <w:bidi w:val="0"/>
        <w:snapToGrid/>
        <w:spacing w:line="360" w:lineRule="auto"/>
        <w:ind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bidi="ar"/>
        </w:rPr>
        <w:t>本公司（联合体）郑重声明，根据《政府采购促进中小企业发展管理办法》（财库﹝2020﹞46 号）的规定，本公司 （联合体）参加</w:t>
      </w:r>
      <w:r>
        <w:rPr>
          <w:rFonts w:hint="eastAsia" w:asciiTheme="minorEastAsia" w:hAnsiTheme="minorEastAsia" w:eastAsiaTheme="minorEastAsia" w:cstheme="minorEastAsia"/>
          <w:color w:val="auto"/>
          <w:kern w:val="0"/>
          <w:sz w:val="24"/>
          <w:szCs w:val="24"/>
          <w:u w:val="single"/>
          <w:lang w:bidi="ar"/>
        </w:rPr>
        <w:t>（单位名称）</w:t>
      </w:r>
      <w:r>
        <w:rPr>
          <w:rFonts w:hint="eastAsia" w:asciiTheme="minorEastAsia" w:hAnsiTheme="minorEastAsia" w:eastAsiaTheme="minorEastAsia" w:cstheme="minorEastAsia"/>
          <w:color w:val="auto"/>
          <w:kern w:val="0"/>
          <w:sz w:val="24"/>
          <w:szCs w:val="24"/>
          <w:lang w:bidi="ar"/>
        </w:rPr>
        <w:t>的</w:t>
      </w:r>
      <w:r>
        <w:rPr>
          <w:rFonts w:hint="eastAsia" w:asciiTheme="minorEastAsia" w:hAnsiTheme="minorEastAsia" w:eastAsiaTheme="minorEastAsia" w:cstheme="minorEastAsia"/>
          <w:color w:val="auto"/>
          <w:kern w:val="0"/>
          <w:sz w:val="24"/>
          <w:szCs w:val="24"/>
          <w:u w:val="single"/>
          <w:lang w:bidi="ar"/>
        </w:rPr>
        <w:t>（</w:t>
      </w:r>
      <w:r>
        <w:rPr>
          <w:rFonts w:hint="eastAsia" w:asciiTheme="minorEastAsia" w:hAnsiTheme="minorEastAsia" w:eastAsiaTheme="minorEastAsia" w:cstheme="minorEastAsia"/>
          <w:color w:val="auto"/>
          <w:kern w:val="0"/>
          <w:sz w:val="24"/>
          <w:szCs w:val="24"/>
          <w:u w:val="single"/>
          <w:lang w:eastAsia="zh-CN" w:bidi="ar"/>
        </w:rPr>
        <w:t>采购</w:t>
      </w:r>
      <w:r>
        <w:rPr>
          <w:rFonts w:hint="eastAsia" w:asciiTheme="minorEastAsia" w:hAnsiTheme="minorEastAsia" w:eastAsiaTheme="minorEastAsia" w:cstheme="minorEastAsia"/>
          <w:color w:val="auto"/>
          <w:kern w:val="0"/>
          <w:sz w:val="24"/>
          <w:szCs w:val="24"/>
          <w:u w:val="single"/>
          <w:lang w:bidi="ar"/>
        </w:rPr>
        <w:t>项目名称）</w:t>
      </w:r>
      <w:r>
        <w:rPr>
          <w:rFonts w:hint="eastAsia" w:asciiTheme="minorEastAsia" w:hAnsiTheme="minorEastAsia" w:eastAsiaTheme="minorEastAsia" w:cstheme="minorEastAsia"/>
          <w:color w:val="auto"/>
          <w:kern w:val="0"/>
          <w:sz w:val="24"/>
          <w:szCs w:val="24"/>
          <w:u w:val="single"/>
          <w:lang w:eastAsia="zh-CN" w:bidi="ar"/>
        </w:rPr>
        <w:t>（采购项目编号：</w:t>
      </w:r>
      <w:r>
        <w:rPr>
          <w:rFonts w:hint="eastAsia" w:asciiTheme="minorEastAsia" w:hAnsiTheme="minorEastAsia" w:eastAsiaTheme="minorEastAsia" w:cstheme="minorEastAsia"/>
          <w:color w:val="auto"/>
          <w:kern w:val="0"/>
          <w:sz w:val="24"/>
          <w:szCs w:val="24"/>
          <w:u w:val="single"/>
          <w:lang w:val="en-US" w:eastAsia="zh-CN" w:bidi="ar"/>
        </w:rPr>
        <w:t xml:space="preserve">  </w:t>
      </w:r>
      <w:r>
        <w:rPr>
          <w:rFonts w:hint="eastAsia" w:asciiTheme="minorEastAsia" w:hAnsiTheme="minorEastAsia" w:eastAsiaTheme="minorEastAsia" w:cstheme="minorEastAsia"/>
          <w:color w:val="auto"/>
          <w:kern w:val="0"/>
          <w:sz w:val="24"/>
          <w:szCs w:val="24"/>
          <w:u w:val="single"/>
          <w:lang w:eastAsia="zh-CN" w:bidi="ar"/>
        </w:rPr>
        <w:t>）（包件号及名称：</w:t>
      </w:r>
      <w:r>
        <w:rPr>
          <w:rFonts w:hint="eastAsia" w:asciiTheme="minorEastAsia" w:hAnsiTheme="minorEastAsia" w:eastAsiaTheme="minorEastAsia" w:cstheme="minorEastAsia"/>
          <w:color w:val="auto"/>
          <w:kern w:val="0"/>
          <w:sz w:val="24"/>
          <w:szCs w:val="24"/>
          <w:u w:val="single"/>
          <w:lang w:val="en-US" w:eastAsia="zh-CN" w:bidi="ar"/>
        </w:rPr>
        <w:t xml:space="preserve">  </w:t>
      </w:r>
      <w:r>
        <w:rPr>
          <w:rFonts w:hint="eastAsia" w:asciiTheme="minorEastAsia" w:hAnsiTheme="minorEastAsia" w:eastAsiaTheme="minorEastAsia" w:cstheme="minorEastAsia"/>
          <w:color w:val="auto"/>
          <w:kern w:val="0"/>
          <w:sz w:val="24"/>
          <w:szCs w:val="24"/>
          <w:u w:val="single"/>
          <w:lang w:eastAsia="zh-CN" w:bidi="ar"/>
        </w:rPr>
        <w:t>）</w:t>
      </w:r>
      <w:r>
        <w:rPr>
          <w:rFonts w:hint="eastAsia" w:asciiTheme="minorEastAsia" w:hAnsiTheme="minorEastAsia" w:eastAsiaTheme="minorEastAsia" w:cstheme="minorEastAsia"/>
          <w:color w:val="auto"/>
          <w:kern w:val="0"/>
          <w:sz w:val="24"/>
          <w:szCs w:val="24"/>
          <w:lang w:bidi="ar"/>
        </w:rPr>
        <w:t>采购活动，服务全部由符合政策要求的中小企业承接。相关企业（含联合体中的中小企业、签订分包意向协议的中小企业）的具体情况如下：</w:t>
      </w:r>
    </w:p>
    <w:p>
      <w:pPr>
        <w:keepNext w:val="0"/>
        <w:keepLines w:val="0"/>
        <w:pageBreakBefore w:val="0"/>
        <w:widowControl/>
        <w:kinsoku/>
        <w:wordWrap/>
        <w:overflowPunct/>
        <w:topLinePunct w:val="0"/>
        <w:autoSpaceDE/>
        <w:autoSpaceDN/>
        <w:bidi w:val="0"/>
        <w:snapToGrid/>
        <w:spacing w:line="360" w:lineRule="auto"/>
        <w:ind w:firstLine="480"/>
        <w:jc w:val="left"/>
        <w:textAlignment w:val="auto"/>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eastAsiaTheme="minorEastAsia" w:cstheme="minorEastAsia"/>
          <w:color w:val="auto"/>
          <w:kern w:val="0"/>
          <w:sz w:val="24"/>
          <w:szCs w:val="24"/>
          <w:u w:val="none"/>
          <w:lang w:val="en-US" w:eastAsia="zh-CN" w:bidi="ar"/>
        </w:rPr>
        <w:t>1.</w:t>
      </w:r>
      <w:r>
        <w:rPr>
          <w:rFonts w:hint="eastAsia" w:asciiTheme="minorEastAsia" w:hAnsiTheme="minorEastAsia" w:eastAsiaTheme="minorEastAsia" w:cstheme="minorEastAsia"/>
          <w:color w:val="auto"/>
          <w:kern w:val="0"/>
          <w:sz w:val="24"/>
          <w:szCs w:val="24"/>
          <w:u w:val="single"/>
          <w:lang w:bidi="ar"/>
        </w:rPr>
        <w:t xml:space="preserve"> （标的名称） </w:t>
      </w:r>
      <w:r>
        <w:rPr>
          <w:rFonts w:hint="eastAsia" w:asciiTheme="minorEastAsia" w:hAnsiTheme="minorEastAsia" w:eastAsiaTheme="minorEastAsia" w:cstheme="minorEastAsia"/>
          <w:color w:val="auto"/>
          <w:kern w:val="0"/>
          <w:sz w:val="24"/>
          <w:szCs w:val="24"/>
          <w:lang w:bidi="ar"/>
        </w:rPr>
        <w:t>，属于</w:t>
      </w:r>
      <w:r>
        <w:rPr>
          <w:rFonts w:hint="eastAsia" w:asciiTheme="minorEastAsia" w:hAnsiTheme="minorEastAsia" w:eastAsiaTheme="minorEastAsia" w:cstheme="minorEastAsia"/>
          <w:color w:val="auto"/>
          <w:kern w:val="0"/>
          <w:sz w:val="24"/>
          <w:szCs w:val="24"/>
          <w:u w:val="single"/>
          <w:lang w:val="en-US" w:eastAsia="zh-CN" w:bidi="ar"/>
        </w:rPr>
        <w:t xml:space="preserve"> 租赁和商务服务行业 </w:t>
      </w:r>
      <w:r>
        <w:rPr>
          <w:rFonts w:hint="eastAsia" w:asciiTheme="minorEastAsia" w:hAnsiTheme="minorEastAsia" w:eastAsiaTheme="minorEastAsia" w:cstheme="minorEastAsia"/>
          <w:color w:val="auto"/>
          <w:kern w:val="0"/>
          <w:sz w:val="24"/>
          <w:szCs w:val="24"/>
          <w:lang w:bidi="ar"/>
        </w:rPr>
        <w:t>；承接企业为</w:t>
      </w:r>
      <w:r>
        <w:rPr>
          <w:rFonts w:hint="eastAsia" w:asciiTheme="minorEastAsia" w:hAnsiTheme="minorEastAsia" w:eastAsiaTheme="minorEastAsia" w:cstheme="minorEastAsia"/>
          <w:color w:val="auto"/>
          <w:kern w:val="0"/>
          <w:sz w:val="24"/>
          <w:szCs w:val="24"/>
          <w:u w:val="single"/>
          <w:lang w:bidi="ar"/>
        </w:rPr>
        <w:t>（企业名称）</w:t>
      </w:r>
      <w:r>
        <w:rPr>
          <w:rFonts w:hint="eastAsia" w:asciiTheme="minorEastAsia" w:hAnsiTheme="minorEastAsia" w:eastAsiaTheme="minorEastAsia" w:cstheme="minorEastAsia"/>
          <w:color w:val="auto"/>
          <w:kern w:val="0"/>
          <w:sz w:val="24"/>
          <w:szCs w:val="24"/>
          <w:lang w:bidi="ar"/>
        </w:rPr>
        <w:t>，从业人员</w:t>
      </w:r>
      <w:r>
        <w:rPr>
          <w:rFonts w:hint="eastAsia" w:asciiTheme="minorEastAsia" w:hAnsiTheme="minorEastAsia" w:eastAsiaTheme="minorEastAsia" w:cstheme="minorEastAsia"/>
          <w:color w:val="auto"/>
          <w:kern w:val="0"/>
          <w:sz w:val="24"/>
          <w:szCs w:val="24"/>
          <w:u w:val="single"/>
          <w:lang w:bidi="ar"/>
        </w:rPr>
        <w:t xml:space="preserve">  </w:t>
      </w:r>
      <w:r>
        <w:rPr>
          <w:rFonts w:hint="eastAsia" w:asciiTheme="minorEastAsia" w:hAnsiTheme="minorEastAsia" w:eastAsiaTheme="minorEastAsia" w:cstheme="minorEastAsia"/>
          <w:color w:val="auto"/>
          <w:kern w:val="0"/>
          <w:sz w:val="24"/>
          <w:szCs w:val="24"/>
          <w:lang w:bidi="ar"/>
        </w:rPr>
        <w:t>人，营业收入为</w:t>
      </w:r>
      <w:r>
        <w:rPr>
          <w:rFonts w:hint="eastAsia" w:asciiTheme="minorEastAsia" w:hAnsiTheme="minorEastAsia" w:eastAsiaTheme="minorEastAsia" w:cstheme="minorEastAsia"/>
          <w:color w:val="auto"/>
          <w:kern w:val="0"/>
          <w:sz w:val="24"/>
          <w:szCs w:val="24"/>
          <w:u w:val="single"/>
          <w:lang w:bidi="ar"/>
        </w:rPr>
        <w:t xml:space="preserve">   </w:t>
      </w:r>
      <w:r>
        <w:rPr>
          <w:rFonts w:hint="eastAsia" w:asciiTheme="minorEastAsia" w:hAnsiTheme="minorEastAsia" w:eastAsiaTheme="minorEastAsia" w:cstheme="minorEastAsia"/>
          <w:color w:val="auto"/>
          <w:kern w:val="0"/>
          <w:sz w:val="24"/>
          <w:szCs w:val="24"/>
          <w:lang w:bidi="ar"/>
        </w:rPr>
        <w:t>万元，资产总额为</w:t>
      </w:r>
      <w:r>
        <w:rPr>
          <w:rFonts w:hint="eastAsia" w:asciiTheme="minorEastAsia" w:hAnsiTheme="minorEastAsia" w:eastAsiaTheme="minorEastAsia" w:cstheme="minorEastAsia"/>
          <w:color w:val="auto"/>
          <w:kern w:val="0"/>
          <w:sz w:val="24"/>
          <w:szCs w:val="24"/>
          <w:u w:val="single"/>
          <w:lang w:bidi="ar"/>
        </w:rPr>
        <w:t xml:space="preserve">  </w:t>
      </w:r>
      <w:r>
        <w:rPr>
          <w:rFonts w:hint="eastAsia" w:asciiTheme="minorEastAsia" w:hAnsiTheme="minorEastAsia" w:eastAsiaTheme="minorEastAsia" w:cstheme="minorEastAsia"/>
          <w:color w:val="auto"/>
          <w:kern w:val="0"/>
          <w:sz w:val="24"/>
          <w:szCs w:val="24"/>
          <w:lang w:bidi="ar"/>
        </w:rPr>
        <w:t>万元，属于</w:t>
      </w:r>
      <w:r>
        <w:rPr>
          <w:rFonts w:hint="eastAsia" w:asciiTheme="minorEastAsia" w:hAnsiTheme="minorEastAsia" w:eastAsiaTheme="minorEastAsia" w:cstheme="minorEastAsia"/>
          <w:color w:val="auto"/>
          <w:kern w:val="0"/>
          <w:sz w:val="24"/>
          <w:szCs w:val="24"/>
          <w:u w:val="single"/>
          <w:lang w:bidi="ar"/>
        </w:rPr>
        <w:t>（中型企业、小型企业、微型企业）</w:t>
      </w:r>
      <w:r>
        <w:rPr>
          <w:rFonts w:hint="eastAsia" w:asciiTheme="minorEastAsia" w:hAnsiTheme="minorEastAsia" w:eastAsiaTheme="minorEastAsia" w:cstheme="minorEastAsia"/>
          <w:color w:val="auto"/>
          <w:kern w:val="0"/>
          <w:sz w:val="24"/>
          <w:szCs w:val="24"/>
          <w:lang w:bidi="ar"/>
        </w:rPr>
        <w:t xml:space="preserve">； </w:t>
      </w:r>
    </w:p>
    <w:p>
      <w:pPr>
        <w:pStyle w:val="55"/>
        <w:numPr>
          <w:ilvl w:val="4"/>
          <w:numId w:val="0"/>
        </w:numPr>
        <w:ind w:leftChars="0" w:firstLine="480" w:firstLineChars="200"/>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eastAsiaTheme="minorEastAsia" w:cstheme="minorEastAsia"/>
          <w:color w:val="auto"/>
          <w:kern w:val="0"/>
          <w:sz w:val="24"/>
          <w:szCs w:val="24"/>
          <w:u w:val="none"/>
          <w:lang w:val="en-US" w:eastAsia="zh-CN" w:bidi="ar"/>
        </w:rPr>
        <w:t>2.</w:t>
      </w:r>
      <w:r>
        <w:rPr>
          <w:rFonts w:hint="eastAsia" w:asciiTheme="minorEastAsia" w:hAnsiTheme="minorEastAsia" w:eastAsiaTheme="minorEastAsia" w:cstheme="minorEastAsia"/>
          <w:color w:val="auto"/>
          <w:kern w:val="0"/>
          <w:sz w:val="24"/>
          <w:szCs w:val="24"/>
          <w:u w:val="single"/>
          <w:lang w:bidi="ar"/>
        </w:rPr>
        <w:t xml:space="preserve"> （标的名称） </w:t>
      </w:r>
      <w:r>
        <w:rPr>
          <w:rFonts w:hint="eastAsia" w:asciiTheme="minorEastAsia" w:hAnsiTheme="minorEastAsia" w:eastAsiaTheme="minorEastAsia" w:cstheme="minorEastAsia"/>
          <w:color w:val="auto"/>
          <w:kern w:val="0"/>
          <w:sz w:val="24"/>
          <w:szCs w:val="24"/>
          <w:lang w:bidi="ar"/>
        </w:rPr>
        <w:t>，属于</w:t>
      </w:r>
      <w:r>
        <w:rPr>
          <w:rFonts w:hint="eastAsia" w:asciiTheme="minorEastAsia" w:hAnsiTheme="minorEastAsia" w:eastAsiaTheme="minorEastAsia" w:cstheme="minorEastAsia"/>
          <w:color w:val="auto"/>
          <w:kern w:val="0"/>
          <w:sz w:val="24"/>
          <w:szCs w:val="24"/>
          <w:u w:val="single"/>
          <w:lang w:val="en-US" w:eastAsia="zh-CN" w:bidi="ar"/>
        </w:rPr>
        <w:t xml:space="preserve"> 租赁和商务服务行业 </w:t>
      </w:r>
      <w:r>
        <w:rPr>
          <w:rFonts w:hint="eastAsia" w:asciiTheme="minorEastAsia" w:hAnsiTheme="minorEastAsia" w:eastAsiaTheme="minorEastAsia" w:cstheme="minorEastAsia"/>
          <w:color w:val="auto"/>
          <w:kern w:val="0"/>
          <w:sz w:val="24"/>
          <w:szCs w:val="24"/>
          <w:lang w:bidi="ar"/>
        </w:rPr>
        <w:t>；承接企业为</w:t>
      </w:r>
      <w:r>
        <w:rPr>
          <w:rFonts w:hint="eastAsia" w:asciiTheme="minorEastAsia" w:hAnsiTheme="minorEastAsia" w:eastAsiaTheme="minorEastAsia" w:cstheme="minorEastAsia"/>
          <w:color w:val="auto"/>
          <w:kern w:val="0"/>
          <w:sz w:val="24"/>
          <w:szCs w:val="24"/>
          <w:u w:val="single"/>
          <w:lang w:bidi="ar"/>
        </w:rPr>
        <w:t>（企业名称）</w:t>
      </w:r>
      <w:r>
        <w:rPr>
          <w:rFonts w:hint="eastAsia" w:asciiTheme="minorEastAsia" w:hAnsiTheme="minorEastAsia" w:eastAsiaTheme="minorEastAsia" w:cstheme="minorEastAsia"/>
          <w:color w:val="auto"/>
          <w:kern w:val="0"/>
          <w:sz w:val="24"/>
          <w:szCs w:val="24"/>
          <w:lang w:bidi="ar"/>
        </w:rPr>
        <w:t>，从业人员</w:t>
      </w:r>
      <w:r>
        <w:rPr>
          <w:rFonts w:hint="eastAsia" w:asciiTheme="minorEastAsia" w:hAnsiTheme="minorEastAsia" w:eastAsiaTheme="minorEastAsia" w:cstheme="minorEastAsia"/>
          <w:color w:val="auto"/>
          <w:kern w:val="0"/>
          <w:sz w:val="24"/>
          <w:szCs w:val="24"/>
          <w:u w:val="single"/>
          <w:lang w:bidi="ar"/>
        </w:rPr>
        <w:t xml:space="preserve">  </w:t>
      </w:r>
      <w:r>
        <w:rPr>
          <w:rFonts w:hint="eastAsia" w:asciiTheme="minorEastAsia" w:hAnsiTheme="minorEastAsia" w:eastAsiaTheme="minorEastAsia" w:cstheme="minorEastAsia"/>
          <w:color w:val="auto"/>
          <w:kern w:val="0"/>
          <w:sz w:val="24"/>
          <w:szCs w:val="24"/>
          <w:lang w:bidi="ar"/>
        </w:rPr>
        <w:t>人，营业收入为</w:t>
      </w:r>
      <w:r>
        <w:rPr>
          <w:rFonts w:hint="eastAsia" w:asciiTheme="minorEastAsia" w:hAnsiTheme="minorEastAsia" w:eastAsiaTheme="minorEastAsia" w:cstheme="minorEastAsia"/>
          <w:color w:val="auto"/>
          <w:kern w:val="0"/>
          <w:sz w:val="24"/>
          <w:szCs w:val="24"/>
          <w:u w:val="single"/>
          <w:lang w:bidi="ar"/>
        </w:rPr>
        <w:t xml:space="preserve">   </w:t>
      </w:r>
      <w:r>
        <w:rPr>
          <w:rFonts w:hint="eastAsia" w:asciiTheme="minorEastAsia" w:hAnsiTheme="minorEastAsia" w:eastAsiaTheme="minorEastAsia" w:cstheme="minorEastAsia"/>
          <w:color w:val="auto"/>
          <w:kern w:val="0"/>
          <w:sz w:val="24"/>
          <w:szCs w:val="24"/>
          <w:lang w:bidi="ar"/>
        </w:rPr>
        <w:t>万元，资产总额为</w:t>
      </w:r>
      <w:r>
        <w:rPr>
          <w:rFonts w:hint="eastAsia" w:asciiTheme="minorEastAsia" w:hAnsiTheme="minorEastAsia" w:eastAsiaTheme="minorEastAsia" w:cstheme="minorEastAsia"/>
          <w:color w:val="auto"/>
          <w:kern w:val="0"/>
          <w:sz w:val="24"/>
          <w:szCs w:val="24"/>
          <w:u w:val="single"/>
          <w:lang w:bidi="ar"/>
        </w:rPr>
        <w:t xml:space="preserve">  </w:t>
      </w:r>
      <w:r>
        <w:rPr>
          <w:rFonts w:hint="eastAsia" w:asciiTheme="minorEastAsia" w:hAnsiTheme="minorEastAsia" w:eastAsiaTheme="minorEastAsia" w:cstheme="minorEastAsia"/>
          <w:color w:val="auto"/>
          <w:kern w:val="0"/>
          <w:sz w:val="24"/>
          <w:szCs w:val="24"/>
          <w:lang w:bidi="ar"/>
        </w:rPr>
        <w:t>万元，属于</w:t>
      </w:r>
      <w:r>
        <w:rPr>
          <w:rFonts w:hint="eastAsia" w:asciiTheme="minorEastAsia" w:hAnsiTheme="minorEastAsia" w:eastAsiaTheme="minorEastAsia" w:cstheme="minorEastAsia"/>
          <w:color w:val="auto"/>
          <w:kern w:val="0"/>
          <w:sz w:val="24"/>
          <w:szCs w:val="24"/>
          <w:u w:val="single"/>
          <w:lang w:bidi="ar"/>
        </w:rPr>
        <w:t>（中型企业、小型企业、微型企业）</w:t>
      </w:r>
      <w:r>
        <w:rPr>
          <w:rFonts w:hint="eastAsia" w:asciiTheme="minorEastAsia" w:hAnsiTheme="minorEastAsia" w:eastAsiaTheme="minorEastAsia" w:cstheme="minorEastAsia"/>
          <w:color w:val="auto"/>
          <w:kern w:val="0"/>
          <w:sz w:val="24"/>
          <w:szCs w:val="24"/>
          <w:lang w:bidi="ar"/>
        </w:rPr>
        <w:t xml:space="preserve">； </w:t>
      </w:r>
    </w:p>
    <w:p>
      <w:pPr>
        <w:pStyle w:val="56"/>
        <w:ind w:firstLine="480" w:firstLineChars="200"/>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w:t>
      </w:r>
    </w:p>
    <w:p>
      <w:pPr>
        <w:keepNext w:val="0"/>
        <w:keepLines w:val="0"/>
        <w:pageBreakBefore w:val="0"/>
        <w:widowControl/>
        <w:kinsoku/>
        <w:wordWrap/>
        <w:overflowPunct/>
        <w:topLinePunct w:val="0"/>
        <w:autoSpaceDE/>
        <w:autoSpaceDN/>
        <w:bidi w:val="0"/>
        <w:snapToGrid/>
        <w:spacing w:line="360" w:lineRule="auto"/>
        <w:ind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bidi="ar"/>
        </w:rPr>
        <w:t>以上企业，不属于大企业的分支机构，不存在控股股东为大企业的情形，也不存在与大企业的负责人为同一人的情形。</w:t>
      </w:r>
    </w:p>
    <w:p>
      <w:pPr>
        <w:keepNext w:val="0"/>
        <w:keepLines w:val="0"/>
        <w:pageBreakBefore w:val="0"/>
        <w:widowControl/>
        <w:kinsoku/>
        <w:wordWrap/>
        <w:overflowPunct/>
        <w:topLinePunct w:val="0"/>
        <w:autoSpaceDE/>
        <w:autoSpaceDN/>
        <w:bidi w:val="0"/>
        <w:snapToGrid/>
        <w:spacing w:line="360" w:lineRule="auto"/>
        <w:ind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bidi="ar"/>
        </w:rPr>
        <w:t xml:space="preserve">本企业对上述声明内容的真实性负责。如有虚假，将依法承担相应责任。 </w:t>
      </w:r>
    </w:p>
    <w:p>
      <w:pPr>
        <w:keepNext w:val="0"/>
        <w:keepLines w:val="0"/>
        <w:pageBreakBefore w:val="0"/>
        <w:widowControl/>
        <w:kinsoku/>
        <w:wordWrap/>
        <w:overflowPunct/>
        <w:topLinePunct w:val="0"/>
        <w:autoSpaceDE/>
        <w:autoSpaceDN/>
        <w:bidi w:val="0"/>
        <w:snapToGrid/>
        <w:spacing w:line="360" w:lineRule="auto"/>
        <w:ind w:firstLine="480"/>
        <w:jc w:val="left"/>
        <w:textAlignment w:val="auto"/>
        <w:rPr>
          <w:rFonts w:hint="eastAsia" w:asciiTheme="minorEastAsia" w:hAnsiTheme="minorEastAsia" w:eastAsiaTheme="minorEastAsia" w:cstheme="minorEastAsia"/>
          <w:color w:val="auto"/>
          <w:kern w:val="0"/>
          <w:sz w:val="24"/>
          <w:szCs w:val="24"/>
          <w:lang w:bidi="ar"/>
        </w:rPr>
      </w:pPr>
    </w:p>
    <w:p>
      <w:pPr>
        <w:keepNext w:val="0"/>
        <w:keepLines w:val="0"/>
        <w:pageBreakBefore w:val="0"/>
        <w:widowControl/>
        <w:kinsoku/>
        <w:wordWrap/>
        <w:overflowPunct/>
        <w:topLinePunct w:val="0"/>
        <w:autoSpaceDE/>
        <w:autoSpaceDN/>
        <w:bidi w:val="0"/>
        <w:snapToGrid/>
        <w:spacing w:line="360" w:lineRule="auto"/>
        <w:ind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bidi="ar"/>
        </w:rPr>
        <w:t xml:space="preserve">投标人名称（加盖公章或电子签章）： </w:t>
      </w:r>
    </w:p>
    <w:p>
      <w:pPr>
        <w:keepNext w:val="0"/>
        <w:keepLines w:val="0"/>
        <w:pageBreakBefore w:val="0"/>
        <w:widowControl/>
        <w:kinsoku/>
        <w:wordWrap/>
        <w:overflowPunct/>
        <w:topLinePunct w:val="0"/>
        <w:autoSpaceDE/>
        <w:autoSpaceDN/>
        <w:bidi w:val="0"/>
        <w:snapToGrid/>
        <w:spacing w:line="360" w:lineRule="auto"/>
        <w:ind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bidi="ar"/>
        </w:rPr>
        <w:t xml:space="preserve">日 期： </w:t>
      </w:r>
    </w:p>
    <w:p>
      <w:pPr>
        <w:keepNext w:val="0"/>
        <w:keepLines w:val="0"/>
        <w:pageBreakBefore w:val="0"/>
        <w:kinsoku/>
        <w:wordWrap/>
        <w:overflowPunct/>
        <w:topLinePunct w:val="0"/>
        <w:autoSpaceDE/>
        <w:autoSpaceDN/>
        <w:bidi w:val="0"/>
        <w:adjustRightInd w:val="0"/>
        <w:snapToGrid/>
        <w:spacing w:line="360" w:lineRule="auto"/>
        <w:ind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w:t>
      </w:r>
    </w:p>
    <w:p>
      <w:pPr>
        <w:keepNext w:val="0"/>
        <w:keepLines w:val="0"/>
        <w:pageBreakBefore w:val="0"/>
        <w:widowControl/>
        <w:kinsoku/>
        <w:wordWrap/>
        <w:overflowPunct/>
        <w:topLinePunct w:val="0"/>
        <w:autoSpaceDE/>
        <w:autoSpaceDN/>
        <w:bidi w:val="0"/>
        <w:snapToGrid/>
        <w:spacing w:line="360" w:lineRule="auto"/>
        <w:ind w:firstLine="480"/>
        <w:jc w:val="left"/>
        <w:textAlignment w:val="auto"/>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说明：</w:t>
      </w:r>
    </w:p>
    <w:p>
      <w:pPr>
        <w:keepNext w:val="0"/>
        <w:keepLines w:val="0"/>
        <w:pageBreakBefore w:val="0"/>
        <w:widowControl/>
        <w:kinsoku/>
        <w:wordWrap/>
        <w:overflowPunct/>
        <w:topLinePunct w:val="0"/>
        <w:autoSpaceDE/>
        <w:autoSpaceDN/>
        <w:bidi w:val="0"/>
        <w:snapToGrid/>
        <w:spacing w:line="360" w:lineRule="auto"/>
        <w:ind w:firstLine="480"/>
        <w:jc w:val="left"/>
        <w:textAlignment w:val="auto"/>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1.</w:t>
      </w:r>
      <w:r>
        <w:rPr>
          <w:rFonts w:hint="eastAsia" w:asciiTheme="minorEastAsia" w:hAnsiTheme="minorEastAsia" w:eastAsiaTheme="minorEastAsia" w:cstheme="minorEastAsia"/>
          <w:color w:val="auto"/>
          <w:sz w:val="24"/>
          <w:szCs w:val="24"/>
        </w:rPr>
        <w:t>参加政府采购活动的中小企业应当提供《中小企业声明函》原件，否则视为无效投标</w:t>
      </w:r>
      <w:r>
        <w:rPr>
          <w:rFonts w:hint="eastAsia" w:asciiTheme="minorEastAsia" w:hAnsiTheme="minorEastAsia" w:eastAsiaTheme="minorEastAsia" w:cstheme="minorEastAsia"/>
          <w:bCs/>
          <w:color w:val="auto"/>
          <w:kern w:val="0"/>
          <w:sz w:val="24"/>
          <w:szCs w:val="24"/>
        </w:rPr>
        <w:t>。</w:t>
      </w:r>
    </w:p>
    <w:p>
      <w:pPr>
        <w:pStyle w:val="27"/>
        <w:keepNext w:val="0"/>
        <w:keepLines w:val="0"/>
        <w:pageBreakBefore w:val="0"/>
        <w:kinsoku/>
        <w:wordWrap/>
        <w:overflowPunct/>
        <w:topLinePunct w:val="0"/>
        <w:autoSpaceDE/>
        <w:autoSpaceDN/>
        <w:bidi w:val="0"/>
        <w:snapToGrid/>
        <w:spacing w:line="360" w:lineRule="auto"/>
        <w:ind w:left="0" w:leftChars="0" w:firstLine="480"/>
        <w:textAlignment w:val="auto"/>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2.供应商参加政府采购活动时，提供虚假中小企业声明函的，以提供虚假材料谋取中标处理。</w:t>
      </w:r>
    </w:p>
    <w:p>
      <w:pPr>
        <w:keepNext w:val="0"/>
        <w:keepLines w:val="0"/>
        <w:pageBreakBefore w:val="0"/>
        <w:widowControl/>
        <w:kinsoku/>
        <w:wordWrap/>
        <w:overflowPunct/>
        <w:topLinePunct w:val="0"/>
        <w:autoSpaceDE/>
        <w:autoSpaceDN/>
        <w:bidi w:val="0"/>
        <w:snapToGrid/>
        <w:spacing w:line="360" w:lineRule="auto"/>
        <w:ind w:firstLine="480"/>
        <w:jc w:val="left"/>
        <w:textAlignment w:val="auto"/>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3.从业人员、营业收入、资产总额填报上一年度数据，无上一年度数据的新成立企业可不填报。</w:t>
      </w:r>
    </w:p>
    <w:p>
      <w:pPr>
        <w:keepNext w:val="0"/>
        <w:keepLines w:val="0"/>
        <w:pageBreakBefore w:val="0"/>
        <w:kinsoku/>
        <w:wordWrap/>
        <w:overflowPunct/>
        <w:topLinePunct w:val="0"/>
        <w:autoSpaceDE/>
        <w:autoSpaceDN/>
        <w:bidi w:val="0"/>
        <w:snapToGrid/>
        <w:spacing w:line="360" w:lineRule="auto"/>
        <w:textAlignment w:val="auto"/>
        <w:rPr>
          <w:rFonts w:hint="eastAsia" w:asciiTheme="minorEastAsia" w:hAnsiTheme="minorEastAsia" w:eastAsiaTheme="minorEastAsia" w:cstheme="minorEastAsia"/>
          <w:color w:val="auto"/>
          <w:sz w:val="24"/>
          <w:szCs w:val="24"/>
        </w:rPr>
      </w:pPr>
    </w:p>
    <w:p>
      <w:pPr>
        <w:rPr>
          <w:rFonts w:hint="eastAsia" w:asciiTheme="minorEastAsia" w:hAnsiTheme="minorEastAsia" w:eastAsiaTheme="minorEastAsia" w:cstheme="minorEastAsia"/>
          <w:b/>
          <w:bCs/>
          <w:color w:val="auto"/>
          <w:kern w:val="2"/>
          <w:sz w:val="32"/>
          <w:szCs w:val="32"/>
        </w:rPr>
      </w:pPr>
      <w:r>
        <w:rPr>
          <w:rFonts w:hint="eastAsia" w:asciiTheme="minorEastAsia" w:hAnsiTheme="minorEastAsia" w:eastAsiaTheme="minorEastAsia" w:cstheme="minorEastAsia"/>
          <w:b/>
          <w:bCs/>
          <w:color w:val="auto"/>
          <w:kern w:val="2"/>
          <w:sz w:val="32"/>
          <w:szCs w:val="32"/>
        </w:rPr>
        <w:br w:type="page"/>
      </w:r>
    </w:p>
    <w:p>
      <w:pPr>
        <w:spacing w:line="720" w:lineRule="auto"/>
        <w:ind w:firstLine="0" w:firstLineChars="0"/>
        <w:jc w:val="center"/>
        <w:rPr>
          <w:rFonts w:hint="eastAsia" w:ascii="宋体" w:hAnsi="宋体" w:cs="宋体"/>
          <w:color w:val="auto"/>
        </w:rPr>
      </w:pPr>
      <w:r>
        <w:rPr>
          <w:rFonts w:hint="eastAsia" w:ascii="宋体" w:hAnsi="宋体" w:cs="宋体"/>
          <w:b/>
          <w:bCs/>
          <w:color w:val="auto"/>
          <w:sz w:val="32"/>
          <w:szCs w:val="32"/>
        </w:rPr>
        <w:t>八、监狱企业证明材料（如有）</w:t>
      </w:r>
    </w:p>
    <w:p>
      <w:pPr>
        <w:ind w:firstLine="480"/>
        <w:rPr>
          <w:rFonts w:hint="eastAsia" w:ascii="宋体" w:hAnsi="宋体" w:cs="宋体"/>
          <w:color w:val="auto"/>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参加政府采购活动的监狱企业应当提供省级以上监狱管理局、戒毒管理局（含新疆生产建设兵团）出具的属于监狱企业的证明文件复印件加盖</w:t>
      </w:r>
      <w:r>
        <w:rPr>
          <w:rFonts w:hint="eastAsia" w:asciiTheme="minorEastAsia" w:hAnsiTheme="minorEastAsia" w:eastAsiaTheme="minorEastAsia" w:cstheme="minorEastAsia"/>
          <w:color w:val="auto"/>
          <w:sz w:val="24"/>
          <w:szCs w:val="24"/>
          <w:lang w:eastAsia="zh-CN"/>
        </w:rPr>
        <w:t>投标人</w:t>
      </w:r>
      <w:r>
        <w:rPr>
          <w:rFonts w:hint="eastAsia" w:asciiTheme="minorEastAsia" w:hAnsiTheme="minorEastAsia" w:eastAsiaTheme="minorEastAsia" w:cstheme="minorEastAsia"/>
          <w:color w:val="auto"/>
          <w:sz w:val="24"/>
          <w:szCs w:val="24"/>
        </w:rPr>
        <w:t>公章。</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说明：</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1.参加政府采购活动的监狱企业应当提供省级以上监狱管理局、戒毒管理局（含新疆生产建设兵团）出具的属于监狱企业的证明文件，否则视为无效投标。</w:t>
      </w:r>
    </w:p>
    <w:p>
      <w:pPr>
        <w:pStyle w:val="27"/>
        <w:keepNext w:val="0"/>
        <w:keepLines w:val="0"/>
        <w:pageBreakBefore w:val="0"/>
        <w:widowControl w:val="0"/>
        <w:kinsoku/>
        <w:wordWrap/>
        <w:overflowPunct/>
        <w:topLinePunct w:val="0"/>
        <w:autoSpaceDE/>
        <w:autoSpaceDN/>
        <w:bidi w:val="0"/>
        <w:adjustRightInd/>
        <w:snapToGrid/>
        <w:spacing w:line="360" w:lineRule="auto"/>
        <w:ind w:left="0" w:leftChars="0" w:firstLine="480"/>
        <w:textAlignment w:val="auto"/>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eastAsia="zh-CN"/>
        </w:rPr>
        <w:t>投标人</w:t>
      </w:r>
      <w:r>
        <w:rPr>
          <w:rFonts w:hint="eastAsia" w:asciiTheme="minorEastAsia" w:hAnsiTheme="minorEastAsia" w:eastAsiaTheme="minorEastAsia" w:cstheme="minorEastAsia"/>
          <w:color w:val="auto"/>
          <w:sz w:val="24"/>
          <w:szCs w:val="24"/>
        </w:rPr>
        <w:t>参加政府采购活动时，提供虚假监狱企业证明材料的，以提供虚假材料谋取中标处理。</w:t>
      </w:r>
    </w:p>
    <w:p>
      <w:pPr>
        <w:pStyle w:val="27"/>
        <w:spacing w:line="720" w:lineRule="auto"/>
        <w:ind w:left="0" w:leftChars="0" w:firstLine="0" w:firstLineChars="0"/>
        <w:jc w:val="center"/>
        <w:rPr>
          <w:rFonts w:hint="eastAsia" w:ascii="宋体" w:hAnsi="宋体" w:cs="宋体"/>
          <w:b/>
          <w:color w:val="auto"/>
          <w:sz w:val="32"/>
          <w:szCs w:val="32"/>
        </w:rPr>
      </w:pPr>
    </w:p>
    <w:p>
      <w:pPr>
        <w:pStyle w:val="27"/>
        <w:spacing w:line="720" w:lineRule="auto"/>
        <w:ind w:left="0" w:leftChars="0" w:firstLine="0" w:firstLineChars="0"/>
        <w:jc w:val="center"/>
        <w:rPr>
          <w:rFonts w:hint="eastAsia" w:ascii="宋体" w:hAnsi="宋体" w:cs="宋体"/>
          <w:b/>
          <w:color w:val="auto"/>
          <w:sz w:val="32"/>
          <w:szCs w:val="32"/>
        </w:rPr>
      </w:pPr>
    </w:p>
    <w:p>
      <w:pPr>
        <w:pStyle w:val="27"/>
        <w:spacing w:line="720" w:lineRule="auto"/>
        <w:ind w:left="0" w:leftChars="0" w:firstLine="0" w:firstLineChars="0"/>
        <w:jc w:val="center"/>
        <w:rPr>
          <w:rFonts w:hint="eastAsia" w:ascii="宋体" w:hAnsi="宋体" w:cs="宋体"/>
          <w:b/>
          <w:color w:val="auto"/>
          <w:sz w:val="32"/>
          <w:szCs w:val="32"/>
        </w:rPr>
      </w:pPr>
    </w:p>
    <w:p>
      <w:pPr>
        <w:spacing w:line="588" w:lineRule="exact"/>
        <w:ind w:firstLine="643"/>
        <w:jc w:val="center"/>
        <w:rPr>
          <w:rFonts w:hint="eastAsia" w:ascii="宋体" w:hAnsi="宋体" w:cs="宋体"/>
          <w:b/>
          <w:color w:val="auto"/>
          <w:spacing w:val="6"/>
          <w:sz w:val="32"/>
          <w:szCs w:val="32"/>
        </w:rPr>
      </w:pPr>
      <w:r>
        <w:rPr>
          <w:rFonts w:hint="eastAsia" w:ascii="宋体" w:hAnsi="宋体" w:cs="宋体"/>
          <w:b/>
          <w:color w:val="auto"/>
          <w:sz w:val="32"/>
          <w:szCs w:val="32"/>
        </w:rPr>
        <w:t>九、</w:t>
      </w:r>
      <w:r>
        <w:rPr>
          <w:rFonts w:hint="eastAsia" w:ascii="宋体" w:hAnsi="宋体" w:cs="宋体"/>
          <w:b/>
          <w:color w:val="auto"/>
          <w:spacing w:val="6"/>
          <w:sz w:val="32"/>
          <w:szCs w:val="32"/>
        </w:rPr>
        <w:t>残疾人福利性单位声明函</w:t>
      </w:r>
      <w:r>
        <w:rPr>
          <w:rFonts w:hint="eastAsia" w:ascii="宋体" w:hAnsi="宋体" w:cs="宋体"/>
          <w:b/>
          <w:bCs/>
          <w:color w:val="auto"/>
          <w:sz w:val="32"/>
          <w:szCs w:val="32"/>
        </w:rPr>
        <w:t>（如有）</w:t>
      </w:r>
    </w:p>
    <w:p>
      <w:pPr>
        <w:spacing w:line="588" w:lineRule="exact"/>
        <w:ind w:firstLine="626"/>
        <w:rPr>
          <w:rFonts w:hint="eastAsia" w:ascii="宋体" w:hAnsi="宋体" w:cs="宋体"/>
          <w:b/>
          <w:color w:val="auto"/>
          <w:spacing w:val="6"/>
          <w:sz w:val="30"/>
          <w:szCs w:val="30"/>
        </w:rPr>
      </w:pP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本单位郑重声明，根据《财政部 民政部 中国残疾人联合会关于促进残疾人就业政府采购政策的通知》（财库〔2017〕 141号）的规定，本单位为符合条件的残疾人福利性单位，且本单位参加______单位的______项目</w:t>
      </w:r>
      <w:r>
        <w:rPr>
          <w:rFonts w:hint="eastAsia" w:asciiTheme="minorEastAsia" w:hAnsiTheme="minorEastAsia" w:eastAsiaTheme="minorEastAsia" w:cstheme="minorEastAsia"/>
          <w:color w:val="auto"/>
          <w:sz w:val="24"/>
          <w:szCs w:val="24"/>
          <w:lang w:eastAsia="zh-CN"/>
        </w:rPr>
        <w:t>（包件号及名称：</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采购活动提供本单位制造的货物（由本单位承担工程/提供服务），或者提供其他残疾人福利性单位制造的货物（不包括使用非残疾人福利性单位注册商标的货物）。</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本单位对上述声明的真实性负责。如有虚假，将依法承担相应责任。</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　　</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投标人名称：</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（加盖公章或电子签章）</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法定代表人或授权代表（签字或</w:t>
      </w:r>
      <w:r>
        <w:rPr>
          <w:rFonts w:hint="eastAsia" w:asciiTheme="minorEastAsia" w:hAnsiTheme="minorEastAsia" w:eastAsiaTheme="minorEastAsia" w:cstheme="minorEastAsia"/>
          <w:color w:val="auto"/>
          <w:sz w:val="24"/>
          <w:szCs w:val="24"/>
          <w:lang w:eastAsia="zh-CN"/>
        </w:rPr>
        <w:t>加盖</w:t>
      </w:r>
      <w:r>
        <w:rPr>
          <w:rFonts w:hint="eastAsia" w:asciiTheme="minorEastAsia" w:hAnsiTheme="minorEastAsia" w:eastAsiaTheme="minorEastAsia" w:cstheme="minorEastAsia"/>
          <w:color w:val="auto"/>
          <w:sz w:val="24"/>
          <w:szCs w:val="24"/>
        </w:rPr>
        <w:t>印章）：</w:t>
      </w:r>
      <w:r>
        <w:rPr>
          <w:rFonts w:hint="eastAsia" w:asciiTheme="minorEastAsia" w:hAnsiTheme="minorEastAsia" w:eastAsiaTheme="minorEastAsia" w:cstheme="minorEastAsia"/>
          <w:color w:val="auto"/>
          <w:sz w:val="24"/>
          <w:szCs w:val="24"/>
          <w:u w:val="single"/>
        </w:rPr>
        <w:t xml:space="preserve">      </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日  期：  </w:t>
      </w:r>
    </w:p>
    <w:p>
      <w:pPr>
        <w:keepNext w:val="0"/>
        <w:keepLines w:val="0"/>
        <w:pageBreakBefore w:val="0"/>
        <w:kinsoku/>
        <w:wordWrap/>
        <w:overflowPunct/>
        <w:topLinePunct w:val="0"/>
        <w:autoSpaceDE/>
        <w:autoSpaceDN/>
        <w:bidi w:val="0"/>
        <w:adjustRightInd/>
        <w:snapToGrid/>
        <w:spacing w:line="360" w:lineRule="auto"/>
        <w:ind w:firstLine="480"/>
        <w:jc w:val="left"/>
        <w:textAlignment w:val="auto"/>
        <w:rPr>
          <w:rFonts w:hint="eastAsia" w:asciiTheme="minorEastAsia" w:hAnsiTheme="minorEastAsia" w:eastAsiaTheme="minorEastAsia" w:cstheme="minorEastAsia"/>
          <w:color w:val="auto"/>
          <w:sz w:val="24"/>
          <w:szCs w:val="24"/>
        </w:rPr>
      </w:pP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说明：</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1.参加政府采购活动的残疾人福利性单位应当提供《残疾人福利性单位声明函》原件，否则视为无效投标。</w:t>
      </w:r>
    </w:p>
    <w:p>
      <w:pPr>
        <w:pStyle w:val="27"/>
        <w:keepNext w:val="0"/>
        <w:keepLines w:val="0"/>
        <w:pageBreakBefore w:val="0"/>
        <w:kinsoku/>
        <w:wordWrap/>
        <w:overflowPunct/>
        <w:topLinePunct w:val="0"/>
        <w:autoSpaceDE/>
        <w:autoSpaceDN/>
        <w:bidi w:val="0"/>
        <w:adjustRightInd/>
        <w:snapToGrid/>
        <w:spacing w:after="0" w:line="360" w:lineRule="auto"/>
        <w:ind w:left="0" w:leftChars="0" w:firstLine="480"/>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color w:val="auto"/>
          <w:sz w:val="24"/>
          <w:szCs w:val="24"/>
        </w:rPr>
        <w:t>2.供应商参加政府采购活动时，提供虚假残疾人福利性单位声明函的，以提供虚假材料谋取中标处理。</w:t>
      </w:r>
    </w:p>
    <w:p>
      <w:pPr>
        <w:pStyle w:val="27"/>
        <w:spacing w:line="720" w:lineRule="auto"/>
        <w:ind w:left="0" w:leftChars="0" w:firstLine="0" w:firstLineChars="0"/>
        <w:jc w:val="center"/>
        <w:rPr>
          <w:rFonts w:hint="eastAsia" w:ascii="宋体" w:hAnsi="宋体" w:cs="宋体"/>
          <w:b/>
          <w:color w:val="auto"/>
          <w:sz w:val="32"/>
          <w:szCs w:val="32"/>
        </w:rPr>
      </w:pPr>
    </w:p>
    <w:p>
      <w:pPr>
        <w:pStyle w:val="27"/>
        <w:spacing w:line="720" w:lineRule="auto"/>
        <w:ind w:left="0" w:leftChars="0" w:firstLine="0" w:firstLineChars="0"/>
        <w:jc w:val="center"/>
        <w:rPr>
          <w:rFonts w:hint="eastAsia" w:ascii="宋体" w:hAnsi="宋体" w:cs="宋体"/>
          <w:b/>
          <w:color w:val="auto"/>
          <w:sz w:val="32"/>
          <w:szCs w:val="32"/>
        </w:rPr>
      </w:pPr>
    </w:p>
    <w:p>
      <w:pPr>
        <w:pStyle w:val="27"/>
        <w:spacing w:line="720" w:lineRule="auto"/>
        <w:ind w:left="0" w:leftChars="0" w:firstLine="0" w:firstLineChars="0"/>
        <w:jc w:val="center"/>
        <w:rPr>
          <w:rFonts w:hint="eastAsia" w:ascii="宋体" w:hAnsi="宋体" w:cs="宋体"/>
          <w:b/>
          <w:color w:val="auto"/>
          <w:sz w:val="32"/>
          <w:szCs w:val="32"/>
        </w:rPr>
      </w:pPr>
      <w:r>
        <w:rPr>
          <w:rFonts w:hint="eastAsia" w:ascii="宋体" w:hAnsi="宋体" w:cs="宋体"/>
          <w:b/>
          <w:color w:val="auto"/>
          <w:sz w:val="32"/>
          <w:szCs w:val="32"/>
        </w:rPr>
        <w:t>十、</w:t>
      </w:r>
      <w:r>
        <w:rPr>
          <w:rFonts w:hint="eastAsia" w:ascii="宋体" w:hAnsi="宋体" w:cs="宋体"/>
          <w:b/>
          <w:color w:val="auto"/>
          <w:sz w:val="32"/>
          <w:szCs w:val="32"/>
          <w:lang w:eastAsia="zh-CN"/>
        </w:rPr>
        <w:t>投标人</w:t>
      </w:r>
      <w:r>
        <w:rPr>
          <w:rFonts w:hint="eastAsia" w:ascii="宋体" w:hAnsi="宋体" w:cs="宋体"/>
          <w:b/>
          <w:color w:val="auto"/>
          <w:sz w:val="32"/>
          <w:szCs w:val="32"/>
        </w:rPr>
        <w:t>认为需要提供的其他材料</w:t>
      </w:r>
    </w:p>
    <w:p>
      <w:pPr>
        <w:spacing w:line="720" w:lineRule="auto"/>
        <w:jc w:val="center"/>
        <w:rPr>
          <w:rFonts w:hint="eastAsia" w:ascii="宋体" w:hAnsi="宋体" w:eastAsia="宋体" w:cs="宋体"/>
          <w:color w:val="auto"/>
          <w:sz w:val="32"/>
          <w:szCs w:val="32"/>
          <w:lang w:eastAsia="zh-CN"/>
        </w:rPr>
      </w:pPr>
    </w:p>
    <w:p>
      <w:pPr>
        <w:spacing w:line="720" w:lineRule="auto"/>
        <w:jc w:val="center"/>
        <w:rPr>
          <w:rFonts w:hint="eastAsia" w:ascii="宋体" w:hAnsi="宋体" w:cs="宋体"/>
          <w:color w:val="auto"/>
          <w:sz w:val="32"/>
          <w:szCs w:val="32"/>
        </w:rPr>
      </w:pPr>
      <w:r>
        <w:rPr>
          <w:rFonts w:hint="eastAsia" w:ascii="宋体" w:hAnsi="宋体" w:cs="宋体"/>
          <w:color w:val="auto"/>
          <w:sz w:val="32"/>
          <w:szCs w:val="32"/>
        </w:rPr>
        <w:t>（格式自拟）</w:t>
      </w:r>
    </w:p>
    <w:p>
      <w:pPr>
        <w:pStyle w:val="2"/>
        <w:rPr>
          <w:rFonts w:hint="eastAsia" w:asciiTheme="minorEastAsia" w:hAnsiTheme="minorEastAsia" w:eastAsiaTheme="minorEastAsia" w:cstheme="minorEastAsia"/>
          <w:color w:val="auto"/>
        </w:rPr>
      </w:pPr>
    </w:p>
    <w:p>
      <w:pPr>
        <w:pStyle w:val="2"/>
        <w:rPr>
          <w:rFonts w:hint="eastAsia" w:asciiTheme="minorEastAsia" w:hAnsiTheme="minorEastAsia" w:eastAsiaTheme="minorEastAsia" w:cstheme="minorEastAsia"/>
          <w:b/>
          <w:bCs/>
          <w:color w:val="auto"/>
          <w:kern w:val="2"/>
          <w:sz w:val="32"/>
          <w:szCs w:val="32"/>
        </w:rPr>
      </w:pPr>
    </w:p>
    <w:p>
      <w:pPr>
        <w:rPr>
          <w:rFonts w:hint="eastAsia" w:asciiTheme="minorEastAsia" w:hAnsiTheme="minorEastAsia" w:eastAsiaTheme="minorEastAsia" w:cstheme="minorEastAsia"/>
          <w:b/>
          <w:bCs/>
          <w:color w:val="auto"/>
          <w:kern w:val="2"/>
          <w:sz w:val="32"/>
          <w:szCs w:val="32"/>
        </w:rPr>
      </w:pPr>
    </w:p>
    <w:p>
      <w:pPr>
        <w:pStyle w:val="2"/>
        <w:rPr>
          <w:rFonts w:hint="eastAsia" w:asciiTheme="minorEastAsia" w:hAnsiTheme="minorEastAsia" w:eastAsiaTheme="minorEastAsia" w:cstheme="minorEastAsia"/>
          <w:color w:val="auto"/>
        </w:rPr>
      </w:pPr>
    </w:p>
    <w:p>
      <w:pP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br w:type="page"/>
      </w:r>
    </w:p>
    <w:p>
      <w:pPr>
        <w:pStyle w:val="4"/>
        <w:spacing w:line="340" w:lineRule="exact"/>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rPr>
        <w:t>格式3.</w:t>
      </w:r>
      <w:r>
        <w:rPr>
          <w:rFonts w:hint="eastAsia" w:asciiTheme="minorEastAsia" w:hAnsiTheme="minorEastAsia" w:eastAsiaTheme="minorEastAsia" w:cstheme="minorEastAsia"/>
          <w:color w:val="auto"/>
          <w:lang w:val="en-US" w:eastAsia="zh-CN"/>
        </w:rPr>
        <w:t>2</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2249" w:firstLineChars="200"/>
        <w:jc w:val="center"/>
        <w:rPr>
          <w:rFonts w:hint="eastAsia" w:asciiTheme="minorEastAsia" w:hAnsiTheme="minorEastAsia" w:eastAsiaTheme="minorEastAsia" w:cstheme="minorEastAsia"/>
          <w:color w:val="auto"/>
          <w:sz w:val="112"/>
          <w:szCs w:val="112"/>
        </w:rPr>
      </w:pPr>
    </w:p>
    <w:p>
      <w:pPr>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 w:val="112"/>
          <w:szCs w:val="112"/>
        </w:rPr>
        <w:t>其他投标文件</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643" w:firstLineChars="200"/>
        <w:jc w:val="left"/>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采购项目名称： </w:t>
      </w:r>
    </w:p>
    <w:p>
      <w:pPr>
        <w:pStyle w:val="4"/>
        <w:spacing w:line="340" w:lineRule="exact"/>
        <w:ind w:firstLine="643" w:firstLineChars="200"/>
        <w:jc w:val="left"/>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采购项目编号：</w:t>
      </w:r>
    </w:p>
    <w:p>
      <w:pPr>
        <w:pStyle w:val="4"/>
        <w:spacing w:line="340" w:lineRule="exact"/>
        <w:ind w:firstLine="643" w:firstLineChars="200"/>
        <w:jc w:val="left"/>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lang w:eastAsia="zh-CN"/>
        </w:rPr>
        <w:t>包件号及名称：</w:t>
      </w:r>
      <w:r>
        <w:rPr>
          <w:rFonts w:hint="eastAsia" w:asciiTheme="minorEastAsia" w:hAnsiTheme="minorEastAsia" w:eastAsiaTheme="minorEastAsia" w:cstheme="minorEastAsia"/>
          <w:color w:val="auto"/>
          <w:szCs w:val="28"/>
        </w:rPr>
        <w:t xml:space="preserve"> </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643" w:firstLineChars="20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 xml:space="preserve"> </w:t>
      </w:r>
    </w:p>
    <w:p>
      <w:pPr>
        <w:pStyle w:val="4"/>
        <w:spacing w:line="340" w:lineRule="exact"/>
        <w:ind w:firstLine="643" w:firstLineChars="200"/>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投标人名称：</w:t>
      </w:r>
      <w:r>
        <w:rPr>
          <w:rFonts w:hint="eastAsia" w:asciiTheme="minorEastAsia" w:hAnsiTheme="minorEastAsia" w:eastAsiaTheme="minorEastAsia" w:cstheme="minorEastAsia"/>
          <w:color w:val="auto"/>
          <w:u w:val="single"/>
        </w:rPr>
        <w:t xml:space="preserve">            （加盖公章或电子签章）</w:t>
      </w:r>
      <w:r>
        <w:rPr>
          <w:rFonts w:hint="eastAsia" w:asciiTheme="minorEastAsia" w:hAnsiTheme="minorEastAsia" w:eastAsiaTheme="minorEastAsia" w:cstheme="minorEastAsia"/>
          <w:color w:val="auto"/>
        </w:rPr>
        <w:t xml:space="preserve"> </w:t>
      </w:r>
    </w:p>
    <w:p>
      <w:pPr>
        <w:pStyle w:val="4"/>
        <w:spacing w:line="340" w:lineRule="exact"/>
        <w:ind w:firstLine="643" w:firstLineChars="200"/>
        <w:jc w:val="left"/>
        <w:rPr>
          <w:rFonts w:hint="eastAsia" w:asciiTheme="minorEastAsia" w:hAnsiTheme="minorEastAsia" w:eastAsiaTheme="minorEastAsia" w:cstheme="minorEastAsia"/>
          <w:color w:val="auto"/>
        </w:rPr>
      </w:pPr>
    </w:p>
    <w:p>
      <w:pPr>
        <w:pStyle w:val="4"/>
        <w:spacing w:line="340" w:lineRule="exact"/>
        <w:ind w:firstLine="643" w:firstLineChars="200"/>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日    期：</w:t>
      </w:r>
      <w:r>
        <w:rPr>
          <w:rFonts w:hint="eastAsia" w:asciiTheme="minorEastAsia" w:hAnsiTheme="minorEastAsia" w:eastAsiaTheme="minorEastAsia" w:cstheme="minorEastAsia"/>
          <w:color w:val="auto"/>
          <w:u w:val="single"/>
        </w:rPr>
        <w:t xml:space="preserve">    </w:t>
      </w:r>
      <w:r>
        <w:rPr>
          <w:rFonts w:hint="eastAsia" w:asciiTheme="minorEastAsia" w:hAnsiTheme="minorEastAsia" w:eastAsiaTheme="minorEastAsia" w:cstheme="minorEastAsia"/>
          <w:color w:val="auto"/>
        </w:rPr>
        <w:t>年</w:t>
      </w:r>
      <w:r>
        <w:rPr>
          <w:rFonts w:hint="eastAsia" w:asciiTheme="minorEastAsia" w:hAnsiTheme="minorEastAsia" w:eastAsiaTheme="minorEastAsia" w:cstheme="minorEastAsia"/>
          <w:color w:val="auto"/>
          <w:u w:val="single"/>
        </w:rPr>
        <w:t xml:space="preserve">    </w:t>
      </w:r>
      <w:r>
        <w:rPr>
          <w:rFonts w:hint="eastAsia" w:asciiTheme="minorEastAsia" w:hAnsiTheme="minorEastAsia" w:eastAsiaTheme="minorEastAsia" w:cstheme="minorEastAsia"/>
          <w:color w:val="auto"/>
        </w:rPr>
        <w:t>月</w:t>
      </w:r>
      <w:r>
        <w:rPr>
          <w:rFonts w:hint="eastAsia" w:asciiTheme="minorEastAsia" w:hAnsiTheme="minorEastAsia" w:eastAsiaTheme="minorEastAsia" w:cstheme="minorEastAsia"/>
          <w:color w:val="auto"/>
          <w:u w:val="single"/>
        </w:rPr>
        <w:t xml:space="preserve">    </w:t>
      </w:r>
      <w:r>
        <w:rPr>
          <w:rFonts w:hint="eastAsia" w:asciiTheme="minorEastAsia" w:hAnsiTheme="minorEastAsia" w:eastAsiaTheme="minorEastAsia" w:cstheme="minorEastAsia"/>
          <w:color w:val="auto"/>
        </w:rPr>
        <w:t xml:space="preserve">日 </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br w:type="page"/>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一、投 标 函</w:t>
      </w:r>
    </w:p>
    <w:p>
      <w:pPr>
        <w:pStyle w:val="27"/>
        <w:spacing w:after="0" w:line="360" w:lineRule="auto"/>
        <w:ind w:left="0" w:leftChars="0"/>
        <w:rPr>
          <w:rFonts w:hint="eastAsia"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四川协友招标代理有限公司：</w:t>
      </w:r>
    </w:p>
    <w:p>
      <w:pPr>
        <w:pStyle w:val="27"/>
        <w:keepNext w:val="0"/>
        <w:keepLines w:val="0"/>
        <w:pageBreakBefore w:val="0"/>
        <w:widowControl w:val="0"/>
        <w:kinsoku/>
        <w:wordWrap/>
        <w:overflowPunct/>
        <w:topLinePunct w:val="0"/>
        <w:autoSpaceDE/>
        <w:autoSpaceDN/>
        <w:bidi w:val="0"/>
        <w:adjustRightInd/>
        <w:snapToGrid/>
        <w:spacing w:after="0" w:line="360" w:lineRule="auto"/>
        <w:ind w:left="0" w:leftChars="0" w:firstLine="420"/>
        <w:textAlignment w:val="auto"/>
        <w:rPr>
          <w:rFonts w:hint="eastAsia" w:asciiTheme="minorEastAsia" w:hAnsiTheme="minorEastAsia" w:eastAsiaTheme="minorEastAsia" w:cstheme="minorEastAsia"/>
          <w:b w:val="0"/>
          <w:bCs/>
          <w:color w:val="auto"/>
          <w:sz w:val="24"/>
        </w:rPr>
      </w:pPr>
      <w:bookmarkStart w:id="114" w:name="_Toc217446083"/>
      <w:r>
        <w:rPr>
          <w:rFonts w:hint="eastAsia"/>
          <w:b w:val="0"/>
          <w:bCs/>
          <w:color w:val="auto"/>
          <w:kern w:val="2"/>
          <w:sz w:val="24"/>
          <w:szCs w:val="24"/>
          <w:lang w:val="en-US"/>
        </w:rPr>
        <w:t>我方全面研究了</w:t>
      </w:r>
      <w:r>
        <w:rPr>
          <w:rFonts w:hint="eastAsia"/>
          <w:b w:val="0"/>
          <w:bCs/>
          <w:color w:val="auto"/>
          <w:kern w:val="2"/>
          <w:sz w:val="24"/>
          <w:szCs w:val="24"/>
          <w:u w:val="single"/>
          <w:lang w:val="en-US"/>
        </w:rPr>
        <w:t xml:space="preserve">             项目</w:t>
      </w:r>
      <w:r>
        <w:rPr>
          <w:rFonts w:hint="eastAsia"/>
          <w:b w:val="0"/>
          <w:bCs/>
          <w:color w:val="auto"/>
          <w:kern w:val="2"/>
          <w:sz w:val="24"/>
          <w:szCs w:val="24"/>
          <w:lang w:val="en-US"/>
        </w:rPr>
        <w:t>的招标文件（采购项目编号：</w:t>
      </w:r>
      <w:r>
        <w:rPr>
          <w:rFonts w:hint="eastAsia"/>
          <w:b w:val="0"/>
          <w:bCs/>
          <w:color w:val="auto"/>
          <w:kern w:val="2"/>
          <w:sz w:val="24"/>
          <w:szCs w:val="24"/>
          <w:u w:val="single"/>
          <w:lang w:val="en-US"/>
        </w:rPr>
        <w:t xml:space="preserve">         </w:t>
      </w:r>
      <w:r>
        <w:rPr>
          <w:rFonts w:hint="eastAsia"/>
          <w:b w:val="0"/>
          <w:bCs/>
          <w:color w:val="auto"/>
          <w:kern w:val="2"/>
          <w:sz w:val="24"/>
          <w:szCs w:val="24"/>
          <w:lang w:val="en-US"/>
        </w:rPr>
        <w:t>）（包件号</w:t>
      </w:r>
      <w:r>
        <w:rPr>
          <w:b w:val="0"/>
          <w:bCs/>
          <w:color w:val="auto"/>
          <w:kern w:val="2"/>
          <w:sz w:val="24"/>
          <w:szCs w:val="24"/>
          <w:lang w:val="en-US"/>
        </w:rPr>
        <w:t>及名称：</w:t>
      </w:r>
      <w:r>
        <w:rPr>
          <w:rFonts w:hint="eastAsia"/>
          <w:b w:val="0"/>
          <w:bCs/>
          <w:color w:val="auto"/>
          <w:kern w:val="2"/>
          <w:sz w:val="24"/>
          <w:szCs w:val="24"/>
          <w:u w:val="single"/>
          <w:lang w:val="en-US"/>
        </w:rPr>
        <w:t xml:space="preserve">        </w:t>
      </w:r>
      <w:r>
        <w:rPr>
          <w:rFonts w:hint="eastAsia"/>
          <w:b w:val="0"/>
          <w:bCs/>
          <w:color w:val="auto"/>
          <w:kern w:val="2"/>
          <w:sz w:val="24"/>
          <w:szCs w:val="24"/>
          <w:lang w:val="en-US"/>
        </w:rPr>
        <w:t>），决定参加贵单位组织的本项目的投标。我方授权</w:t>
      </w:r>
      <w:r>
        <w:rPr>
          <w:rFonts w:hint="eastAsia"/>
          <w:b w:val="0"/>
          <w:bCs/>
          <w:color w:val="auto"/>
          <w:kern w:val="2"/>
          <w:sz w:val="24"/>
          <w:szCs w:val="24"/>
          <w:u w:val="single"/>
          <w:lang w:val="en-US"/>
        </w:rPr>
        <w:t xml:space="preserve">    （姓名、职务）</w:t>
      </w:r>
      <w:r>
        <w:rPr>
          <w:rFonts w:hint="eastAsia"/>
          <w:b w:val="0"/>
          <w:bCs/>
          <w:color w:val="auto"/>
          <w:kern w:val="2"/>
          <w:sz w:val="24"/>
          <w:szCs w:val="24"/>
          <w:lang w:val="en-US"/>
        </w:rPr>
        <w:t>代表我方</w:t>
      </w:r>
      <w:r>
        <w:rPr>
          <w:rFonts w:hint="eastAsia"/>
          <w:b w:val="0"/>
          <w:bCs/>
          <w:color w:val="auto"/>
          <w:kern w:val="2"/>
          <w:sz w:val="24"/>
          <w:szCs w:val="24"/>
          <w:u w:val="single"/>
          <w:lang w:val="en-US"/>
        </w:rPr>
        <w:t xml:space="preserve">  （投标单位的名称）</w:t>
      </w:r>
      <w:r>
        <w:rPr>
          <w:rFonts w:hint="eastAsia"/>
          <w:b w:val="0"/>
          <w:bCs/>
          <w:color w:val="auto"/>
          <w:kern w:val="2"/>
          <w:sz w:val="24"/>
          <w:szCs w:val="24"/>
          <w:lang w:val="en-US"/>
        </w:rPr>
        <w:t>全权处理本项目投标的有关事宜。</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rPr>
        <w:t>1、我方自愿按照招标文件规定的各项要求向采购人提供所需服务，投标总价</w:t>
      </w:r>
      <w:r>
        <w:rPr>
          <w:rFonts w:hint="eastAsia"/>
          <w:b w:val="0"/>
          <w:color w:val="auto"/>
          <w:kern w:val="2"/>
          <w:sz w:val="24"/>
          <w:szCs w:val="24"/>
          <w:lang w:val="en-US" w:eastAsia="zh-CN"/>
        </w:rPr>
        <w:t>：按照《咨询机构费用管理》计费标准的100%计取（详见</w:t>
      </w:r>
      <w:r>
        <w:rPr>
          <w:rFonts w:hint="eastAsia"/>
          <w:b w:val="0"/>
          <w:color w:val="auto"/>
          <w:kern w:val="2"/>
          <w:sz w:val="24"/>
          <w:szCs w:val="24"/>
          <w:lang w:val="en-US"/>
        </w:rPr>
        <w:t>开标一览表</w:t>
      </w:r>
      <w:r>
        <w:rPr>
          <w:rFonts w:hint="eastAsia"/>
          <w:b w:val="0"/>
          <w:bCs/>
          <w:color w:val="auto"/>
          <w:kern w:val="2"/>
          <w:sz w:val="24"/>
          <w:szCs w:val="24"/>
          <w:lang w:val="en-US" w:eastAsia="zh-CN"/>
        </w:rPr>
        <w:t>）</w:t>
      </w:r>
      <w:r>
        <w:rPr>
          <w:rFonts w:hint="eastAsia"/>
          <w:b w:val="0"/>
          <w:color w:val="auto"/>
          <w:kern w:val="2"/>
          <w:sz w:val="24"/>
          <w:szCs w:val="24"/>
          <w:lang w:val="en-US"/>
        </w:rP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rPr>
        <w:t>2、一旦我方中标，我方将严格履行合同规定的责任和义务。</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eastAsia="zh-CN"/>
        </w:rPr>
        <w:t>3</w:t>
      </w:r>
      <w:r>
        <w:rPr>
          <w:rFonts w:hint="eastAsia"/>
          <w:b w:val="0"/>
          <w:color w:val="auto"/>
          <w:kern w:val="2"/>
          <w:sz w:val="24"/>
          <w:szCs w:val="24"/>
          <w:lang w:val="en-US"/>
        </w:rPr>
        <w:t>、本项目投标有效期为投标截止之日起90天。</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eastAsia="zh-CN"/>
        </w:rPr>
        <w:t>4</w:t>
      </w:r>
      <w:r>
        <w:rPr>
          <w:rFonts w:hint="eastAsia"/>
          <w:b w:val="0"/>
          <w:color w:val="auto"/>
          <w:kern w:val="2"/>
          <w:sz w:val="24"/>
          <w:szCs w:val="24"/>
          <w:lang w:val="en-US"/>
        </w:rPr>
        <w:t>、我方已详细阅读和审查了全部招标文件，包括修改文件（如有）以及全部相关资料和有关附件，并对上述文件均无异议。我方完全接受本项目招标文件规定的实质性要求，如对招标文件有异议，已经在投标截止时间届满前依法进行了维权救济，不存在对招标文件有异议的同时又参加投标以求侥幸中标或者为实现其他非法目的的行为。</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eastAsia="zh-CN"/>
        </w:rPr>
        <w:t>5</w:t>
      </w:r>
      <w:r>
        <w:rPr>
          <w:rFonts w:hint="eastAsia"/>
          <w:b w:val="0"/>
          <w:color w:val="auto"/>
          <w:kern w:val="2"/>
          <w:sz w:val="24"/>
          <w:szCs w:val="24"/>
          <w:lang w:val="en-US"/>
        </w:rPr>
        <w:t>、</w:t>
      </w:r>
      <w:r>
        <w:rPr>
          <w:rFonts w:ascii="Times New Roman"/>
          <w:b w:val="0"/>
          <w:color w:val="auto"/>
          <w:kern w:val="2"/>
          <w:sz w:val="24"/>
          <w:szCs w:val="24"/>
          <w:lang w:val="en-US"/>
        </w:rPr>
        <w:t>国家</w:t>
      </w:r>
      <w:r>
        <w:rPr>
          <w:rFonts w:hint="eastAsia" w:ascii="Times New Roman"/>
          <w:b w:val="0"/>
          <w:color w:val="auto"/>
          <w:kern w:val="2"/>
          <w:sz w:val="24"/>
          <w:szCs w:val="24"/>
          <w:lang w:val="en-US"/>
        </w:rPr>
        <w:t>或行业主管部门</w:t>
      </w:r>
      <w:r>
        <w:rPr>
          <w:rFonts w:ascii="Times New Roman"/>
          <w:b w:val="0"/>
          <w:color w:val="auto"/>
          <w:kern w:val="2"/>
          <w:sz w:val="24"/>
          <w:szCs w:val="24"/>
          <w:lang w:val="en-US"/>
        </w:rPr>
        <w:t>对</w:t>
      </w:r>
      <w:r>
        <w:rPr>
          <w:rFonts w:hint="eastAsia" w:ascii="Times New Roman"/>
          <w:b w:val="0"/>
          <w:color w:val="auto"/>
          <w:kern w:val="2"/>
          <w:sz w:val="24"/>
          <w:szCs w:val="24"/>
          <w:lang w:val="en-US"/>
        </w:rPr>
        <w:t>投标人和采购产品的</w:t>
      </w:r>
      <w:r>
        <w:rPr>
          <w:rFonts w:ascii="Times New Roman"/>
          <w:b w:val="0"/>
          <w:color w:val="auto"/>
          <w:kern w:val="2"/>
          <w:sz w:val="24"/>
          <w:szCs w:val="24"/>
          <w:lang w:val="en-US"/>
        </w:rPr>
        <w:t>技术</w:t>
      </w:r>
      <w:r>
        <w:rPr>
          <w:rFonts w:hint="eastAsia" w:ascii="Times New Roman"/>
          <w:b w:val="0"/>
          <w:color w:val="auto"/>
          <w:kern w:val="2"/>
          <w:sz w:val="24"/>
          <w:szCs w:val="24"/>
          <w:lang w:val="en-US"/>
        </w:rPr>
        <w:t>标准、</w:t>
      </w:r>
      <w:r>
        <w:rPr>
          <w:rFonts w:ascii="Times New Roman"/>
          <w:b w:val="0"/>
          <w:color w:val="auto"/>
          <w:kern w:val="2"/>
          <w:sz w:val="24"/>
          <w:szCs w:val="24"/>
          <w:lang w:val="en-US"/>
        </w:rPr>
        <w:t>质量</w:t>
      </w:r>
      <w:r>
        <w:rPr>
          <w:rFonts w:hint="eastAsia" w:ascii="Times New Roman"/>
          <w:b w:val="0"/>
          <w:color w:val="auto"/>
          <w:kern w:val="2"/>
          <w:sz w:val="24"/>
          <w:szCs w:val="24"/>
          <w:lang w:val="en-US"/>
        </w:rPr>
        <w:t>标准和资格资质条件</w:t>
      </w:r>
      <w:r>
        <w:rPr>
          <w:rFonts w:ascii="Times New Roman"/>
          <w:b w:val="0"/>
          <w:color w:val="auto"/>
          <w:kern w:val="2"/>
          <w:sz w:val="24"/>
          <w:szCs w:val="24"/>
          <w:lang w:val="en-US"/>
        </w:rPr>
        <w:t>等有</w:t>
      </w:r>
      <w:r>
        <w:rPr>
          <w:rFonts w:hint="eastAsia" w:ascii="Times New Roman"/>
          <w:b w:val="0"/>
          <w:color w:val="auto"/>
          <w:kern w:val="2"/>
          <w:sz w:val="24"/>
          <w:szCs w:val="24"/>
          <w:lang w:val="en-US"/>
        </w:rPr>
        <w:t>强制性规定</w:t>
      </w:r>
      <w:r>
        <w:rPr>
          <w:rFonts w:ascii="Times New Roman"/>
          <w:b w:val="0"/>
          <w:color w:val="auto"/>
          <w:kern w:val="2"/>
          <w:sz w:val="24"/>
          <w:szCs w:val="24"/>
          <w:lang w:val="en-US"/>
        </w:rPr>
        <w:t>的</w:t>
      </w:r>
      <w:r>
        <w:rPr>
          <w:rFonts w:hint="eastAsia" w:ascii="Times New Roman"/>
          <w:b w:val="0"/>
          <w:color w:val="auto"/>
          <w:kern w:val="2"/>
          <w:sz w:val="24"/>
          <w:szCs w:val="24"/>
          <w:lang w:val="en-US"/>
        </w:rPr>
        <w:t>，我方符合其要求。</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eastAsia="zh-CN"/>
        </w:rPr>
        <w:t>6</w:t>
      </w:r>
      <w:r>
        <w:rPr>
          <w:rFonts w:hint="eastAsia"/>
          <w:b w:val="0"/>
          <w:color w:val="auto"/>
          <w:kern w:val="2"/>
          <w:sz w:val="24"/>
          <w:szCs w:val="24"/>
          <w:lang w:val="en-US"/>
        </w:rPr>
        <w:t>、我方愿意提供贵单位可能另外要求的，与投标有关的文件资料，并保证我方已提供和将要提供的文件资料是真实、准确的。</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eastAsia="zh-CN"/>
        </w:rPr>
        <w:t>7</w:t>
      </w:r>
      <w:r>
        <w:rPr>
          <w:rFonts w:hint="eastAsia"/>
          <w:b w:val="0"/>
          <w:color w:val="auto"/>
          <w:kern w:val="2"/>
          <w:sz w:val="24"/>
          <w:szCs w:val="24"/>
          <w:lang w:val="en-US"/>
        </w:rPr>
        <w:t>、我方完全响应招标文件中关于知识产权的要求。</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eastAsia="zh-CN"/>
        </w:rPr>
        <w:t>8</w:t>
      </w:r>
      <w:r>
        <w:rPr>
          <w:rFonts w:hint="eastAsia"/>
          <w:b w:val="0"/>
          <w:color w:val="auto"/>
          <w:kern w:val="2"/>
          <w:sz w:val="24"/>
          <w:szCs w:val="24"/>
          <w:lang w:val="en-US"/>
        </w:rPr>
        <w:t>、我方完全理解采购人不一定将合同授予最低报价的投标人的行为。</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eastAsia="zh-CN"/>
        </w:rPr>
        <w:t>9</w:t>
      </w:r>
      <w:r>
        <w:rPr>
          <w:rFonts w:hint="eastAsia"/>
          <w:b w:val="0"/>
          <w:color w:val="auto"/>
          <w:kern w:val="2"/>
          <w:sz w:val="24"/>
          <w:szCs w:val="24"/>
          <w:lang w:val="en-US"/>
        </w:rPr>
        <w:t>、我方单位及其现任法定代表人、主要负责人不存在行贿犯罪记录</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bCs/>
          <w:color w:val="auto"/>
          <w:kern w:val="2"/>
          <w:sz w:val="24"/>
          <w:szCs w:val="24"/>
          <w:lang w:val="en-US"/>
        </w:rPr>
      </w:pPr>
      <w:r>
        <w:rPr>
          <w:rFonts w:hint="eastAsia"/>
          <w:b w:val="0"/>
          <w:bCs/>
          <w:color w:val="auto"/>
          <w:kern w:val="2"/>
          <w:sz w:val="24"/>
          <w:szCs w:val="24"/>
          <w:lang w:val="en-US"/>
        </w:rPr>
        <w:t>1</w:t>
      </w:r>
      <w:r>
        <w:rPr>
          <w:rFonts w:hint="eastAsia"/>
          <w:b w:val="0"/>
          <w:bCs/>
          <w:color w:val="auto"/>
          <w:kern w:val="2"/>
          <w:sz w:val="24"/>
          <w:szCs w:val="24"/>
          <w:lang w:val="en-US" w:eastAsia="zh-CN"/>
        </w:rPr>
        <w:t>0</w:t>
      </w:r>
      <w:r>
        <w:rPr>
          <w:rFonts w:hint="eastAsia"/>
          <w:b w:val="0"/>
          <w:bCs/>
          <w:color w:val="auto"/>
          <w:kern w:val="2"/>
          <w:sz w:val="24"/>
          <w:szCs w:val="24"/>
          <w:lang w:val="en-US"/>
        </w:rPr>
        <w:t>、若我方中标，我方承诺按照本招标文件约定支付招标代理服务费，否则视为虚假应标并承担由此带来的一切后果。</w:t>
      </w:r>
    </w:p>
    <w:p>
      <w:pPr>
        <w:spacing w:line="420" w:lineRule="exact"/>
        <w:ind w:firstLine="480"/>
        <w:rPr>
          <w:rFonts w:hint="eastAsia"/>
          <w:b w:val="0"/>
          <w:color w:val="auto"/>
          <w:kern w:val="2"/>
          <w:sz w:val="24"/>
          <w:szCs w:val="24"/>
          <w:lang w:val="en-US"/>
        </w:rPr>
      </w:pPr>
      <w:r>
        <w:rPr>
          <w:rFonts w:hint="eastAsia"/>
          <w:b w:val="0"/>
          <w:color w:val="auto"/>
          <w:kern w:val="2"/>
          <w:sz w:val="24"/>
          <w:szCs w:val="24"/>
          <w:lang w:val="en-US"/>
        </w:rPr>
        <w:t>投标人名称（加盖公章或电子签章）：</w:t>
      </w:r>
    </w:p>
    <w:p>
      <w:pPr>
        <w:spacing w:line="420" w:lineRule="exact"/>
        <w:ind w:firstLine="480"/>
        <w:rPr>
          <w:rFonts w:hint="eastAsia"/>
          <w:b w:val="0"/>
          <w:color w:val="auto"/>
          <w:kern w:val="2"/>
          <w:sz w:val="24"/>
          <w:szCs w:val="24"/>
          <w:lang w:val="en-US"/>
        </w:rPr>
      </w:pPr>
      <w:r>
        <w:rPr>
          <w:rFonts w:hint="eastAsia"/>
          <w:b w:val="0"/>
          <w:color w:val="auto"/>
          <w:kern w:val="2"/>
          <w:sz w:val="24"/>
          <w:szCs w:val="24"/>
          <w:lang w:val="en-US"/>
        </w:rPr>
        <w:t>法定代表人或代理人签字或加盖印章：</w:t>
      </w:r>
    </w:p>
    <w:p>
      <w:pPr>
        <w:spacing w:line="420" w:lineRule="exact"/>
        <w:ind w:firstLine="480"/>
        <w:rPr>
          <w:rFonts w:hint="eastAsia"/>
          <w:b w:val="0"/>
          <w:color w:val="auto"/>
          <w:kern w:val="2"/>
          <w:sz w:val="24"/>
          <w:szCs w:val="24"/>
          <w:lang w:val="en-US"/>
        </w:rPr>
      </w:pPr>
      <w:r>
        <w:rPr>
          <w:rFonts w:hint="eastAsia"/>
          <w:b w:val="0"/>
          <w:color w:val="auto"/>
          <w:kern w:val="2"/>
          <w:sz w:val="24"/>
          <w:szCs w:val="24"/>
          <w:lang w:val="en-US"/>
        </w:rPr>
        <w:t>通讯地址：</w:t>
      </w:r>
    </w:p>
    <w:p>
      <w:pPr>
        <w:spacing w:line="420" w:lineRule="exact"/>
        <w:ind w:firstLine="480"/>
        <w:rPr>
          <w:rFonts w:hint="eastAsia"/>
          <w:b w:val="0"/>
          <w:color w:val="auto"/>
          <w:kern w:val="2"/>
          <w:sz w:val="24"/>
          <w:szCs w:val="24"/>
          <w:lang w:val="en-US"/>
        </w:rPr>
      </w:pPr>
      <w:r>
        <w:rPr>
          <w:rFonts w:hint="eastAsia"/>
          <w:b w:val="0"/>
          <w:color w:val="auto"/>
          <w:kern w:val="2"/>
          <w:sz w:val="24"/>
          <w:szCs w:val="24"/>
          <w:lang w:val="en-US"/>
        </w:rPr>
        <w:t>联系电话：</w:t>
      </w:r>
    </w:p>
    <w:p>
      <w:pPr>
        <w:spacing w:line="420" w:lineRule="exact"/>
        <w:ind w:firstLine="480"/>
        <w:rPr>
          <w:rFonts w:hint="eastAsia"/>
          <w:b w:val="0"/>
          <w:color w:val="auto"/>
          <w:kern w:val="2"/>
          <w:sz w:val="24"/>
          <w:szCs w:val="24"/>
          <w:lang w:val="en-US"/>
        </w:rPr>
      </w:pPr>
      <w:r>
        <w:rPr>
          <w:rFonts w:hint="eastAsia"/>
          <w:b w:val="0"/>
          <w:color w:val="auto"/>
          <w:kern w:val="2"/>
          <w:sz w:val="24"/>
          <w:szCs w:val="24"/>
          <w:lang w:val="en-US"/>
        </w:rPr>
        <w:t>传    真：</w:t>
      </w:r>
    </w:p>
    <w:p>
      <w:pPr>
        <w:spacing w:line="420" w:lineRule="exact"/>
        <w:ind w:firstLine="480"/>
        <w:rPr>
          <w:rFonts w:hint="eastAsia"/>
          <w:b w:val="0"/>
          <w:color w:val="auto"/>
          <w:kern w:val="2"/>
          <w:sz w:val="24"/>
          <w:szCs w:val="24"/>
          <w:lang w:val="en-US"/>
        </w:rPr>
      </w:pPr>
      <w:r>
        <w:rPr>
          <w:rFonts w:hint="eastAsia"/>
          <w:b w:val="0"/>
          <w:color w:val="auto"/>
          <w:kern w:val="2"/>
          <w:sz w:val="24"/>
          <w:szCs w:val="24"/>
          <w:lang w:val="en-US"/>
        </w:rPr>
        <w:t>日    期：</w:t>
      </w:r>
      <w:r>
        <w:rPr>
          <w:rFonts w:hint="eastAsia"/>
          <w:b w:val="0"/>
          <w:color w:val="auto"/>
          <w:kern w:val="2"/>
          <w:sz w:val="24"/>
          <w:szCs w:val="24"/>
          <w:lang w:val="en-US"/>
        </w:rPr>
        <w:br w:type="page"/>
      </w:r>
    </w:p>
    <w:p>
      <w:pPr>
        <w:widowControl/>
        <w:jc w:val="center"/>
        <w:outlineLvl w:val="1"/>
        <w:rPr>
          <w:rFonts w:hint="eastAsia" w:asciiTheme="minorEastAsia" w:hAnsiTheme="minorEastAsia" w:eastAsiaTheme="minorEastAsia" w:cstheme="minorEastAsia"/>
          <w:b/>
          <w:color w:val="auto"/>
          <w:sz w:val="32"/>
          <w:szCs w:val="32"/>
          <w:lang w:eastAsia="zh-CN"/>
        </w:rPr>
      </w:pPr>
      <w:r>
        <w:rPr>
          <w:rFonts w:hint="eastAsia" w:asciiTheme="minorEastAsia" w:hAnsiTheme="minorEastAsia" w:eastAsiaTheme="minorEastAsia" w:cstheme="minorEastAsia"/>
          <w:b/>
          <w:color w:val="auto"/>
          <w:sz w:val="32"/>
          <w:szCs w:val="32"/>
        </w:rPr>
        <w:t>二、</w:t>
      </w:r>
      <w:r>
        <w:rPr>
          <w:rFonts w:hint="eastAsia" w:asciiTheme="minorEastAsia" w:hAnsiTheme="minorEastAsia" w:eastAsiaTheme="minorEastAsia" w:cstheme="minorEastAsia"/>
          <w:b/>
          <w:color w:val="auto"/>
          <w:sz w:val="32"/>
          <w:szCs w:val="32"/>
          <w:lang w:eastAsia="zh-CN"/>
        </w:rPr>
        <w:t>开标一览表</w:t>
      </w:r>
    </w:p>
    <w:p>
      <w:pPr>
        <w:widowControl/>
        <w:jc w:val="center"/>
        <w:outlineLvl w:val="1"/>
        <w:rPr>
          <w:rFonts w:hint="eastAsia" w:asciiTheme="minorEastAsia" w:hAnsiTheme="minorEastAsia" w:eastAsiaTheme="minorEastAsia" w:cstheme="minorEastAsia"/>
          <w:b/>
          <w:color w:val="auto"/>
          <w:sz w:val="24"/>
          <w:szCs w:val="24"/>
        </w:rPr>
      </w:pPr>
    </w:p>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b w:val="0"/>
          <w:color w:val="auto"/>
          <w:sz w:val="24"/>
        </w:rPr>
      </w:pPr>
      <w:r>
        <w:rPr>
          <w:rFonts w:hint="eastAsia"/>
          <w:b w:val="0"/>
          <w:color w:val="auto"/>
          <w:sz w:val="24"/>
        </w:rPr>
        <w:t>采购项目名称：</w:t>
      </w:r>
    </w:p>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b w:val="0"/>
          <w:color w:val="auto"/>
          <w:sz w:val="24"/>
        </w:rPr>
      </w:pPr>
      <w:r>
        <w:rPr>
          <w:rFonts w:hint="eastAsia"/>
          <w:b w:val="0"/>
          <w:color w:val="auto"/>
          <w:sz w:val="24"/>
        </w:rPr>
        <w:t>采购项目编号：</w:t>
      </w:r>
    </w:p>
    <w:p>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1"/>
        <w:rPr>
          <w:rFonts w:hint="eastAsia" w:asciiTheme="minorEastAsia" w:hAnsiTheme="minorEastAsia" w:eastAsiaTheme="minorEastAsia" w:cstheme="minorEastAsia"/>
          <w:color w:val="auto"/>
          <w:sz w:val="24"/>
        </w:rPr>
      </w:pPr>
      <w:r>
        <w:rPr>
          <w:rFonts w:hint="eastAsia"/>
          <w:b w:val="0"/>
          <w:color w:val="auto"/>
          <w:sz w:val="24"/>
        </w:rPr>
        <w:t>包件号</w:t>
      </w:r>
      <w:r>
        <w:rPr>
          <w:b w:val="0"/>
          <w:color w:val="auto"/>
          <w:sz w:val="24"/>
        </w:rPr>
        <w:t>及名称：</w:t>
      </w:r>
    </w:p>
    <w:tbl>
      <w:tblPr>
        <w:tblStyle w:val="46"/>
        <w:tblW w:w="93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3783"/>
        <w:gridCol w:w="1825"/>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2268" w:type="dxa"/>
            <w:noWrap w:val="0"/>
            <w:vAlign w:val="center"/>
          </w:tcPr>
          <w:p>
            <w:pPr>
              <w:ind w:firstLine="0" w:firstLineChars="0"/>
              <w:jc w:val="center"/>
              <w:rPr>
                <w:b w:val="0"/>
                <w:color w:val="auto"/>
                <w:sz w:val="24"/>
              </w:rPr>
            </w:pPr>
            <w:r>
              <w:rPr>
                <w:rFonts w:hint="eastAsia"/>
                <w:b w:val="0"/>
                <w:color w:val="auto"/>
                <w:sz w:val="24"/>
              </w:rPr>
              <w:t>服务内容</w:t>
            </w:r>
          </w:p>
        </w:tc>
        <w:tc>
          <w:tcPr>
            <w:tcW w:w="3783" w:type="dxa"/>
            <w:noWrap w:val="0"/>
            <w:vAlign w:val="center"/>
          </w:tcPr>
          <w:p>
            <w:pPr>
              <w:widowControl/>
              <w:ind w:firstLine="0" w:firstLineChars="0"/>
              <w:jc w:val="center"/>
              <w:rPr>
                <w:b w:val="0"/>
                <w:color w:val="auto"/>
                <w:sz w:val="24"/>
              </w:rPr>
            </w:pPr>
            <w:r>
              <w:rPr>
                <w:rFonts w:hint="eastAsia"/>
                <w:b w:val="0"/>
                <w:color w:val="auto"/>
                <w:sz w:val="24"/>
              </w:rPr>
              <w:t>投标报价</w:t>
            </w:r>
          </w:p>
        </w:tc>
        <w:tc>
          <w:tcPr>
            <w:tcW w:w="1825" w:type="dxa"/>
            <w:noWrap w:val="0"/>
            <w:vAlign w:val="center"/>
          </w:tcPr>
          <w:p>
            <w:pPr>
              <w:widowControl/>
              <w:ind w:firstLine="0" w:firstLineChars="0"/>
              <w:jc w:val="center"/>
              <w:rPr>
                <w:b w:val="0"/>
                <w:color w:val="auto"/>
                <w:sz w:val="24"/>
              </w:rPr>
            </w:pPr>
            <w:r>
              <w:rPr>
                <w:rFonts w:hint="eastAsia"/>
                <w:b w:val="0"/>
                <w:color w:val="auto"/>
                <w:sz w:val="24"/>
                <w:lang w:val="en-US" w:eastAsia="zh-CN"/>
              </w:rPr>
              <w:t>服务</w:t>
            </w:r>
            <w:r>
              <w:rPr>
                <w:rFonts w:hint="eastAsia"/>
                <w:b w:val="0"/>
                <w:color w:val="auto"/>
                <w:sz w:val="24"/>
              </w:rPr>
              <w:t>期限</w:t>
            </w:r>
          </w:p>
        </w:tc>
        <w:tc>
          <w:tcPr>
            <w:tcW w:w="1476" w:type="dxa"/>
            <w:noWrap w:val="0"/>
            <w:vAlign w:val="center"/>
          </w:tcPr>
          <w:p>
            <w:pPr>
              <w:ind w:firstLine="0" w:firstLineChars="0"/>
              <w:jc w:val="center"/>
              <w:outlineLvl w:val="5"/>
              <w:rPr>
                <w:b w:val="0"/>
                <w:color w:val="auto"/>
                <w:sz w:val="24"/>
              </w:rPr>
            </w:pPr>
            <w:r>
              <w:rPr>
                <w:rFonts w:hint="eastAsia"/>
                <w:b w:val="0"/>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2268" w:type="dxa"/>
            <w:noWrap w:val="0"/>
            <w:vAlign w:val="center"/>
          </w:tcPr>
          <w:p>
            <w:pPr>
              <w:ind w:firstLine="480"/>
              <w:jc w:val="center"/>
              <w:outlineLvl w:val="5"/>
              <w:rPr>
                <w:b w:val="0"/>
                <w:color w:val="auto"/>
                <w:sz w:val="24"/>
              </w:rPr>
            </w:pPr>
          </w:p>
        </w:tc>
        <w:tc>
          <w:tcPr>
            <w:tcW w:w="3783" w:type="dxa"/>
            <w:noWrap w:val="0"/>
            <w:vAlign w:val="center"/>
          </w:tcPr>
          <w:p>
            <w:pPr>
              <w:ind w:left="0" w:leftChars="0" w:firstLine="0" w:firstLineChars="0"/>
              <w:jc w:val="both"/>
              <w:outlineLvl w:val="5"/>
              <w:rPr>
                <w:b w:val="0"/>
                <w:color w:val="auto"/>
                <w:sz w:val="24"/>
              </w:rPr>
            </w:pPr>
            <w:r>
              <w:rPr>
                <w:rFonts w:hint="eastAsia" w:cs="宋体"/>
                <w:b w:val="0"/>
                <w:bCs/>
                <w:color w:val="auto"/>
                <w:sz w:val="24"/>
                <w:szCs w:val="24"/>
                <w:lang w:val="en-US" w:eastAsia="zh-CN"/>
              </w:rPr>
              <w:t>按照《咨询机构费用管理》计费标准的100%计取。</w:t>
            </w:r>
          </w:p>
        </w:tc>
        <w:tc>
          <w:tcPr>
            <w:tcW w:w="1825" w:type="dxa"/>
            <w:noWrap w:val="0"/>
            <w:vAlign w:val="center"/>
          </w:tcPr>
          <w:p>
            <w:pPr>
              <w:ind w:firstLine="480"/>
              <w:jc w:val="center"/>
              <w:outlineLvl w:val="5"/>
              <w:rPr>
                <w:b w:val="0"/>
                <w:color w:val="auto"/>
                <w:sz w:val="24"/>
              </w:rPr>
            </w:pPr>
          </w:p>
        </w:tc>
        <w:tc>
          <w:tcPr>
            <w:tcW w:w="1476" w:type="dxa"/>
            <w:noWrap w:val="0"/>
            <w:vAlign w:val="center"/>
          </w:tcPr>
          <w:p>
            <w:pPr>
              <w:ind w:firstLine="480"/>
              <w:jc w:val="center"/>
              <w:outlineLvl w:val="5"/>
              <w:rPr>
                <w:b w:val="0"/>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9352"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textAlignment w:val="auto"/>
              <w:outlineLvl w:val="2"/>
              <w:rPr>
                <w:b w:val="0"/>
                <w:color w:val="auto"/>
                <w:sz w:val="24"/>
              </w:rPr>
            </w:pPr>
            <w:r>
              <w:rPr>
                <w:rFonts w:hint="eastAsia"/>
                <w:b w:val="0"/>
                <w:color w:val="auto"/>
                <w:sz w:val="24"/>
              </w:rPr>
              <w:t>注：</w:t>
            </w:r>
            <w:r>
              <w:rPr>
                <w:b w:val="0"/>
                <w:color w:val="auto"/>
                <w:sz w:val="24"/>
              </w:rPr>
              <w:t>1.</w:t>
            </w:r>
            <w:r>
              <w:rPr>
                <w:rFonts w:hint="eastAsia"/>
                <w:b w:val="0"/>
                <w:color w:val="auto"/>
                <w:sz w:val="24"/>
              </w:rPr>
              <w:t>报价应当包含完成本项目所需的所有费用。</w:t>
            </w:r>
          </w:p>
          <w:p>
            <w:pPr>
              <w:keepNext w:val="0"/>
              <w:keepLines w:val="0"/>
              <w:pageBreakBefore w:val="0"/>
              <w:widowControl w:val="0"/>
              <w:kinsoku/>
              <w:wordWrap/>
              <w:overflowPunct/>
              <w:topLinePunct w:val="0"/>
              <w:autoSpaceDE/>
              <w:autoSpaceDN/>
              <w:bidi w:val="0"/>
              <w:adjustRightInd w:val="0"/>
              <w:snapToGrid w:val="0"/>
              <w:spacing w:line="440" w:lineRule="exact"/>
              <w:ind w:firstLine="480"/>
              <w:textAlignment w:val="auto"/>
              <w:outlineLvl w:val="2"/>
              <w:rPr>
                <w:b w:val="0"/>
                <w:color w:val="auto"/>
                <w:sz w:val="24"/>
              </w:rPr>
            </w:pPr>
            <w:r>
              <w:rPr>
                <w:rFonts w:hint="eastAsia"/>
                <w:b w:val="0"/>
                <w:color w:val="auto"/>
                <w:sz w:val="24"/>
              </w:rPr>
              <w:t>2.“开标一览表”为多页的，每页均需由法定代表人或授权代表签字并盖投标人公章。</w:t>
            </w:r>
          </w:p>
          <w:p>
            <w:pPr>
              <w:spacing w:line="420" w:lineRule="exact"/>
              <w:ind w:firstLine="480"/>
              <w:rPr>
                <w:color w:val="auto"/>
              </w:rPr>
            </w:pPr>
            <w:r>
              <w:rPr>
                <w:rFonts w:hint="eastAsia"/>
                <w:b w:val="0"/>
                <w:color w:val="auto"/>
                <w:sz w:val="24"/>
              </w:rPr>
              <w:t>3.以上表格如不能完全表达清楚投标人认为必要的费用明细，投标人可自行补充。</w:t>
            </w:r>
          </w:p>
        </w:tc>
      </w:tr>
    </w:tbl>
    <w:p>
      <w:pPr>
        <w:pStyle w:val="4"/>
        <w:spacing w:line="340" w:lineRule="exact"/>
        <w:rPr>
          <w:rFonts w:hint="eastAsia" w:asciiTheme="minorEastAsia" w:hAnsiTheme="minorEastAsia" w:eastAsiaTheme="minorEastAsia" w:cstheme="minorEastAsia"/>
          <w:color w:val="auto"/>
        </w:rPr>
      </w:pPr>
    </w:p>
    <w:p>
      <w:pPr>
        <w:snapToGrid/>
        <w:spacing w:line="520" w:lineRule="exact"/>
        <w:ind w:left="1615" w:leftChars="228" w:hanging="840" w:hangingChars="350"/>
        <w:rPr>
          <w:rFonts w:hint="eastAsia"/>
          <w:b w:val="0"/>
          <w:color w:val="auto"/>
          <w:kern w:val="2"/>
          <w:sz w:val="24"/>
          <w:szCs w:val="24"/>
          <w:lang w:val="en-US"/>
        </w:rPr>
      </w:pPr>
      <w:r>
        <w:rPr>
          <w:rFonts w:hint="eastAsia"/>
          <w:b w:val="0"/>
          <w:color w:val="auto"/>
          <w:kern w:val="2"/>
          <w:sz w:val="24"/>
          <w:szCs w:val="24"/>
          <w:lang w:val="en-US"/>
        </w:rPr>
        <w:t>投标人名称（加盖公章或电子签章）：</w:t>
      </w:r>
    </w:p>
    <w:p>
      <w:pPr>
        <w:snapToGrid/>
        <w:spacing w:line="520" w:lineRule="exact"/>
        <w:ind w:left="1615" w:leftChars="228" w:hanging="840" w:hangingChars="350"/>
        <w:rPr>
          <w:rFonts w:hint="eastAsia"/>
          <w:b w:val="0"/>
          <w:color w:val="auto"/>
          <w:kern w:val="2"/>
          <w:sz w:val="24"/>
          <w:szCs w:val="24"/>
          <w:lang w:val="en-US"/>
        </w:rPr>
      </w:pPr>
      <w:r>
        <w:rPr>
          <w:rFonts w:hint="eastAsia"/>
          <w:b w:val="0"/>
          <w:color w:val="auto"/>
          <w:kern w:val="2"/>
          <w:sz w:val="24"/>
          <w:szCs w:val="24"/>
          <w:lang w:val="en-US"/>
        </w:rPr>
        <w:t>法定代表人或代理人（签字或加盖印章）：</w:t>
      </w:r>
    </w:p>
    <w:p>
      <w:pPr>
        <w:snapToGrid/>
        <w:spacing w:line="520" w:lineRule="exact"/>
        <w:ind w:left="1615" w:leftChars="228" w:hanging="840" w:hangingChars="350"/>
        <w:rPr>
          <w:rFonts w:hint="eastAsia"/>
          <w:b w:val="0"/>
          <w:color w:val="auto"/>
          <w:kern w:val="2"/>
          <w:sz w:val="24"/>
          <w:szCs w:val="24"/>
          <w:lang w:val="en-US"/>
        </w:rPr>
      </w:pPr>
      <w:r>
        <w:rPr>
          <w:rFonts w:hint="eastAsia"/>
          <w:b w:val="0"/>
          <w:color w:val="auto"/>
          <w:kern w:val="2"/>
          <w:sz w:val="24"/>
          <w:szCs w:val="24"/>
          <w:lang w:val="en-US"/>
        </w:rPr>
        <w:t>日  期:</w:t>
      </w:r>
    </w:p>
    <w:p>
      <w:pPr>
        <w:rPr>
          <w:rFonts w:hint="eastAsia" w:asciiTheme="minorEastAsia" w:hAnsiTheme="minorEastAsia" w:eastAsiaTheme="minorEastAsia" w:cstheme="minorEastAsia"/>
          <w:color w:val="auto"/>
        </w:rPr>
      </w:pPr>
    </w:p>
    <w:p>
      <w:pPr>
        <w:rPr>
          <w:rFonts w:hint="eastAsia" w:asciiTheme="minorEastAsia" w:hAnsiTheme="minorEastAsia" w:eastAsiaTheme="minorEastAsia" w:cstheme="minorEastAsia"/>
          <w:color w:val="auto"/>
        </w:rPr>
      </w:pPr>
    </w:p>
    <w:p>
      <w:pPr>
        <w:rPr>
          <w:rFonts w:hint="eastAsia" w:asciiTheme="minorEastAsia" w:hAnsiTheme="minorEastAsia" w:eastAsiaTheme="minorEastAsia" w:cstheme="minorEastAsia"/>
          <w:color w:val="auto"/>
        </w:rPr>
      </w:pPr>
    </w:p>
    <w:p>
      <w:pPr>
        <w:rPr>
          <w:rFonts w:hint="eastAsia" w:asciiTheme="minorEastAsia" w:hAnsiTheme="minorEastAsia" w:eastAsiaTheme="minorEastAsia" w:cstheme="minorEastAsia"/>
          <w:color w:val="auto"/>
        </w:rPr>
      </w:pPr>
    </w:p>
    <w:p>
      <w:pPr>
        <w:rPr>
          <w:rFonts w:hint="eastAsia" w:asciiTheme="minorEastAsia" w:hAnsiTheme="minorEastAsia" w:eastAsiaTheme="minorEastAsia" w:cstheme="minorEastAsia"/>
          <w:color w:val="auto"/>
        </w:rPr>
      </w:pPr>
    </w:p>
    <w:p>
      <w:pPr>
        <w:rPr>
          <w:rFonts w:hint="eastAsia" w:asciiTheme="minorEastAsia" w:hAnsiTheme="minorEastAsia" w:eastAsiaTheme="minorEastAsia" w:cstheme="minorEastAsia"/>
          <w:color w:val="auto"/>
        </w:rPr>
      </w:pPr>
    </w:p>
    <w:p>
      <w:pPr>
        <w:rPr>
          <w:rFonts w:hint="eastAsia" w:asciiTheme="minorEastAsia" w:hAnsiTheme="minorEastAsia" w:eastAsiaTheme="minorEastAsia" w:cstheme="minorEastAsia"/>
          <w:color w:val="auto"/>
        </w:rPr>
      </w:pPr>
    </w:p>
    <w:p>
      <w:pPr>
        <w:rPr>
          <w:rFonts w:hint="eastAsia" w:asciiTheme="minorEastAsia" w:hAnsiTheme="minorEastAsia" w:eastAsiaTheme="minorEastAsia" w:cstheme="minorEastAsia"/>
          <w:color w:val="auto"/>
        </w:rPr>
      </w:pPr>
    </w:p>
    <w:p>
      <w:pPr>
        <w:rPr>
          <w:rFonts w:hint="eastAsia" w:asciiTheme="minorEastAsia" w:hAnsiTheme="minorEastAsia" w:eastAsiaTheme="minorEastAsia" w:cstheme="minorEastAsia"/>
          <w:color w:val="auto"/>
        </w:rPr>
      </w:pPr>
    </w:p>
    <w:p>
      <w:pPr>
        <w:rPr>
          <w:rFonts w:hint="eastAsia" w:asciiTheme="minorEastAsia" w:hAnsiTheme="minorEastAsia" w:eastAsiaTheme="minorEastAsia" w:cstheme="minorEastAsia"/>
          <w:color w:val="auto"/>
        </w:rPr>
      </w:pPr>
    </w:p>
    <w:p>
      <w:pPr>
        <w:rPr>
          <w:rFonts w:hint="eastAsia" w:asciiTheme="minorEastAsia" w:hAnsiTheme="minorEastAsia" w:eastAsiaTheme="minorEastAsia" w:cstheme="minorEastAsia"/>
          <w:color w:val="auto"/>
        </w:rPr>
      </w:pPr>
    </w:p>
    <w:bookmarkEnd w:id="114"/>
    <w:p>
      <w:pPr>
        <w:rPr>
          <w:rFonts w:hint="eastAsia" w:asciiTheme="minorEastAsia" w:hAnsiTheme="minorEastAsia" w:eastAsiaTheme="minorEastAsia" w:cstheme="minorEastAsia"/>
          <w:b/>
          <w:bCs/>
          <w:color w:val="auto"/>
          <w:kern w:val="2"/>
          <w:sz w:val="32"/>
          <w:szCs w:val="32"/>
        </w:rPr>
      </w:pPr>
      <w:bookmarkStart w:id="115" w:name="_Toc217446086"/>
      <w:r>
        <w:rPr>
          <w:rFonts w:hint="eastAsia" w:asciiTheme="minorEastAsia" w:hAnsiTheme="minorEastAsia" w:eastAsiaTheme="minorEastAsia" w:cstheme="minorEastAsia"/>
          <w:b/>
          <w:bCs/>
          <w:color w:val="auto"/>
          <w:kern w:val="2"/>
          <w:sz w:val="32"/>
          <w:szCs w:val="32"/>
        </w:rPr>
        <w:br w:type="page"/>
      </w:r>
    </w:p>
    <w:p>
      <w:pPr>
        <w:pStyle w:val="4"/>
        <w:spacing w:line="400" w:lineRule="exact"/>
        <w:jc w:val="center"/>
        <w:rPr>
          <w:rFonts w:hint="eastAsia" w:asciiTheme="minorEastAsia" w:hAnsiTheme="minorEastAsia" w:eastAsiaTheme="minorEastAsia" w:cstheme="minorEastAsia"/>
          <w:bCs w:val="0"/>
          <w:color w:val="auto"/>
          <w:kern w:val="0"/>
          <w:szCs w:val="28"/>
        </w:rPr>
      </w:pPr>
      <w:r>
        <w:rPr>
          <w:rFonts w:hint="eastAsia" w:asciiTheme="minorEastAsia" w:hAnsiTheme="minorEastAsia" w:eastAsiaTheme="minorEastAsia" w:cstheme="minorEastAsia"/>
          <w:bCs w:val="0"/>
          <w:color w:val="auto"/>
          <w:lang w:eastAsia="zh-CN"/>
        </w:rPr>
        <w:t>三</w:t>
      </w:r>
      <w:r>
        <w:rPr>
          <w:rFonts w:hint="eastAsia" w:asciiTheme="minorEastAsia" w:hAnsiTheme="minorEastAsia" w:eastAsiaTheme="minorEastAsia" w:cstheme="minorEastAsia"/>
          <w:bCs w:val="0"/>
          <w:color w:val="auto"/>
        </w:rPr>
        <w:t>、</w:t>
      </w:r>
      <w:bookmarkEnd w:id="115"/>
      <w:r>
        <w:rPr>
          <w:rFonts w:hint="eastAsia" w:asciiTheme="minorEastAsia" w:hAnsiTheme="minorEastAsia" w:eastAsiaTheme="minorEastAsia" w:cstheme="minorEastAsia"/>
          <w:bCs w:val="0"/>
          <w:color w:val="auto"/>
          <w:kern w:val="0"/>
          <w:szCs w:val="28"/>
        </w:rPr>
        <w:t>服务偏离表</w:t>
      </w:r>
    </w:p>
    <w:p>
      <w:pPr>
        <w:autoSpaceDE w:val="0"/>
        <w:autoSpaceDN w:val="0"/>
        <w:adjustRightInd w:val="0"/>
        <w:spacing w:before="120" w:beforeLines="50" w:after="120" w:afterLines="50" w:line="400" w:lineRule="exact"/>
        <w:jc w:val="center"/>
        <w:rPr>
          <w:rFonts w:hint="eastAsia" w:asciiTheme="minorEastAsia" w:hAnsiTheme="minorEastAsia" w:eastAsiaTheme="minorEastAsia" w:cstheme="minorEastAsia"/>
          <w:color w:val="auto"/>
          <w:sz w:val="20"/>
        </w:rPr>
      </w:pPr>
    </w:p>
    <w:p>
      <w:pPr>
        <w:spacing w:line="520" w:lineRule="exact"/>
        <w:ind w:firstLine="480"/>
        <w:rPr>
          <w:rFonts w:hint="eastAsia"/>
          <w:b w:val="0"/>
          <w:color w:val="auto"/>
          <w:kern w:val="2"/>
          <w:sz w:val="24"/>
          <w:szCs w:val="24"/>
          <w:lang w:val="en-US"/>
        </w:rPr>
      </w:pPr>
      <w:r>
        <w:rPr>
          <w:rFonts w:hint="eastAsia"/>
          <w:b w:val="0"/>
          <w:color w:val="auto"/>
          <w:kern w:val="2"/>
          <w:sz w:val="24"/>
          <w:szCs w:val="24"/>
          <w:lang w:val="en-US"/>
        </w:rPr>
        <w:t>采购项目名称：</w:t>
      </w:r>
    </w:p>
    <w:p>
      <w:pPr>
        <w:spacing w:line="520" w:lineRule="exact"/>
        <w:ind w:firstLine="480"/>
        <w:rPr>
          <w:b w:val="0"/>
          <w:color w:val="auto"/>
          <w:kern w:val="2"/>
          <w:sz w:val="24"/>
          <w:szCs w:val="24"/>
          <w:lang w:val="en-US"/>
        </w:rPr>
      </w:pPr>
      <w:r>
        <w:rPr>
          <w:rFonts w:hint="eastAsia"/>
          <w:b w:val="0"/>
          <w:color w:val="auto"/>
          <w:kern w:val="2"/>
          <w:sz w:val="24"/>
          <w:szCs w:val="24"/>
          <w:lang w:val="en-US"/>
        </w:rPr>
        <w:t>采购项目编号：</w:t>
      </w:r>
    </w:p>
    <w:p>
      <w:pPr>
        <w:spacing w:line="520" w:lineRule="exact"/>
        <w:ind w:firstLine="480"/>
        <w:rPr>
          <w:rFonts w:hint="eastAsia"/>
          <w:b w:val="0"/>
          <w:color w:val="auto"/>
          <w:kern w:val="2"/>
          <w:sz w:val="24"/>
          <w:szCs w:val="24"/>
          <w:lang w:val="en-US"/>
        </w:rPr>
      </w:pPr>
      <w:r>
        <w:rPr>
          <w:rFonts w:hint="eastAsia"/>
          <w:b w:val="0"/>
          <w:color w:val="auto"/>
          <w:kern w:val="2"/>
          <w:sz w:val="24"/>
          <w:szCs w:val="24"/>
          <w:lang w:val="en-US"/>
        </w:rPr>
        <w:t>包件</w:t>
      </w:r>
      <w:r>
        <w:rPr>
          <w:b w:val="0"/>
          <w:color w:val="auto"/>
          <w:kern w:val="2"/>
          <w:sz w:val="24"/>
          <w:szCs w:val="24"/>
          <w:lang w:val="en-US"/>
        </w:rPr>
        <w:t>号及名称：</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1"/>
        <w:gridCol w:w="2698"/>
        <w:gridCol w:w="2686"/>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1581" w:type="dxa"/>
            <w:noWrap w:val="0"/>
            <w:vAlign w:val="center"/>
          </w:tcPr>
          <w:p>
            <w:pPr>
              <w:spacing w:before="156" w:beforeLines="50" w:after="156" w:afterLines="50" w:line="240" w:lineRule="auto"/>
              <w:ind w:firstLine="0" w:firstLineChars="0"/>
              <w:jc w:val="center"/>
              <w:rPr>
                <w:rFonts w:cs="宋体-方正超大字符集"/>
                <w:color w:val="auto"/>
                <w:kern w:val="2"/>
                <w:sz w:val="24"/>
                <w:szCs w:val="24"/>
                <w:lang w:val="en-US"/>
              </w:rPr>
            </w:pPr>
            <w:r>
              <w:rPr>
                <w:rFonts w:hint="eastAsia" w:cs="宋体-方正超大字符集"/>
                <w:color w:val="auto"/>
                <w:kern w:val="2"/>
                <w:sz w:val="24"/>
                <w:szCs w:val="24"/>
                <w:lang w:val="en-US"/>
              </w:rPr>
              <w:t>编号</w:t>
            </w:r>
          </w:p>
        </w:tc>
        <w:tc>
          <w:tcPr>
            <w:tcW w:w="2698" w:type="dxa"/>
            <w:noWrap w:val="0"/>
            <w:vAlign w:val="center"/>
          </w:tcPr>
          <w:p>
            <w:pPr>
              <w:spacing w:before="156" w:beforeLines="50" w:after="156" w:afterLines="50" w:line="240" w:lineRule="auto"/>
              <w:ind w:firstLine="0" w:firstLineChars="0"/>
              <w:jc w:val="center"/>
              <w:rPr>
                <w:rFonts w:cs="宋体-方正超大字符集"/>
                <w:b w:val="0"/>
                <w:color w:val="auto"/>
                <w:kern w:val="2"/>
                <w:sz w:val="24"/>
                <w:szCs w:val="24"/>
                <w:lang w:val="en-US"/>
              </w:rPr>
            </w:pPr>
            <w:r>
              <w:rPr>
                <w:rFonts w:hint="eastAsia" w:cs="宋体-方正超大字符集"/>
                <w:color w:val="auto"/>
                <w:kern w:val="2"/>
                <w:sz w:val="24"/>
                <w:szCs w:val="24"/>
                <w:lang w:val="en-US"/>
              </w:rPr>
              <w:t>招标文件要求</w:t>
            </w:r>
          </w:p>
        </w:tc>
        <w:tc>
          <w:tcPr>
            <w:tcW w:w="2686" w:type="dxa"/>
            <w:noWrap w:val="0"/>
            <w:vAlign w:val="center"/>
          </w:tcPr>
          <w:p>
            <w:pPr>
              <w:spacing w:before="156" w:beforeLines="50" w:after="156" w:afterLines="50" w:line="240" w:lineRule="auto"/>
              <w:ind w:firstLine="0" w:firstLineChars="0"/>
              <w:jc w:val="center"/>
              <w:rPr>
                <w:rFonts w:cs="宋体-方正超大字符集"/>
                <w:color w:val="auto"/>
                <w:kern w:val="2"/>
                <w:sz w:val="24"/>
                <w:szCs w:val="24"/>
                <w:lang w:val="en-US"/>
              </w:rPr>
            </w:pPr>
            <w:r>
              <w:rPr>
                <w:rFonts w:hint="eastAsia" w:cs="宋体-方正超大字符集"/>
                <w:color w:val="auto"/>
                <w:kern w:val="2"/>
                <w:sz w:val="24"/>
                <w:szCs w:val="24"/>
                <w:lang w:val="en-US"/>
              </w:rPr>
              <w:t>投标响应</w:t>
            </w:r>
          </w:p>
        </w:tc>
        <w:tc>
          <w:tcPr>
            <w:tcW w:w="1298" w:type="dxa"/>
            <w:noWrap w:val="0"/>
            <w:vAlign w:val="center"/>
          </w:tcPr>
          <w:p>
            <w:pPr>
              <w:spacing w:before="156" w:beforeLines="50" w:after="156" w:afterLines="50" w:line="240" w:lineRule="auto"/>
              <w:ind w:firstLine="0" w:firstLineChars="0"/>
              <w:jc w:val="center"/>
              <w:rPr>
                <w:rFonts w:cs="宋体-方正超大字符集"/>
                <w:color w:val="auto"/>
                <w:kern w:val="2"/>
                <w:sz w:val="24"/>
                <w:szCs w:val="24"/>
                <w:lang w:val="en-US"/>
              </w:rPr>
            </w:pPr>
            <w:r>
              <w:rPr>
                <w:rFonts w:hint="eastAsia" w:cs="宋体-方正超大字符集"/>
                <w:color w:val="auto"/>
                <w:kern w:val="2"/>
                <w:sz w:val="24"/>
                <w:szCs w:val="24"/>
                <w:lang w:val="en-US"/>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1581" w:type="dxa"/>
            <w:noWrap w:val="0"/>
            <w:vAlign w:val="center"/>
          </w:tcPr>
          <w:p>
            <w:pPr>
              <w:ind w:firstLine="0" w:firstLineChars="0"/>
              <w:jc w:val="center"/>
              <w:rPr>
                <w:b w:val="0"/>
                <w:color w:val="auto"/>
                <w:sz w:val="24"/>
              </w:rPr>
            </w:pPr>
            <w:r>
              <w:rPr>
                <w:rFonts w:hint="eastAsia"/>
                <w:b w:val="0"/>
                <w:color w:val="auto"/>
                <w:sz w:val="24"/>
              </w:rPr>
              <w:t>1</w:t>
            </w:r>
          </w:p>
        </w:tc>
        <w:tc>
          <w:tcPr>
            <w:tcW w:w="2698" w:type="dxa"/>
            <w:noWrap w:val="0"/>
            <w:vAlign w:val="center"/>
          </w:tcPr>
          <w:p>
            <w:pPr>
              <w:rPr>
                <w:rFonts w:hint="eastAsia"/>
                <w:color w:val="auto"/>
              </w:rPr>
            </w:pPr>
          </w:p>
        </w:tc>
        <w:tc>
          <w:tcPr>
            <w:tcW w:w="2686" w:type="dxa"/>
            <w:noWrap w:val="0"/>
            <w:vAlign w:val="center"/>
          </w:tcPr>
          <w:p>
            <w:pPr>
              <w:rPr>
                <w:color w:val="auto"/>
              </w:rPr>
            </w:pPr>
          </w:p>
        </w:tc>
        <w:tc>
          <w:tcPr>
            <w:tcW w:w="1298" w:type="dxa"/>
            <w:noWrap w:val="0"/>
            <w:vAlign w:val="center"/>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1581" w:type="dxa"/>
            <w:noWrap w:val="0"/>
            <w:vAlign w:val="center"/>
          </w:tcPr>
          <w:p>
            <w:pPr>
              <w:ind w:firstLine="0" w:firstLineChars="0"/>
              <w:jc w:val="center"/>
              <w:rPr>
                <w:rFonts w:hint="eastAsia"/>
                <w:b w:val="0"/>
                <w:color w:val="auto"/>
                <w:sz w:val="24"/>
              </w:rPr>
            </w:pPr>
            <w:r>
              <w:rPr>
                <w:rFonts w:hint="eastAsia"/>
                <w:b w:val="0"/>
                <w:color w:val="auto"/>
                <w:sz w:val="24"/>
              </w:rPr>
              <w:t>2</w:t>
            </w:r>
          </w:p>
        </w:tc>
        <w:tc>
          <w:tcPr>
            <w:tcW w:w="2698" w:type="dxa"/>
            <w:noWrap w:val="0"/>
            <w:vAlign w:val="center"/>
          </w:tcPr>
          <w:p>
            <w:pPr>
              <w:rPr>
                <w:rFonts w:hint="eastAsia"/>
                <w:color w:val="auto"/>
              </w:rPr>
            </w:pPr>
          </w:p>
        </w:tc>
        <w:tc>
          <w:tcPr>
            <w:tcW w:w="2686" w:type="dxa"/>
            <w:noWrap w:val="0"/>
            <w:vAlign w:val="center"/>
          </w:tcPr>
          <w:p>
            <w:pPr>
              <w:rPr>
                <w:color w:val="auto"/>
              </w:rPr>
            </w:pPr>
          </w:p>
        </w:tc>
        <w:tc>
          <w:tcPr>
            <w:tcW w:w="1298" w:type="dxa"/>
            <w:noWrap w:val="0"/>
            <w:vAlign w:val="center"/>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1581" w:type="dxa"/>
            <w:noWrap w:val="0"/>
            <w:vAlign w:val="center"/>
          </w:tcPr>
          <w:p>
            <w:pPr>
              <w:ind w:firstLine="0" w:firstLineChars="0"/>
              <w:jc w:val="center"/>
              <w:rPr>
                <w:rFonts w:hint="eastAsia" w:cs="宋体-方正超大字符集"/>
                <w:b w:val="0"/>
                <w:color w:val="auto"/>
                <w:sz w:val="24"/>
              </w:rPr>
            </w:pPr>
            <w:r>
              <w:rPr>
                <w:b w:val="0"/>
                <w:color w:val="auto"/>
                <w:sz w:val="24"/>
              </w:rPr>
              <w:t>…</w:t>
            </w:r>
          </w:p>
        </w:tc>
        <w:tc>
          <w:tcPr>
            <w:tcW w:w="2698" w:type="dxa"/>
            <w:noWrap w:val="0"/>
            <w:vAlign w:val="center"/>
          </w:tcPr>
          <w:p>
            <w:pPr>
              <w:rPr>
                <w:rFonts w:hint="eastAsia"/>
                <w:color w:val="auto"/>
              </w:rPr>
            </w:pPr>
          </w:p>
        </w:tc>
        <w:tc>
          <w:tcPr>
            <w:tcW w:w="2686" w:type="dxa"/>
            <w:noWrap w:val="0"/>
            <w:vAlign w:val="center"/>
          </w:tcPr>
          <w:p>
            <w:pPr>
              <w:rPr>
                <w:color w:val="auto"/>
              </w:rPr>
            </w:pPr>
          </w:p>
        </w:tc>
        <w:tc>
          <w:tcPr>
            <w:tcW w:w="1298" w:type="dxa"/>
            <w:noWrap w:val="0"/>
            <w:vAlign w:val="center"/>
          </w:tcPr>
          <w:p>
            <w:pPr>
              <w:rPr>
                <w:color w:val="auto"/>
              </w:rPr>
            </w:pPr>
          </w:p>
        </w:tc>
      </w:tr>
    </w:tbl>
    <w:p>
      <w:pPr>
        <w:snapToGrid/>
        <w:spacing w:line="520" w:lineRule="exact"/>
        <w:ind w:firstLine="0" w:firstLineChars="0"/>
        <w:jc w:val="left"/>
        <w:rPr>
          <w:rFonts w:hint="eastAsia"/>
          <w:b w:val="0"/>
          <w:color w:val="auto"/>
          <w:kern w:val="2"/>
          <w:sz w:val="24"/>
          <w:szCs w:val="24"/>
          <w:lang w:val="en-US"/>
        </w:rPr>
      </w:pPr>
      <w:r>
        <w:rPr>
          <w:rFonts w:hint="eastAsia"/>
          <w:b w:val="0"/>
          <w:color w:val="auto"/>
          <w:kern w:val="2"/>
          <w:sz w:val="24"/>
          <w:szCs w:val="24"/>
          <w:lang w:val="en-US"/>
        </w:rPr>
        <w:t>注：</w:t>
      </w:r>
    </w:p>
    <w:p>
      <w:pPr>
        <w:snapToGrid/>
        <w:spacing w:line="520" w:lineRule="exact"/>
        <w:ind w:firstLine="480"/>
        <w:jc w:val="left"/>
        <w:rPr>
          <w:rFonts w:hint="eastAsia"/>
          <w:b w:val="0"/>
          <w:color w:val="auto"/>
          <w:kern w:val="2"/>
          <w:sz w:val="24"/>
          <w:szCs w:val="24"/>
          <w:lang w:val="en-US"/>
        </w:rPr>
      </w:pPr>
      <w:r>
        <w:rPr>
          <w:rFonts w:hint="eastAsia"/>
          <w:b w:val="0"/>
          <w:color w:val="auto"/>
          <w:kern w:val="2"/>
          <w:sz w:val="24"/>
          <w:szCs w:val="24"/>
          <w:lang w:val="en-US"/>
        </w:rPr>
        <w:t>1.以上表格格式行可增减。</w:t>
      </w:r>
    </w:p>
    <w:p>
      <w:pPr>
        <w:snapToGrid/>
        <w:spacing w:line="520" w:lineRule="exact"/>
        <w:ind w:firstLine="480"/>
        <w:jc w:val="left"/>
        <w:rPr>
          <w:rFonts w:hint="eastAsia"/>
          <w:b w:val="0"/>
          <w:color w:val="auto"/>
          <w:kern w:val="2"/>
          <w:sz w:val="24"/>
          <w:szCs w:val="24"/>
          <w:lang w:val="en-US"/>
        </w:rPr>
      </w:pPr>
      <w:r>
        <w:rPr>
          <w:rFonts w:hint="eastAsia"/>
          <w:b w:val="0"/>
          <w:color w:val="auto"/>
          <w:kern w:val="2"/>
          <w:sz w:val="24"/>
          <w:szCs w:val="24"/>
        </w:rPr>
        <w:t>2.</w:t>
      </w:r>
      <w:r>
        <w:rPr>
          <w:rFonts w:hint="eastAsia"/>
          <w:b w:val="0"/>
          <w:color w:val="auto"/>
          <w:kern w:val="2"/>
          <w:sz w:val="24"/>
          <w:szCs w:val="24"/>
          <w:lang w:val="en-US"/>
        </w:rPr>
        <w:t>投标人必须据实填写，不得虚假响应，否则将取消其投标或中标资格。若采购人在项目实施中发现投标人虚假响应，则采购人有权单方面中止合同，并没收投标人的全部履约保证金。</w:t>
      </w:r>
    </w:p>
    <w:p>
      <w:pPr>
        <w:snapToGrid/>
        <w:spacing w:line="520" w:lineRule="exact"/>
        <w:ind w:firstLine="480"/>
        <w:jc w:val="left"/>
        <w:rPr>
          <w:rFonts w:hint="eastAsia"/>
          <w:b w:val="0"/>
          <w:color w:val="auto"/>
          <w:kern w:val="2"/>
          <w:sz w:val="24"/>
          <w:szCs w:val="24"/>
          <w:lang w:val="en-US"/>
        </w:rPr>
      </w:pPr>
      <w:r>
        <w:rPr>
          <w:rFonts w:hint="eastAsia"/>
          <w:b w:val="0"/>
          <w:color w:val="auto"/>
          <w:kern w:val="2"/>
          <w:sz w:val="24"/>
          <w:szCs w:val="24"/>
          <w:lang w:val="en-US"/>
        </w:rPr>
        <w:t>3.如投标人完全响应招标文件，则不用在此表中列明；投标人如有偏离，只需填写有偏离（包括正偏离或负偏离）部分。</w:t>
      </w:r>
    </w:p>
    <w:p>
      <w:pPr>
        <w:snapToGrid/>
        <w:spacing w:line="520" w:lineRule="exact"/>
        <w:ind w:firstLine="480"/>
        <w:jc w:val="left"/>
        <w:rPr>
          <w:rFonts w:hint="eastAsia"/>
          <w:b w:val="0"/>
          <w:color w:val="auto"/>
          <w:kern w:val="2"/>
          <w:sz w:val="24"/>
          <w:szCs w:val="24"/>
          <w:lang w:val="en-US"/>
        </w:rPr>
      </w:pPr>
    </w:p>
    <w:p>
      <w:pPr>
        <w:snapToGrid/>
        <w:spacing w:line="520" w:lineRule="exact"/>
        <w:ind w:firstLine="480"/>
        <w:jc w:val="left"/>
        <w:rPr>
          <w:rFonts w:hint="eastAsia"/>
          <w:b w:val="0"/>
          <w:color w:val="auto"/>
          <w:kern w:val="2"/>
          <w:sz w:val="24"/>
          <w:szCs w:val="24"/>
          <w:lang w:val="en-US"/>
        </w:rPr>
      </w:pPr>
    </w:p>
    <w:p>
      <w:pPr>
        <w:snapToGrid/>
        <w:spacing w:line="520" w:lineRule="exact"/>
        <w:ind w:firstLine="480"/>
        <w:jc w:val="left"/>
        <w:rPr>
          <w:b w:val="0"/>
          <w:color w:val="auto"/>
          <w:kern w:val="2"/>
          <w:sz w:val="24"/>
          <w:szCs w:val="24"/>
          <w:lang w:val="en-US"/>
        </w:rPr>
      </w:pPr>
      <w:r>
        <w:rPr>
          <w:rFonts w:hint="eastAsia"/>
          <w:b w:val="0"/>
          <w:color w:val="auto"/>
          <w:kern w:val="2"/>
          <w:sz w:val="24"/>
          <w:szCs w:val="24"/>
          <w:lang w:val="en-US"/>
        </w:rPr>
        <w:t>投标人名称（加盖公章或电子签章）：</w:t>
      </w:r>
    </w:p>
    <w:p>
      <w:pPr>
        <w:snapToGrid/>
        <w:spacing w:line="520" w:lineRule="exact"/>
        <w:ind w:firstLine="480"/>
        <w:jc w:val="left"/>
        <w:rPr>
          <w:b w:val="0"/>
          <w:color w:val="auto"/>
          <w:kern w:val="2"/>
          <w:sz w:val="24"/>
          <w:szCs w:val="24"/>
          <w:lang w:val="en-US"/>
        </w:rPr>
      </w:pPr>
      <w:r>
        <w:rPr>
          <w:rFonts w:hint="eastAsia"/>
          <w:b w:val="0"/>
          <w:color w:val="auto"/>
          <w:kern w:val="2"/>
          <w:sz w:val="24"/>
          <w:szCs w:val="24"/>
          <w:lang w:val="en-US"/>
        </w:rPr>
        <w:t>法定代表人或代理人（签字或加盖印章）：</w:t>
      </w:r>
    </w:p>
    <w:p>
      <w:pPr>
        <w:snapToGrid/>
        <w:spacing w:line="520" w:lineRule="exact"/>
        <w:ind w:firstLine="480"/>
        <w:jc w:val="left"/>
        <w:rPr>
          <w:rFonts w:hint="eastAsia"/>
          <w:b w:val="0"/>
          <w:color w:val="auto"/>
          <w:kern w:val="2"/>
          <w:sz w:val="24"/>
          <w:szCs w:val="24"/>
          <w:lang w:val="en-US"/>
        </w:rPr>
      </w:pPr>
      <w:r>
        <w:rPr>
          <w:rFonts w:hint="eastAsia"/>
          <w:b w:val="0"/>
          <w:color w:val="auto"/>
          <w:kern w:val="2"/>
          <w:sz w:val="24"/>
          <w:szCs w:val="24"/>
          <w:lang w:val="en-US"/>
        </w:rPr>
        <w:t>日  期</w:t>
      </w:r>
      <w:r>
        <w:rPr>
          <w:b w:val="0"/>
          <w:color w:val="auto"/>
          <w:kern w:val="2"/>
          <w:sz w:val="24"/>
          <w:szCs w:val="24"/>
          <w:lang w:val="en-US"/>
        </w:rPr>
        <w:t>:</w:t>
      </w:r>
    </w:p>
    <w:p>
      <w:pPr>
        <w:snapToGrid/>
        <w:spacing w:line="520" w:lineRule="exact"/>
        <w:jc w:val="left"/>
        <w:rPr>
          <w:rFonts w:hint="eastAsia"/>
          <w:color w:val="auto"/>
        </w:rPr>
      </w:pPr>
    </w:p>
    <w:p>
      <w:pPr>
        <w:pStyle w:val="4"/>
        <w:spacing w:line="400" w:lineRule="exact"/>
        <w:jc w:val="center"/>
        <w:rPr>
          <w:rFonts w:hint="eastAsia" w:asciiTheme="minorEastAsia" w:hAnsiTheme="minorEastAsia" w:eastAsiaTheme="minorEastAsia" w:cstheme="minorEastAsia"/>
          <w:bCs w:val="0"/>
          <w:color w:val="auto"/>
          <w:lang w:val="en-US" w:eastAsia="zh-CN"/>
        </w:rPr>
      </w:pPr>
      <w:bookmarkStart w:id="116" w:name="_Toc494198606"/>
      <w:r>
        <w:rPr>
          <w:rFonts w:hint="eastAsia" w:asciiTheme="minorEastAsia" w:hAnsiTheme="minorEastAsia" w:eastAsiaTheme="minorEastAsia" w:cstheme="minorEastAsia"/>
          <w:bCs w:val="0"/>
          <w:color w:val="auto"/>
          <w:lang w:val="en-US" w:eastAsia="zh-CN"/>
        </w:rPr>
        <w:t>四、商务偏离表</w:t>
      </w:r>
      <w:bookmarkEnd w:id="116"/>
    </w:p>
    <w:p>
      <w:pPr>
        <w:ind w:firstLine="480"/>
        <w:rPr>
          <w:rFonts w:hint="eastAsia"/>
          <w:b w:val="0"/>
          <w:color w:val="auto"/>
          <w:kern w:val="2"/>
          <w:sz w:val="24"/>
          <w:szCs w:val="24"/>
          <w:lang w:val="en-US"/>
        </w:rPr>
      </w:pP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rPr>
        <w:t>采购项目名称：</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rPr>
        <w:t>采购项目编号：</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rPr>
        <w:t>包件号及名称：</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2799"/>
        <w:gridCol w:w="2799"/>
        <w:gridCol w:w="2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958" w:type="dxa"/>
            <w:noWrap w:val="0"/>
            <w:vAlign w:val="center"/>
          </w:tcPr>
          <w:p>
            <w:pPr>
              <w:ind w:firstLine="0" w:firstLineChars="0"/>
              <w:rPr>
                <w:rFonts w:hint="eastAsia"/>
                <w:color w:val="auto"/>
                <w:sz w:val="24"/>
              </w:rPr>
            </w:pPr>
            <w:r>
              <w:rPr>
                <w:rFonts w:hint="eastAsia"/>
                <w:color w:val="auto"/>
                <w:sz w:val="24"/>
              </w:rPr>
              <w:t>序号</w:t>
            </w:r>
          </w:p>
        </w:tc>
        <w:tc>
          <w:tcPr>
            <w:tcW w:w="2799" w:type="dxa"/>
            <w:noWrap w:val="0"/>
            <w:vAlign w:val="center"/>
          </w:tcPr>
          <w:p>
            <w:pPr>
              <w:ind w:firstLine="482"/>
              <w:jc w:val="center"/>
              <w:rPr>
                <w:rFonts w:hint="eastAsia"/>
                <w:color w:val="auto"/>
                <w:sz w:val="24"/>
              </w:rPr>
            </w:pPr>
            <w:r>
              <w:rPr>
                <w:rFonts w:hint="eastAsia"/>
                <w:color w:val="auto"/>
                <w:sz w:val="24"/>
              </w:rPr>
              <w:t>商务要求</w:t>
            </w:r>
          </w:p>
        </w:tc>
        <w:tc>
          <w:tcPr>
            <w:tcW w:w="2799" w:type="dxa"/>
            <w:noWrap w:val="0"/>
            <w:vAlign w:val="center"/>
          </w:tcPr>
          <w:p>
            <w:pPr>
              <w:ind w:firstLine="482"/>
              <w:jc w:val="center"/>
              <w:rPr>
                <w:rFonts w:hint="eastAsia"/>
                <w:color w:val="auto"/>
                <w:sz w:val="24"/>
              </w:rPr>
            </w:pPr>
            <w:r>
              <w:rPr>
                <w:rFonts w:hint="eastAsia"/>
                <w:color w:val="auto"/>
                <w:sz w:val="24"/>
              </w:rPr>
              <w:t>投标文件响应</w:t>
            </w:r>
          </w:p>
        </w:tc>
        <w:tc>
          <w:tcPr>
            <w:tcW w:w="2799" w:type="dxa"/>
            <w:noWrap w:val="0"/>
            <w:vAlign w:val="center"/>
          </w:tcPr>
          <w:p>
            <w:pPr>
              <w:ind w:firstLine="482"/>
              <w:jc w:val="center"/>
              <w:rPr>
                <w:rFonts w:hint="eastAsia"/>
                <w:color w:val="auto"/>
                <w:sz w:val="24"/>
              </w:rPr>
            </w:pPr>
            <w:r>
              <w:rPr>
                <w:rFonts w:hint="eastAsia"/>
                <w:color w:val="auto"/>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958" w:type="dxa"/>
            <w:noWrap w:val="0"/>
            <w:vAlign w:val="top"/>
          </w:tcPr>
          <w:p>
            <w:pPr>
              <w:ind w:firstLine="482"/>
              <w:jc w:val="center"/>
              <w:rPr>
                <w:rFonts w:hint="eastAsia"/>
                <w:color w:val="auto"/>
                <w:sz w:val="24"/>
              </w:rPr>
            </w:pPr>
          </w:p>
        </w:tc>
        <w:tc>
          <w:tcPr>
            <w:tcW w:w="2799" w:type="dxa"/>
            <w:noWrap w:val="0"/>
            <w:vAlign w:val="top"/>
          </w:tcPr>
          <w:p>
            <w:pPr>
              <w:ind w:firstLine="482"/>
              <w:jc w:val="center"/>
              <w:rPr>
                <w:rFonts w:hint="eastAsia"/>
                <w:color w:val="auto"/>
                <w:sz w:val="24"/>
              </w:rPr>
            </w:pPr>
          </w:p>
        </w:tc>
        <w:tc>
          <w:tcPr>
            <w:tcW w:w="2799" w:type="dxa"/>
            <w:noWrap w:val="0"/>
            <w:vAlign w:val="top"/>
          </w:tcPr>
          <w:p>
            <w:pPr>
              <w:ind w:firstLine="482"/>
              <w:jc w:val="center"/>
              <w:rPr>
                <w:rFonts w:hint="eastAsia"/>
                <w:color w:val="auto"/>
                <w:sz w:val="24"/>
              </w:rPr>
            </w:pPr>
          </w:p>
        </w:tc>
        <w:tc>
          <w:tcPr>
            <w:tcW w:w="2799" w:type="dxa"/>
            <w:noWrap w:val="0"/>
            <w:vAlign w:val="top"/>
          </w:tcPr>
          <w:p>
            <w:pPr>
              <w:ind w:firstLine="482"/>
              <w:jc w:val="center"/>
              <w:rPr>
                <w:rFonts w:hint="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958" w:type="dxa"/>
            <w:noWrap w:val="0"/>
            <w:vAlign w:val="top"/>
          </w:tcPr>
          <w:p>
            <w:pPr>
              <w:ind w:firstLine="482"/>
              <w:jc w:val="center"/>
              <w:rPr>
                <w:rFonts w:hint="eastAsia"/>
                <w:color w:val="auto"/>
                <w:sz w:val="24"/>
              </w:rPr>
            </w:pPr>
          </w:p>
        </w:tc>
        <w:tc>
          <w:tcPr>
            <w:tcW w:w="2799" w:type="dxa"/>
            <w:noWrap w:val="0"/>
            <w:vAlign w:val="top"/>
          </w:tcPr>
          <w:p>
            <w:pPr>
              <w:ind w:firstLine="482"/>
              <w:jc w:val="center"/>
              <w:rPr>
                <w:rFonts w:hint="eastAsia"/>
                <w:color w:val="auto"/>
                <w:sz w:val="24"/>
              </w:rPr>
            </w:pPr>
          </w:p>
        </w:tc>
        <w:tc>
          <w:tcPr>
            <w:tcW w:w="2799" w:type="dxa"/>
            <w:noWrap w:val="0"/>
            <w:vAlign w:val="top"/>
          </w:tcPr>
          <w:p>
            <w:pPr>
              <w:ind w:firstLine="482"/>
              <w:jc w:val="center"/>
              <w:rPr>
                <w:rFonts w:hint="eastAsia"/>
                <w:color w:val="auto"/>
                <w:sz w:val="24"/>
              </w:rPr>
            </w:pPr>
          </w:p>
        </w:tc>
        <w:tc>
          <w:tcPr>
            <w:tcW w:w="2799" w:type="dxa"/>
            <w:noWrap w:val="0"/>
            <w:vAlign w:val="top"/>
          </w:tcPr>
          <w:p>
            <w:pPr>
              <w:ind w:firstLine="482"/>
              <w:jc w:val="center"/>
              <w:rPr>
                <w:rFonts w:hint="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958" w:type="dxa"/>
            <w:noWrap w:val="0"/>
            <w:vAlign w:val="top"/>
          </w:tcPr>
          <w:p>
            <w:pPr>
              <w:ind w:firstLine="482"/>
              <w:jc w:val="center"/>
              <w:rPr>
                <w:rFonts w:hint="eastAsia"/>
                <w:color w:val="auto"/>
                <w:sz w:val="24"/>
              </w:rPr>
            </w:pPr>
          </w:p>
        </w:tc>
        <w:tc>
          <w:tcPr>
            <w:tcW w:w="2799" w:type="dxa"/>
            <w:noWrap w:val="0"/>
            <w:vAlign w:val="top"/>
          </w:tcPr>
          <w:p>
            <w:pPr>
              <w:ind w:firstLine="482"/>
              <w:jc w:val="center"/>
              <w:rPr>
                <w:rFonts w:hint="eastAsia"/>
                <w:color w:val="auto"/>
                <w:sz w:val="24"/>
              </w:rPr>
            </w:pPr>
          </w:p>
        </w:tc>
        <w:tc>
          <w:tcPr>
            <w:tcW w:w="2799" w:type="dxa"/>
            <w:noWrap w:val="0"/>
            <w:vAlign w:val="top"/>
          </w:tcPr>
          <w:p>
            <w:pPr>
              <w:ind w:firstLine="482"/>
              <w:jc w:val="center"/>
              <w:rPr>
                <w:rFonts w:hint="eastAsia"/>
                <w:color w:val="auto"/>
                <w:sz w:val="24"/>
              </w:rPr>
            </w:pPr>
          </w:p>
        </w:tc>
        <w:tc>
          <w:tcPr>
            <w:tcW w:w="2799" w:type="dxa"/>
            <w:noWrap w:val="0"/>
            <w:vAlign w:val="top"/>
          </w:tcPr>
          <w:p>
            <w:pPr>
              <w:ind w:firstLine="482"/>
              <w:jc w:val="center"/>
              <w:rPr>
                <w:rFonts w:hint="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958" w:type="dxa"/>
            <w:noWrap w:val="0"/>
            <w:vAlign w:val="top"/>
          </w:tcPr>
          <w:p>
            <w:pPr>
              <w:ind w:firstLine="482"/>
              <w:jc w:val="center"/>
              <w:rPr>
                <w:rFonts w:hint="eastAsia"/>
                <w:color w:val="auto"/>
                <w:sz w:val="24"/>
              </w:rPr>
            </w:pPr>
          </w:p>
        </w:tc>
        <w:tc>
          <w:tcPr>
            <w:tcW w:w="2799" w:type="dxa"/>
            <w:noWrap w:val="0"/>
            <w:vAlign w:val="top"/>
          </w:tcPr>
          <w:p>
            <w:pPr>
              <w:ind w:firstLine="482"/>
              <w:jc w:val="center"/>
              <w:rPr>
                <w:rFonts w:hint="eastAsia"/>
                <w:color w:val="auto"/>
                <w:sz w:val="24"/>
              </w:rPr>
            </w:pPr>
          </w:p>
        </w:tc>
        <w:tc>
          <w:tcPr>
            <w:tcW w:w="2799" w:type="dxa"/>
            <w:noWrap w:val="0"/>
            <w:vAlign w:val="top"/>
          </w:tcPr>
          <w:p>
            <w:pPr>
              <w:ind w:firstLine="482"/>
              <w:jc w:val="center"/>
              <w:rPr>
                <w:rFonts w:hint="eastAsia"/>
                <w:color w:val="auto"/>
                <w:sz w:val="24"/>
              </w:rPr>
            </w:pPr>
          </w:p>
        </w:tc>
        <w:tc>
          <w:tcPr>
            <w:tcW w:w="2799" w:type="dxa"/>
            <w:noWrap w:val="0"/>
            <w:vAlign w:val="top"/>
          </w:tcPr>
          <w:p>
            <w:pPr>
              <w:ind w:firstLine="482"/>
              <w:jc w:val="center"/>
              <w:rPr>
                <w:rFonts w:hint="eastAsia"/>
                <w:color w:val="auto"/>
                <w:sz w:val="24"/>
              </w:rPr>
            </w:pPr>
          </w:p>
        </w:tc>
      </w:tr>
    </w:tbl>
    <w:p>
      <w:pPr>
        <w:snapToGrid/>
        <w:spacing w:line="400" w:lineRule="exact"/>
        <w:ind w:firstLine="0" w:firstLineChars="0"/>
        <w:rPr>
          <w:rFonts w:hint="eastAsia"/>
          <w:b w:val="0"/>
          <w:color w:val="auto"/>
          <w:kern w:val="2"/>
          <w:sz w:val="24"/>
          <w:szCs w:val="24"/>
          <w:lang w:val="en-US"/>
        </w:rPr>
      </w:pPr>
      <w:r>
        <w:rPr>
          <w:rFonts w:hint="eastAsia"/>
          <w:b w:val="0"/>
          <w:color w:val="auto"/>
          <w:kern w:val="2"/>
          <w:sz w:val="24"/>
          <w:szCs w:val="24"/>
          <w:lang w:val="en-US"/>
        </w:rPr>
        <w:t>注：</w:t>
      </w:r>
    </w:p>
    <w:p>
      <w:pPr>
        <w:spacing w:line="400" w:lineRule="exact"/>
        <w:ind w:firstLine="480"/>
        <w:jc w:val="left"/>
        <w:rPr>
          <w:rFonts w:hint="eastAsia"/>
          <w:b w:val="0"/>
          <w:color w:val="auto"/>
          <w:sz w:val="24"/>
        </w:rPr>
      </w:pPr>
      <w:r>
        <w:rPr>
          <w:rFonts w:hint="eastAsia"/>
          <w:b w:val="0"/>
          <w:color w:val="auto"/>
          <w:sz w:val="24"/>
        </w:rPr>
        <w:t>1.以上表格格式行可增减。</w:t>
      </w:r>
    </w:p>
    <w:p>
      <w:pPr>
        <w:spacing w:line="400" w:lineRule="exact"/>
        <w:ind w:firstLine="480"/>
        <w:jc w:val="left"/>
        <w:rPr>
          <w:rFonts w:hint="eastAsia"/>
          <w:b w:val="0"/>
          <w:color w:val="auto"/>
          <w:sz w:val="24"/>
        </w:rPr>
      </w:pPr>
      <w:r>
        <w:rPr>
          <w:rFonts w:hint="eastAsia"/>
          <w:b w:val="0"/>
          <w:color w:val="auto"/>
          <w:sz w:val="24"/>
        </w:rPr>
        <w:t>2.投标人必须据实填写，不得虚假响应；否则，其投标文件无效并按规定追究其相关责任。</w:t>
      </w:r>
    </w:p>
    <w:p>
      <w:pPr>
        <w:ind w:firstLine="480"/>
        <w:rPr>
          <w:rFonts w:hint="eastAsia"/>
          <w:color w:val="auto"/>
          <w:sz w:val="24"/>
        </w:rPr>
      </w:pPr>
      <w:r>
        <w:rPr>
          <w:rFonts w:hint="eastAsia"/>
          <w:b w:val="0"/>
          <w:color w:val="auto"/>
          <w:sz w:val="24"/>
        </w:rPr>
        <w:t>3.如投标人完全响应招标文件，则不用在此表中列明；投标人如有偏离，只需填写有偏离（包括正偏离或负偏离）部分。</w:t>
      </w:r>
    </w:p>
    <w:p>
      <w:pPr>
        <w:rPr>
          <w:rFonts w:hint="eastAsia"/>
          <w:color w:val="auto"/>
          <w:lang w:val="en-US"/>
        </w:rPr>
      </w:pPr>
    </w:p>
    <w:p>
      <w:pPr>
        <w:snapToGrid/>
        <w:spacing w:line="520" w:lineRule="exact"/>
        <w:ind w:firstLine="480"/>
        <w:jc w:val="left"/>
        <w:rPr>
          <w:rFonts w:hint="eastAsia"/>
          <w:b w:val="0"/>
          <w:color w:val="auto"/>
          <w:kern w:val="2"/>
          <w:sz w:val="24"/>
          <w:szCs w:val="24"/>
          <w:lang w:val="en-US"/>
        </w:rPr>
      </w:pPr>
      <w:r>
        <w:rPr>
          <w:rFonts w:hint="eastAsia"/>
          <w:b w:val="0"/>
          <w:color w:val="auto"/>
          <w:kern w:val="2"/>
          <w:sz w:val="24"/>
          <w:szCs w:val="24"/>
          <w:lang w:val="en-US"/>
        </w:rPr>
        <w:t>投标人名称（加盖公章或电子签章）：</w:t>
      </w:r>
    </w:p>
    <w:p>
      <w:pPr>
        <w:snapToGrid/>
        <w:spacing w:line="520" w:lineRule="exact"/>
        <w:ind w:firstLine="480"/>
        <w:jc w:val="left"/>
        <w:rPr>
          <w:rFonts w:hint="eastAsia"/>
          <w:b w:val="0"/>
          <w:color w:val="auto"/>
          <w:kern w:val="2"/>
          <w:sz w:val="24"/>
          <w:szCs w:val="24"/>
          <w:lang w:val="en-US"/>
        </w:rPr>
      </w:pPr>
      <w:r>
        <w:rPr>
          <w:rFonts w:hint="eastAsia"/>
          <w:b w:val="0"/>
          <w:color w:val="auto"/>
          <w:kern w:val="2"/>
          <w:sz w:val="24"/>
          <w:szCs w:val="24"/>
          <w:lang w:val="en-US"/>
        </w:rPr>
        <w:t>法定代表人或代理人（签字或加盖印章）：</w:t>
      </w:r>
    </w:p>
    <w:p>
      <w:pPr>
        <w:snapToGrid/>
        <w:spacing w:line="520" w:lineRule="exact"/>
        <w:ind w:firstLine="480"/>
        <w:jc w:val="left"/>
        <w:rPr>
          <w:rFonts w:hint="eastAsia"/>
          <w:b w:val="0"/>
          <w:color w:val="auto"/>
          <w:kern w:val="2"/>
          <w:sz w:val="24"/>
          <w:szCs w:val="24"/>
          <w:lang w:val="en-US"/>
        </w:rPr>
      </w:pPr>
      <w:r>
        <w:rPr>
          <w:rFonts w:hint="eastAsia"/>
          <w:b w:val="0"/>
          <w:color w:val="auto"/>
          <w:kern w:val="2"/>
          <w:sz w:val="24"/>
          <w:szCs w:val="24"/>
          <w:lang w:val="en-US"/>
        </w:rPr>
        <w:t xml:space="preserve">日  期:   </w:t>
      </w:r>
    </w:p>
    <w:p>
      <w:pPr>
        <w:snapToGrid/>
        <w:spacing w:line="520" w:lineRule="exact"/>
        <w:ind w:firstLine="480"/>
        <w:jc w:val="left"/>
        <w:rPr>
          <w:rFonts w:hint="eastAsia"/>
          <w:b w:val="0"/>
          <w:color w:val="auto"/>
          <w:kern w:val="2"/>
          <w:sz w:val="24"/>
          <w:szCs w:val="24"/>
          <w:lang w:val="en-US"/>
        </w:rPr>
      </w:pPr>
    </w:p>
    <w:p>
      <w:pPr>
        <w:rPr>
          <w:rFonts w:hint="eastAsia"/>
          <w:color w:val="auto"/>
        </w:rPr>
      </w:pPr>
    </w:p>
    <w:p>
      <w:pPr>
        <w:rPr>
          <w:rFonts w:hint="eastAsia"/>
          <w:color w:val="auto"/>
        </w:rPr>
      </w:pPr>
    </w:p>
    <w:p>
      <w:pPr>
        <w:rPr>
          <w:rFonts w:hint="eastAsia"/>
          <w:color w:val="auto"/>
        </w:rPr>
      </w:pPr>
    </w:p>
    <w:p>
      <w:pPr>
        <w:rPr>
          <w:rFonts w:hint="eastAsia" w:asciiTheme="minorEastAsia" w:hAnsiTheme="minorEastAsia" w:eastAsiaTheme="minorEastAsia" w:cstheme="minorEastAsia"/>
          <w:bCs w:val="0"/>
          <w:color w:val="auto"/>
          <w:lang w:val="en-US" w:eastAsia="zh-CN"/>
        </w:rPr>
      </w:pPr>
      <w:bookmarkStart w:id="117" w:name="_Toc217446088"/>
      <w:bookmarkStart w:id="118" w:name="_Toc494198607"/>
      <w:bookmarkStart w:id="119" w:name="_Toc346010016"/>
      <w:r>
        <w:rPr>
          <w:rFonts w:hint="eastAsia" w:asciiTheme="minorEastAsia" w:hAnsiTheme="minorEastAsia" w:eastAsiaTheme="minorEastAsia" w:cstheme="minorEastAsia"/>
          <w:bCs w:val="0"/>
          <w:color w:val="auto"/>
          <w:lang w:val="en-US" w:eastAsia="zh-CN"/>
        </w:rPr>
        <w:br w:type="page"/>
      </w:r>
    </w:p>
    <w:p>
      <w:pPr>
        <w:pStyle w:val="4"/>
        <w:spacing w:line="400" w:lineRule="exact"/>
        <w:jc w:val="center"/>
        <w:rPr>
          <w:rFonts w:hint="eastAsia" w:asciiTheme="minorEastAsia" w:hAnsiTheme="minorEastAsia" w:eastAsiaTheme="minorEastAsia" w:cstheme="minorEastAsia"/>
          <w:bCs w:val="0"/>
          <w:color w:val="auto"/>
          <w:lang w:val="en-US" w:eastAsia="zh-CN"/>
        </w:rPr>
      </w:pPr>
      <w:r>
        <w:rPr>
          <w:rFonts w:hint="eastAsia" w:asciiTheme="minorEastAsia" w:hAnsiTheme="minorEastAsia" w:eastAsiaTheme="minorEastAsia" w:cstheme="minorEastAsia"/>
          <w:bCs w:val="0"/>
          <w:color w:val="auto"/>
          <w:lang w:val="en-US" w:eastAsia="zh-CN"/>
        </w:rPr>
        <w:t>五、投标人基本情况表</w:t>
      </w:r>
      <w:bookmarkEnd w:id="117"/>
      <w:bookmarkEnd w:id="118"/>
      <w:bookmarkEnd w:id="119"/>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793"/>
        <w:gridCol w:w="181"/>
        <w:gridCol w:w="1143"/>
        <w:gridCol w:w="1233"/>
        <w:gridCol w:w="852"/>
        <w:gridCol w:w="313"/>
        <w:gridCol w:w="952"/>
        <w:gridCol w:w="269"/>
        <w:gridCol w:w="1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492" w:type="dxa"/>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lang w:eastAsia="zh-CN"/>
              </w:rPr>
              <w:t>投标人</w:t>
            </w:r>
            <w:r>
              <w:rPr>
                <w:rFonts w:hint="eastAsia" w:asciiTheme="minorEastAsia" w:hAnsiTheme="minorEastAsia" w:eastAsiaTheme="minorEastAsia" w:cstheme="minorEastAsia"/>
                <w:bCs/>
                <w:color w:val="auto"/>
                <w:sz w:val="24"/>
                <w:szCs w:val="24"/>
              </w:rPr>
              <w:t>名称</w:t>
            </w:r>
          </w:p>
        </w:tc>
        <w:tc>
          <w:tcPr>
            <w:tcW w:w="6974" w:type="dxa"/>
            <w:gridSpan w:val="9"/>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492" w:type="dxa"/>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注册地址</w:t>
            </w:r>
          </w:p>
        </w:tc>
        <w:tc>
          <w:tcPr>
            <w:tcW w:w="4202" w:type="dxa"/>
            <w:gridSpan w:val="5"/>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c>
          <w:tcPr>
            <w:tcW w:w="1265" w:type="dxa"/>
            <w:gridSpan w:val="2"/>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邮政编码</w:t>
            </w:r>
          </w:p>
        </w:tc>
        <w:tc>
          <w:tcPr>
            <w:tcW w:w="1507" w:type="dxa"/>
            <w:gridSpan w:val="2"/>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492" w:type="dxa"/>
            <w:vMerge w:val="restart"/>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联系方式</w:t>
            </w:r>
          </w:p>
        </w:tc>
        <w:tc>
          <w:tcPr>
            <w:tcW w:w="974" w:type="dxa"/>
            <w:gridSpan w:val="2"/>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联系人</w:t>
            </w:r>
          </w:p>
        </w:tc>
        <w:tc>
          <w:tcPr>
            <w:tcW w:w="3228" w:type="dxa"/>
            <w:gridSpan w:val="3"/>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c>
          <w:tcPr>
            <w:tcW w:w="1265" w:type="dxa"/>
            <w:gridSpan w:val="2"/>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联系电话</w:t>
            </w:r>
          </w:p>
        </w:tc>
        <w:tc>
          <w:tcPr>
            <w:tcW w:w="1507" w:type="dxa"/>
            <w:gridSpan w:val="2"/>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492" w:type="dxa"/>
            <w:vMerge w:val="continue"/>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c>
          <w:tcPr>
            <w:tcW w:w="974" w:type="dxa"/>
            <w:gridSpan w:val="2"/>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传真</w:t>
            </w:r>
          </w:p>
        </w:tc>
        <w:tc>
          <w:tcPr>
            <w:tcW w:w="3228" w:type="dxa"/>
            <w:gridSpan w:val="3"/>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c>
          <w:tcPr>
            <w:tcW w:w="1265" w:type="dxa"/>
            <w:gridSpan w:val="2"/>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网址</w:t>
            </w:r>
          </w:p>
        </w:tc>
        <w:tc>
          <w:tcPr>
            <w:tcW w:w="1507" w:type="dxa"/>
            <w:gridSpan w:val="2"/>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492" w:type="dxa"/>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组织结构</w:t>
            </w:r>
          </w:p>
        </w:tc>
        <w:tc>
          <w:tcPr>
            <w:tcW w:w="6974" w:type="dxa"/>
            <w:gridSpan w:val="9"/>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492" w:type="dxa"/>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法定代表人</w:t>
            </w:r>
          </w:p>
        </w:tc>
        <w:tc>
          <w:tcPr>
            <w:tcW w:w="793" w:type="dxa"/>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姓名</w:t>
            </w:r>
          </w:p>
        </w:tc>
        <w:tc>
          <w:tcPr>
            <w:tcW w:w="1324" w:type="dxa"/>
            <w:gridSpan w:val="2"/>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c>
          <w:tcPr>
            <w:tcW w:w="1233" w:type="dxa"/>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职称</w:t>
            </w:r>
          </w:p>
        </w:tc>
        <w:tc>
          <w:tcPr>
            <w:tcW w:w="1165" w:type="dxa"/>
            <w:gridSpan w:val="2"/>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c>
          <w:tcPr>
            <w:tcW w:w="1221" w:type="dxa"/>
            <w:gridSpan w:val="2"/>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联系电话</w:t>
            </w:r>
          </w:p>
        </w:tc>
        <w:tc>
          <w:tcPr>
            <w:tcW w:w="1238" w:type="dxa"/>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492" w:type="dxa"/>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成立时间</w:t>
            </w:r>
          </w:p>
        </w:tc>
        <w:tc>
          <w:tcPr>
            <w:tcW w:w="2117" w:type="dxa"/>
            <w:gridSpan w:val="3"/>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c>
          <w:tcPr>
            <w:tcW w:w="4857" w:type="dxa"/>
            <w:gridSpan w:val="6"/>
            <w:noWrap w:val="0"/>
            <w:vAlign w:val="center"/>
          </w:tcPr>
          <w:p>
            <w:pPr>
              <w:ind w:firstLine="0" w:firstLineChars="0"/>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492" w:type="dxa"/>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营业执照</w:t>
            </w:r>
            <w:r>
              <w:rPr>
                <w:rFonts w:hint="eastAsia" w:asciiTheme="minorEastAsia" w:hAnsiTheme="minorEastAsia" w:eastAsiaTheme="minorEastAsia" w:cstheme="minorEastAsia"/>
                <w:color w:val="auto"/>
                <w:sz w:val="24"/>
                <w:szCs w:val="24"/>
              </w:rPr>
              <w:t>号</w:t>
            </w:r>
          </w:p>
        </w:tc>
        <w:tc>
          <w:tcPr>
            <w:tcW w:w="6974" w:type="dxa"/>
            <w:gridSpan w:val="9"/>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492" w:type="dxa"/>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注册资金</w:t>
            </w:r>
          </w:p>
        </w:tc>
        <w:tc>
          <w:tcPr>
            <w:tcW w:w="6974" w:type="dxa"/>
            <w:gridSpan w:val="9"/>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492" w:type="dxa"/>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开户银行</w:t>
            </w:r>
          </w:p>
        </w:tc>
        <w:tc>
          <w:tcPr>
            <w:tcW w:w="6974" w:type="dxa"/>
            <w:gridSpan w:val="9"/>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492" w:type="dxa"/>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账号</w:t>
            </w:r>
          </w:p>
        </w:tc>
        <w:tc>
          <w:tcPr>
            <w:tcW w:w="6974" w:type="dxa"/>
            <w:gridSpan w:val="9"/>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492" w:type="dxa"/>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经营范围</w:t>
            </w:r>
          </w:p>
        </w:tc>
        <w:tc>
          <w:tcPr>
            <w:tcW w:w="6974" w:type="dxa"/>
            <w:gridSpan w:val="9"/>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492" w:type="dxa"/>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备注</w:t>
            </w:r>
          </w:p>
        </w:tc>
        <w:tc>
          <w:tcPr>
            <w:tcW w:w="6974" w:type="dxa"/>
            <w:gridSpan w:val="9"/>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r>
    </w:tbl>
    <w:p>
      <w:pPr>
        <w:snapToGrid/>
        <w:spacing w:line="520" w:lineRule="exact"/>
        <w:ind w:firstLine="482"/>
        <w:jc w:val="left"/>
        <w:rPr>
          <w:rFonts w:hint="eastAsia"/>
          <w:color w:val="auto"/>
          <w:kern w:val="2"/>
          <w:sz w:val="24"/>
          <w:szCs w:val="24"/>
          <w:lang w:val="en-US"/>
        </w:rPr>
      </w:pPr>
      <w:r>
        <w:rPr>
          <w:rFonts w:hint="eastAsia"/>
          <w:color w:val="auto"/>
          <w:kern w:val="2"/>
          <w:sz w:val="24"/>
          <w:szCs w:val="24"/>
          <w:lang w:val="en-US"/>
        </w:rPr>
        <w:t>注：若投标人为联合体，联合体所有成员均须单独提供投标人基本情况表并加盖公章。</w:t>
      </w:r>
    </w:p>
    <w:p>
      <w:pPr>
        <w:snapToGrid/>
        <w:spacing w:line="520" w:lineRule="exact"/>
        <w:ind w:firstLine="480"/>
        <w:jc w:val="left"/>
        <w:rPr>
          <w:rFonts w:hint="eastAsia"/>
          <w:b w:val="0"/>
          <w:color w:val="auto"/>
          <w:kern w:val="2"/>
          <w:sz w:val="24"/>
          <w:szCs w:val="24"/>
          <w:lang w:val="en-US"/>
        </w:rPr>
      </w:pPr>
      <w:r>
        <w:rPr>
          <w:rFonts w:hint="eastAsia"/>
          <w:b w:val="0"/>
          <w:color w:val="auto"/>
          <w:kern w:val="2"/>
          <w:sz w:val="24"/>
          <w:szCs w:val="24"/>
          <w:lang w:val="en-US"/>
        </w:rPr>
        <w:t>投标人名称（加盖公章或电子签章）：</w:t>
      </w:r>
    </w:p>
    <w:p>
      <w:pPr>
        <w:snapToGrid/>
        <w:spacing w:line="520" w:lineRule="exact"/>
        <w:ind w:firstLine="480"/>
        <w:jc w:val="left"/>
        <w:rPr>
          <w:rFonts w:hint="eastAsia"/>
          <w:b w:val="0"/>
          <w:color w:val="auto"/>
          <w:kern w:val="2"/>
          <w:sz w:val="24"/>
          <w:szCs w:val="24"/>
          <w:lang w:val="en-US"/>
        </w:rPr>
      </w:pPr>
      <w:r>
        <w:rPr>
          <w:rFonts w:hint="eastAsia"/>
          <w:b w:val="0"/>
          <w:color w:val="auto"/>
          <w:kern w:val="2"/>
          <w:sz w:val="24"/>
          <w:szCs w:val="24"/>
          <w:lang w:val="en-US"/>
        </w:rPr>
        <w:t>法定代表人或代理人（签字或加盖印章）：</w:t>
      </w:r>
    </w:p>
    <w:p>
      <w:pPr>
        <w:snapToGrid/>
        <w:spacing w:line="520" w:lineRule="exact"/>
        <w:ind w:firstLine="480"/>
        <w:jc w:val="left"/>
        <w:rPr>
          <w:rFonts w:hint="eastAsia"/>
          <w:b w:val="0"/>
          <w:color w:val="auto"/>
          <w:kern w:val="2"/>
          <w:sz w:val="24"/>
          <w:szCs w:val="24"/>
          <w:lang w:val="en-US"/>
        </w:rPr>
      </w:pPr>
      <w:r>
        <w:rPr>
          <w:rFonts w:hint="eastAsia"/>
          <w:b w:val="0"/>
          <w:color w:val="auto"/>
          <w:kern w:val="2"/>
          <w:sz w:val="24"/>
          <w:szCs w:val="24"/>
          <w:lang w:val="en-US"/>
        </w:rPr>
        <w:t>日  期:</w:t>
      </w:r>
    </w:p>
    <w:p>
      <w:pPr>
        <w:rPr>
          <w:rFonts w:hint="eastAsia" w:asciiTheme="minorEastAsia" w:hAnsiTheme="minorEastAsia" w:eastAsiaTheme="minorEastAsia" w:cstheme="minorEastAsia"/>
          <w:bCs w:val="0"/>
          <w:color w:val="auto"/>
          <w:lang w:val="en-US" w:eastAsia="zh-CN"/>
        </w:rPr>
      </w:pPr>
      <w:bookmarkStart w:id="120" w:name="_Toc494198609"/>
      <w:r>
        <w:rPr>
          <w:rFonts w:hint="eastAsia" w:asciiTheme="minorEastAsia" w:hAnsiTheme="minorEastAsia" w:eastAsiaTheme="minorEastAsia" w:cstheme="minorEastAsia"/>
          <w:bCs w:val="0"/>
          <w:color w:val="auto"/>
          <w:lang w:val="en-US" w:eastAsia="zh-CN"/>
        </w:rPr>
        <w:br w:type="page"/>
      </w:r>
    </w:p>
    <w:p>
      <w:pPr>
        <w:pStyle w:val="4"/>
        <w:spacing w:line="400" w:lineRule="exact"/>
        <w:jc w:val="center"/>
        <w:rPr>
          <w:rFonts w:hint="eastAsia" w:asciiTheme="minorEastAsia" w:hAnsiTheme="minorEastAsia" w:eastAsiaTheme="minorEastAsia" w:cstheme="minorEastAsia"/>
          <w:bCs w:val="0"/>
          <w:color w:val="auto"/>
          <w:lang w:val="en-US" w:eastAsia="zh-CN"/>
        </w:rPr>
      </w:pPr>
      <w:r>
        <w:rPr>
          <w:rFonts w:hint="eastAsia" w:asciiTheme="minorEastAsia" w:hAnsiTheme="minorEastAsia" w:eastAsiaTheme="minorEastAsia" w:cstheme="minorEastAsia"/>
          <w:bCs w:val="0"/>
          <w:color w:val="auto"/>
          <w:lang w:val="en-US" w:eastAsia="zh-CN"/>
        </w:rPr>
        <w:t>六、实施本项目的主要人员情况表</w:t>
      </w:r>
      <w:bookmarkEnd w:id="120"/>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rPr>
        <w:t>采购项目名称：</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rPr>
        <w:t>采购项目编号：</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rPr>
        <w:t>包件号及名称：</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901"/>
        <w:gridCol w:w="901"/>
        <w:gridCol w:w="901"/>
        <w:gridCol w:w="1168"/>
        <w:gridCol w:w="1276"/>
        <w:gridCol w:w="708"/>
        <w:gridCol w:w="716"/>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65" w:type="dxa"/>
            <w:vMerge w:val="restart"/>
            <w:noWrap w:val="0"/>
            <w:vAlign w:val="center"/>
          </w:tcPr>
          <w:p>
            <w:pPr>
              <w:snapToGrid/>
              <w:spacing w:line="400" w:lineRule="exact"/>
              <w:ind w:firstLine="0" w:firstLineChars="0"/>
              <w:jc w:val="center"/>
              <w:rPr>
                <w:rFonts w:hint="eastAsia" w:cs="Arial"/>
                <w:b w:val="0"/>
                <w:color w:val="auto"/>
                <w:kern w:val="2"/>
                <w:sz w:val="24"/>
                <w:szCs w:val="24"/>
                <w:lang w:val="en-US"/>
              </w:rPr>
            </w:pPr>
            <w:r>
              <w:rPr>
                <w:rFonts w:hint="eastAsia" w:cs="Arial"/>
                <w:b w:val="0"/>
                <w:color w:val="auto"/>
                <w:kern w:val="2"/>
                <w:sz w:val="24"/>
                <w:szCs w:val="24"/>
                <w:lang w:val="en-US"/>
              </w:rPr>
              <w:t>类别</w:t>
            </w:r>
          </w:p>
        </w:tc>
        <w:tc>
          <w:tcPr>
            <w:tcW w:w="901" w:type="dxa"/>
            <w:vMerge w:val="restart"/>
            <w:noWrap w:val="0"/>
            <w:vAlign w:val="center"/>
          </w:tcPr>
          <w:p>
            <w:pPr>
              <w:snapToGrid/>
              <w:spacing w:line="400" w:lineRule="exact"/>
              <w:ind w:firstLine="0" w:firstLineChars="0"/>
              <w:jc w:val="center"/>
              <w:rPr>
                <w:rFonts w:hint="eastAsia" w:cs="Arial"/>
                <w:b w:val="0"/>
                <w:color w:val="auto"/>
                <w:kern w:val="2"/>
                <w:sz w:val="24"/>
                <w:szCs w:val="24"/>
                <w:lang w:val="en-US"/>
              </w:rPr>
            </w:pPr>
            <w:r>
              <w:rPr>
                <w:rFonts w:hint="eastAsia" w:cs="Arial"/>
                <w:b w:val="0"/>
                <w:color w:val="auto"/>
                <w:kern w:val="2"/>
                <w:sz w:val="24"/>
                <w:szCs w:val="24"/>
                <w:lang w:val="en-US"/>
              </w:rPr>
              <w:t>职务</w:t>
            </w:r>
          </w:p>
        </w:tc>
        <w:tc>
          <w:tcPr>
            <w:tcW w:w="901" w:type="dxa"/>
            <w:vMerge w:val="restart"/>
            <w:noWrap w:val="0"/>
            <w:vAlign w:val="center"/>
          </w:tcPr>
          <w:p>
            <w:pPr>
              <w:snapToGrid/>
              <w:spacing w:line="400" w:lineRule="exact"/>
              <w:ind w:firstLine="0" w:firstLineChars="0"/>
              <w:jc w:val="center"/>
              <w:rPr>
                <w:rFonts w:hint="eastAsia" w:cs="Arial"/>
                <w:b w:val="0"/>
                <w:color w:val="auto"/>
                <w:kern w:val="2"/>
                <w:sz w:val="24"/>
                <w:szCs w:val="24"/>
                <w:lang w:val="en-US"/>
              </w:rPr>
            </w:pPr>
            <w:r>
              <w:rPr>
                <w:rFonts w:hint="eastAsia" w:cs="Arial"/>
                <w:b w:val="0"/>
                <w:color w:val="auto"/>
                <w:kern w:val="2"/>
                <w:sz w:val="24"/>
                <w:szCs w:val="24"/>
                <w:lang w:val="en-US"/>
              </w:rPr>
              <w:t>姓名</w:t>
            </w:r>
          </w:p>
        </w:tc>
        <w:tc>
          <w:tcPr>
            <w:tcW w:w="901" w:type="dxa"/>
            <w:vMerge w:val="restart"/>
            <w:noWrap w:val="0"/>
            <w:vAlign w:val="center"/>
          </w:tcPr>
          <w:p>
            <w:pPr>
              <w:snapToGrid/>
              <w:spacing w:line="400" w:lineRule="exact"/>
              <w:ind w:firstLine="0" w:firstLineChars="0"/>
              <w:jc w:val="center"/>
              <w:rPr>
                <w:rFonts w:hint="eastAsia" w:cs="Arial"/>
                <w:b w:val="0"/>
                <w:color w:val="auto"/>
                <w:kern w:val="2"/>
                <w:sz w:val="24"/>
                <w:szCs w:val="24"/>
                <w:lang w:val="en-US"/>
              </w:rPr>
            </w:pPr>
            <w:r>
              <w:rPr>
                <w:rFonts w:hint="eastAsia" w:cs="Arial"/>
                <w:b w:val="0"/>
                <w:color w:val="auto"/>
                <w:kern w:val="2"/>
                <w:sz w:val="24"/>
                <w:szCs w:val="24"/>
                <w:lang w:val="en-US"/>
              </w:rPr>
              <w:t>职称</w:t>
            </w:r>
          </w:p>
        </w:tc>
        <w:tc>
          <w:tcPr>
            <w:tcW w:w="1168" w:type="dxa"/>
            <w:vMerge w:val="restart"/>
            <w:noWrap w:val="0"/>
            <w:vAlign w:val="center"/>
          </w:tcPr>
          <w:p>
            <w:pPr>
              <w:snapToGrid/>
              <w:spacing w:line="400" w:lineRule="exact"/>
              <w:ind w:firstLine="0" w:firstLineChars="0"/>
              <w:jc w:val="center"/>
              <w:rPr>
                <w:rFonts w:hint="eastAsia" w:cs="Arial"/>
                <w:b w:val="0"/>
                <w:color w:val="auto"/>
                <w:kern w:val="2"/>
                <w:sz w:val="24"/>
                <w:szCs w:val="24"/>
                <w:lang w:val="en-US"/>
              </w:rPr>
            </w:pPr>
            <w:r>
              <w:rPr>
                <w:rFonts w:hint="eastAsia" w:cs="Arial"/>
                <w:b w:val="0"/>
                <w:color w:val="auto"/>
                <w:kern w:val="2"/>
                <w:sz w:val="24"/>
                <w:szCs w:val="24"/>
                <w:lang w:val="en-US"/>
              </w:rPr>
              <w:t>常住地</w:t>
            </w:r>
          </w:p>
        </w:tc>
        <w:tc>
          <w:tcPr>
            <w:tcW w:w="3517" w:type="dxa"/>
            <w:gridSpan w:val="4"/>
            <w:noWrap w:val="0"/>
            <w:vAlign w:val="center"/>
          </w:tcPr>
          <w:p>
            <w:pPr>
              <w:snapToGrid/>
              <w:spacing w:line="400" w:lineRule="exact"/>
              <w:ind w:firstLine="0" w:firstLineChars="0"/>
              <w:jc w:val="center"/>
              <w:rPr>
                <w:rFonts w:hint="eastAsia" w:cs="Arial"/>
                <w:b w:val="0"/>
                <w:color w:val="auto"/>
                <w:kern w:val="2"/>
                <w:sz w:val="24"/>
                <w:szCs w:val="24"/>
                <w:lang w:val="en-US"/>
              </w:rPr>
            </w:pPr>
            <w:r>
              <w:rPr>
                <w:rFonts w:hint="eastAsia" w:cs="Arial"/>
                <w:b w:val="0"/>
                <w:color w:val="auto"/>
                <w:kern w:val="2"/>
                <w:sz w:val="24"/>
                <w:szCs w:val="24"/>
                <w:lang w:val="en-US"/>
              </w:rPr>
              <w:t>相关资料（无可不提供）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65" w:type="dxa"/>
            <w:vMerge w:val="continue"/>
            <w:noWrap w:val="0"/>
            <w:vAlign w:val="center"/>
          </w:tcPr>
          <w:p>
            <w:pPr>
              <w:snapToGrid/>
              <w:spacing w:line="400" w:lineRule="exact"/>
              <w:ind w:firstLine="0" w:firstLineChars="0"/>
              <w:jc w:val="center"/>
              <w:rPr>
                <w:rFonts w:hint="eastAsia" w:cs="Arial"/>
                <w:b w:val="0"/>
                <w:color w:val="auto"/>
                <w:kern w:val="2"/>
                <w:sz w:val="24"/>
                <w:szCs w:val="24"/>
                <w:lang w:val="en-US"/>
              </w:rPr>
            </w:pPr>
          </w:p>
        </w:tc>
        <w:tc>
          <w:tcPr>
            <w:tcW w:w="901" w:type="dxa"/>
            <w:vMerge w:val="continue"/>
            <w:noWrap w:val="0"/>
            <w:vAlign w:val="center"/>
          </w:tcPr>
          <w:p>
            <w:pPr>
              <w:snapToGrid/>
              <w:spacing w:line="400" w:lineRule="exact"/>
              <w:ind w:firstLine="0" w:firstLineChars="0"/>
              <w:jc w:val="center"/>
              <w:rPr>
                <w:rFonts w:hint="eastAsia" w:cs="Arial"/>
                <w:b w:val="0"/>
                <w:color w:val="auto"/>
                <w:kern w:val="2"/>
                <w:sz w:val="24"/>
                <w:szCs w:val="24"/>
                <w:lang w:val="en-US"/>
              </w:rPr>
            </w:pPr>
          </w:p>
        </w:tc>
        <w:tc>
          <w:tcPr>
            <w:tcW w:w="901" w:type="dxa"/>
            <w:vMerge w:val="continue"/>
            <w:noWrap w:val="0"/>
            <w:vAlign w:val="center"/>
          </w:tcPr>
          <w:p>
            <w:pPr>
              <w:snapToGrid/>
              <w:spacing w:line="400" w:lineRule="exact"/>
              <w:ind w:firstLine="0" w:firstLineChars="0"/>
              <w:jc w:val="center"/>
              <w:rPr>
                <w:rFonts w:hint="eastAsia" w:cs="Arial"/>
                <w:b w:val="0"/>
                <w:color w:val="auto"/>
                <w:kern w:val="2"/>
                <w:sz w:val="24"/>
                <w:szCs w:val="24"/>
                <w:lang w:val="en-US"/>
              </w:rPr>
            </w:pPr>
          </w:p>
        </w:tc>
        <w:tc>
          <w:tcPr>
            <w:tcW w:w="901" w:type="dxa"/>
            <w:vMerge w:val="continue"/>
            <w:noWrap w:val="0"/>
            <w:vAlign w:val="center"/>
          </w:tcPr>
          <w:p>
            <w:pPr>
              <w:snapToGrid/>
              <w:spacing w:line="400" w:lineRule="exact"/>
              <w:ind w:firstLine="0" w:firstLineChars="0"/>
              <w:jc w:val="center"/>
              <w:rPr>
                <w:rFonts w:hint="eastAsia" w:cs="Arial"/>
                <w:b w:val="0"/>
                <w:color w:val="auto"/>
                <w:kern w:val="2"/>
                <w:sz w:val="24"/>
                <w:szCs w:val="24"/>
                <w:lang w:val="en-US"/>
              </w:rPr>
            </w:pPr>
          </w:p>
        </w:tc>
        <w:tc>
          <w:tcPr>
            <w:tcW w:w="1168" w:type="dxa"/>
            <w:vMerge w:val="continue"/>
            <w:noWrap w:val="0"/>
            <w:vAlign w:val="center"/>
          </w:tcPr>
          <w:p>
            <w:pPr>
              <w:snapToGrid/>
              <w:spacing w:line="400" w:lineRule="exact"/>
              <w:ind w:firstLine="0" w:firstLineChars="0"/>
              <w:jc w:val="center"/>
              <w:rPr>
                <w:rFonts w:hint="eastAsia" w:cs="Arial"/>
                <w:b w:val="0"/>
                <w:color w:val="auto"/>
                <w:kern w:val="2"/>
                <w:sz w:val="24"/>
                <w:szCs w:val="24"/>
                <w:lang w:val="en-US"/>
              </w:rPr>
            </w:pPr>
          </w:p>
        </w:tc>
        <w:tc>
          <w:tcPr>
            <w:tcW w:w="1276" w:type="dxa"/>
            <w:noWrap w:val="0"/>
            <w:vAlign w:val="center"/>
          </w:tcPr>
          <w:p>
            <w:pPr>
              <w:snapToGrid/>
              <w:spacing w:line="400" w:lineRule="exact"/>
              <w:ind w:firstLine="0" w:firstLineChars="0"/>
              <w:jc w:val="center"/>
              <w:rPr>
                <w:rFonts w:hint="eastAsia" w:cs="Arial"/>
                <w:b w:val="0"/>
                <w:color w:val="auto"/>
                <w:kern w:val="2"/>
                <w:sz w:val="24"/>
                <w:szCs w:val="24"/>
                <w:lang w:val="en-US"/>
              </w:rPr>
            </w:pPr>
            <w:r>
              <w:rPr>
                <w:rFonts w:hint="eastAsia" w:cs="Arial"/>
                <w:b w:val="0"/>
                <w:color w:val="auto"/>
                <w:kern w:val="2"/>
                <w:sz w:val="24"/>
                <w:szCs w:val="24"/>
                <w:lang w:val="en-US"/>
              </w:rPr>
              <w:t>证书名称</w:t>
            </w:r>
          </w:p>
        </w:tc>
        <w:tc>
          <w:tcPr>
            <w:tcW w:w="708" w:type="dxa"/>
            <w:noWrap w:val="0"/>
            <w:vAlign w:val="center"/>
          </w:tcPr>
          <w:p>
            <w:pPr>
              <w:snapToGrid/>
              <w:spacing w:line="400" w:lineRule="exact"/>
              <w:ind w:firstLine="0" w:firstLineChars="0"/>
              <w:jc w:val="center"/>
              <w:rPr>
                <w:rFonts w:hint="eastAsia" w:cs="Arial"/>
                <w:b w:val="0"/>
                <w:color w:val="auto"/>
                <w:kern w:val="2"/>
                <w:sz w:val="24"/>
                <w:szCs w:val="24"/>
                <w:lang w:val="en-US"/>
              </w:rPr>
            </w:pPr>
            <w:r>
              <w:rPr>
                <w:rFonts w:hint="eastAsia" w:cs="Arial"/>
                <w:b w:val="0"/>
                <w:color w:val="auto"/>
                <w:kern w:val="2"/>
                <w:sz w:val="24"/>
                <w:szCs w:val="24"/>
                <w:lang w:val="en-US"/>
              </w:rPr>
              <w:t>级别</w:t>
            </w:r>
          </w:p>
        </w:tc>
        <w:tc>
          <w:tcPr>
            <w:tcW w:w="716" w:type="dxa"/>
            <w:noWrap w:val="0"/>
            <w:vAlign w:val="center"/>
          </w:tcPr>
          <w:p>
            <w:pPr>
              <w:snapToGrid/>
              <w:spacing w:line="400" w:lineRule="exact"/>
              <w:ind w:firstLine="0" w:firstLineChars="0"/>
              <w:jc w:val="center"/>
              <w:rPr>
                <w:rFonts w:hint="eastAsia" w:cs="Arial"/>
                <w:b w:val="0"/>
                <w:color w:val="auto"/>
                <w:kern w:val="2"/>
                <w:sz w:val="24"/>
                <w:szCs w:val="24"/>
                <w:lang w:val="en-US"/>
              </w:rPr>
            </w:pPr>
            <w:r>
              <w:rPr>
                <w:rFonts w:hint="eastAsia" w:cs="Arial"/>
                <w:b w:val="0"/>
                <w:color w:val="auto"/>
                <w:kern w:val="2"/>
                <w:sz w:val="24"/>
                <w:szCs w:val="24"/>
                <w:lang w:val="en-US"/>
              </w:rPr>
              <w:t>证号</w:t>
            </w:r>
          </w:p>
        </w:tc>
        <w:tc>
          <w:tcPr>
            <w:tcW w:w="817" w:type="dxa"/>
            <w:noWrap w:val="0"/>
            <w:vAlign w:val="center"/>
          </w:tcPr>
          <w:p>
            <w:pPr>
              <w:snapToGrid/>
              <w:spacing w:line="400" w:lineRule="exact"/>
              <w:ind w:firstLine="0" w:firstLineChars="0"/>
              <w:jc w:val="center"/>
              <w:rPr>
                <w:rFonts w:hint="eastAsia" w:cs="Arial"/>
                <w:b w:val="0"/>
                <w:color w:val="auto"/>
                <w:kern w:val="2"/>
                <w:sz w:val="24"/>
                <w:szCs w:val="24"/>
                <w:lang w:val="en-US"/>
              </w:rPr>
            </w:pPr>
            <w:r>
              <w:rPr>
                <w:rFonts w:hint="eastAsia" w:cs="Arial"/>
                <w:b w:val="0"/>
                <w:color w:val="auto"/>
                <w:kern w:val="2"/>
                <w:sz w:val="24"/>
                <w:szCs w:val="24"/>
                <w:lang w:val="en-US"/>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065" w:type="dxa"/>
            <w:vMerge w:val="restart"/>
            <w:noWrap w:val="0"/>
            <w:vAlign w:val="center"/>
          </w:tcPr>
          <w:p>
            <w:pPr>
              <w:snapToGrid/>
              <w:spacing w:line="400" w:lineRule="exact"/>
              <w:ind w:firstLine="0" w:firstLineChars="0"/>
              <w:jc w:val="center"/>
              <w:rPr>
                <w:rFonts w:hint="eastAsia" w:cs="Arial"/>
                <w:b w:val="0"/>
                <w:color w:val="auto"/>
                <w:kern w:val="2"/>
                <w:sz w:val="24"/>
                <w:szCs w:val="24"/>
                <w:lang w:val="en-US"/>
              </w:rPr>
            </w:pPr>
          </w:p>
        </w:tc>
        <w:tc>
          <w:tcPr>
            <w:tcW w:w="901" w:type="dxa"/>
            <w:noWrap w:val="0"/>
            <w:vAlign w:val="center"/>
          </w:tcPr>
          <w:p>
            <w:pPr>
              <w:snapToGrid/>
              <w:spacing w:line="400" w:lineRule="exact"/>
              <w:ind w:firstLine="0" w:firstLineChars="0"/>
              <w:jc w:val="center"/>
              <w:rPr>
                <w:rFonts w:hint="eastAsia" w:cs="Arial"/>
                <w:b w:val="0"/>
                <w:color w:val="auto"/>
                <w:kern w:val="2"/>
                <w:sz w:val="24"/>
                <w:szCs w:val="24"/>
                <w:lang w:val="en-US"/>
              </w:rPr>
            </w:pPr>
          </w:p>
        </w:tc>
        <w:tc>
          <w:tcPr>
            <w:tcW w:w="901" w:type="dxa"/>
            <w:noWrap w:val="0"/>
            <w:vAlign w:val="center"/>
          </w:tcPr>
          <w:p>
            <w:pPr>
              <w:snapToGrid/>
              <w:spacing w:line="400" w:lineRule="exact"/>
              <w:ind w:firstLine="0" w:firstLineChars="0"/>
              <w:jc w:val="center"/>
              <w:rPr>
                <w:rFonts w:hint="eastAsia" w:cs="Arial"/>
                <w:b w:val="0"/>
                <w:color w:val="auto"/>
                <w:kern w:val="2"/>
                <w:sz w:val="24"/>
                <w:szCs w:val="24"/>
                <w:lang w:val="en-US"/>
              </w:rPr>
            </w:pPr>
          </w:p>
        </w:tc>
        <w:tc>
          <w:tcPr>
            <w:tcW w:w="901" w:type="dxa"/>
            <w:noWrap w:val="0"/>
            <w:vAlign w:val="center"/>
          </w:tcPr>
          <w:p>
            <w:pPr>
              <w:snapToGrid/>
              <w:spacing w:line="400" w:lineRule="exact"/>
              <w:ind w:firstLine="0" w:firstLineChars="0"/>
              <w:jc w:val="center"/>
              <w:rPr>
                <w:rFonts w:hint="eastAsia" w:cs="Arial"/>
                <w:b w:val="0"/>
                <w:color w:val="auto"/>
                <w:kern w:val="2"/>
                <w:sz w:val="24"/>
                <w:szCs w:val="24"/>
                <w:lang w:val="en-US"/>
              </w:rPr>
            </w:pPr>
          </w:p>
        </w:tc>
        <w:tc>
          <w:tcPr>
            <w:tcW w:w="1168" w:type="dxa"/>
            <w:noWrap w:val="0"/>
            <w:vAlign w:val="center"/>
          </w:tcPr>
          <w:p>
            <w:pPr>
              <w:snapToGrid/>
              <w:spacing w:line="400" w:lineRule="exact"/>
              <w:ind w:firstLine="0" w:firstLineChars="0"/>
              <w:jc w:val="center"/>
              <w:rPr>
                <w:rFonts w:hint="eastAsia" w:cs="Arial"/>
                <w:b w:val="0"/>
                <w:color w:val="auto"/>
                <w:kern w:val="2"/>
                <w:sz w:val="24"/>
                <w:szCs w:val="24"/>
                <w:lang w:val="en-US"/>
              </w:rPr>
            </w:pPr>
          </w:p>
        </w:tc>
        <w:tc>
          <w:tcPr>
            <w:tcW w:w="1276" w:type="dxa"/>
            <w:noWrap w:val="0"/>
            <w:vAlign w:val="center"/>
          </w:tcPr>
          <w:p>
            <w:pPr>
              <w:snapToGrid/>
              <w:spacing w:line="400" w:lineRule="exact"/>
              <w:ind w:firstLine="0" w:firstLineChars="0"/>
              <w:jc w:val="center"/>
              <w:rPr>
                <w:rFonts w:hint="eastAsia" w:cs="Arial"/>
                <w:b w:val="0"/>
                <w:color w:val="auto"/>
                <w:kern w:val="2"/>
                <w:sz w:val="24"/>
                <w:szCs w:val="24"/>
                <w:lang w:val="en-US"/>
              </w:rPr>
            </w:pPr>
          </w:p>
        </w:tc>
        <w:tc>
          <w:tcPr>
            <w:tcW w:w="708" w:type="dxa"/>
            <w:noWrap w:val="0"/>
            <w:vAlign w:val="center"/>
          </w:tcPr>
          <w:p>
            <w:pPr>
              <w:snapToGrid/>
              <w:spacing w:line="400" w:lineRule="exact"/>
              <w:ind w:firstLine="0" w:firstLineChars="0"/>
              <w:jc w:val="center"/>
              <w:rPr>
                <w:rFonts w:hint="eastAsia" w:cs="Arial"/>
                <w:b w:val="0"/>
                <w:color w:val="auto"/>
                <w:kern w:val="2"/>
                <w:sz w:val="24"/>
                <w:szCs w:val="24"/>
                <w:lang w:val="en-US"/>
              </w:rPr>
            </w:pPr>
          </w:p>
        </w:tc>
        <w:tc>
          <w:tcPr>
            <w:tcW w:w="716" w:type="dxa"/>
            <w:noWrap w:val="0"/>
            <w:vAlign w:val="center"/>
          </w:tcPr>
          <w:p>
            <w:pPr>
              <w:snapToGrid/>
              <w:spacing w:line="400" w:lineRule="exact"/>
              <w:ind w:firstLine="0" w:firstLineChars="0"/>
              <w:jc w:val="center"/>
              <w:rPr>
                <w:rFonts w:hint="eastAsia" w:cs="Arial"/>
                <w:b w:val="0"/>
                <w:color w:val="auto"/>
                <w:kern w:val="2"/>
                <w:sz w:val="24"/>
                <w:szCs w:val="24"/>
                <w:lang w:val="en-US"/>
              </w:rPr>
            </w:pPr>
          </w:p>
        </w:tc>
        <w:tc>
          <w:tcPr>
            <w:tcW w:w="817" w:type="dxa"/>
            <w:noWrap w:val="0"/>
            <w:vAlign w:val="center"/>
          </w:tcPr>
          <w:p>
            <w:pPr>
              <w:snapToGrid/>
              <w:spacing w:line="400" w:lineRule="exact"/>
              <w:ind w:firstLine="0" w:firstLineChars="0"/>
              <w:jc w:val="center"/>
              <w:rPr>
                <w:rFonts w:hint="eastAsia" w:cs="Arial"/>
                <w:b w:val="0"/>
                <w:color w:val="auto"/>
                <w:kern w:val="2"/>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65" w:type="dxa"/>
            <w:vMerge w:val="continue"/>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1168" w:type="dxa"/>
            <w:noWrap w:val="0"/>
            <w:vAlign w:val="center"/>
          </w:tcPr>
          <w:p>
            <w:pPr>
              <w:rPr>
                <w:rFonts w:hint="eastAsia"/>
                <w:color w:val="auto"/>
              </w:rPr>
            </w:pPr>
          </w:p>
        </w:tc>
        <w:tc>
          <w:tcPr>
            <w:tcW w:w="1276" w:type="dxa"/>
            <w:noWrap w:val="0"/>
            <w:vAlign w:val="center"/>
          </w:tcPr>
          <w:p>
            <w:pPr>
              <w:rPr>
                <w:rFonts w:hint="eastAsia"/>
                <w:color w:val="auto"/>
              </w:rPr>
            </w:pPr>
          </w:p>
        </w:tc>
        <w:tc>
          <w:tcPr>
            <w:tcW w:w="708" w:type="dxa"/>
            <w:noWrap w:val="0"/>
            <w:vAlign w:val="center"/>
          </w:tcPr>
          <w:p>
            <w:pPr>
              <w:rPr>
                <w:rFonts w:hint="eastAsia"/>
                <w:color w:val="auto"/>
              </w:rPr>
            </w:pPr>
          </w:p>
        </w:tc>
        <w:tc>
          <w:tcPr>
            <w:tcW w:w="716" w:type="dxa"/>
            <w:noWrap w:val="0"/>
            <w:vAlign w:val="center"/>
          </w:tcPr>
          <w:p>
            <w:pPr>
              <w:rPr>
                <w:rFonts w:hint="eastAsia"/>
                <w:color w:val="auto"/>
              </w:rPr>
            </w:pPr>
          </w:p>
        </w:tc>
        <w:tc>
          <w:tcPr>
            <w:tcW w:w="817" w:type="dxa"/>
            <w:noWrap w:val="0"/>
            <w:vAlign w:val="center"/>
          </w:tcPr>
          <w:p>
            <w:pP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jc w:val="center"/>
        </w:trPr>
        <w:tc>
          <w:tcPr>
            <w:tcW w:w="1065" w:type="dxa"/>
            <w:vMerge w:val="continue"/>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1168" w:type="dxa"/>
            <w:noWrap w:val="0"/>
            <w:vAlign w:val="center"/>
          </w:tcPr>
          <w:p>
            <w:pPr>
              <w:rPr>
                <w:rFonts w:hint="eastAsia"/>
                <w:color w:val="auto"/>
              </w:rPr>
            </w:pPr>
          </w:p>
        </w:tc>
        <w:tc>
          <w:tcPr>
            <w:tcW w:w="1276" w:type="dxa"/>
            <w:noWrap w:val="0"/>
            <w:vAlign w:val="center"/>
          </w:tcPr>
          <w:p>
            <w:pPr>
              <w:rPr>
                <w:rFonts w:hint="eastAsia"/>
                <w:color w:val="auto"/>
              </w:rPr>
            </w:pPr>
          </w:p>
        </w:tc>
        <w:tc>
          <w:tcPr>
            <w:tcW w:w="708" w:type="dxa"/>
            <w:noWrap w:val="0"/>
            <w:vAlign w:val="center"/>
          </w:tcPr>
          <w:p>
            <w:pPr>
              <w:rPr>
                <w:rFonts w:hint="eastAsia"/>
                <w:color w:val="auto"/>
              </w:rPr>
            </w:pPr>
          </w:p>
        </w:tc>
        <w:tc>
          <w:tcPr>
            <w:tcW w:w="716" w:type="dxa"/>
            <w:noWrap w:val="0"/>
            <w:vAlign w:val="center"/>
          </w:tcPr>
          <w:p>
            <w:pPr>
              <w:rPr>
                <w:rFonts w:hint="eastAsia"/>
                <w:color w:val="auto"/>
              </w:rPr>
            </w:pPr>
          </w:p>
        </w:tc>
        <w:tc>
          <w:tcPr>
            <w:tcW w:w="817" w:type="dxa"/>
            <w:noWrap w:val="0"/>
            <w:vAlign w:val="center"/>
          </w:tcPr>
          <w:p>
            <w:pP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65" w:type="dxa"/>
            <w:vMerge w:val="restart"/>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1168" w:type="dxa"/>
            <w:noWrap w:val="0"/>
            <w:vAlign w:val="center"/>
          </w:tcPr>
          <w:p>
            <w:pPr>
              <w:rPr>
                <w:rFonts w:hint="eastAsia"/>
                <w:color w:val="auto"/>
              </w:rPr>
            </w:pPr>
          </w:p>
        </w:tc>
        <w:tc>
          <w:tcPr>
            <w:tcW w:w="1276" w:type="dxa"/>
            <w:noWrap w:val="0"/>
            <w:vAlign w:val="center"/>
          </w:tcPr>
          <w:p>
            <w:pPr>
              <w:rPr>
                <w:rFonts w:hint="eastAsia"/>
                <w:color w:val="auto"/>
              </w:rPr>
            </w:pPr>
          </w:p>
        </w:tc>
        <w:tc>
          <w:tcPr>
            <w:tcW w:w="708" w:type="dxa"/>
            <w:noWrap w:val="0"/>
            <w:vAlign w:val="center"/>
          </w:tcPr>
          <w:p>
            <w:pPr>
              <w:rPr>
                <w:rFonts w:hint="eastAsia"/>
                <w:color w:val="auto"/>
              </w:rPr>
            </w:pPr>
          </w:p>
        </w:tc>
        <w:tc>
          <w:tcPr>
            <w:tcW w:w="716" w:type="dxa"/>
            <w:noWrap w:val="0"/>
            <w:vAlign w:val="center"/>
          </w:tcPr>
          <w:p>
            <w:pPr>
              <w:rPr>
                <w:rFonts w:hint="eastAsia"/>
                <w:color w:val="auto"/>
              </w:rPr>
            </w:pPr>
          </w:p>
        </w:tc>
        <w:tc>
          <w:tcPr>
            <w:tcW w:w="817" w:type="dxa"/>
            <w:noWrap w:val="0"/>
            <w:vAlign w:val="center"/>
          </w:tcPr>
          <w:p>
            <w:pP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065" w:type="dxa"/>
            <w:vMerge w:val="continue"/>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1168" w:type="dxa"/>
            <w:noWrap w:val="0"/>
            <w:vAlign w:val="center"/>
          </w:tcPr>
          <w:p>
            <w:pPr>
              <w:rPr>
                <w:rFonts w:hint="eastAsia"/>
                <w:color w:val="auto"/>
              </w:rPr>
            </w:pPr>
          </w:p>
        </w:tc>
        <w:tc>
          <w:tcPr>
            <w:tcW w:w="1276" w:type="dxa"/>
            <w:noWrap w:val="0"/>
            <w:vAlign w:val="center"/>
          </w:tcPr>
          <w:p>
            <w:pPr>
              <w:rPr>
                <w:rFonts w:hint="eastAsia"/>
                <w:color w:val="auto"/>
              </w:rPr>
            </w:pPr>
          </w:p>
        </w:tc>
        <w:tc>
          <w:tcPr>
            <w:tcW w:w="708" w:type="dxa"/>
            <w:noWrap w:val="0"/>
            <w:vAlign w:val="center"/>
          </w:tcPr>
          <w:p>
            <w:pPr>
              <w:rPr>
                <w:rFonts w:hint="eastAsia"/>
                <w:color w:val="auto"/>
              </w:rPr>
            </w:pPr>
          </w:p>
        </w:tc>
        <w:tc>
          <w:tcPr>
            <w:tcW w:w="716" w:type="dxa"/>
            <w:noWrap w:val="0"/>
            <w:vAlign w:val="center"/>
          </w:tcPr>
          <w:p>
            <w:pPr>
              <w:rPr>
                <w:rFonts w:hint="eastAsia"/>
                <w:color w:val="auto"/>
              </w:rPr>
            </w:pPr>
          </w:p>
        </w:tc>
        <w:tc>
          <w:tcPr>
            <w:tcW w:w="817" w:type="dxa"/>
            <w:noWrap w:val="0"/>
            <w:vAlign w:val="center"/>
          </w:tcPr>
          <w:p>
            <w:pP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65" w:type="dxa"/>
            <w:vMerge w:val="continue"/>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1168" w:type="dxa"/>
            <w:noWrap w:val="0"/>
            <w:vAlign w:val="center"/>
          </w:tcPr>
          <w:p>
            <w:pPr>
              <w:rPr>
                <w:rFonts w:hint="eastAsia"/>
                <w:color w:val="auto"/>
              </w:rPr>
            </w:pPr>
          </w:p>
        </w:tc>
        <w:tc>
          <w:tcPr>
            <w:tcW w:w="1276" w:type="dxa"/>
            <w:noWrap w:val="0"/>
            <w:vAlign w:val="center"/>
          </w:tcPr>
          <w:p>
            <w:pPr>
              <w:rPr>
                <w:rFonts w:hint="eastAsia"/>
                <w:color w:val="auto"/>
              </w:rPr>
            </w:pPr>
          </w:p>
        </w:tc>
        <w:tc>
          <w:tcPr>
            <w:tcW w:w="708" w:type="dxa"/>
            <w:noWrap w:val="0"/>
            <w:vAlign w:val="center"/>
          </w:tcPr>
          <w:p>
            <w:pPr>
              <w:rPr>
                <w:rFonts w:hint="eastAsia"/>
                <w:color w:val="auto"/>
              </w:rPr>
            </w:pPr>
          </w:p>
        </w:tc>
        <w:tc>
          <w:tcPr>
            <w:tcW w:w="716" w:type="dxa"/>
            <w:noWrap w:val="0"/>
            <w:vAlign w:val="center"/>
          </w:tcPr>
          <w:p>
            <w:pPr>
              <w:rPr>
                <w:rFonts w:hint="eastAsia"/>
                <w:color w:val="auto"/>
              </w:rPr>
            </w:pPr>
          </w:p>
        </w:tc>
        <w:tc>
          <w:tcPr>
            <w:tcW w:w="817" w:type="dxa"/>
            <w:noWrap w:val="0"/>
            <w:vAlign w:val="center"/>
          </w:tcPr>
          <w:p>
            <w:pP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065" w:type="dxa"/>
            <w:vMerge w:val="restart"/>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1168" w:type="dxa"/>
            <w:noWrap w:val="0"/>
            <w:vAlign w:val="center"/>
          </w:tcPr>
          <w:p>
            <w:pPr>
              <w:rPr>
                <w:rFonts w:hint="eastAsia"/>
                <w:color w:val="auto"/>
              </w:rPr>
            </w:pPr>
          </w:p>
        </w:tc>
        <w:tc>
          <w:tcPr>
            <w:tcW w:w="1276" w:type="dxa"/>
            <w:noWrap w:val="0"/>
            <w:vAlign w:val="center"/>
          </w:tcPr>
          <w:p>
            <w:pPr>
              <w:rPr>
                <w:rFonts w:hint="eastAsia"/>
                <w:color w:val="auto"/>
              </w:rPr>
            </w:pPr>
          </w:p>
        </w:tc>
        <w:tc>
          <w:tcPr>
            <w:tcW w:w="708" w:type="dxa"/>
            <w:noWrap w:val="0"/>
            <w:vAlign w:val="center"/>
          </w:tcPr>
          <w:p>
            <w:pPr>
              <w:rPr>
                <w:rFonts w:hint="eastAsia"/>
                <w:color w:val="auto"/>
              </w:rPr>
            </w:pPr>
          </w:p>
        </w:tc>
        <w:tc>
          <w:tcPr>
            <w:tcW w:w="716" w:type="dxa"/>
            <w:noWrap w:val="0"/>
            <w:vAlign w:val="center"/>
          </w:tcPr>
          <w:p>
            <w:pPr>
              <w:rPr>
                <w:rFonts w:hint="eastAsia"/>
                <w:color w:val="auto"/>
              </w:rPr>
            </w:pPr>
          </w:p>
        </w:tc>
        <w:tc>
          <w:tcPr>
            <w:tcW w:w="817" w:type="dxa"/>
            <w:noWrap w:val="0"/>
            <w:vAlign w:val="center"/>
          </w:tcPr>
          <w:p>
            <w:pP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65" w:type="dxa"/>
            <w:vMerge w:val="continue"/>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1168" w:type="dxa"/>
            <w:noWrap w:val="0"/>
            <w:vAlign w:val="center"/>
          </w:tcPr>
          <w:p>
            <w:pPr>
              <w:rPr>
                <w:rFonts w:hint="eastAsia"/>
                <w:color w:val="auto"/>
              </w:rPr>
            </w:pPr>
          </w:p>
        </w:tc>
        <w:tc>
          <w:tcPr>
            <w:tcW w:w="1276" w:type="dxa"/>
            <w:noWrap w:val="0"/>
            <w:vAlign w:val="center"/>
          </w:tcPr>
          <w:p>
            <w:pPr>
              <w:rPr>
                <w:rFonts w:hint="eastAsia"/>
                <w:color w:val="auto"/>
              </w:rPr>
            </w:pPr>
          </w:p>
        </w:tc>
        <w:tc>
          <w:tcPr>
            <w:tcW w:w="708" w:type="dxa"/>
            <w:noWrap w:val="0"/>
            <w:vAlign w:val="center"/>
          </w:tcPr>
          <w:p>
            <w:pPr>
              <w:rPr>
                <w:rFonts w:hint="eastAsia"/>
                <w:color w:val="auto"/>
              </w:rPr>
            </w:pPr>
          </w:p>
        </w:tc>
        <w:tc>
          <w:tcPr>
            <w:tcW w:w="716" w:type="dxa"/>
            <w:noWrap w:val="0"/>
            <w:vAlign w:val="center"/>
          </w:tcPr>
          <w:p>
            <w:pPr>
              <w:rPr>
                <w:rFonts w:hint="eastAsia"/>
                <w:color w:val="auto"/>
              </w:rPr>
            </w:pPr>
          </w:p>
        </w:tc>
        <w:tc>
          <w:tcPr>
            <w:tcW w:w="817" w:type="dxa"/>
            <w:noWrap w:val="0"/>
            <w:vAlign w:val="center"/>
          </w:tcPr>
          <w:p>
            <w:pP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065" w:type="dxa"/>
            <w:vMerge w:val="continue"/>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1168" w:type="dxa"/>
            <w:noWrap w:val="0"/>
            <w:vAlign w:val="center"/>
          </w:tcPr>
          <w:p>
            <w:pPr>
              <w:rPr>
                <w:rFonts w:hint="eastAsia"/>
                <w:color w:val="auto"/>
              </w:rPr>
            </w:pPr>
          </w:p>
        </w:tc>
        <w:tc>
          <w:tcPr>
            <w:tcW w:w="1276" w:type="dxa"/>
            <w:noWrap w:val="0"/>
            <w:vAlign w:val="center"/>
          </w:tcPr>
          <w:p>
            <w:pPr>
              <w:rPr>
                <w:rFonts w:hint="eastAsia"/>
                <w:color w:val="auto"/>
              </w:rPr>
            </w:pPr>
          </w:p>
        </w:tc>
        <w:tc>
          <w:tcPr>
            <w:tcW w:w="708" w:type="dxa"/>
            <w:noWrap w:val="0"/>
            <w:vAlign w:val="center"/>
          </w:tcPr>
          <w:p>
            <w:pPr>
              <w:rPr>
                <w:rFonts w:hint="eastAsia"/>
                <w:color w:val="auto"/>
              </w:rPr>
            </w:pPr>
          </w:p>
        </w:tc>
        <w:tc>
          <w:tcPr>
            <w:tcW w:w="716" w:type="dxa"/>
            <w:noWrap w:val="0"/>
            <w:vAlign w:val="center"/>
          </w:tcPr>
          <w:p>
            <w:pPr>
              <w:rPr>
                <w:rFonts w:hint="eastAsia"/>
                <w:color w:val="auto"/>
              </w:rPr>
            </w:pPr>
          </w:p>
        </w:tc>
        <w:tc>
          <w:tcPr>
            <w:tcW w:w="817" w:type="dxa"/>
            <w:noWrap w:val="0"/>
            <w:vAlign w:val="center"/>
          </w:tcPr>
          <w:p>
            <w:pPr>
              <w:rPr>
                <w:rFonts w:hint="eastAsia"/>
                <w:color w:val="auto"/>
              </w:rPr>
            </w:pPr>
          </w:p>
        </w:tc>
      </w:tr>
    </w:tbl>
    <w:p>
      <w:pPr>
        <w:ind w:firstLine="482"/>
        <w:rPr>
          <w:rFonts w:hint="eastAsia"/>
          <w:color w:val="auto"/>
          <w:kern w:val="2"/>
          <w:sz w:val="24"/>
          <w:szCs w:val="24"/>
          <w:lang w:val="en-US"/>
        </w:rPr>
      </w:pPr>
      <w:r>
        <w:rPr>
          <w:rFonts w:hint="eastAsia"/>
          <w:color w:val="auto"/>
          <w:kern w:val="2"/>
          <w:sz w:val="24"/>
          <w:szCs w:val="24"/>
          <w:lang w:val="en-US"/>
        </w:rPr>
        <w:t>注：</w:t>
      </w:r>
    </w:p>
    <w:p>
      <w:pPr>
        <w:ind w:firstLine="482"/>
        <w:rPr>
          <w:color w:val="auto"/>
          <w:kern w:val="2"/>
          <w:sz w:val="24"/>
          <w:szCs w:val="24"/>
          <w:lang w:val="en-US"/>
        </w:rPr>
      </w:pPr>
      <w:r>
        <w:rPr>
          <w:rFonts w:hint="eastAsia"/>
          <w:color w:val="auto"/>
          <w:kern w:val="2"/>
          <w:sz w:val="24"/>
          <w:szCs w:val="24"/>
          <w:lang w:val="en-US"/>
        </w:rPr>
        <w:t>1.以上表格格式行可增减。</w:t>
      </w:r>
    </w:p>
    <w:p>
      <w:pPr>
        <w:ind w:firstLine="482"/>
        <w:rPr>
          <w:rFonts w:hint="eastAsia"/>
          <w:color w:val="auto"/>
          <w:kern w:val="2"/>
          <w:sz w:val="24"/>
          <w:szCs w:val="24"/>
          <w:lang w:val="en-US"/>
        </w:rPr>
      </w:pPr>
      <w:r>
        <w:rPr>
          <w:rFonts w:hint="eastAsia"/>
          <w:color w:val="auto"/>
          <w:kern w:val="2"/>
          <w:sz w:val="24"/>
          <w:szCs w:val="24"/>
          <w:lang w:val="en-US" w:eastAsia="zh-CN"/>
        </w:rPr>
        <w:t>2</w:t>
      </w:r>
      <w:r>
        <w:rPr>
          <w:rFonts w:hint="eastAsia"/>
          <w:color w:val="auto"/>
          <w:kern w:val="2"/>
          <w:sz w:val="24"/>
          <w:szCs w:val="24"/>
          <w:lang w:val="en-US"/>
        </w:rPr>
        <w:t>.</w:t>
      </w:r>
      <w:r>
        <w:rPr>
          <w:rFonts w:hint="eastAsia" w:cs="Arial"/>
          <w:color w:val="auto"/>
          <w:sz w:val="24"/>
        </w:rPr>
        <w:t>人员证明材料要求详见综合评分明细表</w:t>
      </w:r>
      <w:r>
        <w:rPr>
          <w:rFonts w:hint="eastAsia"/>
          <w:color w:val="auto"/>
          <w:kern w:val="2"/>
          <w:sz w:val="24"/>
          <w:szCs w:val="24"/>
          <w:lang w:val="en-US"/>
        </w:rPr>
        <w:t>。</w:t>
      </w:r>
    </w:p>
    <w:p>
      <w:pPr>
        <w:ind w:firstLine="480"/>
        <w:rPr>
          <w:rFonts w:hint="eastAsia"/>
          <w:b w:val="0"/>
          <w:color w:val="auto"/>
          <w:kern w:val="2"/>
          <w:sz w:val="24"/>
          <w:szCs w:val="24"/>
          <w:lang w:val="en-US"/>
        </w:rPr>
      </w:pPr>
    </w:p>
    <w:p>
      <w:pPr>
        <w:ind w:firstLine="480"/>
        <w:rPr>
          <w:rFonts w:hint="eastAsia"/>
          <w:b w:val="0"/>
          <w:color w:val="auto"/>
          <w:kern w:val="2"/>
          <w:sz w:val="24"/>
          <w:szCs w:val="24"/>
          <w:lang w:val="en-US"/>
        </w:rPr>
      </w:pPr>
    </w:p>
    <w:p>
      <w:pPr>
        <w:ind w:firstLine="480"/>
        <w:rPr>
          <w:rFonts w:hint="eastAsia"/>
          <w:b w:val="0"/>
          <w:color w:val="auto"/>
          <w:kern w:val="2"/>
          <w:sz w:val="24"/>
          <w:szCs w:val="24"/>
          <w:lang w:val="en-US"/>
        </w:rPr>
      </w:pPr>
      <w:r>
        <w:rPr>
          <w:rFonts w:hint="eastAsia"/>
          <w:b w:val="0"/>
          <w:color w:val="auto"/>
          <w:kern w:val="2"/>
          <w:sz w:val="24"/>
          <w:szCs w:val="24"/>
          <w:lang w:val="en-US"/>
        </w:rPr>
        <w:t>投标人名称（加盖公章或电子签章）：</w:t>
      </w:r>
    </w:p>
    <w:p>
      <w:pPr>
        <w:ind w:firstLine="480"/>
        <w:rPr>
          <w:rFonts w:hint="eastAsia"/>
          <w:b w:val="0"/>
          <w:color w:val="auto"/>
          <w:kern w:val="2"/>
          <w:sz w:val="24"/>
          <w:szCs w:val="24"/>
          <w:lang w:val="en-US"/>
        </w:rPr>
      </w:pPr>
      <w:r>
        <w:rPr>
          <w:rFonts w:hint="eastAsia"/>
          <w:b w:val="0"/>
          <w:color w:val="auto"/>
          <w:kern w:val="2"/>
          <w:sz w:val="24"/>
          <w:szCs w:val="24"/>
          <w:lang w:val="en-US"/>
        </w:rPr>
        <w:t>法定代表人或代理人（签字或加盖印章）：</w:t>
      </w:r>
    </w:p>
    <w:p>
      <w:pPr>
        <w:ind w:firstLine="480"/>
        <w:rPr>
          <w:rFonts w:hint="eastAsia"/>
          <w:b w:val="0"/>
          <w:color w:val="auto"/>
          <w:kern w:val="2"/>
          <w:sz w:val="24"/>
          <w:szCs w:val="24"/>
          <w:lang w:val="en-US"/>
        </w:rPr>
      </w:pPr>
      <w:r>
        <w:rPr>
          <w:rFonts w:hint="eastAsia"/>
          <w:b w:val="0"/>
          <w:color w:val="auto"/>
          <w:kern w:val="2"/>
          <w:sz w:val="24"/>
          <w:szCs w:val="24"/>
          <w:lang w:val="en-US"/>
        </w:rPr>
        <w:t>日  期:</w:t>
      </w:r>
    </w:p>
    <w:p>
      <w:pPr>
        <w:ind w:firstLine="480"/>
        <w:rPr>
          <w:rFonts w:hint="eastAsia"/>
          <w:b w:val="0"/>
          <w:color w:val="auto"/>
          <w:kern w:val="2"/>
          <w:sz w:val="24"/>
          <w:szCs w:val="24"/>
          <w:lang w:val="en-US"/>
        </w:rPr>
      </w:pPr>
    </w:p>
    <w:p>
      <w:pPr>
        <w:ind w:firstLine="0" w:firstLineChars="0"/>
        <w:rPr>
          <w:rFonts w:hint="eastAsia"/>
          <w:b w:val="0"/>
          <w:color w:val="auto"/>
          <w:kern w:val="2"/>
          <w:sz w:val="24"/>
          <w:szCs w:val="24"/>
          <w:lang w:val="en-US"/>
        </w:rPr>
      </w:pPr>
    </w:p>
    <w:p>
      <w:pPr>
        <w:pStyle w:val="4"/>
        <w:spacing w:line="400" w:lineRule="exact"/>
        <w:jc w:val="center"/>
        <w:rPr>
          <w:rFonts w:hint="eastAsia" w:asciiTheme="minorEastAsia" w:hAnsiTheme="minorEastAsia" w:eastAsiaTheme="minorEastAsia" w:cstheme="minorEastAsia"/>
          <w:bCs w:val="0"/>
          <w:color w:val="auto"/>
          <w:lang w:val="en-US" w:eastAsia="zh-CN"/>
        </w:rPr>
      </w:pPr>
    </w:p>
    <w:p>
      <w:pPr>
        <w:rPr>
          <w:rFonts w:hint="eastAsia" w:asciiTheme="minorEastAsia" w:hAnsiTheme="minorEastAsia" w:eastAsiaTheme="minorEastAsia" w:cstheme="minorEastAsia"/>
          <w:bCs w:val="0"/>
          <w:color w:val="auto"/>
          <w:lang w:val="en-US" w:eastAsia="zh-CN"/>
        </w:rPr>
      </w:pPr>
      <w:r>
        <w:rPr>
          <w:rFonts w:hint="eastAsia" w:asciiTheme="minorEastAsia" w:hAnsiTheme="minorEastAsia" w:eastAsiaTheme="minorEastAsia" w:cstheme="minorEastAsia"/>
          <w:bCs w:val="0"/>
          <w:color w:val="auto"/>
          <w:lang w:val="en-US" w:eastAsia="zh-CN"/>
        </w:rPr>
        <w:br w:type="page"/>
      </w:r>
    </w:p>
    <w:p>
      <w:pPr>
        <w:pStyle w:val="4"/>
        <w:spacing w:line="400" w:lineRule="exact"/>
        <w:jc w:val="center"/>
        <w:rPr>
          <w:rFonts w:hint="eastAsia" w:asciiTheme="minorEastAsia" w:hAnsiTheme="minorEastAsia" w:eastAsiaTheme="minorEastAsia" w:cstheme="minorEastAsia"/>
          <w:bCs w:val="0"/>
          <w:color w:val="auto"/>
          <w:lang w:val="en-US" w:eastAsia="zh-CN"/>
        </w:rPr>
      </w:pPr>
      <w:r>
        <w:rPr>
          <w:rFonts w:hint="eastAsia" w:asciiTheme="minorEastAsia" w:hAnsiTheme="minorEastAsia" w:eastAsiaTheme="minorEastAsia" w:cstheme="minorEastAsia"/>
          <w:bCs w:val="0"/>
          <w:color w:val="auto"/>
          <w:lang w:val="en-US" w:eastAsia="zh-CN"/>
        </w:rPr>
        <w:t>七、投标人类似项目业绩一览表</w:t>
      </w:r>
    </w:p>
    <w:p>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b w:val="0"/>
          <w:color w:val="auto"/>
          <w:sz w:val="24"/>
        </w:rPr>
      </w:pPr>
      <w:r>
        <w:rPr>
          <w:rFonts w:hint="eastAsia"/>
          <w:b w:val="0"/>
          <w:color w:val="auto"/>
          <w:sz w:val="24"/>
        </w:rPr>
        <w:t>采购项目名称：</w:t>
      </w:r>
    </w:p>
    <w:p>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b w:val="0"/>
          <w:color w:val="auto"/>
          <w:sz w:val="24"/>
        </w:rPr>
      </w:pPr>
      <w:r>
        <w:rPr>
          <w:rFonts w:hint="eastAsia"/>
          <w:b w:val="0"/>
          <w:color w:val="auto"/>
          <w:sz w:val="24"/>
        </w:rPr>
        <w:t>采购项目编号：</w:t>
      </w:r>
    </w:p>
    <w:p>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b w:val="0"/>
          <w:color w:val="auto"/>
          <w:sz w:val="24"/>
        </w:rPr>
      </w:pPr>
      <w:r>
        <w:rPr>
          <w:rFonts w:hint="eastAsia"/>
          <w:b w:val="0"/>
          <w:color w:val="auto"/>
          <w:sz w:val="24"/>
        </w:rPr>
        <w:t>包件号及名称：</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15"/>
        <w:gridCol w:w="6"/>
        <w:gridCol w:w="1599"/>
        <w:gridCol w:w="15"/>
        <w:gridCol w:w="1377"/>
        <w:gridCol w:w="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noWrap w:val="0"/>
            <w:vAlign w:val="center"/>
          </w:tcPr>
          <w:p>
            <w:pPr>
              <w:spacing w:line="400" w:lineRule="exact"/>
              <w:ind w:firstLine="120" w:firstLineChars="50"/>
              <w:jc w:val="center"/>
              <w:rPr>
                <w:rFonts w:hint="eastAsia" w:cs="Arial"/>
                <w:b w:val="0"/>
                <w:color w:val="auto"/>
                <w:sz w:val="24"/>
                <w:szCs w:val="24"/>
              </w:rPr>
            </w:pPr>
            <w:r>
              <w:rPr>
                <w:rFonts w:hint="eastAsia" w:cs="Arial"/>
                <w:b w:val="0"/>
                <w:color w:val="auto"/>
                <w:sz w:val="24"/>
                <w:szCs w:val="24"/>
              </w:rPr>
              <w:t>年份</w:t>
            </w:r>
          </w:p>
        </w:tc>
        <w:tc>
          <w:tcPr>
            <w:tcW w:w="1439" w:type="dxa"/>
            <w:noWrap w:val="0"/>
            <w:vAlign w:val="center"/>
          </w:tcPr>
          <w:p>
            <w:pPr>
              <w:spacing w:line="400" w:lineRule="exact"/>
              <w:ind w:firstLine="120" w:firstLineChars="50"/>
              <w:rPr>
                <w:rFonts w:hint="eastAsia" w:cs="Arial"/>
                <w:b w:val="0"/>
                <w:color w:val="auto"/>
                <w:sz w:val="24"/>
                <w:szCs w:val="24"/>
              </w:rPr>
            </w:pPr>
            <w:r>
              <w:rPr>
                <w:rFonts w:hint="eastAsia" w:cs="Arial"/>
                <w:b w:val="0"/>
                <w:color w:val="auto"/>
                <w:sz w:val="24"/>
                <w:szCs w:val="24"/>
              </w:rPr>
              <w:t>业主名称</w:t>
            </w:r>
          </w:p>
        </w:tc>
        <w:tc>
          <w:tcPr>
            <w:tcW w:w="1319" w:type="dxa"/>
            <w:noWrap w:val="0"/>
            <w:vAlign w:val="center"/>
          </w:tcPr>
          <w:p>
            <w:pPr>
              <w:spacing w:line="400" w:lineRule="exact"/>
              <w:ind w:firstLine="0" w:firstLineChars="0"/>
              <w:rPr>
                <w:rFonts w:cs="Arial"/>
                <w:b w:val="0"/>
                <w:color w:val="auto"/>
                <w:sz w:val="24"/>
                <w:szCs w:val="24"/>
              </w:rPr>
            </w:pPr>
            <w:r>
              <w:rPr>
                <w:rFonts w:cs="Arial"/>
                <w:b w:val="0"/>
                <w:color w:val="auto"/>
                <w:sz w:val="24"/>
                <w:szCs w:val="24"/>
              </w:rPr>
              <w:t>项目名称</w:t>
            </w:r>
          </w:p>
        </w:tc>
        <w:tc>
          <w:tcPr>
            <w:tcW w:w="1160" w:type="dxa"/>
            <w:noWrap w:val="0"/>
            <w:vAlign w:val="center"/>
          </w:tcPr>
          <w:p>
            <w:pPr>
              <w:spacing w:line="400" w:lineRule="exact"/>
              <w:ind w:firstLine="0" w:firstLineChars="0"/>
              <w:rPr>
                <w:rFonts w:cs="Arial"/>
                <w:b w:val="0"/>
                <w:color w:val="auto"/>
                <w:sz w:val="24"/>
                <w:szCs w:val="24"/>
              </w:rPr>
            </w:pPr>
            <w:r>
              <w:rPr>
                <w:rFonts w:cs="Arial"/>
                <w:b w:val="0"/>
                <w:color w:val="auto"/>
                <w:sz w:val="24"/>
                <w:szCs w:val="24"/>
              </w:rPr>
              <w:t>完成时间</w:t>
            </w:r>
          </w:p>
        </w:tc>
        <w:tc>
          <w:tcPr>
            <w:tcW w:w="1421" w:type="dxa"/>
            <w:gridSpan w:val="2"/>
            <w:noWrap w:val="0"/>
            <w:vAlign w:val="center"/>
          </w:tcPr>
          <w:p>
            <w:pPr>
              <w:spacing w:line="400" w:lineRule="exact"/>
              <w:ind w:firstLine="120" w:firstLineChars="50"/>
              <w:rPr>
                <w:rFonts w:hint="eastAsia" w:cs="Arial"/>
                <w:b w:val="0"/>
                <w:color w:val="auto"/>
                <w:sz w:val="24"/>
                <w:szCs w:val="24"/>
              </w:rPr>
            </w:pPr>
            <w:r>
              <w:rPr>
                <w:rFonts w:cs="Arial"/>
                <w:b w:val="0"/>
                <w:color w:val="auto"/>
                <w:sz w:val="24"/>
                <w:szCs w:val="24"/>
              </w:rPr>
              <w:t>合同金额</w:t>
            </w:r>
          </w:p>
        </w:tc>
        <w:tc>
          <w:tcPr>
            <w:tcW w:w="1614" w:type="dxa"/>
            <w:gridSpan w:val="2"/>
            <w:tcBorders>
              <w:right w:val="single" w:color="auto" w:sz="4" w:space="0"/>
            </w:tcBorders>
            <w:noWrap w:val="0"/>
            <w:vAlign w:val="center"/>
          </w:tcPr>
          <w:p>
            <w:pPr>
              <w:spacing w:line="400" w:lineRule="exact"/>
              <w:ind w:firstLine="0" w:firstLineChars="0"/>
              <w:rPr>
                <w:rFonts w:hint="eastAsia" w:cs="Arial"/>
                <w:b w:val="0"/>
                <w:color w:val="auto"/>
                <w:sz w:val="24"/>
                <w:szCs w:val="24"/>
              </w:rPr>
            </w:pPr>
            <w:r>
              <w:rPr>
                <w:rFonts w:hint="eastAsia" w:cs="Arial"/>
                <w:b w:val="0"/>
                <w:color w:val="auto"/>
                <w:sz w:val="24"/>
                <w:szCs w:val="24"/>
              </w:rPr>
              <w:t>是否通过验收</w:t>
            </w:r>
          </w:p>
        </w:tc>
        <w:tc>
          <w:tcPr>
            <w:tcW w:w="1387" w:type="dxa"/>
            <w:gridSpan w:val="2"/>
            <w:tcBorders>
              <w:left w:val="single" w:color="auto" w:sz="4" w:space="0"/>
            </w:tcBorders>
            <w:noWrap w:val="0"/>
            <w:vAlign w:val="center"/>
          </w:tcPr>
          <w:p>
            <w:pPr>
              <w:spacing w:line="400" w:lineRule="exact"/>
              <w:ind w:firstLine="360" w:firstLineChars="150"/>
              <w:rPr>
                <w:rFonts w:hint="eastAsia" w:cs="Arial"/>
                <w:b w:val="0"/>
                <w:color w:val="auto"/>
                <w:sz w:val="24"/>
                <w:szCs w:val="24"/>
              </w:rPr>
            </w:pPr>
            <w:r>
              <w:rPr>
                <w:rFonts w:hint="eastAsia" w:cs="Arial"/>
                <w:b w:val="0"/>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noWrap w:val="0"/>
            <w:vAlign w:val="center"/>
          </w:tcPr>
          <w:p>
            <w:pPr>
              <w:spacing w:line="400" w:lineRule="exact"/>
              <w:jc w:val="center"/>
              <w:rPr>
                <w:rFonts w:cs="Arial"/>
                <w:color w:val="auto"/>
              </w:rPr>
            </w:pPr>
          </w:p>
        </w:tc>
        <w:tc>
          <w:tcPr>
            <w:tcW w:w="1439" w:type="dxa"/>
            <w:noWrap w:val="0"/>
            <w:vAlign w:val="center"/>
          </w:tcPr>
          <w:p>
            <w:pPr>
              <w:spacing w:line="400" w:lineRule="exact"/>
              <w:jc w:val="center"/>
              <w:rPr>
                <w:rFonts w:cs="Arial"/>
                <w:color w:val="auto"/>
              </w:rPr>
            </w:pPr>
          </w:p>
        </w:tc>
        <w:tc>
          <w:tcPr>
            <w:tcW w:w="1319" w:type="dxa"/>
            <w:noWrap w:val="0"/>
            <w:vAlign w:val="center"/>
          </w:tcPr>
          <w:p>
            <w:pPr>
              <w:spacing w:line="400" w:lineRule="exact"/>
              <w:jc w:val="center"/>
              <w:rPr>
                <w:rFonts w:cs="Arial"/>
                <w:color w:val="auto"/>
              </w:rPr>
            </w:pPr>
          </w:p>
        </w:tc>
        <w:tc>
          <w:tcPr>
            <w:tcW w:w="1160" w:type="dxa"/>
            <w:noWrap w:val="0"/>
            <w:vAlign w:val="center"/>
          </w:tcPr>
          <w:p>
            <w:pPr>
              <w:spacing w:line="400" w:lineRule="exact"/>
              <w:jc w:val="center"/>
              <w:rPr>
                <w:rFonts w:cs="Arial"/>
                <w:color w:val="auto"/>
              </w:rPr>
            </w:pPr>
          </w:p>
        </w:tc>
        <w:tc>
          <w:tcPr>
            <w:tcW w:w="1421" w:type="dxa"/>
            <w:gridSpan w:val="2"/>
            <w:noWrap w:val="0"/>
            <w:vAlign w:val="center"/>
          </w:tcPr>
          <w:p>
            <w:pPr>
              <w:spacing w:line="400" w:lineRule="exact"/>
              <w:jc w:val="center"/>
              <w:rPr>
                <w:rFonts w:cs="Arial"/>
                <w:color w:val="auto"/>
              </w:rPr>
            </w:pPr>
          </w:p>
        </w:tc>
        <w:tc>
          <w:tcPr>
            <w:tcW w:w="1614" w:type="dxa"/>
            <w:gridSpan w:val="2"/>
            <w:tcBorders>
              <w:right w:val="single" w:color="auto" w:sz="4" w:space="0"/>
            </w:tcBorders>
            <w:noWrap w:val="0"/>
            <w:vAlign w:val="center"/>
          </w:tcPr>
          <w:p>
            <w:pPr>
              <w:spacing w:line="400" w:lineRule="exact"/>
              <w:jc w:val="center"/>
              <w:rPr>
                <w:rFonts w:cs="Arial"/>
                <w:color w:val="auto"/>
              </w:rPr>
            </w:pPr>
          </w:p>
        </w:tc>
        <w:tc>
          <w:tcPr>
            <w:tcW w:w="1387" w:type="dxa"/>
            <w:gridSpan w:val="2"/>
            <w:tcBorders>
              <w:left w:val="single" w:color="auto" w:sz="4" w:space="0"/>
            </w:tcBorders>
            <w:noWrap w:val="0"/>
            <w:vAlign w:val="center"/>
          </w:tcPr>
          <w:p>
            <w:pPr>
              <w:spacing w:line="400" w:lineRule="exact"/>
              <w:jc w:val="center"/>
              <w:rPr>
                <w:rFonts w:cs="Arial"/>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noWrap w:val="0"/>
            <w:vAlign w:val="center"/>
          </w:tcPr>
          <w:p>
            <w:pPr>
              <w:spacing w:line="400" w:lineRule="exact"/>
              <w:jc w:val="center"/>
              <w:rPr>
                <w:rFonts w:cs="Arial"/>
                <w:color w:val="auto"/>
              </w:rPr>
            </w:pPr>
          </w:p>
        </w:tc>
        <w:tc>
          <w:tcPr>
            <w:tcW w:w="1439" w:type="dxa"/>
            <w:noWrap w:val="0"/>
            <w:vAlign w:val="center"/>
          </w:tcPr>
          <w:p>
            <w:pPr>
              <w:spacing w:line="400" w:lineRule="exact"/>
              <w:jc w:val="center"/>
              <w:rPr>
                <w:rFonts w:cs="Arial"/>
                <w:color w:val="auto"/>
              </w:rPr>
            </w:pPr>
          </w:p>
        </w:tc>
        <w:tc>
          <w:tcPr>
            <w:tcW w:w="1319" w:type="dxa"/>
            <w:noWrap w:val="0"/>
            <w:vAlign w:val="center"/>
          </w:tcPr>
          <w:p>
            <w:pPr>
              <w:spacing w:line="400" w:lineRule="exact"/>
              <w:jc w:val="center"/>
              <w:rPr>
                <w:rFonts w:cs="Arial"/>
                <w:color w:val="auto"/>
              </w:rPr>
            </w:pPr>
          </w:p>
        </w:tc>
        <w:tc>
          <w:tcPr>
            <w:tcW w:w="1160" w:type="dxa"/>
            <w:noWrap w:val="0"/>
            <w:vAlign w:val="center"/>
          </w:tcPr>
          <w:p>
            <w:pPr>
              <w:spacing w:line="400" w:lineRule="exact"/>
              <w:jc w:val="center"/>
              <w:rPr>
                <w:rFonts w:cs="Arial"/>
                <w:color w:val="auto"/>
              </w:rPr>
            </w:pPr>
          </w:p>
        </w:tc>
        <w:tc>
          <w:tcPr>
            <w:tcW w:w="1421" w:type="dxa"/>
            <w:gridSpan w:val="2"/>
            <w:noWrap w:val="0"/>
            <w:vAlign w:val="center"/>
          </w:tcPr>
          <w:p>
            <w:pPr>
              <w:spacing w:line="400" w:lineRule="exact"/>
              <w:jc w:val="center"/>
              <w:rPr>
                <w:rFonts w:cs="Arial"/>
                <w:color w:val="auto"/>
              </w:rPr>
            </w:pPr>
          </w:p>
        </w:tc>
        <w:tc>
          <w:tcPr>
            <w:tcW w:w="1614" w:type="dxa"/>
            <w:gridSpan w:val="2"/>
            <w:tcBorders>
              <w:right w:val="single" w:color="auto" w:sz="4" w:space="0"/>
            </w:tcBorders>
            <w:noWrap w:val="0"/>
            <w:vAlign w:val="center"/>
          </w:tcPr>
          <w:p>
            <w:pPr>
              <w:spacing w:line="400" w:lineRule="exact"/>
              <w:jc w:val="center"/>
              <w:rPr>
                <w:rFonts w:cs="Arial"/>
                <w:color w:val="auto"/>
              </w:rPr>
            </w:pPr>
          </w:p>
        </w:tc>
        <w:tc>
          <w:tcPr>
            <w:tcW w:w="1387" w:type="dxa"/>
            <w:gridSpan w:val="2"/>
            <w:tcBorders>
              <w:left w:val="single" w:color="auto" w:sz="4" w:space="0"/>
            </w:tcBorders>
            <w:noWrap w:val="0"/>
            <w:vAlign w:val="center"/>
          </w:tcPr>
          <w:p>
            <w:pPr>
              <w:spacing w:line="400" w:lineRule="exact"/>
              <w:jc w:val="center"/>
              <w:rPr>
                <w:rFonts w:cs="Arial"/>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noWrap w:val="0"/>
            <w:vAlign w:val="center"/>
          </w:tcPr>
          <w:p>
            <w:pPr>
              <w:spacing w:line="400" w:lineRule="exact"/>
              <w:jc w:val="center"/>
              <w:rPr>
                <w:rFonts w:cs="Arial"/>
                <w:color w:val="auto"/>
              </w:rPr>
            </w:pPr>
          </w:p>
        </w:tc>
        <w:tc>
          <w:tcPr>
            <w:tcW w:w="1439" w:type="dxa"/>
            <w:noWrap w:val="0"/>
            <w:vAlign w:val="center"/>
          </w:tcPr>
          <w:p>
            <w:pPr>
              <w:spacing w:line="400" w:lineRule="exact"/>
              <w:jc w:val="center"/>
              <w:rPr>
                <w:rFonts w:cs="Arial"/>
                <w:color w:val="auto"/>
              </w:rPr>
            </w:pPr>
          </w:p>
        </w:tc>
        <w:tc>
          <w:tcPr>
            <w:tcW w:w="1319" w:type="dxa"/>
            <w:noWrap w:val="0"/>
            <w:vAlign w:val="center"/>
          </w:tcPr>
          <w:p>
            <w:pPr>
              <w:spacing w:line="400" w:lineRule="exact"/>
              <w:jc w:val="center"/>
              <w:rPr>
                <w:rFonts w:cs="Arial"/>
                <w:color w:val="auto"/>
              </w:rPr>
            </w:pPr>
          </w:p>
        </w:tc>
        <w:tc>
          <w:tcPr>
            <w:tcW w:w="1160" w:type="dxa"/>
            <w:noWrap w:val="0"/>
            <w:vAlign w:val="center"/>
          </w:tcPr>
          <w:p>
            <w:pPr>
              <w:spacing w:line="400" w:lineRule="exact"/>
              <w:jc w:val="center"/>
              <w:rPr>
                <w:rFonts w:cs="Arial"/>
                <w:color w:val="auto"/>
              </w:rPr>
            </w:pPr>
          </w:p>
        </w:tc>
        <w:tc>
          <w:tcPr>
            <w:tcW w:w="1421" w:type="dxa"/>
            <w:gridSpan w:val="2"/>
            <w:noWrap w:val="0"/>
            <w:vAlign w:val="center"/>
          </w:tcPr>
          <w:p>
            <w:pPr>
              <w:spacing w:line="400" w:lineRule="exact"/>
              <w:jc w:val="center"/>
              <w:rPr>
                <w:rFonts w:cs="Arial"/>
                <w:color w:val="auto"/>
              </w:rPr>
            </w:pPr>
          </w:p>
        </w:tc>
        <w:tc>
          <w:tcPr>
            <w:tcW w:w="1614" w:type="dxa"/>
            <w:gridSpan w:val="2"/>
            <w:tcBorders>
              <w:right w:val="single" w:color="auto" w:sz="4" w:space="0"/>
            </w:tcBorders>
            <w:noWrap w:val="0"/>
            <w:vAlign w:val="center"/>
          </w:tcPr>
          <w:p>
            <w:pPr>
              <w:spacing w:line="400" w:lineRule="exact"/>
              <w:jc w:val="center"/>
              <w:rPr>
                <w:rFonts w:cs="Arial"/>
                <w:color w:val="auto"/>
              </w:rPr>
            </w:pPr>
          </w:p>
        </w:tc>
        <w:tc>
          <w:tcPr>
            <w:tcW w:w="1387" w:type="dxa"/>
            <w:gridSpan w:val="2"/>
            <w:tcBorders>
              <w:left w:val="single" w:color="auto" w:sz="4" w:space="0"/>
            </w:tcBorders>
            <w:noWrap w:val="0"/>
            <w:vAlign w:val="center"/>
          </w:tcPr>
          <w:p>
            <w:pPr>
              <w:spacing w:line="400" w:lineRule="exact"/>
              <w:jc w:val="center"/>
              <w:rPr>
                <w:rFonts w:cs="Arial"/>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noWrap w:val="0"/>
            <w:vAlign w:val="center"/>
          </w:tcPr>
          <w:p>
            <w:pPr>
              <w:spacing w:line="400" w:lineRule="exact"/>
              <w:jc w:val="center"/>
              <w:rPr>
                <w:rFonts w:cs="Arial"/>
                <w:color w:val="auto"/>
              </w:rPr>
            </w:pPr>
          </w:p>
        </w:tc>
        <w:tc>
          <w:tcPr>
            <w:tcW w:w="1439" w:type="dxa"/>
            <w:tcBorders>
              <w:right w:val="single" w:color="auto" w:sz="4" w:space="0"/>
            </w:tcBorders>
            <w:noWrap w:val="0"/>
            <w:vAlign w:val="center"/>
          </w:tcPr>
          <w:p>
            <w:pPr>
              <w:spacing w:line="400" w:lineRule="exact"/>
              <w:jc w:val="center"/>
              <w:rPr>
                <w:rFonts w:cs="Arial"/>
                <w:color w:val="auto"/>
              </w:rPr>
            </w:pPr>
          </w:p>
        </w:tc>
        <w:tc>
          <w:tcPr>
            <w:tcW w:w="1319" w:type="dxa"/>
            <w:tcBorders>
              <w:left w:val="single" w:color="auto" w:sz="4" w:space="0"/>
            </w:tcBorders>
            <w:noWrap w:val="0"/>
            <w:vAlign w:val="center"/>
          </w:tcPr>
          <w:p>
            <w:pPr>
              <w:spacing w:line="400" w:lineRule="exact"/>
              <w:jc w:val="center"/>
              <w:rPr>
                <w:rFonts w:cs="Arial"/>
                <w:color w:val="auto"/>
              </w:rPr>
            </w:pPr>
          </w:p>
        </w:tc>
        <w:tc>
          <w:tcPr>
            <w:tcW w:w="1160" w:type="dxa"/>
            <w:noWrap w:val="0"/>
            <w:vAlign w:val="center"/>
          </w:tcPr>
          <w:p>
            <w:pPr>
              <w:spacing w:line="400" w:lineRule="exact"/>
              <w:jc w:val="center"/>
              <w:rPr>
                <w:rFonts w:cs="Arial"/>
                <w:color w:val="auto"/>
              </w:rPr>
            </w:pPr>
          </w:p>
        </w:tc>
        <w:tc>
          <w:tcPr>
            <w:tcW w:w="1421" w:type="dxa"/>
            <w:gridSpan w:val="2"/>
            <w:noWrap w:val="0"/>
            <w:vAlign w:val="center"/>
          </w:tcPr>
          <w:p>
            <w:pPr>
              <w:spacing w:line="400" w:lineRule="exact"/>
              <w:jc w:val="center"/>
              <w:rPr>
                <w:rFonts w:cs="Arial"/>
                <w:color w:val="auto"/>
              </w:rPr>
            </w:pPr>
          </w:p>
        </w:tc>
        <w:tc>
          <w:tcPr>
            <w:tcW w:w="1614" w:type="dxa"/>
            <w:gridSpan w:val="2"/>
            <w:tcBorders>
              <w:right w:val="single" w:color="auto" w:sz="4" w:space="0"/>
            </w:tcBorders>
            <w:noWrap w:val="0"/>
            <w:vAlign w:val="center"/>
          </w:tcPr>
          <w:p>
            <w:pPr>
              <w:spacing w:line="400" w:lineRule="exact"/>
              <w:jc w:val="center"/>
              <w:rPr>
                <w:rFonts w:cs="Arial"/>
                <w:color w:val="auto"/>
              </w:rPr>
            </w:pPr>
          </w:p>
        </w:tc>
        <w:tc>
          <w:tcPr>
            <w:tcW w:w="1387" w:type="dxa"/>
            <w:gridSpan w:val="2"/>
            <w:tcBorders>
              <w:left w:val="single" w:color="auto" w:sz="4" w:space="0"/>
            </w:tcBorders>
            <w:noWrap w:val="0"/>
            <w:vAlign w:val="center"/>
          </w:tcPr>
          <w:p>
            <w:pPr>
              <w:spacing w:line="400" w:lineRule="exact"/>
              <w:jc w:val="center"/>
              <w:rPr>
                <w:rFonts w:cs="Arial"/>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10" w:type="dxa"/>
          <w:cantSplit/>
          <w:trHeight w:val="600" w:hRule="atLeast"/>
          <w:jc w:val="center"/>
        </w:trPr>
        <w:tc>
          <w:tcPr>
            <w:tcW w:w="718" w:type="dxa"/>
            <w:tcBorders>
              <w:right w:val="single" w:color="auto" w:sz="4" w:space="0"/>
            </w:tcBorders>
            <w:noWrap w:val="0"/>
            <w:vAlign w:val="center"/>
          </w:tcPr>
          <w:p>
            <w:pPr>
              <w:spacing w:line="400" w:lineRule="exact"/>
              <w:rPr>
                <w:rFonts w:hint="eastAsia" w:cs="Arial"/>
                <w:color w:val="auto"/>
              </w:rPr>
            </w:pPr>
          </w:p>
        </w:tc>
        <w:tc>
          <w:tcPr>
            <w:tcW w:w="1439" w:type="dxa"/>
            <w:tcBorders>
              <w:left w:val="single" w:color="auto" w:sz="4" w:space="0"/>
              <w:right w:val="single" w:color="auto" w:sz="4" w:space="0"/>
            </w:tcBorders>
            <w:noWrap w:val="0"/>
            <w:vAlign w:val="center"/>
          </w:tcPr>
          <w:p>
            <w:pPr>
              <w:spacing w:line="400" w:lineRule="exact"/>
              <w:rPr>
                <w:rFonts w:hint="eastAsia" w:cs="Arial"/>
                <w:color w:val="auto"/>
              </w:rPr>
            </w:pPr>
          </w:p>
        </w:tc>
        <w:tc>
          <w:tcPr>
            <w:tcW w:w="1319" w:type="dxa"/>
            <w:tcBorders>
              <w:left w:val="single" w:color="auto" w:sz="4" w:space="0"/>
              <w:right w:val="single" w:color="auto" w:sz="4" w:space="0"/>
            </w:tcBorders>
            <w:noWrap w:val="0"/>
            <w:vAlign w:val="center"/>
          </w:tcPr>
          <w:p>
            <w:pPr>
              <w:spacing w:line="400" w:lineRule="exact"/>
              <w:rPr>
                <w:rFonts w:hint="eastAsia" w:cs="Arial"/>
                <w:color w:val="auto"/>
              </w:rPr>
            </w:pPr>
          </w:p>
        </w:tc>
        <w:tc>
          <w:tcPr>
            <w:tcW w:w="1160" w:type="dxa"/>
            <w:tcBorders>
              <w:left w:val="single" w:color="auto" w:sz="4" w:space="0"/>
              <w:right w:val="single" w:color="auto" w:sz="4" w:space="0"/>
            </w:tcBorders>
            <w:noWrap w:val="0"/>
            <w:vAlign w:val="center"/>
          </w:tcPr>
          <w:p>
            <w:pPr>
              <w:spacing w:line="400" w:lineRule="exact"/>
              <w:rPr>
                <w:rFonts w:hint="eastAsia" w:cs="Arial"/>
                <w:color w:val="auto"/>
              </w:rPr>
            </w:pPr>
          </w:p>
        </w:tc>
        <w:tc>
          <w:tcPr>
            <w:tcW w:w="1415" w:type="dxa"/>
            <w:tcBorders>
              <w:left w:val="single" w:color="auto" w:sz="4" w:space="0"/>
              <w:right w:val="single" w:color="auto" w:sz="4" w:space="0"/>
            </w:tcBorders>
            <w:noWrap w:val="0"/>
            <w:vAlign w:val="center"/>
          </w:tcPr>
          <w:p>
            <w:pPr>
              <w:spacing w:line="400" w:lineRule="exact"/>
              <w:rPr>
                <w:rFonts w:hint="eastAsia" w:cs="Arial"/>
                <w:color w:val="auto"/>
              </w:rPr>
            </w:pPr>
          </w:p>
        </w:tc>
        <w:tc>
          <w:tcPr>
            <w:tcW w:w="1605" w:type="dxa"/>
            <w:gridSpan w:val="2"/>
            <w:tcBorders>
              <w:left w:val="single" w:color="auto" w:sz="4" w:space="0"/>
              <w:right w:val="single" w:color="auto" w:sz="4" w:space="0"/>
            </w:tcBorders>
            <w:noWrap w:val="0"/>
            <w:vAlign w:val="center"/>
          </w:tcPr>
          <w:p>
            <w:pPr>
              <w:spacing w:line="400" w:lineRule="exact"/>
              <w:rPr>
                <w:rFonts w:hint="eastAsia" w:cs="Arial"/>
                <w:color w:val="auto"/>
              </w:rPr>
            </w:pPr>
          </w:p>
        </w:tc>
        <w:tc>
          <w:tcPr>
            <w:tcW w:w="1392" w:type="dxa"/>
            <w:gridSpan w:val="2"/>
            <w:tcBorders>
              <w:left w:val="single" w:color="auto" w:sz="4" w:space="0"/>
            </w:tcBorders>
            <w:noWrap w:val="0"/>
            <w:vAlign w:val="center"/>
          </w:tcPr>
          <w:p>
            <w:pPr>
              <w:spacing w:line="400" w:lineRule="exact"/>
              <w:rPr>
                <w:rFonts w:hint="eastAsia" w:cs="Arial"/>
                <w:color w:val="auto"/>
              </w:rPr>
            </w:pPr>
          </w:p>
        </w:tc>
      </w:tr>
    </w:tbl>
    <w:p>
      <w:pPr>
        <w:tabs>
          <w:tab w:val="left" w:pos="555"/>
          <w:tab w:val="left" w:pos="2214"/>
          <w:tab w:val="left" w:pos="3774"/>
          <w:tab w:val="left" w:pos="4854"/>
          <w:tab w:val="left" w:pos="5934"/>
          <w:tab w:val="left" w:pos="7014"/>
          <w:tab w:val="left" w:pos="8214"/>
          <w:tab w:val="left" w:pos="10134"/>
          <w:tab w:val="left" w:pos="11124"/>
        </w:tabs>
        <w:spacing w:line="400" w:lineRule="exact"/>
        <w:ind w:firstLine="482"/>
        <w:rPr>
          <w:rFonts w:hint="eastAsia" w:cs="Arial"/>
          <w:color w:val="auto"/>
          <w:sz w:val="24"/>
        </w:rPr>
      </w:pPr>
      <w:r>
        <w:rPr>
          <w:rFonts w:hint="eastAsia" w:cs="Arial"/>
          <w:color w:val="auto"/>
          <w:sz w:val="24"/>
        </w:rPr>
        <w:t>注：</w:t>
      </w:r>
    </w:p>
    <w:p>
      <w:pPr>
        <w:tabs>
          <w:tab w:val="left" w:pos="555"/>
          <w:tab w:val="left" w:pos="2214"/>
          <w:tab w:val="left" w:pos="3774"/>
          <w:tab w:val="left" w:pos="4854"/>
          <w:tab w:val="left" w:pos="5934"/>
          <w:tab w:val="left" w:pos="7014"/>
          <w:tab w:val="left" w:pos="8214"/>
          <w:tab w:val="left" w:pos="10134"/>
          <w:tab w:val="left" w:pos="11124"/>
        </w:tabs>
        <w:spacing w:line="400" w:lineRule="exact"/>
        <w:ind w:firstLine="482"/>
        <w:rPr>
          <w:rFonts w:hint="eastAsia" w:cs="Arial"/>
          <w:color w:val="auto"/>
          <w:sz w:val="24"/>
        </w:rPr>
      </w:pPr>
      <w:r>
        <w:rPr>
          <w:rFonts w:hint="eastAsia" w:cs="Arial"/>
          <w:bCs/>
          <w:color w:val="auto"/>
          <w:sz w:val="24"/>
        </w:rPr>
        <w:t>1.</w:t>
      </w:r>
      <w:r>
        <w:rPr>
          <w:rFonts w:hint="eastAsia" w:cs="Arial"/>
          <w:color w:val="auto"/>
          <w:sz w:val="24"/>
        </w:rPr>
        <w:t>以上表格格式行可增减。</w:t>
      </w:r>
    </w:p>
    <w:p>
      <w:pPr>
        <w:tabs>
          <w:tab w:val="left" w:pos="555"/>
          <w:tab w:val="left" w:pos="2214"/>
          <w:tab w:val="left" w:pos="3774"/>
          <w:tab w:val="left" w:pos="4854"/>
          <w:tab w:val="left" w:pos="5934"/>
          <w:tab w:val="left" w:pos="7014"/>
          <w:tab w:val="left" w:pos="8214"/>
          <w:tab w:val="left" w:pos="10134"/>
          <w:tab w:val="left" w:pos="11124"/>
        </w:tabs>
        <w:spacing w:line="400" w:lineRule="exact"/>
        <w:ind w:firstLine="482"/>
        <w:rPr>
          <w:rFonts w:hint="eastAsia" w:cs="Arial"/>
          <w:color w:val="auto"/>
          <w:sz w:val="24"/>
        </w:rPr>
      </w:pPr>
      <w:r>
        <w:rPr>
          <w:rFonts w:hint="eastAsia" w:cs="Arial"/>
          <w:color w:val="auto"/>
          <w:sz w:val="24"/>
        </w:rPr>
        <w:t>2.投标人（仅限于投标人自己的）以上业绩证明材料要求详见综合评分明细表。</w:t>
      </w:r>
    </w:p>
    <w:p>
      <w:pPr>
        <w:spacing w:line="400" w:lineRule="exact"/>
        <w:ind w:left="360" w:firstLine="482"/>
        <w:jc w:val="center"/>
        <w:rPr>
          <w:rFonts w:hint="eastAsia" w:cs="Arial"/>
          <w:color w:val="auto"/>
          <w:sz w:val="24"/>
        </w:rPr>
      </w:pPr>
    </w:p>
    <w:p>
      <w:pPr>
        <w:jc w:val="left"/>
        <w:rPr>
          <w:rFonts w:hint="eastAsia" w:cs="Arial"/>
          <w:color w:val="auto"/>
        </w:rPr>
      </w:pPr>
    </w:p>
    <w:p>
      <w:pPr>
        <w:ind w:firstLine="480"/>
        <w:rPr>
          <w:rFonts w:hint="eastAsia"/>
          <w:b w:val="0"/>
          <w:color w:val="auto"/>
          <w:kern w:val="2"/>
          <w:sz w:val="24"/>
          <w:szCs w:val="24"/>
          <w:lang w:val="en-US"/>
        </w:rPr>
      </w:pPr>
      <w:r>
        <w:rPr>
          <w:rFonts w:hint="eastAsia"/>
          <w:b w:val="0"/>
          <w:color w:val="auto"/>
          <w:kern w:val="2"/>
          <w:sz w:val="24"/>
          <w:szCs w:val="24"/>
          <w:lang w:val="en-US"/>
        </w:rPr>
        <w:t>投标人名称（加盖公章或电子签章）：</w:t>
      </w:r>
    </w:p>
    <w:p>
      <w:pPr>
        <w:ind w:firstLine="480"/>
        <w:rPr>
          <w:rFonts w:hint="eastAsia"/>
          <w:b w:val="0"/>
          <w:color w:val="auto"/>
          <w:kern w:val="2"/>
          <w:sz w:val="24"/>
          <w:szCs w:val="24"/>
          <w:lang w:val="en-US"/>
        </w:rPr>
      </w:pPr>
      <w:r>
        <w:rPr>
          <w:rFonts w:hint="eastAsia"/>
          <w:b w:val="0"/>
          <w:color w:val="auto"/>
          <w:kern w:val="2"/>
          <w:sz w:val="24"/>
          <w:szCs w:val="24"/>
          <w:lang w:val="en-US"/>
        </w:rPr>
        <w:t>法定代表人或代理人（签字或加盖印章）：</w:t>
      </w:r>
    </w:p>
    <w:p>
      <w:pPr>
        <w:ind w:firstLine="480"/>
        <w:rPr>
          <w:rFonts w:hint="eastAsia"/>
          <w:b w:val="0"/>
          <w:color w:val="auto"/>
          <w:sz w:val="24"/>
        </w:rPr>
      </w:pPr>
      <w:r>
        <w:rPr>
          <w:rFonts w:hint="eastAsia"/>
          <w:b w:val="0"/>
          <w:color w:val="auto"/>
          <w:kern w:val="2"/>
          <w:sz w:val="24"/>
          <w:szCs w:val="24"/>
          <w:lang w:val="en-US"/>
        </w:rPr>
        <w:t>日  期:</w:t>
      </w:r>
    </w:p>
    <w:p>
      <w:pPr>
        <w:ind w:firstLine="480"/>
        <w:rPr>
          <w:rFonts w:hint="eastAsia"/>
          <w:b w:val="0"/>
          <w:color w:val="auto"/>
          <w:sz w:val="24"/>
        </w:rPr>
      </w:pPr>
    </w:p>
    <w:p>
      <w:pPr>
        <w:ind w:firstLine="480"/>
        <w:rPr>
          <w:rFonts w:hint="eastAsia"/>
          <w:b w:val="0"/>
          <w:color w:val="auto"/>
          <w:sz w:val="24"/>
        </w:rPr>
      </w:pPr>
    </w:p>
    <w:p>
      <w:pPr>
        <w:ind w:firstLine="480"/>
        <w:rPr>
          <w:rFonts w:hint="eastAsia"/>
          <w:b w:val="0"/>
          <w:color w:val="auto"/>
          <w:sz w:val="24"/>
        </w:rPr>
      </w:pPr>
    </w:p>
    <w:p>
      <w:pPr>
        <w:ind w:firstLine="480"/>
        <w:rPr>
          <w:rFonts w:hint="eastAsia"/>
          <w:b w:val="0"/>
          <w:color w:val="auto"/>
          <w:sz w:val="24"/>
        </w:rPr>
      </w:pPr>
    </w:p>
    <w:p>
      <w:pPr>
        <w:ind w:firstLine="480"/>
        <w:rPr>
          <w:rFonts w:hint="eastAsia"/>
          <w:b w:val="0"/>
          <w:color w:val="auto"/>
          <w:sz w:val="24"/>
        </w:rPr>
      </w:pPr>
    </w:p>
    <w:p>
      <w:pPr>
        <w:ind w:firstLine="480"/>
        <w:rPr>
          <w:rFonts w:hint="eastAsia"/>
          <w:b w:val="0"/>
          <w:color w:val="auto"/>
          <w:sz w:val="24"/>
        </w:rPr>
      </w:pPr>
    </w:p>
    <w:p>
      <w:pPr>
        <w:ind w:firstLine="480"/>
        <w:rPr>
          <w:rFonts w:hint="eastAsia"/>
          <w:b w:val="0"/>
          <w:color w:val="auto"/>
          <w:sz w:val="24"/>
        </w:rPr>
      </w:pPr>
    </w:p>
    <w:p>
      <w:pPr>
        <w:ind w:firstLine="480"/>
        <w:rPr>
          <w:rFonts w:hint="eastAsia"/>
          <w:b w:val="0"/>
          <w:color w:val="auto"/>
          <w:sz w:val="24"/>
        </w:rPr>
      </w:pPr>
    </w:p>
    <w:p>
      <w:pPr>
        <w:ind w:firstLine="0" w:firstLineChars="0"/>
        <w:rPr>
          <w:rFonts w:hint="eastAsia"/>
          <w:b w:val="0"/>
          <w:color w:val="auto"/>
          <w:kern w:val="2"/>
          <w:sz w:val="24"/>
          <w:szCs w:val="24"/>
          <w:lang w:val="en-US"/>
        </w:rPr>
      </w:pPr>
    </w:p>
    <w:p>
      <w:pPr>
        <w:rPr>
          <w:rFonts w:hint="eastAsia" w:asciiTheme="minorEastAsia" w:hAnsiTheme="minorEastAsia" w:eastAsiaTheme="minorEastAsia" w:cstheme="minorEastAsia"/>
          <w:bCs w:val="0"/>
          <w:color w:val="auto"/>
          <w:lang w:val="en-US" w:eastAsia="zh-CN"/>
        </w:rPr>
      </w:pPr>
      <w:bookmarkStart w:id="121" w:name="_Toc494198610"/>
      <w:r>
        <w:rPr>
          <w:rFonts w:hint="eastAsia" w:asciiTheme="minorEastAsia" w:hAnsiTheme="minorEastAsia" w:eastAsiaTheme="minorEastAsia" w:cstheme="minorEastAsia"/>
          <w:bCs w:val="0"/>
          <w:color w:val="auto"/>
          <w:lang w:val="en-US" w:eastAsia="zh-CN"/>
        </w:rPr>
        <w:br w:type="page"/>
      </w:r>
    </w:p>
    <w:p>
      <w:pPr>
        <w:pStyle w:val="4"/>
        <w:spacing w:line="400" w:lineRule="exact"/>
        <w:jc w:val="center"/>
        <w:rPr>
          <w:rFonts w:hint="eastAsia" w:asciiTheme="minorEastAsia" w:hAnsiTheme="minorEastAsia" w:eastAsiaTheme="minorEastAsia" w:cstheme="minorEastAsia"/>
          <w:bCs w:val="0"/>
          <w:color w:val="auto"/>
          <w:lang w:val="en-US" w:eastAsia="zh-CN"/>
        </w:rPr>
      </w:pPr>
      <w:r>
        <w:rPr>
          <w:rFonts w:hint="eastAsia" w:asciiTheme="minorEastAsia" w:hAnsiTheme="minorEastAsia" w:eastAsiaTheme="minorEastAsia" w:cstheme="minorEastAsia"/>
          <w:bCs w:val="0"/>
          <w:color w:val="auto"/>
          <w:lang w:val="en-US" w:eastAsia="zh-CN"/>
        </w:rPr>
        <w:t>八、</w:t>
      </w:r>
      <w:bookmarkEnd w:id="121"/>
      <w:r>
        <w:rPr>
          <w:rFonts w:hint="eastAsia" w:asciiTheme="minorEastAsia" w:hAnsiTheme="minorEastAsia" w:eastAsiaTheme="minorEastAsia" w:cstheme="minorEastAsia"/>
          <w:bCs w:val="0"/>
          <w:color w:val="auto"/>
          <w:lang w:val="en-US" w:eastAsia="zh-CN"/>
        </w:rPr>
        <w:t>实施方案</w:t>
      </w:r>
    </w:p>
    <w:p>
      <w:pPr>
        <w:ind w:firstLine="480"/>
        <w:rPr>
          <w:rFonts w:hint="eastAsia"/>
          <w:b w:val="0"/>
          <w:color w:val="auto"/>
          <w:kern w:val="2"/>
          <w:sz w:val="24"/>
          <w:szCs w:val="24"/>
          <w:lang w:val="en-US"/>
        </w:rPr>
      </w:pPr>
    </w:p>
    <w:p>
      <w:pPr>
        <w:ind w:firstLine="480"/>
        <w:rPr>
          <w:rFonts w:hint="eastAsia"/>
          <w:b w:val="0"/>
          <w:color w:val="auto"/>
          <w:kern w:val="2"/>
          <w:sz w:val="24"/>
          <w:szCs w:val="24"/>
          <w:lang w:val="en-US"/>
        </w:rPr>
      </w:pPr>
      <w:r>
        <w:rPr>
          <w:rFonts w:hint="eastAsia"/>
          <w:b w:val="0"/>
          <w:color w:val="auto"/>
          <w:kern w:val="2"/>
          <w:sz w:val="24"/>
          <w:szCs w:val="24"/>
          <w:lang w:val="en-US"/>
        </w:rPr>
        <w:t xml:space="preserve">采购项目名称： </w:t>
      </w:r>
    </w:p>
    <w:p>
      <w:pPr>
        <w:ind w:firstLine="480"/>
        <w:rPr>
          <w:rFonts w:hint="eastAsia"/>
          <w:b w:val="0"/>
          <w:color w:val="auto"/>
          <w:kern w:val="2"/>
          <w:sz w:val="24"/>
          <w:szCs w:val="24"/>
          <w:lang w:val="en-US"/>
        </w:rPr>
      </w:pPr>
      <w:r>
        <w:rPr>
          <w:rFonts w:hint="eastAsia"/>
          <w:b w:val="0"/>
          <w:color w:val="auto"/>
          <w:kern w:val="2"/>
          <w:sz w:val="24"/>
          <w:szCs w:val="24"/>
          <w:lang w:val="en-US"/>
        </w:rPr>
        <w:t>采购项目编号：</w:t>
      </w:r>
    </w:p>
    <w:p>
      <w:pPr>
        <w:ind w:firstLine="480"/>
        <w:rPr>
          <w:rFonts w:hint="eastAsia"/>
          <w:b w:val="0"/>
          <w:color w:val="auto"/>
          <w:kern w:val="2"/>
          <w:sz w:val="24"/>
          <w:szCs w:val="24"/>
          <w:lang w:val="en-US"/>
        </w:rPr>
      </w:pPr>
      <w:r>
        <w:rPr>
          <w:rFonts w:hint="eastAsia"/>
          <w:b w:val="0"/>
          <w:color w:val="auto"/>
          <w:kern w:val="2"/>
          <w:sz w:val="24"/>
          <w:szCs w:val="24"/>
          <w:lang w:val="en-US"/>
        </w:rPr>
        <w:t>包件号及名称：</w:t>
      </w:r>
    </w:p>
    <w:p>
      <w:pPr>
        <w:ind w:firstLine="0" w:firstLineChars="0"/>
        <w:rPr>
          <w:rFonts w:hint="eastAsia"/>
          <w:b w:val="0"/>
          <w:color w:val="auto"/>
          <w:kern w:val="2"/>
          <w:sz w:val="24"/>
          <w:szCs w:val="24"/>
          <w:lang w:val="en-US"/>
        </w:rPr>
      </w:pPr>
    </w:p>
    <w:p>
      <w:pPr>
        <w:rPr>
          <w:rFonts w:hint="eastAsia"/>
          <w:color w:val="auto"/>
        </w:rPr>
      </w:pPr>
    </w:p>
    <w:p>
      <w:pPr>
        <w:rPr>
          <w:rFonts w:hint="eastAsia"/>
          <w:color w:val="auto"/>
        </w:rPr>
      </w:pPr>
    </w:p>
    <w:p>
      <w:pPr>
        <w:ind w:firstLine="480"/>
        <w:rPr>
          <w:rFonts w:hint="eastAsia"/>
          <w:b w:val="0"/>
          <w:color w:val="auto"/>
          <w:kern w:val="2"/>
          <w:sz w:val="24"/>
          <w:szCs w:val="24"/>
          <w:lang w:val="en-US"/>
        </w:rPr>
      </w:pPr>
      <w:r>
        <w:rPr>
          <w:rFonts w:hint="eastAsia"/>
          <w:b w:val="0"/>
          <w:color w:val="auto"/>
          <w:kern w:val="2"/>
          <w:sz w:val="24"/>
          <w:szCs w:val="24"/>
          <w:lang w:val="en-US"/>
        </w:rPr>
        <w:t>由投标人自行编写，格式不限。但应包含且不限于：综合评分明细表涉及内容。</w:t>
      </w:r>
    </w:p>
    <w:p>
      <w:pPr>
        <w:rPr>
          <w:rFonts w:hint="eastAsia"/>
          <w:color w:val="auto"/>
        </w:rPr>
      </w:pPr>
    </w:p>
    <w:p>
      <w:pPr>
        <w:rPr>
          <w:rFonts w:hint="eastAsia"/>
          <w:color w:val="auto"/>
        </w:rPr>
      </w:pPr>
    </w:p>
    <w:p>
      <w:pPr>
        <w:rPr>
          <w:rFonts w:hint="eastAsia"/>
          <w:color w:val="auto"/>
        </w:rPr>
      </w:pPr>
    </w:p>
    <w:p>
      <w:pPr>
        <w:rPr>
          <w:rFonts w:hint="eastAsia"/>
          <w:color w:val="auto"/>
        </w:rPr>
      </w:pPr>
    </w:p>
    <w:p>
      <w:pPr>
        <w:ind w:firstLine="480"/>
        <w:rPr>
          <w:rFonts w:hint="eastAsia"/>
          <w:b w:val="0"/>
          <w:color w:val="auto"/>
          <w:kern w:val="2"/>
          <w:sz w:val="24"/>
          <w:szCs w:val="24"/>
          <w:lang w:val="en-US"/>
        </w:rPr>
      </w:pPr>
      <w:r>
        <w:rPr>
          <w:rFonts w:hint="eastAsia"/>
          <w:b w:val="0"/>
          <w:color w:val="auto"/>
          <w:kern w:val="2"/>
          <w:sz w:val="24"/>
          <w:szCs w:val="24"/>
          <w:lang w:val="en-US"/>
        </w:rPr>
        <w:t>投标人名称（加盖公章或电子签章）：</w:t>
      </w:r>
    </w:p>
    <w:p>
      <w:pPr>
        <w:ind w:firstLine="480"/>
        <w:rPr>
          <w:rFonts w:hint="eastAsia"/>
          <w:b w:val="0"/>
          <w:color w:val="auto"/>
          <w:kern w:val="2"/>
          <w:sz w:val="24"/>
          <w:szCs w:val="24"/>
          <w:lang w:val="en-US"/>
        </w:rPr>
      </w:pPr>
      <w:r>
        <w:rPr>
          <w:rFonts w:hint="eastAsia"/>
          <w:b w:val="0"/>
          <w:color w:val="auto"/>
          <w:kern w:val="2"/>
          <w:sz w:val="24"/>
          <w:szCs w:val="24"/>
          <w:lang w:val="en-US"/>
        </w:rPr>
        <w:t>法定代表人或代理人（签字或加盖印章）：</w:t>
      </w:r>
    </w:p>
    <w:p>
      <w:pPr>
        <w:ind w:firstLine="480"/>
        <w:rPr>
          <w:rFonts w:hint="eastAsia"/>
          <w:b w:val="0"/>
          <w:color w:val="auto"/>
          <w:kern w:val="2"/>
          <w:sz w:val="24"/>
          <w:szCs w:val="24"/>
          <w:lang w:val="en-US"/>
        </w:rPr>
      </w:pPr>
      <w:r>
        <w:rPr>
          <w:rFonts w:hint="eastAsia"/>
          <w:b w:val="0"/>
          <w:color w:val="auto"/>
          <w:kern w:val="2"/>
          <w:sz w:val="24"/>
          <w:szCs w:val="24"/>
          <w:lang w:val="en-US"/>
        </w:rPr>
        <w:t>日  期:</w:t>
      </w:r>
    </w:p>
    <w:p>
      <w:pPr>
        <w:rPr>
          <w:rFonts w:hint="eastAsia"/>
          <w:color w:val="auto"/>
        </w:rPr>
      </w:pPr>
    </w:p>
    <w:p>
      <w:pPr>
        <w:rPr>
          <w:rFonts w:hint="eastAsia"/>
          <w:color w:val="auto"/>
        </w:rPr>
      </w:pPr>
    </w:p>
    <w:p>
      <w:pPr>
        <w:adjustRightInd w:val="0"/>
        <w:spacing w:line="400" w:lineRule="exact"/>
        <w:ind w:firstLine="420" w:firstLineChars="175"/>
        <w:jc w:val="left"/>
        <w:rPr>
          <w:rFonts w:hint="eastAsia" w:asciiTheme="minorEastAsia" w:hAnsiTheme="minorEastAsia" w:eastAsiaTheme="minorEastAsia" w:cstheme="minorEastAsia"/>
          <w:bCs/>
          <w:color w:val="auto"/>
          <w:sz w:val="24"/>
        </w:rPr>
      </w:pPr>
    </w:p>
    <w:p>
      <w:pPr>
        <w:spacing w:line="400" w:lineRule="exact"/>
        <w:rPr>
          <w:rFonts w:hint="eastAsia" w:asciiTheme="minorEastAsia" w:hAnsiTheme="minorEastAsia" w:eastAsiaTheme="minorEastAsia" w:cstheme="minorEastAsia"/>
          <w:color w:val="auto"/>
        </w:rPr>
        <w:sectPr>
          <w:footerReference r:id="rId6" w:type="default"/>
          <w:pgSz w:w="11906" w:h="16838"/>
          <w:pgMar w:top="1091" w:right="1797" w:bottom="1091" w:left="1797" w:header="851" w:footer="992" w:gutter="0"/>
          <w:pgNumType w:start="1"/>
          <w:cols w:space="720" w:num="1"/>
          <w:docGrid w:linePitch="312" w:charSpace="0"/>
        </w:sectPr>
      </w:pPr>
    </w:p>
    <w:p>
      <w:pPr>
        <w:spacing w:line="588" w:lineRule="exact"/>
        <w:jc w:val="center"/>
        <w:rPr>
          <w:rFonts w:hint="eastAsia" w:asciiTheme="minorEastAsia" w:hAnsiTheme="minorEastAsia" w:eastAsiaTheme="minorEastAsia" w:cstheme="minorEastAsia"/>
          <w:b/>
          <w:color w:val="auto"/>
          <w:kern w:val="2"/>
          <w:sz w:val="32"/>
          <w:szCs w:val="28"/>
        </w:rPr>
      </w:pPr>
      <w:r>
        <w:rPr>
          <w:rFonts w:hint="eastAsia" w:asciiTheme="minorEastAsia" w:hAnsiTheme="minorEastAsia" w:eastAsiaTheme="minorEastAsia" w:cstheme="minorEastAsia"/>
          <w:b/>
          <w:color w:val="auto"/>
          <w:kern w:val="2"/>
          <w:sz w:val="32"/>
          <w:szCs w:val="28"/>
          <w:lang w:eastAsia="zh-CN"/>
        </w:rPr>
        <w:t>九</w:t>
      </w:r>
      <w:r>
        <w:rPr>
          <w:rFonts w:hint="eastAsia" w:asciiTheme="minorEastAsia" w:hAnsiTheme="minorEastAsia" w:eastAsiaTheme="minorEastAsia" w:cstheme="minorEastAsia"/>
          <w:b/>
          <w:color w:val="auto"/>
          <w:kern w:val="2"/>
          <w:sz w:val="32"/>
          <w:szCs w:val="28"/>
        </w:rPr>
        <w:t>、诚信情况承诺函</w:t>
      </w:r>
    </w:p>
    <w:p>
      <w:pPr>
        <w:spacing w:line="360" w:lineRule="auto"/>
        <w:rPr>
          <w:rFonts w:hint="eastAsia" w:asciiTheme="minorEastAsia" w:hAnsiTheme="minorEastAsia" w:eastAsiaTheme="minorEastAsia" w:cstheme="minorEastAsia"/>
          <w:bCs/>
          <w:color w:val="auto"/>
          <w:sz w:val="24"/>
        </w:rPr>
      </w:pPr>
    </w:p>
    <w:p>
      <w:pPr>
        <w:spacing w:line="360" w:lineRule="auto"/>
        <w:rPr>
          <w:rFonts w:hint="eastAsia"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四川协友招标代理</w:t>
      </w:r>
      <w:r>
        <w:rPr>
          <w:rFonts w:hint="eastAsia" w:asciiTheme="minorEastAsia" w:hAnsiTheme="minorEastAsia" w:eastAsiaTheme="minorEastAsia" w:cstheme="minorEastAsia"/>
          <w:bCs/>
          <w:color w:val="auto"/>
          <w:sz w:val="24"/>
          <w:lang w:eastAsia="zh-CN"/>
        </w:rPr>
        <w:t>有限公司</w:t>
      </w:r>
      <w:r>
        <w:rPr>
          <w:rFonts w:hint="eastAsia" w:asciiTheme="minorEastAsia" w:hAnsiTheme="minorEastAsia" w:eastAsiaTheme="minorEastAsia" w:cstheme="minorEastAsia"/>
          <w:bCs/>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eastAsia"/>
          <w:b w:val="0"/>
          <w:color w:val="auto"/>
        </w:rPr>
      </w:pPr>
      <w:r>
        <w:rPr>
          <w:rFonts w:hint="eastAsia" w:asciiTheme="minorEastAsia" w:hAnsiTheme="minorEastAsia" w:eastAsiaTheme="minorEastAsia" w:cstheme="minorEastAsia"/>
          <w:bCs/>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b w:val="0"/>
          <w:color w:val="auto"/>
          <w:kern w:val="2"/>
          <w:sz w:val="24"/>
          <w:szCs w:val="24"/>
          <w:lang w:val="en-US"/>
        </w:rPr>
      </w:pPr>
      <w:r>
        <w:rPr>
          <w:rFonts w:hint="eastAsia"/>
          <w:b w:val="0"/>
          <w:color w:val="auto"/>
          <w:kern w:val="2"/>
          <w:sz w:val="24"/>
          <w:szCs w:val="24"/>
          <w:lang w:val="en-US" w:eastAsia="zh-CN"/>
        </w:rPr>
        <w:t>我单位</w:t>
      </w:r>
      <w:r>
        <w:rPr>
          <w:b w:val="0"/>
          <w:color w:val="auto"/>
          <w:kern w:val="2"/>
          <w:sz w:val="24"/>
          <w:szCs w:val="24"/>
          <w:lang w:val="en-US"/>
        </w:rPr>
        <w:t>在递交投标文件截止日前被财政部门记入诚信档案的且在有效期内的失信行为的有</w:t>
      </w:r>
      <w:r>
        <w:rPr>
          <w:b w:val="0"/>
          <w:color w:val="auto"/>
          <w:kern w:val="2"/>
          <w:sz w:val="24"/>
          <w:szCs w:val="24"/>
          <w:u w:val="single"/>
          <w:lang w:val="en-US"/>
        </w:rPr>
        <w:t xml:space="preserve">    </w:t>
      </w:r>
      <w:r>
        <w:rPr>
          <w:b w:val="0"/>
          <w:color w:val="auto"/>
          <w:kern w:val="2"/>
          <w:sz w:val="24"/>
          <w:szCs w:val="24"/>
          <w:lang w:val="en-US"/>
        </w:rPr>
        <w:t>次。</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b w:val="0"/>
          <w:color w:val="auto"/>
          <w:kern w:val="2"/>
          <w:sz w:val="24"/>
          <w:szCs w:val="24"/>
          <w:lang w:val="en-US"/>
        </w:rPr>
      </w:pPr>
      <w:r>
        <w:rPr>
          <w:rFonts w:hint="eastAsia"/>
          <w:b w:val="0"/>
          <w:color w:val="auto"/>
          <w:kern w:val="2"/>
          <w:sz w:val="24"/>
          <w:szCs w:val="24"/>
          <w:lang w:val="en-US"/>
        </w:rPr>
        <w:t>我单位在递交投标文件截止日前被工商部门、税务部门、审判机关及其他有关部门单位认定且处于有效期内的失信行为的有</w:t>
      </w:r>
      <w:r>
        <w:rPr>
          <w:b w:val="0"/>
          <w:color w:val="auto"/>
          <w:kern w:val="2"/>
          <w:sz w:val="24"/>
          <w:szCs w:val="24"/>
          <w:u w:val="single"/>
          <w:lang w:val="en-US"/>
        </w:rPr>
        <w:t xml:space="preserve">    </w:t>
      </w:r>
      <w:r>
        <w:rPr>
          <w:b w:val="0"/>
          <w:color w:val="auto"/>
          <w:kern w:val="2"/>
          <w:sz w:val="24"/>
          <w:szCs w:val="24"/>
          <w:lang w:val="en-US"/>
        </w:rPr>
        <w:t>次。</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b w:val="0"/>
          <w:color w:val="auto"/>
          <w:kern w:val="2"/>
          <w:sz w:val="24"/>
          <w:szCs w:val="24"/>
          <w:lang w:val="en-US"/>
        </w:rPr>
      </w:pPr>
      <w:r>
        <w:rPr>
          <w:rFonts w:hint="eastAsia"/>
          <w:b w:val="0"/>
          <w:color w:val="auto"/>
          <w:kern w:val="2"/>
          <w:sz w:val="24"/>
          <w:szCs w:val="24"/>
          <w:lang w:val="en-US"/>
        </w:rPr>
        <w:t>本公司对上述承诺的真实性负责。如有虚假，将依法承担相应责任。</w:t>
      </w:r>
    </w:p>
    <w:p>
      <w:pPr>
        <w:ind w:firstLine="0" w:firstLineChars="0"/>
        <w:rPr>
          <w:rFonts w:hint="eastAsia"/>
          <w:b w:val="0"/>
          <w:color w:val="auto"/>
        </w:rPr>
      </w:pPr>
    </w:p>
    <w:p>
      <w:pPr>
        <w:ind w:firstLine="640"/>
        <w:rPr>
          <w:b w:val="0"/>
          <w:color w:val="auto"/>
        </w:rPr>
      </w:pPr>
    </w:p>
    <w:p>
      <w:pPr>
        <w:spacing w:line="480" w:lineRule="auto"/>
        <w:ind w:firstLine="480"/>
        <w:rPr>
          <w:b w:val="0"/>
          <w:color w:val="auto"/>
          <w:sz w:val="24"/>
          <w:szCs w:val="24"/>
        </w:rPr>
      </w:pPr>
    </w:p>
    <w:p>
      <w:pPr>
        <w:adjustRightInd w:val="0"/>
        <w:ind w:firstLine="640"/>
        <w:jc w:val="left"/>
        <w:rPr>
          <w:b w:val="0"/>
          <w:bCs/>
          <w:color w:val="auto"/>
        </w:rPr>
      </w:pP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rPr>
        <w:t>投标人名称（加盖公章或电子签章）：</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rPr>
        <w:t>法定代表人或代理人（签字或加盖印章）：</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color w:val="auto"/>
        </w:rPr>
      </w:pPr>
      <w:r>
        <w:rPr>
          <w:rFonts w:hint="eastAsia"/>
          <w:b w:val="0"/>
          <w:color w:val="auto"/>
          <w:kern w:val="2"/>
          <w:sz w:val="24"/>
          <w:szCs w:val="24"/>
          <w:lang w:val="en-US"/>
        </w:rPr>
        <w:t>日  期:</w:t>
      </w:r>
    </w:p>
    <w:p>
      <w:pPr>
        <w:rPr>
          <w:rFonts w:hint="eastAsia"/>
          <w:color w:val="auto"/>
        </w:rPr>
      </w:pPr>
    </w:p>
    <w:p>
      <w:pPr>
        <w:spacing w:line="560" w:lineRule="atLeast"/>
        <w:ind w:firstLine="482"/>
        <w:rPr>
          <w:rFonts w:hint="eastAsia"/>
          <w:color w:val="auto"/>
          <w:sz w:val="24"/>
        </w:rPr>
      </w:pPr>
      <w:r>
        <w:rPr>
          <w:rFonts w:hint="eastAsia"/>
          <w:color w:val="auto"/>
          <w:sz w:val="24"/>
        </w:rPr>
        <w:t>注：</w:t>
      </w:r>
    </w:p>
    <w:p>
      <w:pPr>
        <w:spacing w:line="560" w:lineRule="atLeast"/>
        <w:ind w:firstLine="480"/>
        <w:rPr>
          <w:rFonts w:hint="eastAsia"/>
          <w:b w:val="0"/>
          <w:color w:val="auto"/>
          <w:sz w:val="24"/>
          <w:szCs w:val="20"/>
        </w:rPr>
      </w:pPr>
      <w:r>
        <w:rPr>
          <w:rFonts w:hint="eastAsia"/>
          <w:b w:val="0"/>
          <w:color w:val="auto"/>
          <w:sz w:val="24"/>
          <w:szCs w:val="20"/>
          <w:lang w:val="en-US"/>
        </w:rPr>
        <w:t>投标人应根据自身实际情况据实进行承诺，“无”请填写“0次”或“零次”或“/”。</w:t>
      </w:r>
    </w:p>
    <w:p>
      <w:pPr>
        <w:rPr>
          <w:rFonts w:hint="eastAsia" w:asciiTheme="minorEastAsia" w:hAnsiTheme="minorEastAsia" w:eastAsiaTheme="minorEastAsia" w:cstheme="minorEastAsia"/>
          <w:bCs/>
          <w:color w:val="auto"/>
          <w:sz w:val="24"/>
        </w:rPr>
      </w:pPr>
    </w:p>
    <w:p>
      <w:pP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br w:type="page"/>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kern w:val="2"/>
          <w:sz w:val="32"/>
          <w:szCs w:val="28"/>
          <w:lang w:val="en-US" w:eastAsia="zh-CN"/>
        </w:rPr>
      </w:pPr>
      <w:bookmarkStart w:id="122" w:name="_Toc27105"/>
      <w:bookmarkStart w:id="123" w:name="_Toc19480"/>
      <w:r>
        <w:rPr>
          <w:rFonts w:hint="eastAsia" w:asciiTheme="minorEastAsia" w:hAnsiTheme="minorEastAsia" w:eastAsiaTheme="minorEastAsia" w:cstheme="minorEastAsia"/>
          <w:b/>
          <w:color w:val="auto"/>
          <w:kern w:val="2"/>
          <w:sz w:val="32"/>
          <w:szCs w:val="28"/>
          <w:lang w:val="en-US" w:eastAsia="zh-CN"/>
        </w:rPr>
        <w:t>投标人认为需要提供的其他文件和资料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kern w:val="2"/>
          <w:sz w:val="32"/>
          <w:szCs w:val="28"/>
          <w:lang w:val="en-US" w:eastAsia="zh-CN"/>
        </w:rPr>
      </w:pPr>
    </w:p>
    <w:p>
      <w:pPr>
        <w:pStyle w:val="2"/>
        <w:rPr>
          <w:rFonts w:hint="eastAsia" w:asciiTheme="minorEastAsia" w:hAnsiTheme="minorEastAsia" w:eastAsiaTheme="minorEastAsia" w:cstheme="minorEastAsia"/>
          <w:b/>
          <w:color w:val="auto"/>
          <w:kern w:val="2"/>
          <w:sz w:val="32"/>
          <w:szCs w:val="28"/>
          <w:lang w:val="en-US" w:eastAsia="zh-CN"/>
        </w:rPr>
      </w:pPr>
    </w:p>
    <w:p>
      <w:pPr>
        <w:rPr>
          <w:rStyle w:val="57"/>
          <w:rFonts w:hint="eastAsia"/>
          <w:color w:val="auto"/>
          <w:sz w:val="32"/>
          <w:szCs w:val="40"/>
          <w:lang w:val="en-US" w:eastAsia="zh-CN"/>
        </w:rPr>
      </w:pPr>
      <w:r>
        <w:rPr>
          <w:rStyle w:val="57"/>
          <w:rFonts w:hint="eastAsia"/>
          <w:color w:val="auto"/>
          <w:sz w:val="32"/>
          <w:szCs w:val="40"/>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Style w:val="57"/>
          <w:rFonts w:hint="eastAsia"/>
          <w:color w:val="auto"/>
          <w:sz w:val="32"/>
          <w:szCs w:val="40"/>
          <w:lang w:val="en-US" w:eastAsia="zh-CN"/>
        </w:rPr>
      </w:pPr>
      <w:bookmarkStart w:id="124" w:name="_Toc6494"/>
      <w:r>
        <w:rPr>
          <w:rStyle w:val="57"/>
          <w:rFonts w:hint="eastAsia"/>
          <w:color w:val="auto"/>
          <w:sz w:val="32"/>
          <w:szCs w:val="40"/>
          <w:lang w:val="en-US" w:eastAsia="zh-CN"/>
        </w:rPr>
        <w:t>第四章  投标人和投标产品的资格、资质性及其他具有类似效力的要求</w:t>
      </w:r>
      <w:bookmarkEnd w:id="122"/>
      <w:bookmarkEnd w:id="123"/>
    </w:p>
    <w:bookmarkEnd w:id="124"/>
    <w:p>
      <w:pPr>
        <w:spacing w:line="560" w:lineRule="exact"/>
        <w:ind w:firstLine="0" w:firstLineChars="0"/>
        <w:rPr>
          <w:rFonts w:hint="eastAsia"/>
          <w:color w:val="auto"/>
          <w:sz w:val="24"/>
          <w:szCs w:val="24"/>
        </w:rPr>
      </w:pPr>
      <w:r>
        <w:rPr>
          <w:rFonts w:hint="eastAsia"/>
          <w:b/>
          <w:bCs/>
          <w:color w:val="auto"/>
          <w:sz w:val="24"/>
          <w:szCs w:val="24"/>
        </w:rPr>
        <w:t>一、投标人的资格、资质性要求</w:t>
      </w:r>
    </w:p>
    <w:p>
      <w:pPr>
        <w:spacing w:line="560" w:lineRule="exact"/>
        <w:ind w:firstLine="480"/>
        <w:rPr>
          <w:rFonts w:hint="eastAsia"/>
          <w:b w:val="0"/>
          <w:color w:val="auto"/>
          <w:sz w:val="24"/>
          <w:szCs w:val="24"/>
        </w:rPr>
      </w:pPr>
      <w:r>
        <w:rPr>
          <w:rFonts w:hint="eastAsia"/>
          <w:b w:val="0"/>
          <w:color w:val="auto"/>
          <w:sz w:val="24"/>
          <w:szCs w:val="24"/>
        </w:rPr>
        <w:t>（一）《中华人民共和国政府采购法》第二十二条第一款第1项至第5项规定的条件：</w:t>
      </w:r>
    </w:p>
    <w:p>
      <w:pPr>
        <w:spacing w:line="560" w:lineRule="exact"/>
        <w:ind w:firstLine="480"/>
        <w:rPr>
          <w:rFonts w:hint="eastAsia"/>
          <w:b w:val="0"/>
          <w:color w:val="auto"/>
          <w:sz w:val="24"/>
          <w:szCs w:val="24"/>
        </w:rPr>
      </w:pPr>
      <w:r>
        <w:rPr>
          <w:rFonts w:hint="eastAsia"/>
          <w:b w:val="0"/>
          <w:color w:val="auto"/>
          <w:sz w:val="24"/>
          <w:szCs w:val="24"/>
        </w:rPr>
        <w:t>1、具有独立承担民事责任能力；</w:t>
      </w:r>
    </w:p>
    <w:p>
      <w:pPr>
        <w:spacing w:line="560" w:lineRule="exact"/>
        <w:ind w:firstLine="480"/>
        <w:rPr>
          <w:rFonts w:hint="eastAsia"/>
          <w:b w:val="0"/>
          <w:color w:val="auto"/>
          <w:sz w:val="24"/>
          <w:szCs w:val="24"/>
        </w:rPr>
      </w:pPr>
      <w:r>
        <w:rPr>
          <w:rFonts w:hint="eastAsia"/>
          <w:b w:val="0"/>
          <w:color w:val="auto"/>
          <w:sz w:val="24"/>
          <w:szCs w:val="24"/>
        </w:rPr>
        <w:t>2、具有良好的商业信誉和健全的财务会计制度；</w:t>
      </w:r>
    </w:p>
    <w:p>
      <w:pPr>
        <w:spacing w:line="560" w:lineRule="exact"/>
        <w:ind w:firstLine="480"/>
        <w:rPr>
          <w:rFonts w:hint="eastAsia"/>
          <w:b w:val="0"/>
          <w:color w:val="auto"/>
          <w:sz w:val="24"/>
          <w:szCs w:val="24"/>
        </w:rPr>
      </w:pPr>
      <w:r>
        <w:rPr>
          <w:rFonts w:hint="eastAsia"/>
          <w:b w:val="0"/>
          <w:color w:val="auto"/>
          <w:sz w:val="24"/>
          <w:szCs w:val="24"/>
        </w:rPr>
        <w:t>3、具有履行合同所必需的设备和专业技术能力；</w:t>
      </w:r>
    </w:p>
    <w:p>
      <w:pPr>
        <w:spacing w:line="560" w:lineRule="exact"/>
        <w:ind w:firstLine="480"/>
        <w:rPr>
          <w:rFonts w:hint="eastAsia"/>
          <w:b w:val="0"/>
          <w:color w:val="auto"/>
          <w:sz w:val="24"/>
          <w:szCs w:val="24"/>
        </w:rPr>
      </w:pPr>
      <w:r>
        <w:rPr>
          <w:rFonts w:hint="eastAsia"/>
          <w:b w:val="0"/>
          <w:color w:val="auto"/>
          <w:sz w:val="24"/>
          <w:szCs w:val="24"/>
        </w:rPr>
        <w:t>4、有依法缴纳税收和社会保障资金的良好记录；</w:t>
      </w:r>
    </w:p>
    <w:p>
      <w:pPr>
        <w:spacing w:line="560" w:lineRule="exact"/>
        <w:ind w:firstLine="480"/>
        <w:rPr>
          <w:rFonts w:hint="eastAsia"/>
          <w:b w:val="0"/>
          <w:color w:val="auto"/>
          <w:sz w:val="24"/>
          <w:szCs w:val="24"/>
        </w:rPr>
      </w:pPr>
      <w:r>
        <w:rPr>
          <w:rFonts w:hint="eastAsia"/>
          <w:b w:val="0"/>
          <w:color w:val="auto"/>
          <w:sz w:val="24"/>
          <w:szCs w:val="24"/>
        </w:rPr>
        <w:t>5、参加政府采购活动前三年内，在经营活动中没有重大违法记录；</w:t>
      </w:r>
    </w:p>
    <w:p>
      <w:pPr>
        <w:spacing w:line="560" w:lineRule="exact"/>
        <w:ind w:firstLine="480"/>
        <w:rPr>
          <w:rFonts w:hint="eastAsia"/>
          <w:b w:val="0"/>
          <w:color w:val="auto"/>
          <w:sz w:val="24"/>
          <w:szCs w:val="24"/>
        </w:rPr>
      </w:pPr>
      <w:r>
        <w:rPr>
          <w:rFonts w:hint="eastAsia"/>
          <w:b w:val="0"/>
          <w:color w:val="auto"/>
          <w:sz w:val="24"/>
          <w:szCs w:val="24"/>
        </w:rPr>
        <w:t>（二）法律、行政法规规定的其他条件；</w:t>
      </w:r>
    </w:p>
    <w:p>
      <w:pPr>
        <w:spacing w:line="560" w:lineRule="exact"/>
        <w:ind w:firstLine="480"/>
        <w:rPr>
          <w:rFonts w:hint="eastAsia"/>
          <w:b w:val="0"/>
          <w:color w:val="auto"/>
          <w:sz w:val="24"/>
          <w:szCs w:val="24"/>
        </w:rPr>
      </w:pPr>
      <w:r>
        <w:rPr>
          <w:rFonts w:hint="eastAsia"/>
          <w:b w:val="0"/>
          <w:color w:val="auto"/>
          <w:sz w:val="24"/>
          <w:szCs w:val="24"/>
        </w:rPr>
        <w:t>（三）根据采购项目提出的特殊条件：</w:t>
      </w:r>
    </w:p>
    <w:p>
      <w:pPr>
        <w:spacing w:line="560" w:lineRule="exact"/>
        <w:ind w:firstLine="480"/>
        <w:rPr>
          <w:rFonts w:hint="eastAsia"/>
          <w:b w:val="0"/>
          <w:color w:val="auto"/>
          <w:sz w:val="24"/>
          <w:szCs w:val="24"/>
        </w:rPr>
      </w:pPr>
      <w:r>
        <w:rPr>
          <w:rFonts w:hint="eastAsia"/>
          <w:b w:val="0"/>
          <w:color w:val="auto"/>
          <w:sz w:val="24"/>
          <w:szCs w:val="24"/>
        </w:rPr>
        <w:t>7.1第</w:t>
      </w:r>
      <w:r>
        <w:rPr>
          <w:rFonts w:hint="eastAsia"/>
          <w:b w:val="0"/>
          <w:color w:val="auto"/>
          <w:sz w:val="24"/>
          <w:szCs w:val="24"/>
          <w:lang w:val="en-US"/>
        </w:rPr>
        <w:t>1</w:t>
      </w:r>
      <w:r>
        <w:rPr>
          <w:rFonts w:hint="eastAsia"/>
          <w:b w:val="0"/>
          <w:color w:val="auto"/>
          <w:sz w:val="24"/>
          <w:szCs w:val="24"/>
        </w:rPr>
        <w:t>包：</w:t>
      </w:r>
      <w:r>
        <w:rPr>
          <w:rFonts w:hint="eastAsia"/>
          <w:b w:val="0"/>
          <w:color w:val="auto"/>
          <w:sz w:val="24"/>
          <w:szCs w:val="24"/>
          <w:lang w:val="en-US"/>
        </w:rPr>
        <w:t>投标人注册地不在四川省行政区域内的，须提供有效的入川备案证明材料。</w:t>
      </w:r>
    </w:p>
    <w:p>
      <w:pPr>
        <w:spacing w:line="560" w:lineRule="exact"/>
        <w:ind w:firstLine="480"/>
        <w:rPr>
          <w:rFonts w:hint="eastAsia"/>
          <w:b w:val="0"/>
          <w:color w:val="auto"/>
          <w:sz w:val="24"/>
          <w:szCs w:val="24"/>
        </w:rPr>
      </w:pPr>
      <w:r>
        <w:rPr>
          <w:rFonts w:hint="eastAsia"/>
          <w:b w:val="0"/>
          <w:color w:val="auto"/>
          <w:sz w:val="24"/>
          <w:szCs w:val="24"/>
          <w:lang w:val="zh-CN" w:eastAsia="zh-CN"/>
        </w:rPr>
        <w:t>7.2第</w:t>
      </w:r>
      <w:r>
        <w:rPr>
          <w:rFonts w:hint="eastAsia"/>
          <w:b w:val="0"/>
          <w:color w:val="auto"/>
          <w:sz w:val="24"/>
          <w:szCs w:val="24"/>
          <w:lang w:val="en-US" w:eastAsia="zh-CN"/>
        </w:rPr>
        <w:t>2</w:t>
      </w:r>
      <w:r>
        <w:rPr>
          <w:rFonts w:hint="eastAsia"/>
          <w:b w:val="0"/>
          <w:color w:val="auto"/>
          <w:sz w:val="24"/>
          <w:szCs w:val="24"/>
          <w:lang w:val="zh-CN" w:eastAsia="zh-CN"/>
        </w:rPr>
        <w:t>包：</w:t>
      </w:r>
      <w:r>
        <w:rPr>
          <w:rFonts w:hint="eastAsia"/>
          <w:b w:val="0"/>
          <w:color w:val="auto"/>
          <w:sz w:val="24"/>
          <w:szCs w:val="24"/>
          <w:lang w:val="en-US"/>
        </w:rPr>
        <w:t>投标人已在“全国投资项目在线审批监管平台”备案且备案专业至少涵盖①建筑，②市政公用工程，③农业、林业，④水利水电，⑤公路</w:t>
      </w:r>
      <w:r>
        <w:rPr>
          <w:rFonts w:hint="eastAsia"/>
          <w:b w:val="0"/>
          <w:color w:val="auto"/>
          <w:sz w:val="24"/>
          <w:szCs w:val="24"/>
          <w:lang w:val="zh-CN"/>
        </w:rPr>
        <w:t>。</w:t>
      </w:r>
    </w:p>
    <w:p>
      <w:pPr>
        <w:spacing w:line="560" w:lineRule="exact"/>
        <w:ind w:firstLine="480"/>
        <w:rPr>
          <w:rFonts w:hint="eastAsia"/>
          <w:b w:val="0"/>
          <w:color w:val="auto"/>
          <w:sz w:val="24"/>
          <w:szCs w:val="24"/>
        </w:rPr>
      </w:pPr>
      <w:r>
        <w:rPr>
          <w:rFonts w:hint="eastAsia"/>
          <w:b w:val="0"/>
          <w:color w:val="auto"/>
          <w:sz w:val="24"/>
          <w:szCs w:val="24"/>
        </w:rPr>
        <w:t>（四）本次政府采购活动接受联合体投标。</w:t>
      </w:r>
    </w:p>
    <w:p>
      <w:pPr>
        <w:spacing w:line="560" w:lineRule="exact"/>
        <w:ind w:firstLine="480"/>
        <w:rPr>
          <w:rFonts w:hint="eastAsia" w:ascii="宋体" w:hAnsi="宋体"/>
          <w:b w:val="0"/>
          <w:bCs/>
          <w:color w:val="auto"/>
          <w:kern w:val="0"/>
          <w:sz w:val="24"/>
          <w:lang w:val="en-US" w:eastAsia="zh-CN"/>
        </w:rPr>
      </w:pPr>
      <w:r>
        <w:rPr>
          <w:rFonts w:hint="eastAsia"/>
          <w:b w:val="0"/>
          <w:color w:val="auto"/>
          <w:sz w:val="24"/>
          <w:szCs w:val="24"/>
        </w:rPr>
        <w:t>（五）本项目专门面向中小企业采购(监狱企业、 残疾人福利性单位均视同小微企业)。</w:t>
      </w:r>
    </w:p>
    <w:p>
      <w:pPr>
        <w:spacing w:line="560" w:lineRule="exact"/>
        <w:ind w:firstLine="0" w:firstLineChars="0"/>
        <w:rPr>
          <w:rFonts w:hint="eastAsia"/>
          <w:color w:val="auto"/>
          <w:sz w:val="24"/>
          <w:szCs w:val="24"/>
        </w:rPr>
      </w:pPr>
      <w:r>
        <w:rPr>
          <w:rFonts w:hint="eastAsia"/>
          <w:b/>
          <w:bCs/>
          <w:color w:val="auto"/>
          <w:sz w:val="24"/>
          <w:szCs w:val="24"/>
        </w:rPr>
        <w:t>二、投标产品的资格、资质性要求：</w:t>
      </w:r>
    </w:p>
    <w:p>
      <w:pPr>
        <w:spacing w:line="560" w:lineRule="exact"/>
        <w:ind w:firstLine="480"/>
        <w:rPr>
          <w:rFonts w:hint="eastAsia"/>
          <w:b w:val="0"/>
          <w:color w:val="auto"/>
          <w:sz w:val="24"/>
          <w:szCs w:val="24"/>
        </w:rPr>
      </w:pPr>
      <w:r>
        <w:rPr>
          <w:rFonts w:hint="eastAsia"/>
          <w:b w:val="0"/>
          <w:color w:val="auto"/>
          <w:sz w:val="24"/>
          <w:szCs w:val="24"/>
        </w:rPr>
        <w:t>无。</w:t>
      </w:r>
    </w:p>
    <w:p>
      <w:pPr>
        <w:spacing w:line="560" w:lineRule="exact"/>
        <w:ind w:firstLine="0" w:firstLineChars="0"/>
        <w:rPr>
          <w:rFonts w:hint="eastAsia"/>
          <w:color w:val="auto"/>
          <w:sz w:val="24"/>
          <w:szCs w:val="24"/>
        </w:rPr>
      </w:pPr>
      <w:r>
        <w:rPr>
          <w:rFonts w:hint="eastAsia"/>
          <w:b/>
          <w:bCs/>
          <w:color w:val="auto"/>
          <w:sz w:val="24"/>
          <w:szCs w:val="24"/>
        </w:rPr>
        <w:t>三、其他类似效力要求：</w:t>
      </w:r>
    </w:p>
    <w:p>
      <w:pPr>
        <w:spacing w:line="560" w:lineRule="exact"/>
        <w:ind w:firstLine="480"/>
        <w:rPr>
          <w:rFonts w:hint="eastAsia"/>
          <w:b w:val="0"/>
          <w:color w:val="auto"/>
          <w:sz w:val="24"/>
          <w:szCs w:val="24"/>
        </w:rPr>
      </w:pPr>
      <w:r>
        <w:rPr>
          <w:rFonts w:hint="eastAsia"/>
          <w:b w:val="0"/>
          <w:color w:val="auto"/>
          <w:sz w:val="24"/>
          <w:szCs w:val="24"/>
        </w:rPr>
        <w:t>1、授权参加本次投标活动的投标人代表；</w:t>
      </w:r>
    </w:p>
    <w:p>
      <w:pPr>
        <w:spacing w:line="540" w:lineRule="exact"/>
        <w:ind w:firstLine="480"/>
        <w:rPr>
          <w:rFonts w:hint="eastAsia"/>
          <w:b w:val="0"/>
          <w:color w:val="auto"/>
          <w:sz w:val="24"/>
          <w:szCs w:val="24"/>
        </w:rPr>
      </w:pPr>
      <w:r>
        <w:rPr>
          <w:rFonts w:hint="eastAsia"/>
          <w:b w:val="0"/>
          <w:color w:val="auto"/>
          <w:sz w:val="24"/>
          <w:szCs w:val="24"/>
        </w:rPr>
        <w:t>2、不属于禁止参加投标的任一情形。</w:t>
      </w:r>
    </w:p>
    <w:p>
      <w:pPr>
        <w:ind w:firstLine="0" w:firstLineChars="0"/>
        <w:rPr>
          <w:rFonts w:hint="eastAsia"/>
          <w:color w:val="auto"/>
          <w:sz w:val="24"/>
          <w:szCs w:val="24"/>
        </w:rPr>
      </w:pP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b/>
          <w:bCs/>
          <w:color w:val="auto"/>
          <w:sz w:val="24"/>
          <w:szCs w:val="24"/>
        </w:rPr>
      </w:pPr>
      <w:r>
        <w:rPr>
          <w:rFonts w:hint="eastAsia"/>
          <w:b w:val="0"/>
          <w:bCs w:val="0"/>
          <w:color w:val="auto"/>
          <w:sz w:val="24"/>
          <w:szCs w:val="24"/>
        </w:rPr>
        <w:t>注：1.本项目确定供应商重大违法记录中较大数额罚款的金额标准为：</w:t>
      </w:r>
      <w:r>
        <w:rPr>
          <w:rFonts w:hint="eastAsia"/>
          <w:b/>
          <w:bCs/>
          <w:color w:val="auto"/>
          <w:sz w:val="24"/>
          <w:szCs w:val="24"/>
        </w:rPr>
        <w:t>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b w:val="0"/>
          <w:bCs w:val="0"/>
          <w:color w:val="auto"/>
        </w:rPr>
        <w:sectPr>
          <w:footerReference r:id="rId7" w:type="default"/>
          <w:pgSz w:w="11906" w:h="16838"/>
          <w:pgMar w:top="1089" w:right="1797" w:bottom="1089" w:left="1797" w:header="851" w:footer="992" w:gutter="0"/>
          <w:cols w:space="720" w:num="1"/>
          <w:docGrid w:linePitch="462" w:charSpace="0"/>
        </w:sectPr>
      </w:pPr>
      <w:r>
        <w:rPr>
          <w:rFonts w:hint="eastAsia"/>
          <w:b w:val="0"/>
          <w:bCs w:val="0"/>
          <w:color w:val="auto"/>
          <w:sz w:val="24"/>
          <w:szCs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42"/>
        <w:rPr>
          <w:rFonts w:hint="eastAsia" w:asciiTheme="minorEastAsia" w:hAnsiTheme="minorEastAsia" w:eastAsiaTheme="minorEastAsia" w:cstheme="minorEastAsia"/>
          <w:color w:val="auto"/>
        </w:rPr>
      </w:pPr>
      <w:bookmarkStart w:id="125" w:name="_Toc9602"/>
      <w:bookmarkStart w:id="126" w:name="_Toc25394"/>
      <w:bookmarkStart w:id="127" w:name="_Toc22342"/>
      <w:r>
        <w:rPr>
          <w:rFonts w:hint="eastAsia" w:asciiTheme="minorEastAsia" w:hAnsiTheme="minorEastAsia" w:eastAsiaTheme="minorEastAsia" w:cstheme="minorEastAsia"/>
          <w:color w:val="auto"/>
        </w:rPr>
        <w:t>第五章  投标人应当提供的资格、资质性及其他具有类似效力的要求的相关证明材料</w:t>
      </w:r>
      <w:bookmarkEnd w:id="125"/>
      <w:bookmarkEnd w:id="126"/>
      <w:bookmarkEnd w:id="127"/>
    </w:p>
    <w:p>
      <w:pPr>
        <w:spacing w:line="520" w:lineRule="exact"/>
        <w:ind w:firstLine="0" w:firstLineChars="0"/>
        <w:rPr>
          <w:rFonts w:hint="eastAsia"/>
          <w:color w:val="auto"/>
          <w:sz w:val="24"/>
          <w:szCs w:val="24"/>
        </w:rPr>
      </w:pPr>
      <w:r>
        <w:rPr>
          <w:rFonts w:hint="eastAsia"/>
          <w:b/>
          <w:bCs/>
          <w:color w:val="auto"/>
          <w:sz w:val="24"/>
          <w:szCs w:val="24"/>
        </w:rPr>
        <w:t>一、投标人的资格、资质性要求相关证明材料：</w:t>
      </w:r>
    </w:p>
    <w:p>
      <w:pPr>
        <w:spacing w:line="520" w:lineRule="exact"/>
        <w:ind w:firstLine="480"/>
        <w:rPr>
          <w:rFonts w:hint="eastAsia"/>
          <w:b w:val="0"/>
          <w:color w:val="auto"/>
          <w:sz w:val="24"/>
          <w:szCs w:val="24"/>
        </w:rPr>
      </w:pPr>
      <w:r>
        <w:rPr>
          <w:rFonts w:hint="eastAsia"/>
          <w:b w:val="0"/>
          <w:color w:val="auto"/>
          <w:sz w:val="24"/>
          <w:szCs w:val="24"/>
        </w:rPr>
        <w:t>1、具有独立承担民事责任能力的证明材料复印件（①法人或其他组织的营业执照（或法人证书）或执业许可证明材料。</w:t>
      </w:r>
      <w:r>
        <w:rPr>
          <w:rFonts w:hint="eastAsia"/>
          <w:b w:val="0"/>
          <w:bCs/>
          <w:color w:val="auto"/>
          <w:sz w:val="24"/>
          <w:szCs w:val="24"/>
        </w:rPr>
        <w:t>②自然人的提供身份证复印件</w:t>
      </w:r>
      <w:r>
        <w:rPr>
          <w:rFonts w:hint="eastAsia"/>
          <w:b w:val="0"/>
          <w:color w:val="auto"/>
          <w:sz w:val="24"/>
          <w:szCs w:val="24"/>
        </w:rPr>
        <w:t>）；</w:t>
      </w:r>
    </w:p>
    <w:p>
      <w:pPr>
        <w:spacing w:line="520" w:lineRule="exact"/>
        <w:ind w:firstLine="480"/>
        <w:rPr>
          <w:rFonts w:hint="eastAsia"/>
          <w:b w:val="0"/>
          <w:color w:val="auto"/>
          <w:sz w:val="24"/>
          <w:szCs w:val="24"/>
        </w:rPr>
      </w:pPr>
      <w:r>
        <w:rPr>
          <w:rFonts w:hint="eastAsia"/>
          <w:b w:val="0"/>
          <w:color w:val="auto"/>
          <w:sz w:val="24"/>
          <w:szCs w:val="24"/>
        </w:rPr>
        <w:t>2、具有良好的商业信誉承诺函原件；</w:t>
      </w:r>
    </w:p>
    <w:p>
      <w:pPr>
        <w:spacing w:line="520" w:lineRule="exact"/>
        <w:ind w:firstLine="480"/>
        <w:rPr>
          <w:rFonts w:hint="eastAsia"/>
          <w:b w:val="0"/>
          <w:color w:val="auto"/>
          <w:sz w:val="24"/>
          <w:szCs w:val="24"/>
        </w:rPr>
      </w:pPr>
      <w:r>
        <w:rPr>
          <w:rFonts w:hint="eastAsia"/>
          <w:b w:val="0"/>
          <w:color w:val="auto"/>
          <w:sz w:val="24"/>
          <w:szCs w:val="24"/>
        </w:rPr>
        <w:t>3、</w:t>
      </w:r>
      <w:r>
        <w:rPr>
          <w:b w:val="0"/>
          <w:color w:val="auto"/>
          <w:sz w:val="24"/>
          <w:szCs w:val="24"/>
        </w:rPr>
        <w:t>财务状况报告，依法缴纳税收和社会保障资金的相关材料</w:t>
      </w:r>
      <w:r>
        <w:rPr>
          <w:rFonts w:hint="eastAsia"/>
          <w:b w:val="0"/>
          <w:color w:val="auto"/>
          <w:sz w:val="24"/>
          <w:szCs w:val="24"/>
        </w:rPr>
        <w:t>：</w:t>
      </w:r>
    </w:p>
    <w:p>
      <w:pPr>
        <w:spacing w:line="520" w:lineRule="exact"/>
        <w:ind w:firstLine="360" w:firstLineChars="150"/>
        <w:rPr>
          <w:rFonts w:hint="eastAsia" w:eastAsia="宋体"/>
          <w:b w:val="0"/>
          <w:color w:val="auto"/>
          <w:sz w:val="24"/>
          <w:szCs w:val="24"/>
          <w:lang w:eastAsia="zh-CN"/>
        </w:rPr>
      </w:pPr>
      <w:r>
        <w:rPr>
          <w:rFonts w:hint="eastAsia"/>
          <w:b w:val="0"/>
          <w:color w:val="auto"/>
          <w:sz w:val="24"/>
          <w:szCs w:val="24"/>
        </w:rPr>
        <w:t>（</w:t>
      </w:r>
      <w:r>
        <w:rPr>
          <w:b w:val="0"/>
          <w:color w:val="auto"/>
          <w:sz w:val="24"/>
          <w:szCs w:val="24"/>
        </w:rPr>
        <w:t>1）</w:t>
      </w:r>
      <w:r>
        <w:rPr>
          <w:rFonts w:hint="eastAsia"/>
          <w:b w:val="0"/>
          <w:color w:val="auto"/>
          <w:sz w:val="24"/>
          <w:szCs w:val="24"/>
        </w:rPr>
        <w:t>①</w:t>
      </w:r>
      <w:r>
        <w:rPr>
          <w:b w:val="0"/>
          <w:color w:val="auto"/>
          <w:sz w:val="24"/>
          <w:szCs w:val="24"/>
        </w:rPr>
        <w:t>201</w:t>
      </w:r>
      <w:r>
        <w:rPr>
          <w:rFonts w:hint="eastAsia"/>
          <w:b w:val="0"/>
          <w:color w:val="auto"/>
          <w:sz w:val="24"/>
          <w:szCs w:val="24"/>
          <w:lang w:val="en-US" w:eastAsia="zh-CN"/>
        </w:rPr>
        <w:t>9</w:t>
      </w:r>
      <w:r>
        <w:rPr>
          <w:b w:val="0"/>
          <w:color w:val="auto"/>
          <w:sz w:val="24"/>
          <w:szCs w:val="24"/>
        </w:rPr>
        <w:t>年度或 20</w:t>
      </w:r>
      <w:r>
        <w:rPr>
          <w:rFonts w:hint="eastAsia"/>
          <w:b w:val="0"/>
          <w:color w:val="auto"/>
          <w:sz w:val="24"/>
          <w:szCs w:val="24"/>
          <w:lang w:val="en-US" w:eastAsia="zh-CN"/>
        </w:rPr>
        <w:t>20</w:t>
      </w:r>
      <w:r>
        <w:rPr>
          <w:b w:val="0"/>
          <w:color w:val="auto"/>
          <w:sz w:val="24"/>
          <w:szCs w:val="24"/>
        </w:rPr>
        <w:t>年度经审计的财务报告(包含审计报告和审计报告中所涉及的财务报表、报表附注)复印件</w:t>
      </w:r>
      <w:r>
        <w:rPr>
          <w:rFonts w:hint="eastAsia"/>
          <w:b w:val="0"/>
          <w:color w:val="auto"/>
          <w:sz w:val="24"/>
          <w:szCs w:val="24"/>
        </w:rPr>
        <w:t>②</w:t>
      </w:r>
      <w:r>
        <w:rPr>
          <w:b w:val="0"/>
          <w:color w:val="auto"/>
          <w:sz w:val="24"/>
          <w:szCs w:val="24"/>
        </w:rPr>
        <w:t>201</w:t>
      </w:r>
      <w:r>
        <w:rPr>
          <w:rFonts w:hint="eastAsia"/>
          <w:b w:val="0"/>
          <w:color w:val="auto"/>
          <w:sz w:val="24"/>
          <w:szCs w:val="24"/>
          <w:lang w:val="en-US" w:eastAsia="zh-CN"/>
        </w:rPr>
        <w:t>9</w:t>
      </w:r>
      <w:r>
        <w:rPr>
          <w:b w:val="0"/>
          <w:color w:val="auto"/>
          <w:sz w:val="24"/>
          <w:szCs w:val="24"/>
        </w:rPr>
        <w:t>年度或 20</w:t>
      </w:r>
      <w:r>
        <w:rPr>
          <w:rFonts w:hint="eastAsia"/>
          <w:b w:val="0"/>
          <w:color w:val="auto"/>
          <w:sz w:val="24"/>
          <w:szCs w:val="24"/>
          <w:lang w:val="en-US" w:eastAsia="zh-CN"/>
        </w:rPr>
        <w:t>20</w:t>
      </w:r>
      <w:r>
        <w:rPr>
          <w:b w:val="0"/>
          <w:color w:val="auto"/>
          <w:sz w:val="24"/>
          <w:szCs w:val="24"/>
        </w:rPr>
        <w:t>年度</w:t>
      </w:r>
      <w:r>
        <w:rPr>
          <w:rFonts w:hint="eastAsia"/>
          <w:b w:val="0"/>
          <w:color w:val="auto"/>
          <w:sz w:val="24"/>
          <w:szCs w:val="24"/>
        </w:rPr>
        <w:t>内部</w:t>
      </w:r>
      <w:r>
        <w:rPr>
          <w:b w:val="0"/>
          <w:color w:val="auto"/>
          <w:sz w:val="24"/>
          <w:szCs w:val="24"/>
        </w:rPr>
        <w:t>财务报表复印件（至少包含资产负债表）</w:t>
      </w:r>
      <w:r>
        <w:rPr>
          <w:rFonts w:hint="eastAsia"/>
          <w:b w:val="0"/>
          <w:color w:val="auto"/>
          <w:sz w:val="24"/>
          <w:szCs w:val="24"/>
        </w:rPr>
        <w:t>③</w:t>
      </w:r>
      <w:r>
        <w:rPr>
          <w:b w:val="0"/>
          <w:color w:val="auto"/>
          <w:sz w:val="24"/>
          <w:szCs w:val="24"/>
        </w:rPr>
        <w:t>银行出具的资信证明复印件</w:t>
      </w:r>
      <w:r>
        <w:rPr>
          <w:rFonts w:hint="eastAsia"/>
          <w:b w:val="0"/>
          <w:color w:val="auto"/>
          <w:sz w:val="24"/>
          <w:szCs w:val="24"/>
          <w:lang w:eastAsia="zh-CN"/>
        </w:rPr>
        <w:t>④具有</w:t>
      </w:r>
      <w:r>
        <w:rPr>
          <w:rFonts w:hint="eastAsia"/>
          <w:b w:val="0"/>
          <w:color w:val="auto"/>
          <w:sz w:val="24"/>
          <w:szCs w:val="24"/>
        </w:rPr>
        <w:t>健全的财务会计制度</w:t>
      </w:r>
      <w:r>
        <w:rPr>
          <w:rFonts w:hint="eastAsia"/>
          <w:b w:val="0"/>
          <w:color w:val="auto"/>
          <w:sz w:val="24"/>
          <w:szCs w:val="24"/>
          <w:lang w:eastAsia="zh-CN"/>
        </w:rPr>
        <w:t>承诺函原件；</w:t>
      </w:r>
    </w:p>
    <w:p>
      <w:pPr>
        <w:spacing w:line="520" w:lineRule="exact"/>
        <w:ind w:firstLine="480"/>
        <w:rPr>
          <w:rFonts w:hint="eastAsia"/>
          <w:b w:val="0"/>
          <w:bCs/>
          <w:color w:val="auto"/>
          <w:sz w:val="24"/>
          <w:szCs w:val="24"/>
        </w:rPr>
      </w:pPr>
      <w:r>
        <w:rPr>
          <w:b w:val="0"/>
          <w:color w:val="auto"/>
          <w:sz w:val="24"/>
          <w:szCs w:val="24"/>
        </w:rPr>
        <w:t>注：以上</w:t>
      </w:r>
      <w:r>
        <w:rPr>
          <w:rFonts w:hint="eastAsia"/>
          <w:b w:val="0"/>
          <w:color w:val="auto"/>
          <w:sz w:val="24"/>
          <w:szCs w:val="24"/>
        </w:rPr>
        <w:t>①②③</w:t>
      </w:r>
      <w:r>
        <w:rPr>
          <w:rFonts w:hint="eastAsia"/>
          <w:b w:val="0"/>
          <w:color w:val="auto"/>
          <w:sz w:val="24"/>
          <w:szCs w:val="24"/>
          <w:lang w:eastAsia="zh-CN"/>
        </w:rPr>
        <w:t>④</w:t>
      </w:r>
      <w:r>
        <w:rPr>
          <w:b w:val="0"/>
          <w:color w:val="auto"/>
          <w:sz w:val="24"/>
          <w:szCs w:val="24"/>
        </w:rPr>
        <w:t>提供任一即可，</w:t>
      </w:r>
      <w:r>
        <w:rPr>
          <w:rFonts w:hint="eastAsia"/>
          <w:b w:val="0"/>
          <w:color w:val="auto"/>
          <w:sz w:val="24"/>
          <w:szCs w:val="24"/>
          <w:lang w:eastAsia="zh-CN"/>
        </w:rPr>
        <w:t>若</w:t>
      </w:r>
      <w:r>
        <w:rPr>
          <w:rFonts w:hint="eastAsia"/>
          <w:b w:val="0"/>
          <w:bCs/>
          <w:color w:val="auto"/>
          <w:sz w:val="24"/>
          <w:szCs w:val="24"/>
        </w:rPr>
        <w:t>投标人</w:t>
      </w:r>
      <w:r>
        <w:rPr>
          <w:b w:val="0"/>
          <w:bCs/>
          <w:color w:val="auto"/>
          <w:sz w:val="24"/>
          <w:szCs w:val="24"/>
        </w:rPr>
        <w:t>成立时间至首次递交响应文件截止时间为止不足一年的</w:t>
      </w:r>
      <w:r>
        <w:rPr>
          <w:rFonts w:hint="eastAsia"/>
          <w:b w:val="0"/>
          <w:bCs/>
          <w:color w:val="auto"/>
          <w:sz w:val="24"/>
          <w:szCs w:val="24"/>
        </w:rPr>
        <w:t>或投标人</w:t>
      </w:r>
      <w:r>
        <w:rPr>
          <w:b w:val="0"/>
          <w:bCs/>
          <w:color w:val="auto"/>
          <w:sz w:val="24"/>
          <w:szCs w:val="24"/>
        </w:rPr>
        <w:t>为事业单位或其他组织的提供其具有健全的财务会计制度的承诺函原件即可；</w:t>
      </w:r>
    </w:p>
    <w:p>
      <w:pPr>
        <w:spacing w:line="520" w:lineRule="exact"/>
        <w:ind w:firstLine="480"/>
        <w:rPr>
          <w:rFonts w:hint="eastAsia"/>
          <w:b w:val="0"/>
          <w:color w:val="auto"/>
          <w:sz w:val="24"/>
          <w:szCs w:val="24"/>
        </w:rPr>
      </w:pPr>
      <w:r>
        <w:rPr>
          <w:rFonts w:hint="eastAsia"/>
          <w:b w:val="0"/>
          <w:color w:val="auto"/>
          <w:sz w:val="24"/>
          <w:szCs w:val="24"/>
        </w:rPr>
        <w:t>（2）20</w:t>
      </w:r>
      <w:r>
        <w:rPr>
          <w:rFonts w:hint="eastAsia"/>
          <w:b w:val="0"/>
          <w:color w:val="auto"/>
          <w:sz w:val="24"/>
          <w:szCs w:val="24"/>
          <w:lang w:val="en-US" w:eastAsia="zh-CN"/>
        </w:rPr>
        <w:t>20</w:t>
      </w:r>
      <w:r>
        <w:rPr>
          <w:rFonts w:hint="eastAsia"/>
          <w:b w:val="0"/>
          <w:color w:val="auto"/>
          <w:sz w:val="24"/>
          <w:szCs w:val="24"/>
        </w:rPr>
        <w:t>年以来任意1个月的税收缴纳证明材料复印件或税收缴纳的承诺函原件（注：证明材料可为银行电子回单或者税务部门出具的纳税证明或完税证明或有效票据的复印件）；</w:t>
      </w:r>
    </w:p>
    <w:p>
      <w:pPr>
        <w:spacing w:line="520" w:lineRule="exact"/>
        <w:ind w:firstLine="480"/>
        <w:rPr>
          <w:rFonts w:hint="eastAsia"/>
          <w:b w:val="0"/>
          <w:color w:val="auto"/>
          <w:sz w:val="24"/>
          <w:szCs w:val="24"/>
        </w:rPr>
      </w:pPr>
      <w:r>
        <w:rPr>
          <w:rFonts w:hint="eastAsia"/>
          <w:b w:val="0"/>
          <w:color w:val="auto"/>
          <w:sz w:val="24"/>
          <w:szCs w:val="24"/>
        </w:rPr>
        <w:t>（3）20</w:t>
      </w:r>
      <w:r>
        <w:rPr>
          <w:rFonts w:hint="eastAsia"/>
          <w:b w:val="0"/>
          <w:color w:val="auto"/>
          <w:sz w:val="24"/>
          <w:szCs w:val="24"/>
          <w:lang w:val="en-US" w:eastAsia="zh-CN"/>
        </w:rPr>
        <w:t>20</w:t>
      </w:r>
      <w:r>
        <w:rPr>
          <w:rFonts w:hint="eastAsia"/>
          <w:b w:val="0"/>
          <w:color w:val="auto"/>
          <w:sz w:val="24"/>
          <w:szCs w:val="24"/>
        </w:rPr>
        <w:t>年以来任意1个月的社保缴纳证明材料复印件或社保缴纳的承诺函原件（注：证明材料可为银行电子回单或社保部门出具的社保缴纳证明材料或有效票据复印件）</w:t>
      </w:r>
      <w:r>
        <w:rPr>
          <w:b w:val="0"/>
          <w:color w:val="auto"/>
          <w:sz w:val="24"/>
          <w:szCs w:val="24"/>
        </w:rPr>
        <w:t>；</w:t>
      </w:r>
    </w:p>
    <w:p>
      <w:pPr>
        <w:spacing w:line="520" w:lineRule="exact"/>
        <w:ind w:firstLine="480"/>
        <w:rPr>
          <w:rFonts w:hint="eastAsia"/>
          <w:b w:val="0"/>
          <w:color w:val="auto"/>
          <w:sz w:val="24"/>
          <w:szCs w:val="24"/>
        </w:rPr>
      </w:pPr>
      <w:r>
        <w:rPr>
          <w:rFonts w:hint="eastAsia"/>
          <w:b w:val="0"/>
          <w:color w:val="auto"/>
          <w:sz w:val="24"/>
          <w:szCs w:val="24"/>
        </w:rPr>
        <w:t>4、</w:t>
      </w:r>
      <w:r>
        <w:rPr>
          <w:b w:val="0"/>
          <w:color w:val="auto"/>
          <w:sz w:val="24"/>
          <w:szCs w:val="24"/>
        </w:rPr>
        <w:t>具备履行合同所必需的设备和专业技术能力的证明材料</w:t>
      </w:r>
      <w:r>
        <w:rPr>
          <w:rFonts w:hint="eastAsia"/>
          <w:b w:val="0"/>
          <w:color w:val="auto"/>
          <w:sz w:val="24"/>
          <w:szCs w:val="24"/>
        </w:rPr>
        <w:t xml:space="preserve"> (承诺函原件)；</w:t>
      </w:r>
    </w:p>
    <w:p>
      <w:pPr>
        <w:spacing w:line="520" w:lineRule="exact"/>
        <w:ind w:firstLine="480"/>
        <w:rPr>
          <w:rFonts w:hint="eastAsia"/>
          <w:b w:val="0"/>
          <w:color w:val="auto"/>
          <w:sz w:val="24"/>
          <w:szCs w:val="24"/>
        </w:rPr>
      </w:pPr>
      <w:r>
        <w:rPr>
          <w:rFonts w:hint="eastAsia"/>
          <w:b w:val="0"/>
          <w:color w:val="auto"/>
          <w:sz w:val="24"/>
          <w:szCs w:val="24"/>
        </w:rPr>
        <w:t>5、参加政府采购活动前3年内在经营活动中没有重大违法记录的证明材料(承诺函原件)；</w:t>
      </w:r>
    </w:p>
    <w:p>
      <w:pPr>
        <w:spacing w:line="520" w:lineRule="exact"/>
        <w:ind w:firstLine="480"/>
        <w:rPr>
          <w:rFonts w:hint="eastAsia"/>
          <w:b w:val="0"/>
          <w:color w:val="auto"/>
          <w:sz w:val="24"/>
          <w:szCs w:val="24"/>
        </w:rPr>
      </w:pPr>
      <w:r>
        <w:rPr>
          <w:rFonts w:hint="eastAsia"/>
          <w:b w:val="0"/>
          <w:color w:val="auto"/>
          <w:sz w:val="24"/>
          <w:szCs w:val="24"/>
        </w:rPr>
        <w:t>（二）法律、行政法规规定的其他条件：</w:t>
      </w:r>
    </w:p>
    <w:p>
      <w:pPr>
        <w:spacing w:line="520" w:lineRule="exact"/>
        <w:ind w:firstLine="480"/>
        <w:rPr>
          <w:rFonts w:hint="eastAsia"/>
          <w:b w:val="0"/>
          <w:color w:val="auto"/>
          <w:sz w:val="24"/>
          <w:szCs w:val="24"/>
        </w:rPr>
      </w:pPr>
      <w:r>
        <w:rPr>
          <w:rFonts w:hint="eastAsia"/>
          <w:b w:val="0"/>
          <w:color w:val="auto"/>
          <w:sz w:val="24"/>
          <w:szCs w:val="24"/>
        </w:rPr>
        <w:t>具备法律、行政法规规定的其他条件的证明材料复印件或承诺函原件。</w:t>
      </w:r>
    </w:p>
    <w:p>
      <w:pPr>
        <w:spacing w:line="520" w:lineRule="exact"/>
        <w:ind w:firstLine="480"/>
        <w:rPr>
          <w:rFonts w:hint="eastAsia"/>
          <w:b w:val="0"/>
          <w:color w:val="auto"/>
          <w:sz w:val="24"/>
          <w:szCs w:val="24"/>
          <w:lang w:val="zh-CN" w:eastAsia="zh-CN"/>
        </w:rPr>
      </w:pPr>
      <w:r>
        <w:rPr>
          <w:rFonts w:hint="eastAsia"/>
          <w:b w:val="0"/>
          <w:color w:val="auto"/>
          <w:sz w:val="24"/>
          <w:szCs w:val="24"/>
        </w:rPr>
        <w:t>（三）根据采购项目提出的特殊条件：</w:t>
      </w:r>
    </w:p>
    <w:p>
      <w:pPr>
        <w:tabs>
          <w:tab w:val="left" w:pos="1134"/>
        </w:tabs>
        <w:spacing w:line="560" w:lineRule="exact"/>
        <w:ind w:firstLine="480"/>
        <w:jc w:val="left"/>
        <w:rPr>
          <w:rFonts w:hint="eastAsia"/>
          <w:b w:val="0"/>
          <w:color w:val="auto"/>
          <w:sz w:val="24"/>
          <w:szCs w:val="24"/>
        </w:rPr>
      </w:pPr>
      <w:r>
        <w:rPr>
          <w:rFonts w:hint="eastAsia"/>
          <w:b w:val="0"/>
          <w:color w:val="auto"/>
          <w:sz w:val="24"/>
          <w:szCs w:val="24"/>
          <w:lang w:val="en-US" w:eastAsia="zh-CN"/>
        </w:rPr>
        <w:t>1、</w:t>
      </w:r>
      <w:r>
        <w:rPr>
          <w:rFonts w:hint="eastAsia"/>
          <w:b w:val="0"/>
          <w:color w:val="auto"/>
          <w:sz w:val="24"/>
          <w:szCs w:val="24"/>
        </w:rPr>
        <w:t>第</w:t>
      </w:r>
      <w:r>
        <w:rPr>
          <w:rFonts w:hint="eastAsia"/>
          <w:b w:val="0"/>
          <w:color w:val="auto"/>
          <w:sz w:val="24"/>
          <w:szCs w:val="24"/>
          <w:lang w:val="en-US"/>
        </w:rPr>
        <w:t>1</w:t>
      </w:r>
      <w:r>
        <w:rPr>
          <w:rFonts w:hint="eastAsia"/>
          <w:b w:val="0"/>
          <w:color w:val="auto"/>
          <w:sz w:val="24"/>
          <w:szCs w:val="24"/>
        </w:rPr>
        <w:t>包：</w:t>
      </w:r>
      <w:r>
        <w:rPr>
          <w:rFonts w:hint="eastAsia" w:asciiTheme="minorEastAsia" w:hAnsiTheme="minorEastAsia" w:eastAsiaTheme="minorEastAsia" w:cstheme="minorEastAsia"/>
          <w:bCs/>
          <w:color w:val="auto"/>
          <w:sz w:val="24"/>
        </w:rPr>
        <w:t>投标人注册地不在四川省行政区域内的，</w:t>
      </w:r>
      <w:r>
        <w:rPr>
          <w:rFonts w:hint="eastAsia"/>
          <w:b w:val="0"/>
          <w:bCs/>
          <w:color w:val="auto"/>
          <w:kern w:val="2"/>
          <w:sz w:val="24"/>
          <w:szCs w:val="24"/>
          <w:lang w:val="en-US"/>
        </w:rPr>
        <w:t>须提供有效的入川备案证明材料</w:t>
      </w:r>
      <w:r>
        <w:rPr>
          <w:rFonts w:hint="eastAsia"/>
          <w:b w:val="0"/>
          <w:bCs/>
          <w:color w:val="auto"/>
          <w:kern w:val="2"/>
          <w:sz w:val="24"/>
          <w:szCs w:val="24"/>
          <w:lang w:val="en-US" w:eastAsia="zh-CN"/>
        </w:rPr>
        <w:t>复印件</w:t>
      </w:r>
      <w:r>
        <w:rPr>
          <w:rFonts w:hint="eastAsia"/>
          <w:b w:val="0"/>
          <w:bCs/>
          <w:color w:val="auto"/>
          <w:sz w:val="24"/>
          <w:szCs w:val="24"/>
        </w:rPr>
        <w:t>。</w:t>
      </w:r>
    </w:p>
    <w:p>
      <w:pPr>
        <w:spacing w:line="520" w:lineRule="exact"/>
        <w:ind w:firstLine="480"/>
        <w:rPr>
          <w:rFonts w:hint="eastAsia"/>
          <w:b w:val="0"/>
          <w:bCs/>
          <w:color w:val="auto"/>
          <w:kern w:val="2"/>
          <w:sz w:val="24"/>
          <w:szCs w:val="24"/>
          <w:lang w:val="en-US"/>
        </w:rPr>
      </w:pPr>
      <w:r>
        <w:rPr>
          <w:rFonts w:hint="eastAsia" w:hAnsi="宋体"/>
          <w:color w:val="auto"/>
          <w:kern w:val="0"/>
          <w:sz w:val="24"/>
          <w:lang w:val="en-US" w:eastAsia="zh-CN"/>
        </w:rPr>
        <w:t>2、</w:t>
      </w:r>
      <w:r>
        <w:rPr>
          <w:rFonts w:hint="eastAsia" w:ascii="宋体" w:hAnsi="宋体"/>
          <w:color w:val="auto"/>
          <w:kern w:val="0"/>
          <w:sz w:val="24"/>
          <w:lang w:val="zh-CN" w:eastAsia="zh-CN"/>
        </w:rPr>
        <w:t>第</w:t>
      </w:r>
      <w:r>
        <w:rPr>
          <w:rFonts w:hint="eastAsia" w:ascii="宋体" w:hAnsi="宋体"/>
          <w:color w:val="auto"/>
          <w:kern w:val="0"/>
          <w:sz w:val="24"/>
          <w:lang w:val="en-US" w:eastAsia="zh-CN"/>
        </w:rPr>
        <w:t>2</w:t>
      </w:r>
      <w:r>
        <w:rPr>
          <w:rFonts w:hint="eastAsia" w:ascii="宋体" w:hAnsi="宋体"/>
          <w:color w:val="auto"/>
          <w:kern w:val="0"/>
          <w:sz w:val="24"/>
          <w:lang w:val="zh-CN" w:eastAsia="zh-CN"/>
        </w:rPr>
        <w:t>包：</w:t>
      </w:r>
      <w:r>
        <w:rPr>
          <w:rFonts w:hint="eastAsia"/>
          <w:b w:val="0"/>
          <w:bCs/>
          <w:color w:val="auto"/>
          <w:kern w:val="2"/>
          <w:sz w:val="24"/>
          <w:szCs w:val="24"/>
          <w:lang w:val="en-US"/>
        </w:rPr>
        <w:t>投标人须</w:t>
      </w:r>
      <w:r>
        <w:rPr>
          <w:rFonts w:hint="eastAsia"/>
          <w:b w:val="0"/>
          <w:bCs/>
          <w:color w:val="auto"/>
          <w:kern w:val="2"/>
          <w:sz w:val="24"/>
          <w:szCs w:val="24"/>
          <w:lang w:val="en-US" w:eastAsia="zh-CN"/>
        </w:rPr>
        <w:t>提供已在“全国投资项目在线审批监管平台”备案且备案专业至少涵盖①建筑，②市政公用工程，③农业、林业，④水利水电，⑤公路的证明材料复印件</w:t>
      </w:r>
      <w:r>
        <w:rPr>
          <w:rFonts w:hint="eastAsia" w:ascii="宋体" w:hAnsi="宋体"/>
          <w:color w:val="auto"/>
          <w:kern w:val="0"/>
          <w:sz w:val="24"/>
          <w:lang w:val="zh-CN"/>
        </w:rPr>
        <w:t>。</w:t>
      </w:r>
    </w:p>
    <w:p>
      <w:pPr>
        <w:spacing w:line="520" w:lineRule="exact"/>
        <w:ind w:firstLine="480"/>
        <w:rPr>
          <w:rFonts w:hint="default"/>
          <w:b w:val="0"/>
          <w:color w:val="auto"/>
          <w:sz w:val="24"/>
          <w:szCs w:val="24"/>
          <w:lang w:val="en-US" w:eastAsia="zh-CN"/>
        </w:rPr>
      </w:pPr>
      <w:r>
        <w:rPr>
          <w:rFonts w:hint="default"/>
          <w:b w:val="0"/>
          <w:color w:val="auto"/>
          <w:sz w:val="24"/>
          <w:szCs w:val="24"/>
          <w:lang w:val="en-US" w:eastAsia="zh-CN"/>
        </w:rPr>
        <w:t>（</w:t>
      </w:r>
      <w:r>
        <w:rPr>
          <w:rFonts w:hint="eastAsia"/>
          <w:b w:val="0"/>
          <w:color w:val="auto"/>
          <w:sz w:val="24"/>
          <w:szCs w:val="24"/>
          <w:lang w:val="en-US" w:eastAsia="zh-CN"/>
        </w:rPr>
        <w:t>四</w:t>
      </w:r>
      <w:r>
        <w:rPr>
          <w:rFonts w:hint="default"/>
          <w:b w:val="0"/>
          <w:color w:val="auto"/>
          <w:sz w:val="24"/>
          <w:szCs w:val="24"/>
          <w:lang w:val="en-US" w:eastAsia="zh-CN"/>
        </w:rPr>
        <w:t>）本项目专门面向中小企业采购(监狱企业、 残疾人福利性单位均视同小微企业)</w:t>
      </w:r>
      <w:r>
        <w:rPr>
          <w:rFonts w:hint="eastAsia"/>
          <w:b w:val="0"/>
          <w:color w:val="auto"/>
          <w:sz w:val="24"/>
          <w:szCs w:val="24"/>
          <w:lang w:val="en-US" w:eastAsia="zh-CN"/>
        </w:rPr>
        <w:t>；</w:t>
      </w:r>
      <w:r>
        <w:rPr>
          <w:rFonts w:hint="default"/>
          <w:b w:val="0"/>
          <w:color w:val="auto"/>
          <w:sz w:val="24"/>
          <w:szCs w:val="24"/>
          <w:lang w:val="en-US" w:eastAsia="zh-CN"/>
        </w:rPr>
        <w:t>参加政府采购活动的中小企业应当提供《中小企业声明函》原件或参加政府采购活动的监狱企业应当提供省级以上监狱管理局、戒毒管理局（含新疆生产建设兵团）出具的属于监狱企业的证明文件或参加政府采购活动的残疾人福利性单位应当提供《残疾人福利性单位声明函》原件</w:t>
      </w:r>
      <w:r>
        <w:rPr>
          <w:rFonts w:hint="eastAsia"/>
          <w:b w:val="0"/>
          <w:color w:val="auto"/>
          <w:sz w:val="24"/>
          <w:szCs w:val="24"/>
          <w:lang w:val="en-US" w:eastAsia="zh-CN"/>
        </w:rPr>
        <w:t>；若以联合体形式参加投标的联合体各成员均应当提供《中小企业声明函》原件或参加政府采购活动的监狱企业应当提供省级以上监狱管理局、戒毒管理局（含新疆生产建设兵团）出具的属于监狱企业的证明文件或参加政府采购活动的残疾人福利性单位应当提供《残疾人福利性单位声明函》原件</w:t>
      </w:r>
      <w:r>
        <w:rPr>
          <w:rFonts w:hint="default"/>
          <w:b w:val="0"/>
          <w:color w:val="auto"/>
          <w:sz w:val="24"/>
          <w:szCs w:val="24"/>
          <w:lang w:val="en-US" w:eastAsia="zh-CN"/>
        </w:rPr>
        <w:t>。</w:t>
      </w:r>
    </w:p>
    <w:p>
      <w:pPr>
        <w:spacing w:line="520" w:lineRule="exact"/>
        <w:ind w:firstLine="0" w:firstLineChars="0"/>
        <w:rPr>
          <w:rFonts w:hint="eastAsia"/>
          <w:color w:val="auto"/>
          <w:sz w:val="24"/>
          <w:szCs w:val="24"/>
        </w:rPr>
      </w:pPr>
      <w:r>
        <w:rPr>
          <w:rFonts w:hint="eastAsia"/>
          <w:color w:val="auto"/>
          <w:sz w:val="24"/>
          <w:szCs w:val="24"/>
        </w:rPr>
        <w:t>二、投标产品的资格、资质性要求相关证明材料：</w:t>
      </w:r>
    </w:p>
    <w:p>
      <w:pPr>
        <w:spacing w:line="520" w:lineRule="exact"/>
        <w:ind w:firstLine="480"/>
        <w:rPr>
          <w:rFonts w:hint="eastAsia"/>
          <w:b w:val="0"/>
          <w:color w:val="auto"/>
          <w:sz w:val="24"/>
          <w:szCs w:val="24"/>
        </w:rPr>
      </w:pPr>
      <w:r>
        <w:rPr>
          <w:rFonts w:hint="eastAsia"/>
          <w:b w:val="0"/>
          <w:color w:val="auto"/>
          <w:sz w:val="24"/>
          <w:szCs w:val="24"/>
        </w:rPr>
        <w:t>无。</w:t>
      </w:r>
    </w:p>
    <w:p>
      <w:pPr>
        <w:spacing w:line="520" w:lineRule="exact"/>
        <w:ind w:firstLine="0" w:firstLineChars="0"/>
        <w:rPr>
          <w:rFonts w:hint="eastAsia"/>
          <w:color w:val="auto"/>
          <w:sz w:val="24"/>
          <w:szCs w:val="24"/>
        </w:rPr>
      </w:pPr>
      <w:r>
        <w:rPr>
          <w:rFonts w:hint="eastAsia"/>
          <w:color w:val="auto"/>
          <w:sz w:val="24"/>
          <w:szCs w:val="24"/>
        </w:rPr>
        <w:t>三、其他类似效力要求相关证明材料：</w:t>
      </w:r>
    </w:p>
    <w:p>
      <w:pPr>
        <w:spacing w:line="520" w:lineRule="exact"/>
        <w:ind w:firstLine="480"/>
        <w:rPr>
          <w:rFonts w:hint="eastAsia"/>
          <w:b w:val="0"/>
          <w:color w:val="auto"/>
          <w:sz w:val="24"/>
          <w:szCs w:val="24"/>
        </w:rPr>
      </w:pPr>
      <w:r>
        <w:rPr>
          <w:rFonts w:hint="eastAsia"/>
          <w:b w:val="0"/>
          <w:color w:val="auto"/>
          <w:sz w:val="24"/>
          <w:szCs w:val="24"/>
        </w:rPr>
        <w:t>1、法定代表人授权委托书原件及法定代表人身份证、代理人身份证复印件（注：①授权书格式按本招标文件第</w:t>
      </w:r>
      <w:r>
        <w:rPr>
          <w:rFonts w:hint="eastAsia"/>
          <w:b w:val="0"/>
          <w:color w:val="auto"/>
          <w:sz w:val="24"/>
          <w:szCs w:val="24"/>
          <w:lang w:val="en-US" w:eastAsia="zh-CN"/>
        </w:rPr>
        <w:t>三</w:t>
      </w:r>
      <w:r>
        <w:rPr>
          <w:rFonts w:hint="eastAsia"/>
          <w:b w:val="0"/>
          <w:color w:val="auto"/>
          <w:sz w:val="24"/>
          <w:szCs w:val="24"/>
        </w:rPr>
        <w:t>章“法定代表人授权委托书及代理人身份证复印件”格式提供；②如投标文件均由投标人法定代表人签字</w:t>
      </w:r>
      <w:r>
        <w:rPr>
          <w:rFonts w:hint="eastAsia"/>
          <w:b w:val="0"/>
          <w:color w:val="auto"/>
          <w:kern w:val="2"/>
          <w:sz w:val="24"/>
          <w:szCs w:val="24"/>
          <w:lang w:val="en-US"/>
        </w:rPr>
        <w:t>或加盖印章</w:t>
      </w:r>
      <w:r>
        <w:rPr>
          <w:rFonts w:hint="eastAsia"/>
          <w:b w:val="0"/>
          <w:color w:val="auto"/>
          <w:sz w:val="24"/>
          <w:szCs w:val="24"/>
        </w:rPr>
        <w:t>的，则可不提供法定代表人授权委托书及代理人身份证复印件但必须提供法定代表人身份证复印件；</w:t>
      </w:r>
      <w:r>
        <w:rPr>
          <w:rFonts w:hint="eastAsia"/>
          <w:b w:val="0"/>
          <w:color w:val="auto"/>
          <w:sz w:val="24"/>
          <w:szCs w:val="24"/>
          <w:lang w:eastAsia="zh-CN"/>
        </w:rPr>
        <w:t>）</w:t>
      </w:r>
      <w:r>
        <w:rPr>
          <w:rFonts w:hint="eastAsia"/>
          <w:b w:val="0"/>
          <w:color w:val="auto"/>
          <w:sz w:val="24"/>
          <w:szCs w:val="24"/>
        </w:rPr>
        <w:t xml:space="preserve"> </w:t>
      </w:r>
    </w:p>
    <w:p>
      <w:pPr>
        <w:spacing w:line="520" w:lineRule="exact"/>
        <w:ind w:firstLine="480"/>
        <w:rPr>
          <w:rFonts w:hint="eastAsia"/>
          <w:b w:val="0"/>
          <w:color w:val="auto"/>
          <w:sz w:val="24"/>
          <w:szCs w:val="24"/>
        </w:rPr>
      </w:pPr>
      <w:r>
        <w:rPr>
          <w:rFonts w:hint="eastAsia"/>
          <w:b w:val="0"/>
          <w:color w:val="auto"/>
          <w:sz w:val="24"/>
          <w:szCs w:val="24"/>
        </w:rPr>
        <w:t>2、</w:t>
      </w:r>
      <w:r>
        <w:rPr>
          <w:rFonts w:hint="eastAsia"/>
          <w:b w:val="0"/>
          <w:color w:val="auto"/>
          <w:kern w:val="2"/>
          <w:sz w:val="24"/>
          <w:szCs w:val="24"/>
          <w:lang w:val="en-US"/>
        </w:rPr>
        <w:t>不属于禁止参加投标任一情形（相关资格承诺函原件）</w:t>
      </w:r>
      <w:r>
        <w:rPr>
          <w:rFonts w:hint="eastAsia"/>
          <w:b w:val="0"/>
          <w:color w:val="auto"/>
          <w:sz w:val="24"/>
          <w:szCs w:val="24"/>
        </w:rPr>
        <w:t>。</w:t>
      </w:r>
    </w:p>
    <w:p>
      <w:pPr>
        <w:spacing w:line="520" w:lineRule="exact"/>
        <w:ind w:firstLine="0" w:firstLineChars="0"/>
        <w:rPr>
          <w:rFonts w:hint="eastAsia"/>
          <w:b w:val="0"/>
          <w:color w:val="auto"/>
          <w:sz w:val="24"/>
          <w:szCs w:val="24"/>
        </w:rPr>
      </w:pPr>
      <w:r>
        <w:rPr>
          <w:rFonts w:hint="eastAsia"/>
          <w:b w:val="0"/>
          <w:color w:val="auto"/>
          <w:sz w:val="24"/>
          <w:szCs w:val="24"/>
        </w:rPr>
        <w:t>注意：</w:t>
      </w:r>
    </w:p>
    <w:p>
      <w:pPr>
        <w:spacing w:line="520" w:lineRule="exact"/>
        <w:ind w:firstLine="480"/>
        <w:rPr>
          <w:rFonts w:hint="eastAsia"/>
          <w:b w:val="0"/>
          <w:color w:val="auto"/>
          <w:sz w:val="24"/>
          <w:szCs w:val="24"/>
        </w:rPr>
      </w:pPr>
      <w:r>
        <w:rPr>
          <w:rFonts w:hint="eastAsia"/>
          <w:b w:val="0"/>
          <w:color w:val="auto"/>
          <w:sz w:val="24"/>
          <w:szCs w:val="24"/>
        </w:rPr>
        <w:t>1.相关证明材料为复印件的，复印件必须加盖相关投标人</w:t>
      </w:r>
      <w:r>
        <w:rPr>
          <w:rFonts w:hint="eastAsia"/>
          <w:b w:val="0"/>
          <w:color w:val="auto"/>
          <w:sz w:val="24"/>
          <w:szCs w:val="24"/>
          <w:lang w:eastAsia="zh-CN"/>
        </w:rPr>
        <w:t>电子签章</w:t>
      </w:r>
      <w:r>
        <w:rPr>
          <w:rFonts w:hint="eastAsia"/>
          <w:b w:val="0"/>
          <w:color w:val="auto"/>
          <w:sz w:val="24"/>
          <w:szCs w:val="24"/>
        </w:rPr>
        <w:t>；</w:t>
      </w:r>
    </w:p>
    <w:p>
      <w:pPr>
        <w:spacing w:line="520" w:lineRule="exact"/>
        <w:ind w:firstLine="480"/>
        <w:rPr>
          <w:rFonts w:hint="eastAsia"/>
          <w:b w:val="0"/>
          <w:color w:val="auto"/>
          <w:sz w:val="24"/>
          <w:szCs w:val="24"/>
        </w:rPr>
      </w:pPr>
      <w:r>
        <w:rPr>
          <w:rFonts w:hint="eastAsia"/>
          <w:b w:val="0"/>
          <w:color w:val="auto"/>
          <w:sz w:val="24"/>
          <w:szCs w:val="24"/>
        </w:rPr>
        <w:t>2.上述内容中涉及承诺函的，投标人可以单独提供，也可以在相关资格承诺函中一并进行承诺。</w:t>
      </w:r>
    </w:p>
    <w:p>
      <w:pPr>
        <w:spacing w:line="520" w:lineRule="exact"/>
        <w:ind w:firstLine="480"/>
        <w:rPr>
          <w:rFonts w:hint="eastAsia"/>
          <w:b w:val="0"/>
          <w:color w:val="auto"/>
          <w:sz w:val="24"/>
          <w:szCs w:val="24"/>
        </w:rPr>
      </w:pPr>
      <w:r>
        <w:rPr>
          <w:rFonts w:hint="eastAsia"/>
          <w:b w:val="0"/>
          <w:color w:val="auto"/>
          <w:sz w:val="24"/>
          <w:szCs w:val="24"/>
        </w:rPr>
        <w:t>3.本章要求提供的相关证明材料应当与第</w:t>
      </w:r>
      <w:r>
        <w:rPr>
          <w:rFonts w:hint="eastAsia"/>
          <w:b w:val="0"/>
          <w:color w:val="auto"/>
          <w:sz w:val="24"/>
          <w:szCs w:val="24"/>
          <w:lang w:val="en-US" w:eastAsia="zh-CN"/>
        </w:rPr>
        <w:t>四</w:t>
      </w:r>
      <w:r>
        <w:rPr>
          <w:rFonts w:hint="eastAsia"/>
          <w:b w:val="0"/>
          <w:color w:val="auto"/>
          <w:sz w:val="24"/>
          <w:szCs w:val="24"/>
        </w:rPr>
        <w:t>章的规定要求对应，除投标人自愿以外，不能要求投标人提供额外的证明材料。如果要求提供额外的证明材料，投标人有权不予提供，且不影响投标文件的有效性和完整性。</w:t>
      </w:r>
    </w:p>
    <w:p>
      <w:pPr>
        <w:spacing w:line="520" w:lineRule="exact"/>
        <w:ind w:firstLine="482"/>
        <w:rPr>
          <w:rFonts w:hint="eastAsia"/>
          <w:bCs/>
          <w:color w:val="auto"/>
          <w:sz w:val="24"/>
          <w:szCs w:val="24"/>
          <w:lang w:val="en-US"/>
        </w:rPr>
      </w:pPr>
      <w:r>
        <w:rPr>
          <w:rFonts w:hint="eastAsia"/>
          <w:bCs/>
          <w:color w:val="auto"/>
          <w:sz w:val="24"/>
          <w:szCs w:val="24"/>
          <w:lang w:val="en-US"/>
        </w:rPr>
        <w:t>4.投标人若未将用于资格审查的证明材料</w:t>
      </w:r>
      <w:r>
        <w:rPr>
          <w:rFonts w:hint="eastAsia"/>
          <w:bCs/>
          <w:color w:val="auto"/>
          <w:sz w:val="24"/>
          <w:szCs w:val="24"/>
          <w:lang w:val="en-US" w:eastAsia="zh-CN"/>
        </w:rPr>
        <w:t>放</w:t>
      </w:r>
      <w:r>
        <w:rPr>
          <w:rFonts w:hint="eastAsia"/>
          <w:bCs/>
          <w:color w:val="auto"/>
          <w:sz w:val="24"/>
          <w:szCs w:val="24"/>
          <w:lang w:val="en-US"/>
        </w:rPr>
        <w:t>入资格性投标文件的，视为未提供相应资格证明材料，资格审查将不予通过。</w:t>
      </w:r>
    </w:p>
    <w:p>
      <w:pPr>
        <w:rPr>
          <w:rFonts w:hint="eastAsia" w:asciiTheme="minorEastAsia" w:hAnsiTheme="minorEastAsia" w:eastAsiaTheme="minorEastAsia" w:cstheme="minorEastAsia"/>
          <w:color w:val="auto"/>
          <w:sz w:val="32"/>
          <w:szCs w:val="32"/>
        </w:rPr>
      </w:pPr>
    </w:p>
    <w:p>
      <w:pPr>
        <w:pStyle w:val="24"/>
        <w:rPr>
          <w:rFonts w:hint="eastAsia" w:asciiTheme="minorEastAsia" w:hAnsiTheme="minorEastAsia" w:eastAsiaTheme="minorEastAsia" w:cstheme="minorEastAsia"/>
          <w:color w:val="auto"/>
        </w:rPr>
      </w:pPr>
    </w:p>
    <w:p>
      <w:pP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br w:type="page"/>
      </w:r>
    </w:p>
    <w:p>
      <w:pPr>
        <w:pStyle w:val="42"/>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asciiTheme="minorEastAsia" w:hAnsiTheme="minorEastAsia" w:eastAsiaTheme="minorEastAsia" w:cstheme="minorEastAsia"/>
          <w:color w:val="auto"/>
        </w:rPr>
      </w:pPr>
      <w:bookmarkStart w:id="128" w:name="_Toc21877"/>
      <w:bookmarkStart w:id="129" w:name="_Toc19323"/>
      <w:bookmarkStart w:id="130" w:name="_Toc3193"/>
      <w:r>
        <w:rPr>
          <w:rFonts w:hint="eastAsia" w:asciiTheme="minorEastAsia" w:hAnsiTheme="minorEastAsia" w:eastAsiaTheme="minorEastAsia" w:cstheme="minorEastAsia"/>
          <w:color w:val="auto"/>
        </w:rPr>
        <w:t>第</w:t>
      </w:r>
      <w:r>
        <w:rPr>
          <w:rFonts w:hint="eastAsia" w:asciiTheme="minorEastAsia" w:hAnsiTheme="minorEastAsia" w:eastAsiaTheme="minorEastAsia" w:cstheme="minorEastAsia"/>
          <w:color w:val="auto"/>
          <w:lang w:eastAsia="zh-CN"/>
        </w:rPr>
        <w:t>六</w:t>
      </w:r>
      <w:r>
        <w:rPr>
          <w:rFonts w:hint="eastAsia" w:asciiTheme="minorEastAsia" w:hAnsiTheme="minorEastAsia" w:eastAsiaTheme="minorEastAsia" w:cstheme="minorEastAsia"/>
          <w:color w:val="auto"/>
        </w:rPr>
        <w:t>章  技术、商务及其他要求</w:t>
      </w:r>
      <w:bookmarkEnd w:id="128"/>
      <w:bookmarkEnd w:id="129"/>
      <w:bookmarkEnd w:id="130"/>
    </w:p>
    <w:p>
      <w:pPr>
        <w:pStyle w:val="24"/>
        <w:rPr>
          <w:rFonts w:hint="eastAsia" w:asciiTheme="minorEastAsia" w:hAnsiTheme="minorEastAsia" w:eastAsiaTheme="minorEastAsia" w:cstheme="minorEastAsia"/>
          <w:color w:val="auto"/>
        </w:rPr>
      </w:pPr>
    </w:p>
    <w:p>
      <w:pPr>
        <w:keepNext w:val="0"/>
        <w:keepLines w:val="0"/>
        <w:pageBreakBefore w:val="0"/>
        <w:kinsoku/>
        <w:wordWrap/>
        <w:overflowPunct/>
        <w:topLinePunct w:val="0"/>
        <w:autoSpaceDE/>
        <w:autoSpaceDN/>
        <w:bidi w:val="0"/>
        <w:adjustRightInd/>
        <w:spacing w:line="360" w:lineRule="auto"/>
        <w:ind w:left="0" w:leftChars="0" w:firstLine="0" w:firstLineChars="0"/>
        <w:textAlignment w:val="auto"/>
        <w:rPr>
          <w:rFonts w:hint="eastAsia" w:eastAsiaTheme="minorEastAsia"/>
          <w:color w:val="auto"/>
          <w:sz w:val="24"/>
          <w:lang w:val="en-US" w:eastAsia="zh-CN"/>
        </w:rPr>
      </w:pPr>
      <w:r>
        <w:rPr>
          <w:rFonts w:hint="eastAsia"/>
          <w:b/>
          <w:bCs/>
          <w:color w:val="auto"/>
          <w:sz w:val="24"/>
        </w:rPr>
        <w:t>一、项目概况</w:t>
      </w:r>
      <w:r>
        <w:rPr>
          <w:rFonts w:hint="eastAsia"/>
          <w:b/>
          <w:bCs/>
          <w:color w:val="auto"/>
          <w:sz w:val="24"/>
          <w:lang w:eastAsia="zh-CN"/>
        </w:rPr>
        <w:t>和总体要求</w:t>
      </w:r>
    </w:p>
    <w:p>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eastAsia" w:asciiTheme="minorHAnsi" w:hAnsiTheme="minorHAnsi" w:eastAsiaTheme="minorEastAsia" w:cstheme="minorBidi"/>
          <w:bCs/>
          <w:color w:val="auto"/>
          <w:kern w:val="2"/>
          <w:sz w:val="24"/>
          <w:szCs w:val="24"/>
          <w:lang w:val="en-US" w:eastAsia="zh-CN" w:bidi="ar-SA"/>
        </w:rPr>
      </w:pPr>
      <w:r>
        <w:rPr>
          <w:rFonts w:hint="eastAsia"/>
          <w:bCs/>
          <w:color w:val="auto"/>
          <w:sz w:val="24"/>
          <w:lang w:val="en-US" w:eastAsia="zh-CN"/>
        </w:rPr>
        <w:t xml:space="preserve"> </w:t>
      </w:r>
      <w:r>
        <w:rPr>
          <w:rFonts w:hint="eastAsia" w:asciiTheme="minorEastAsia" w:hAnsiTheme="minorEastAsia" w:eastAsiaTheme="minorEastAsia" w:cstheme="minorEastAsia"/>
          <w:color w:val="auto"/>
          <w:kern w:val="0"/>
          <w:sz w:val="24"/>
          <w:szCs w:val="24"/>
        </w:rPr>
        <w:t>根据《中华人民共和国政府采购法》、《中华人民共和国政府采购法实施条例》、《四川省固定资产投资项目节能审查实施办法》（川发改环资[2017]170号）、《四川省人民政府关于进一步规范政府采购监管和执行若干规定的通知》（川府发[2018]14号）及相关规定，因工作需要，成都市新都区发展和改革局拟选择造价咨询</w:t>
      </w:r>
      <w:r>
        <w:rPr>
          <w:rFonts w:hint="eastAsia" w:asciiTheme="minorEastAsia" w:hAnsiTheme="minorEastAsia" w:eastAsiaTheme="minorEastAsia" w:cstheme="minorEastAsia"/>
          <w:color w:val="auto"/>
          <w:kern w:val="0"/>
          <w:sz w:val="24"/>
          <w:szCs w:val="24"/>
          <w:lang w:val="en-US" w:eastAsia="zh-CN"/>
        </w:rPr>
        <w:t>中介</w:t>
      </w:r>
      <w:r>
        <w:rPr>
          <w:rFonts w:hint="eastAsia" w:asciiTheme="minorEastAsia" w:hAnsiTheme="minorEastAsia" w:eastAsiaTheme="minorEastAsia" w:cstheme="minorEastAsia"/>
          <w:color w:val="auto"/>
          <w:kern w:val="0"/>
          <w:sz w:val="24"/>
          <w:szCs w:val="24"/>
        </w:rPr>
        <w:t>机构</w:t>
      </w:r>
      <w:r>
        <w:rPr>
          <w:rFonts w:hint="eastAsia" w:asciiTheme="minorEastAsia" w:hAnsiTheme="minorEastAsia" w:eastAsiaTheme="minorEastAsia" w:cstheme="minorEastAsia"/>
          <w:color w:val="auto"/>
          <w:kern w:val="0"/>
          <w:sz w:val="24"/>
          <w:szCs w:val="24"/>
          <w:lang w:val="en-US" w:eastAsia="zh-CN"/>
        </w:rPr>
        <w:t>1</w:t>
      </w:r>
      <w:r>
        <w:rPr>
          <w:rFonts w:hint="eastAsia" w:asciiTheme="minorEastAsia" w:hAnsiTheme="minorEastAsia" w:eastAsiaTheme="minorEastAsia" w:cstheme="minorEastAsia"/>
          <w:color w:val="auto"/>
          <w:kern w:val="0"/>
          <w:sz w:val="24"/>
          <w:szCs w:val="24"/>
        </w:rPr>
        <w:t>家、工程咨询</w:t>
      </w:r>
      <w:r>
        <w:rPr>
          <w:rFonts w:hint="eastAsia" w:asciiTheme="minorEastAsia" w:hAnsiTheme="minorEastAsia" w:eastAsiaTheme="minorEastAsia" w:cstheme="minorEastAsia"/>
          <w:color w:val="auto"/>
          <w:kern w:val="0"/>
          <w:sz w:val="24"/>
          <w:szCs w:val="24"/>
          <w:lang w:val="en-US" w:eastAsia="zh-CN"/>
        </w:rPr>
        <w:t>中介</w:t>
      </w:r>
      <w:r>
        <w:rPr>
          <w:rFonts w:hint="eastAsia" w:asciiTheme="minorEastAsia" w:hAnsiTheme="minorEastAsia" w:eastAsiaTheme="minorEastAsia" w:cstheme="minorEastAsia"/>
          <w:color w:val="auto"/>
          <w:kern w:val="0"/>
          <w:sz w:val="24"/>
          <w:szCs w:val="24"/>
        </w:rPr>
        <w:t>机构</w:t>
      </w:r>
      <w:r>
        <w:rPr>
          <w:rFonts w:hint="eastAsia" w:asciiTheme="minorEastAsia" w:hAnsiTheme="minorEastAsia" w:eastAsiaTheme="minorEastAsia" w:cstheme="minorEastAsia"/>
          <w:color w:val="auto"/>
          <w:kern w:val="0"/>
          <w:sz w:val="24"/>
          <w:szCs w:val="24"/>
          <w:lang w:val="en-US" w:eastAsia="zh-CN"/>
        </w:rPr>
        <w:t>1</w:t>
      </w:r>
      <w:r>
        <w:rPr>
          <w:rFonts w:hint="eastAsia" w:asciiTheme="minorEastAsia" w:hAnsiTheme="minorEastAsia" w:eastAsiaTheme="minorEastAsia" w:cstheme="minorEastAsia"/>
          <w:color w:val="auto"/>
          <w:kern w:val="0"/>
          <w:sz w:val="24"/>
          <w:szCs w:val="24"/>
        </w:rPr>
        <w:t>家，承担我区20</w:t>
      </w:r>
      <w:r>
        <w:rPr>
          <w:rFonts w:hint="eastAsia" w:asciiTheme="minorEastAsia" w:hAnsiTheme="minorEastAsia" w:eastAsiaTheme="minorEastAsia" w:cstheme="minorEastAsia"/>
          <w:color w:val="auto"/>
          <w:kern w:val="0"/>
          <w:sz w:val="24"/>
          <w:szCs w:val="24"/>
          <w:lang w:val="en-US" w:eastAsia="zh-CN"/>
        </w:rPr>
        <w:t>22</w:t>
      </w:r>
      <w:r>
        <w:rPr>
          <w:rFonts w:hint="eastAsia" w:asciiTheme="minorEastAsia" w:hAnsiTheme="minorEastAsia" w:eastAsiaTheme="minorEastAsia" w:cstheme="minorEastAsia"/>
          <w:color w:val="auto"/>
          <w:kern w:val="0"/>
          <w:sz w:val="24"/>
          <w:szCs w:val="24"/>
        </w:rPr>
        <w:t>年1月1日-202</w:t>
      </w:r>
      <w:r>
        <w:rPr>
          <w:rFonts w:hint="eastAsia" w:asciiTheme="minorEastAsia" w:hAnsiTheme="minorEastAsia" w:eastAsiaTheme="minorEastAsia" w:cstheme="minorEastAsia"/>
          <w:color w:val="auto"/>
          <w:kern w:val="0"/>
          <w:sz w:val="24"/>
          <w:szCs w:val="24"/>
          <w:lang w:val="en-US" w:eastAsia="zh-CN"/>
        </w:rPr>
        <w:t>4</w:t>
      </w:r>
      <w:r>
        <w:rPr>
          <w:rFonts w:hint="eastAsia" w:asciiTheme="minorEastAsia" w:hAnsiTheme="minorEastAsia" w:eastAsiaTheme="minorEastAsia" w:cstheme="minorEastAsia"/>
          <w:color w:val="auto"/>
          <w:kern w:val="0"/>
          <w:sz w:val="24"/>
          <w:szCs w:val="24"/>
        </w:rPr>
        <w:t>年12月31日期间的评审任务。</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eastAsiaTheme="minorEastAsia"/>
          <w:b/>
          <w:bCs/>
          <w:color w:val="auto"/>
          <w:sz w:val="24"/>
          <w:lang w:val="en-US" w:eastAsia="zh-CN"/>
        </w:rPr>
      </w:pPr>
      <w:r>
        <w:rPr>
          <w:rFonts w:hint="eastAsia"/>
          <w:b/>
          <w:bCs/>
          <w:color w:val="auto"/>
          <w:sz w:val="24"/>
          <w:lang w:val="zh-CN"/>
        </w:rPr>
        <w:t>二、</w:t>
      </w:r>
      <w:r>
        <w:rPr>
          <w:rFonts w:hint="eastAsia"/>
          <w:b/>
          <w:bCs/>
          <w:color w:val="auto"/>
          <w:sz w:val="24"/>
          <w:lang w:val="en-US" w:eastAsia="zh-CN"/>
        </w:rPr>
        <w:t>服务需求</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jc w:val="left"/>
        <w:textAlignment w:val="auto"/>
        <w:rPr>
          <w:rFonts w:hint="eastAsia" w:cs="宋体"/>
          <w:b w:val="0"/>
          <w:bCs/>
          <w:color w:val="auto"/>
          <w:sz w:val="24"/>
          <w:szCs w:val="24"/>
        </w:rPr>
      </w:pPr>
      <w:r>
        <w:rPr>
          <w:rFonts w:hint="eastAsia" w:cs="宋体"/>
          <w:b w:val="0"/>
          <w:bCs/>
          <w:color w:val="auto"/>
          <w:sz w:val="24"/>
          <w:szCs w:val="24"/>
        </w:rPr>
        <w:t>（一）服务工作内容</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jc w:val="left"/>
        <w:textAlignment w:val="auto"/>
        <w:rPr>
          <w:rFonts w:hint="default" w:cs="宋体" w:eastAsiaTheme="minorEastAsia"/>
          <w:b w:val="0"/>
          <w:bCs/>
          <w:color w:val="auto"/>
          <w:sz w:val="24"/>
          <w:szCs w:val="24"/>
          <w:lang w:val="en-US" w:eastAsia="zh-CN"/>
        </w:rPr>
      </w:pPr>
      <w:r>
        <w:rPr>
          <w:rFonts w:hint="eastAsia" w:cs="宋体"/>
          <w:b w:val="0"/>
          <w:bCs/>
          <w:color w:val="auto"/>
          <w:sz w:val="24"/>
          <w:szCs w:val="24"/>
          <w:lang w:eastAsia="zh-CN"/>
        </w:rPr>
        <w:t>第</w:t>
      </w:r>
      <w:r>
        <w:rPr>
          <w:rFonts w:hint="eastAsia" w:cs="宋体"/>
          <w:b w:val="0"/>
          <w:bCs/>
          <w:color w:val="auto"/>
          <w:sz w:val="24"/>
          <w:szCs w:val="24"/>
          <w:lang w:val="en-US" w:eastAsia="zh-CN"/>
        </w:rPr>
        <w:t>1包</w:t>
      </w:r>
      <w:r>
        <w:rPr>
          <w:rFonts w:hint="eastAsia" w:cs="宋体"/>
          <w:b w:val="0"/>
          <w:bCs/>
          <w:color w:val="auto"/>
          <w:sz w:val="24"/>
          <w:szCs w:val="24"/>
        </w:rPr>
        <w:t>：</w:t>
      </w:r>
      <w:r>
        <w:rPr>
          <w:rFonts w:hint="eastAsia"/>
          <w:color w:val="auto"/>
          <w:sz w:val="24"/>
          <w:lang w:val="en-US" w:eastAsia="zh-CN"/>
        </w:rPr>
        <w:t>造价咨询服务</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1024" w:firstLineChars="427"/>
        <w:jc w:val="left"/>
        <w:textAlignment w:val="auto"/>
        <w:rPr>
          <w:rFonts w:hint="eastAsia" w:cs="宋体" w:eastAsiaTheme="minorEastAsia"/>
          <w:b w:val="0"/>
          <w:bCs/>
          <w:color w:val="auto"/>
          <w:sz w:val="24"/>
          <w:szCs w:val="24"/>
          <w:lang w:eastAsia="zh-CN"/>
        </w:rPr>
      </w:pPr>
      <w:r>
        <w:rPr>
          <w:rFonts w:hint="eastAsia" w:cs="宋体"/>
          <w:b w:val="0"/>
          <w:bCs/>
          <w:color w:val="auto"/>
          <w:sz w:val="24"/>
          <w:szCs w:val="24"/>
        </w:rPr>
        <w:t>1、建设项目概算评审</w:t>
      </w:r>
      <w:r>
        <w:rPr>
          <w:rFonts w:hint="eastAsia" w:cs="宋体"/>
          <w:b w:val="0"/>
          <w:bCs/>
          <w:color w:val="auto"/>
          <w:sz w:val="24"/>
          <w:szCs w:val="24"/>
          <w:lang w:eastAsia="zh-CN"/>
        </w:rPr>
        <w:t>；</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1024" w:firstLineChars="427"/>
        <w:jc w:val="left"/>
        <w:textAlignment w:val="auto"/>
        <w:rPr>
          <w:rFonts w:hint="eastAsia" w:cs="宋体" w:eastAsiaTheme="minorEastAsia"/>
          <w:b w:val="0"/>
          <w:bCs/>
          <w:color w:val="auto"/>
          <w:sz w:val="24"/>
          <w:szCs w:val="24"/>
          <w:lang w:eastAsia="zh-CN"/>
        </w:rPr>
      </w:pPr>
      <w:r>
        <w:rPr>
          <w:rFonts w:hint="eastAsia" w:cs="宋体"/>
          <w:b w:val="0"/>
          <w:bCs/>
          <w:color w:val="auto"/>
          <w:sz w:val="24"/>
          <w:szCs w:val="24"/>
        </w:rPr>
        <w:t>2、建设项目预算控制价评审</w:t>
      </w:r>
      <w:r>
        <w:rPr>
          <w:rFonts w:hint="eastAsia" w:cs="宋体"/>
          <w:b w:val="0"/>
          <w:bCs/>
          <w:color w:val="auto"/>
          <w:sz w:val="24"/>
          <w:szCs w:val="24"/>
          <w:lang w:eastAsia="zh-CN"/>
        </w:rPr>
        <w:t>；</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1024" w:firstLineChars="427"/>
        <w:jc w:val="left"/>
        <w:textAlignment w:val="auto"/>
        <w:rPr>
          <w:rFonts w:hint="eastAsia" w:cs="宋体" w:eastAsiaTheme="minorEastAsia"/>
          <w:b w:val="0"/>
          <w:bCs/>
          <w:color w:val="auto"/>
          <w:sz w:val="24"/>
          <w:szCs w:val="24"/>
          <w:lang w:eastAsia="zh-CN"/>
        </w:rPr>
      </w:pPr>
      <w:r>
        <w:rPr>
          <w:rFonts w:hint="eastAsia" w:cs="宋体"/>
          <w:b w:val="0"/>
          <w:bCs/>
          <w:color w:val="auto"/>
          <w:sz w:val="24"/>
          <w:szCs w:val="24"/>
        </w:rPr>
        <w:t>3、工程材料（设备）价格咨询</w:t>
      </w:r>
      <w:r>
        <w:rPr>
          <w:rFonts w:hint="eastAsia" w:cs="宋体"/>
          <w:b w:val="0"/>
          <w:bCs/>
          <w:color w:val="auto"/>
          <w:sz w:val="24"/>
          <w:szCs w:val="24"/>
          <w:lang w:eastAsia="zh-CN"/>
        </w:rPr>
        <w:t>；</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1024" w:firstLineChars="427"/>
        <w:jc w:val="left"/>
        <w:textAlignment w:val="auto"/>
        <w:rPr>
          <w:rFonts w:hint="eastAsia" w:cs="宋体" w:eastAsiaTheme="minorEastAsia"/>
          <w:b w:val="0"/>
          <w:bCs/>
          <w:color w:val="auto"/>
          <w:sz w:val="24"/>
          <w:szCs w:val="24"/>
          <w:lang w:eastAsia="zh-CN"/>
        </w:rPr>
      </w:pPr>
      <w:r>
        <w:rPr>
          <w:rFonts w:hint="eastAsia" w:cs="宋体"/>
          <w:b w:val="0"/>
          <w:bCs/>
          <w:color w:val="auto"/>
          <w:sz w:val="24"/>
          <w:szCs w:val="24"/>
        </w:rPr>
        <w:t>4、其他类型评审和咨询服务</w:t>
      </w:r>
      <w:r>
        <w:rPr>
          <w:rFonts w:hint="eastAsia" w:cs="宋体"/>
          <w:b w:val="0"/>
          <w:bCs/>
          <w:color w:val="auto"/>
          <w:sz w:val="24"/>
          <w:szCs w:val="24"/>
          <w:lang w:eastAsia="zh-CN"/>
        </w:rPr>
        <w:t>；</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1024" w:firstLineChars="427"/>
        <w:jc w:val="left"/>
        <w:textAlignment w:val="auto"/>
        <w:rPr>
          <w:rFonts w:hint="eastAsia" w:cs="宋体" w:eastAsiaTheme="minorEastAsia"/>
          <w:b w:val="0"/>
          <w:bCs/>
          <w:color w:val="auto"/>
          <w:sz w:val="24"/>
          <w:szCs w:val="24"/>
          <w:lang w:eastAsia="zh-CN"/>
        </w:rPr>
      </w:pPr>
      <w:r>
        <w:rPr>
          <w:rFonts w:hint="eastAsia" w:cs="宋体"/>
          <w:b w:val="0"/>
          <w:bCs/>
          <w:color w:val="auto"/>
          <w:sz w:val="24"/>
          <w:szCs w:val="24"/>
        </w:rPr>
        <w:t>5、配合中心开展评审技术积累和研究</w:t>
      </w:r>
      <w:r>
        <w:rPr>
          <w:rFonts w:hint="eastAsia" w:cs="宋体"/>
          <w:b w:val="0"/>
          <w:bCs/>
          <w:color w:val="auto"/>
          <w:sz w:val="24"/>
          <w:szCs w:val="24"/>
          <w:lang w:eastAsia="zh-CN"/>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cs="宋体" w:eastAsiaTheme="minorEastAsia"/>
          <w:b w:val="0"/>
          <w:bCs/>
          <w:color w:val="auto"/>
          <w:sz w:val="24"/>
          <w:szCs w:val="24"/>
          <w:lang w:val="en-US" w:eastAsia="zh-CN"/>
        </w:rPr>
      </w:pPr>
      <w:r>
        <w:rPr>
          <w:rFonts w:hint="eastAsia" w:cs="宋体"/>
          <w:b w:val="0"/>
          <w:bCs/>
          <w:color w:val="auto"/>
          <w:sz w:val="24"/>
          <w:szCs w:val="24"/>
          <w:lang w:eastAsia="zh-CN"/>
        </w:rPr>
        <w:t>第</w:t>
      </w:r>
      <w:r>
        <w:rPr>
          <w:rFonts w:hint="eastAsia" w:cs="宋体"/>
          <w:b w:val="0"/>
          <w:bCs/>
          <w:color w:val="auto"/>
          <w:sz w:val="24"/>
          <w:szCs w:val="24"/>
          <w:lang w:val="en-US" w:eastAsia="zh-CN"/>
        </w:rPr>
        <w:t>2包</w:t>
      </w:r>
      <w:r>
        <w:rPr>
          <w:rFonts w:hint="eastAsia" w:cs="宋体"/>
          <w:b w:val="0"/>
          <w:bCs/>
          <w:color w:val="auto"/>
          <w:sz w:val="24"/>
          <w:szCs w:val="24"/>
        </w:rPr>
        <w:t>：</w:t>
      </w:r>
      <w:r>
        <w:rPr>
          <w:rFonts w:hint="eastAsia"/>
          <w:color w:val="auto"/>
          <w:sz w:val="24"/>
          <w:lang w:val="en-US" w:eastAsia="zh-CN"/>
        </w:rPr>
        <w:t>工程咨询服务</w:t>
      </w:r>
    </w:p>
    <w:p>
      <w:pPr>
        <w:keepNext w:val="0"/>
        <w:keepLines w:val="0"/>
        <w:pageBreakBefore w:val="0"/>
        <w:kinsoku/>
        <w:wordWrap/>
        <w:overflowPunct/>
        <w:topLinePunct w:val="0"/>
        <w:autoSpaceDE/>
        <w:autoSpaceDN/>
        <w:bidi w:val="0"/>
        <w:adjustRightInd/>
        <w:snapToGrid/>
        <w:spacing w:line="360" w:lineRule="auto"/>
        <w:ind w:firstLine="1024" w:firstLineChars="427"/>
        <w:textAlignment w:val="auto"/>
        <w:rPr>
          <w:rFonts w:hint="eastAsia" w:cs="宋体" w:eastAsiaTheme="minorEastAsia"/>
          <w:b w:val="0"/>
          <w:bCs/>
          <w:color w:val="auto"/>
          <w:sz w:val="24"/>
          <w:szCs w:val="24"/>
          <w:lang w:eastAsia="zh-CN"/>
        </w:rPr>
      </w:pPr>
      <w:r>
        <w:rPr>
          <w:rFonts w:hint="eastAsia" w:cs="宋体"/>
          <w:b w:val="0"/>
          <w:bCs/>
          <w:color w:val="auto"/>
          <w:sz w:val="24"/>
          <w:szCs w:val="24"/>
        </w:rPr>
        <w:t>1、项目可行性研究报告（含项目建议书）评审</w:t>
      </w:r>
      <w:r>
        <w:rPr>
          <w:rFonts w:hint="eastAsia" w:cs="宋体"/>
          <w:b w:val="0"/>
          <w:bCs/>
          <w:color w:val="auto"/>
          <w:sz w:val="24"/>
          <w:szCs w:val="24"/>
          <w:lang w:eastAsia="zh-CN"/>
        </w:rPr>
        <w:t>、</w:t>
      </w:r>
      <w:r>
        <w:rPr>
          <w:rFonts w:hint="eastAsia" w:cs="宋体"/>
          <w:b w:val="0"/>
          <w:bCs/>
          <w:color w:val="auto"/>
          <w:sz w:val="24"/>
          <w:szCs w:val="24"/>
        </w:rPr>
        <w:t>节能评审</w:t>
      </w:r>
      <w:r>
        <w:rPr>
          <w:rFonts w:hint="eastAsia" w:cs="宋体"/>
          <w:b w:val="0"/>
          <w:bCs/>
          <w:color w:val="auto"/>
          <w:sz w:val="24"/>
          <w:szCs w:val="24"/>
          <w:lang w:eastAsia="zh-CN"/>
        </w:rPr>
        <w:t>；</w:t>
      </w:r>
    </w:p>
    <w:p>
      <w:pPr>
        <w:keepNext w:val="0"/>
        <w:keepLines w:val="0"/>
        <w:pageBreakBefore w:val="0"/>
        <w:kinsoku/>
        <w:wordWrap/>
        <w:overflowPunct/>
        <w:topLinePunct w:val="0"/>
        <w:autoSpaceDE/>
        <w:autoSpaceDN/>
        <w:bidi w:val="0"/>
        <w:adjustRightInd/>
        <w:snapToGrid/>
        <w:spacing w:line="360" w:lineRule="auto"/>
        <w:ind w:firstLine="1024" w:firstLineChars="427"/>
        <w:textAlignment w:val="auto"/>
        <w:rPr>
          <w:rFonts w:hint="eastAsia" w:cs="宋体" w:eastAsiaTheme="minorEastAsia"/>
          <w:b w:val="0"/>
          <w:bCs/>
          <w:color w:val="auto"/>
          <w:sz w:val="24"/>
          <w:szCs w:val="24"/>
          <w:lang w:eastAsia="zh-CN"/>
        </w:rPr>
      </w:pPr>
      <w:r>
        <w:rPr>
          <w:rFonts w:hint="eastAsia" w:cs="宋体"/>
          <w:b w:val="0"/>
          <w:bCs/>
          <w:color w:val="auto"/>
          <w:sz w:val="24"/>
          <w:szCs w:val="24"/>
        </w:rPr>
        <w:t>2、项目后评价</w:t>
      </w:r>
      <w:r>
        <w:rPr>
          <w:rFonts w:hint="eastAsia" w:cs="宋体"/>
          <w:b w:val="0"/>
          <w:bCs/>
          <w:color w:val="auto"/>
          <w:sz w:val="24"/>
          <w:szCs w:val="24"/>
          <w:lang w:eastAsia="zh-CN"/>
        </w:rPr>
        <w:t>；</w:t>
      </w:r>
    </w:p>
    <w:p>
      <w:pPr>
        <w:keepNext w:val="0"/>
        <w:keepLines w:val="0"/>
        <w:pageBreakBefore w:val="0"/>
        <w:kinsoku/>
        <w:wordWrap/>
        <w:overflowPunct/>
        <w:topLinePunct w:val="0"/>
        <w:autoSpaceDE/>
        <w:autoSpaceDN/>
        <w:bidi w:val="0"/>
        <w:adjustRightInd/>
        <w:snapToGrid/>
        <w:spacing w:line="360" w:lineRule="auto"/>
        <w:ind w:firstLine="1024" w:firstLineChars="427"/>
        <w:textAlignment w:val="auto"/>
        <w:rPr>
          <w:rFonts w:hint="eastAsia" w:cs="宋体" w:eastAsiaTheme="minorEastAsia"/>
          <w:b w:val="0"/>
          <w:bCs/>
          <w:color w:val="auto"/>
          <w:sz w:val="24"/>
          <w:szCs w:val="24"/>
          <w:lang w:eastAsia="zh-CN"/>
        </w:rPr>
      </w:pPr>
      <w:r>
        <w:rPr>
          <w:rFonts w:hint="eastAsia" w:cs="宋体"/>
          <w:b w:val="0"/>
          <w:bCs/>
          <w:color w:val="auto"/>
          <w:sz w:val="24"/>
          <w:szCs w:val="24"/>
        </w:rPr>
        <w:t>3、其他类型评审和咨询服务</w:t>
      </w:r>
      <w:r>
        <w:rPr>
          <w:rFonts w:hint="eastAsia" w:cs="宋体"/>
          <w:b w:val="0"/>
          <w:bCs/>
          <w:color w:val="auto"/>
          <w:sz w:val="24"/>
          <w:szCs w:val="24"/>
          <w:lang w:eastAsia="zh-CN"/>
        </w:rPr>
        <w:t>；</w:t>
      </w:r>
    </w:p>
    <w:p>
      <w:pPr>
        <w:keepNext w:val="0"/>
        <w:keepLines w:val="0"/>
        <w:pageBreakBefore w:val="0"/>
        <w:kinsoku/>
        <w:wordWrap/>
        <w:overflowPunct/>
        <w:topLinePunct w:val="0"/>
        <w:autoSpaceDE/>
        <w:autoSpaceDN/>
        <w:bidi w:val="0"/>
        <w:adjustRightInd/>
        <w:snapToGrid/>
        <w:spacing w:line="360" w:lineRule="auto"/>
        <w:ind w:firstLine="1024" w:firstLineChars="427"/>
        <w:textAlignment w:val="auto"/>
        <w:rPr>
          <w:rFonts w:hint="eastAsia" w:cs="宋体" w:eastAsiaTheme="minorEastAsia"/>
          <w:b w:val="0"/>
          <w:bCs/>
          <w:color w:val="auto"/>
          <w:sz w:val="24"/>
          <w:szCs w:val="24"/>
          <w:lang w:eastAsia="zh-CN"/>
        </w:rPr>
      </w:pPr>
      <w:r>
        <w:rPr>
          <w:rFonts w:hint="eastAsia" w:cs="宋体"/>
          <w:b w:val="0"/>
          <w:bCs/>
          <w:color w:val="auto"/>
          <w:sz w:val="24"/>
          <w:szCs w:val="24"/>
        </w:rPr>
        <w:t>4、配合中心开展评审技术积累和研究</w:t>
      </w:r>
      <w:r>
        <w:rPr>
          <w:rFonts w:hint="eastAsia" w:cs="宋体"/>
          <w:b w:val="0"/>
          <w:bCs/>
          <w:color w:val="auto"/>
          <w:sz w:val="24"/>
          <w:szCs w:val="24"/>
          <w:lang w:eastAsia="zh-CN"/>
        </w:rPr>
        <w:t>。</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firstLine="420" w:firstLineChars="175"/>
        <w:jc w:val="left"/>
        <w:textAlignment w:val="auto"/>
        <w:rPr>
          <w:rFonts w:hint="eastAsia" w:cs="宋体"/>
          <w:b w:val="0"/>
          <w:bCs/>
          <w:color w:val="auto"/>
          <w:sz w:val="24"/>
          <w:szCs w:val="24"/>
        </w:rPr>
      </w:pPr>
      <w:r>
        <w:rPr>
          <w:rFonts w:hint="eastAsia" w:cs="宋体"/>
          <w:b w:val="0"/>
          <w:bCs/>
          <w:color w:val="auto"/>
          <w:sz w:val="24"/>
          <w:szCs w:val="24"/>
        </w:rPr>
        <w:t>（二）服务质量要求（第1包、第2包共同适用）</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firstLine="480" w:firstLineChars="200"/>
        <w:jc w:val="left"/>
        <w:textAlignment w:val="auto"/>
        <w:rPr>
          <w:rFonts w:hint="eastAsia" w:cs="宋体"/>
          <w:b w:val="0"/>
          <w:bCs/>
          <w:color w:val="auto"/>
          <w:sz w:val="24"/>
          <w:szCs w:val="24"/>
        </w:rPr>
      </w:pPr>
      <w:r>
        <w:rPr>
          <w:rFonts w:hint="eastAsia" w:cs="宋体"/>
          <w:b w:val="0"/>
          <w:bCs/>
          <w:color w:val="auto"/>
          <w:sz w:val="24"/>
          <w:szCs w:val="24"/>
        </w:rPr>
        <w:t>投标人应按照</w:t>
      </w:r>
      <w:r>
        <w:rPr>
          <w:rFonts w:hint="eastAsia" w:cs="宋体"/>
          <w:b w:val="0"/>
          <w:bCs/>
          <w:color w:val="auto"/>
          <w:sz w:val="24"/>
          <w:szCs w:val="24"/>
          <w:lang w:val="en-US" w:eastAsia="zh-CN"/>
        </w:rPr>
        <w:t>采购人要求</w:t>
      </w:r>
      <w:r>
        <w:rPr>
          <w:rFonts w:hint="eastAsia" w:cs="宋体"/>
          <w:b w:val="0"/>
          <w:bCs/>
          <w:color w:val="auto"/>
          <w:sz w:val="24"/>
          <w:szCs w:val="24"/>
        </w:rPr>
        <w:t>建立服务质量内</w:t>
      </w:r>
      <w:r>
        <w:rPr>
          <w:rFonts w:hint="eastAsia" w:cs="宋体"/>
          <w:b w:val="0"/>
          <w:bCs/>
          <w:color w:val="auto"/>
          <w:sz w:val="24"/>
          <w:szCs w:val="24"/>
          <w:lang w:eastAsia="zh-CN"/>
        </w:rPr>
        <w:t>部控制</w:t>
      </w:r>
      <w:r>
        <w:rPr>
          <w:rFonts w:hint="eastAsia" w:cs="宋体"/>
          <w:b w:val="0"/>
          <w:bCs/>
          <w:color w:val="auto"/>
          <w:sz w:val="24"/>
          <w:szCs w:val="24"/>
        </w:rPr>
        <w:t>制度，按照国家相关法律法规和采购人的要求，独立、客观、公正、科学的开展咨询工作，服务内容合法、客观、公正、完整、准确，提供采购人所需的全部工作内容，并承担相应的法律责任。</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firstLine="420" w:firstLineChars="175"/>
        <w:jc w:val="left"/>
        <w:textAlignment w:val="auto"/>
        <w:rPr>
          <w:rFonts w:hint="eastAsia" w:cs="宋体"/>
          <w:b w:val="0"/>
          <w:bCs/>
          <w:color w:val="auto"/>
          <w:sz w:val="24"/>
          <w:szCs w:val="24"/>
        </w:rPr>
      </w:pPr>
      <w:r>
        <w:rPr>
          <w:rFonts w:hint="eastAsia" w:cs="宋体"/>
          <w:b w:val="0"/>
          <w:bCs/>
          <w:color w:val="auto"/>
          <w:sz w:val="24"/>
          <w:szCs w:val="24"/>
        </w:rPr>
        <w:t>（三）服务成果要求（第1包、第2包共同适用）</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cs="宋体"/>
          <w:b w:val="0"/>
          <w:bCs/>
          <w:color w:val="auto"/>
          <w:sz w:val="24"/>
          <w:szCs w:val="24"/>
        </w:rPr>
      </w:pPr>
      <w:r>
        <w:rPr>
          <w:rFonts w:hint="eastAsia" w:cs="宋体"/>
          <w:b w:val="0"/>
          <w:bCs/>
          <w:color w:val="auto"/>
          <w:sz w:val="24"/>
          <w:szCs w:val="24"/>
        </w:rPr>
        <w:t>按要求出具规范、全面、详细、真实的报告书。</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firstLine="420" w:firstLineChars="175"/>
        <w:jc w:val="left"/>
        <w:textAlignment w:val="auto"/>
        <w:rPr>
          <w:rFonts w:hint="eastAsia" w:cs="宋体"/>
          <w:b w:val="0"/>
          <w:bCs/>
          <w:color w:val="auto"/>
          <w:sz w:val="24"/>
          <w:szCs w:val="24"/>
        </w:rPr>
      </w:pPr>
      <w:r>
        <w:rPr>
          <w:rFonts w:hint="eastAsia" w:cs="宋体"/>
          <w:b w:val="0"/>
          <w:bCs/>
          <w:color w:val="auto"/>
          <w:sz w:val="24"/>
          <w:szCs w:val="24"/>
        </w:rPr>
        <w:t>（四）服务人员要求</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jc w:val="left"/>
        <w:textAlignment w:val="auto"/>
        <w:rPr>
          <w:rFonts w:hint="default" w:cs="宋体" w:eastAsiaTheme="minorEastAsia"/>
          <w:b w:val="0"/>
          <w:bCs/>
          <w:color w:val="auto"/>
          <w:sz w:val="24"/>
          <w:szCs w:val="24"/>
          <w:lang w:val="en-US" w:eastAsia="zh-CN"/>
        </w:rPr>
      </w:pPr>
      <w:r>
        <w:rPr>
          <w:rFonts w:hint="eastAsia" w:cs="宋体"/>
          <w:b w:val="0"/>
          <w:bCs/>
          <w:color w:val="auto"/>
          <w:sz w:val="24"/>
          <w:szCs w:val="24"/>
          <w:lang w:eastAsia="zh-CN"/>
        </w:rPr>
        <w:t>第</w:t>
      </w:r>
      <w:r>
        <w:rPr>
          <w:rFonts w:hint="eastAsia" w:cs="宋体"/>
          <w:b w:val="0"/>
          <w:bCs/>
          <w:color w:val="auto"/>
          <w:sz w:val="24"/>
          <w:szCs w:val="24"/>
          <w:lang w:val="en-US" w:eastAsia="zh-CN"/>
        </w:rPr>
        <w:t>1包</w:t>
      </w:r>
      <w:r>
        <w:rPr>
          <w:rFonts w:hint="eastAsia" w:cs="宋体"/>
          <w:b w:val="0"/>
          <w:bCs/>
          <w:color w:val="auto"/>
          <w:sz w:val="24"/>
          <w:szCs w:val="24"/>
        </w:rPr>
        <w:t>：</w:t>
      </w:r>
      <w:r>
        <w:rPr>
          <w:rFonts w:hint="eastAsia"/>
          <w:color w:val="auto"/>
          <w:sz w:val="24"/>
          <w:lang w:val="en-US" w:eastAsia="zh-CN"/>
        </w:rPr>
        <w:t>造价咨询服务</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cs="宋体"/>
          <w:b w:val="0"/>
          <w:bCs/>
          <w:color w:val="auto"/>
          <w:sz w:val="24"/>
          <w:szCs w:val="24"/>
        </w:rPr>
      </w:pPr>
      <w:r>
        <w:rPr>
          <w:rFonts w:hint="eastAsia" w:cs="宋体"/>
          <w:b w:val="0"/>
          <w:bCs/>
          <w:color w:val="auto"/>
          <w:sz w:val="24"/>
          <w:szCs w:val="24"/>
          <w:lang w:val="en-US" w:eastAsia="zh-CN"/>
        </w:rPr>
        <w:t>本项目一级造价工程师（全国注册造价工程师）总人数不得低于 50 人</w:t>
      </w:r>
      <w:r>
        <w:rPr>
          <w:rFonts w:hint="eastAsia" w:cs="宋体"/>
          <w:b w:val="0"/>
          <w:bCs/>
          <w:color w:val="auto"/>
          <w:sz w:val="24"/>
          <w:szCs w:val="24"/>
        </w:rPr>
        <w:t>。</w:t>
      </w:r>
    </w:p>
    <w:p>
      <w:pPr>
        <w:pStyle w:val="2"/>
        <w:keepNext w:val="0"/>
        <w:keepLines w:val="0"/>
        <w:pageBreakBefore w:val="0"/>
        <w:kinsoku/>
        <w:wordWrap/>
        <w:overflowPunct/>
        <w:topLinePunct w:val="0"/>
        <w:autoSpaceDE/>
        <w:autoSpaceDN/>
        <w:bidi w:val="0"/>
        <w:adjustRightInd/>
        <w:snapToGrid/>
        <w:spacing w:after="0" w:line="360" w:lineRule="auto"/>
        <w:ind w:firstLine="480" w:firstLineChars="200"/>
        <w:textAlignment w:val="auto"/>
        <w:rPr>
          <w:rFonts w:hint="eastAsia"/>
          <w:color w:val="auto"/>
        </w:rPr>
      </w:pPr>
      <w:r>
        <w:rPr>
          <w:rFonts w:hint="eastAsia" w:cs="宋体"/>
          <w:b w:val="0"/>
          <w:bCs/>
          <w:color w:val="auto"/>
          <w:sz w:val="24"/>
          <w:szCs w:val="24"/>
        </w:rPr>
        <w:t>在接受采购人委托的工程项目</w:t>
      </w:r>
      <w:r>
        <w:rPr>
          <w:rFonts w:hint="eastAsia" w:cs="宋体"/>
          <w:b w:val="0"/>
          <w:bCs/>
          <w:color w:val="auto"/>
          <w:sz w:val="24"/>
          <w:szCs w:val="24"/>
          <w:lang w:val="en-US" w:eastAsia="zh-CN"/>
        </w:rPr>
        <w:t>咨询</w:t>
      </w:r>
      <w:r>
        <w:rPr>
          <w:rFonts w:hint="eastAsia" w:cs="宋体"/>
          <w:b w:val="0"/>
          <w:bCs/>
          <w:color w:val="auto"/>
          <w:sz w:val="24"/>
          <w:szCs w:val="24"/>
        </w:rPr>
        <w:t>服务时，派出完成该项目的相关专业技术人员应是本单位注册人员，且为投标人在投标文件中承诺的固定参审人员。</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jc w:val="left"/>
        <w:textAlignment w:val="auto"/>
        <w:rPr>
          <w:rFonts w:hint="default" w:cs="宋体" w:eastAsiaTheme="minorEastAsia"/>
          <w:b w:val="0"/>
          <w:bCs/>
          <w:color w:val="auto"/>
          <w:sz w:val="24"/>
          <w:szCs w:val="24"/>
          <w:lang w:val="en-US" w:eastAsia="zh-CN"/>
        </w:rPr>
      </w:pPr>
      <w:r>
        <w:rPr>
          <w:rFonts w:hint="eastAsia" w:cs="宋体"/>
          <w:b w:val="0"/>
          <w:bCs/>
          <w:color w:val="auto"/>
          <w:sz w:val="24"/>
          <w:szCs w:val="24"/>
          <w:lang w:eastAsia="zh-CN"/>
        </w:rPr>
        <w:t>第</w:t>
      </w:r>
      <w:r>
        <w:rPr>
          <w:rFonts w:hint="eastAsia" w:cs="宋体"/>
          <w:b w:val="0"/>
          <w:bCs/>
          <w:color w:val="auto"/>
          <w:sz w:val="24"/>
          <w:szCs w:val="24"/>
          <w:lang w:val="en-US" w:eastAsia="zh-CN"/>
        </w:rPr>
        <w:t>2包</w:t>
      </w:r>
      <w:r>
        <w:rPr>
          <w:rFonts w:hint="eastAsia" w:cs="宋体"/>
          <w:b w:val="0"/>
          <w:bCs/>
          <w:color w:val="auto"/>
          <w:sz w:val="24"/>
          <w:szCs w:val="24"/>
        </w:rPr>
        <w:t>：</w:t>
      </w:r>
      <w:r>
        <w:rPr>
          <w:rFonts w:hint="eastAsia"/>
          <w:color w:val="auto"/>
          <w:sz w:val="24"/>
          <w:lang w:val="en-US" w:eastAsia="zh-CN"/>
        </w:rPr>
        <w:t>工程咨询服务</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s="宋体"/>
          <w:b w:val="0"/>
          <w:bCs/>
          <w:color w:val="auto"/>
          <w:sz w:val="24"/>
          <w:szCs w:val="24"/>
        </w:rPr>
      </w:pPr>
      <w:r>
        <w:rPr>
          <w:rFonts w:hint="eastAsia" w:cs="宋体"/>
          <w:b w:val="0"/>
          <w:bCs/>
          <w:color w:val="auto"/>
          <w:sz w:val="24"/>
          <w:szCs w:val="24"/>
          <w:lang w:val="en-US" w:eastAsia="zh-CN"/>
        </w:rPr>
        <w:t>本项目咨询工程师（投资）总人数不得低于20 人</w:t>
      </w:r>
      <w:r>
        <w:rPr>
          <w:rFonts w:hint="eastAsia" w:cs="宋体"/>
          <w:b w:val="0"/>
          <w:bCs/>
          <w:color w:val="auto"/>
          <w:sz w:val="24"/>
          <w:szCs w:val="24"/>
        </w:rPr>
        <w:t>。</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cs="宋体"/>
          <w:b w:val="0"/>
          <w:bCs/>
          <w:color w:val="auto"/>
          <w:sz w:val="24"/>
          <w:szCs w:val="24"/>
        </w:rPr>
      </w:pPr>
      <w:r>
        <w:rPr>
          <w:rFonts w:hint="eastAsia" w:cs="宋体"/>
          <w:b w:val="0"/>
          <w:bCs/>
          <w:color w:val="auto"/>
          <w:sz w:val="24"/>
          <w:szCs w:val="24"/>
        </w:rPr>
        <w:t>在接受采购人委托的工程项目评审服务时，派出完成该项目的相关专业技术人员应是本单位注册人员，且为投标人在投标文件中承诺的固定参审人员。</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firstLine="420" w:firstLineChars="175"/>
        <w:jc w:val="left"/>
        <w:textAlignment w:val="auto"/>
        <w:rPr>
          <w:rFonts w:hint="eastAsia" w:cs="宋体"/>
          <w:b w:val="0"/>
          <w:bCs/>
          <w:color w:val="auto"/>
          <w:sz w:val="24"/>
          <w:szCs w:val="24"/>
        </w:rPr>
      </w:pPr>
      <w:r>
        <w:rPr>
          <w:rFonts w:hint="eastAsia" w:cs="宋体"/>
          <w:b w:val="0"/>
          <w:bCs/>
          <w:color w:val="auto"/>
          <w:sz w:val="24"/>
          <w:szCs w:val="24"/>
          <w:lang w:eastAsia="zh-CN"/>
        </w:rPr>
        <w:t>（</w:t>
      </w:r>
      <w:r>
        <w:rPr>
          <w:rFonts w:hint="eastAsia" w:cs="宋体"/>
          <w:b w:val="0"/>
          <w:bCs/>
          <w:color w:val="auto"/>
          <w:sz w:val="24"/>
          <w:szCs w:val="24"/>
          <w:lang w:val="en-US" w:eastAsia="zh-CN"/>
        </w:rPr>
        <w:t>五</w:t>
      </w:r>
      <w:r>
        <w:rPr>
          <w:rFonts w:hint="eastAsia" w:cs="宋体"/>
          <w:b w:val="0"/>
          <w:bCs/>
          <w:color w:val="auto"/>
          <w:sz w:val="24"/>
          <w:szCs w:val="24"/>
          <w:lang w:eastAsia="zh-CN"/>
        </w:rPr>
        <w:t>）</w:t>
      </w:r>
      <w:r>
        <w:rPr>
          <w:rFonts w:hint="eastAsia" w:cs="宋体"/>
          <w:b w:val="0"/>
          <w:bCs/>
          <w:color w:val="auto"/>
          <w:sz w:val="24"/>
          <w:szCs w:val="24"/>
        </w:rPr>
        <w:t>管理要求（第1包、第2包共同适用）</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cs="宋体"/>
          <w:b w:val="0"/>
          <w:bCs/>
          <w:color w:val="auto"/>
          <w:sz w:val="24"/>
          <w:szCs w:val="24"/>
          <w:highlight w:val="cyan"/>
          <w:lang w:eastAsia="zh-CN"/>
        </w:rPr>
      </w:pPr>
      <w:r>
        <w:rPr>
          <w:rFonts w:hint="eastAsia" w:cs="宋体"/>
          <w:b w:val="0"/>
          <w:bCs/>
          <w:color w:val="auto"/>
          <w:sz w:val="24"/>
          <w:szCs w:val="24"/>
          <w:highlight w:val="none"/>
        </w:rPr>
        <w:t>1、</w:t>
      </w:r>
      <w:r>
        <w:rPr>
          <w:rFonts w:hint="eastAsia" w:cs="宋体"/>
          <w:b w:val="0"/>
          <w:bCs/>
          <w:color w:val="auto"/>
          <w:sz w:val="24"/>
          <w:szCs w:val="24"/>
          <w:highlight w:val="none"/>
          <w:lang w:eastAsia="zh-CN"/>
        </w:rPr>
        <w:t>采购人对中标人</w:t>
      </w:r>
      <w:r>
        <w:rPr>
          <w:rFonts w:hint="eastAsia" w:cs="宋体"/>
          <w:b w:val="0"/>
          <w:bCs/>
          <w:color w:val="auto"/>
          <w:sz w:val="24"/>
          <w:szCs w:val="24"/>
          <w:highlight w:val="none"/>
          <w:lang w:val="en-US" w:eastAsia="zh-CN"/>
        </w:rPr>
        <w:t>（若为联合体投标的，包括所有联合体成员）</w:t>
      </w:r>
      <w:r>
        <w:rPr>
          <w:rFonts w:hint="eastAsia" w:cs="宋体"/>
          <w:b w:val="0"/>
          <w:bCs/>
          <w:color w:val="auto"/>
          <w:sz w:val="24"/>
          <w:szCs w:val="24"/>
          <w:highlight w:val="none"/>
        </w:rPr>
        <w:t>实行动态管理、综合考评、负面清单等制度。本</w:t>
      </w:r>
      <w:r>
        <w:rPr>
          <w:rFonts w:hint="eastAsia" w:cs="宋体"/>
          <w:b w:val="0"/>
          <w:bCs/>
          <w:color w:val="auto"/>
          <w:sz w:val="24"/>
          <w:szCs w:val="24"/>
          <w:highlight w:val="none"/>
          <w:lang w:val="en-US" w:eastAsia="zh-CN"/>
        </w:rPr>
        <w:t>项目服务期三年</w:t>
      </w:r>
      <w:r>
        <w:rPr>
          <w:rFonts w:hint="eastAsia" w:cs="宋体"/>
          <w:b w:val="0"/>
          <w:bCs/>
          <w:color w:val="auto"/>
          <w:sz w:val="24"/>
          <w:szCs w:val="24"/>
          <w:highlight w:val="none"/>
        </w:rPr>
        <w:t>，合同一年一签，</w:t>
      </w:r>
      <w:r>
        <w:rPr>
          <w:rFonts w:hint="eastAsia" w:cs="宋体"/>
          <w:b w:val="0"/>
          <w:bCs/>
          <w:color w:val="auto"/>
          <w:sz w:val="24"/>
          <w:szCs w:val="24"/>
          <w:highlight w:val="none"/>
          <w:lang w:eastAsia="zh-CN"/>
        </w:rPr>
        <w:t>如中标</w:t>
      </w:r>
      <w:r>
        <w:rPr>
          <w:rFonts w:hint="eastAsia" w:cs="宋体"/>
          <w:b w:val="0"/>
          <w:bCs/>
          <w:color w:val="auto"/>
          <w:sz w:val="24"/>
          <w:szCs w:val="24"/>
          <w:highlight w:val="none"/>
          <w:lang w:val="en-US" w:eastAsia="zh-CN"/>
        </w:rPr>
        <w:t>人（若为联合体投标的，包括所有联合体成员）</w:t>
      </w:r>
      <w:r>
        <w:rPr>
          <w:rFonts w:hint="eastAsia" w:cs="宋体"/>
          <w:b w:val="0"/>
          <w:bCs/>
          <w:color w:val="auto"/>
          <w:sz w:val="24"/>
          <w:szCs w:val="24"/>
          <w:highlight w:val="none"/>
        </w:rPr>
        <w:t>违反</w:t>
      </w:r>
      <w:r>
        <w:rPr>
          <w:rFonts w:hint="eastAsia" w:cs="宋体"/>
          <w:b w:val="0"/>
          <w:bCs/>
          <w:color w:val="auto"/>
          <w:sz w:val="24"/>
          <w:szCs w:val="24"/>
          <w:highlight w:val="none"/>
          <w:lang w:eastAsia="zh-CN"/>
        </w:rPr>
        <w:t>《</w:t>
      </w:r>
      <w:r>
        <w:rPr>
          <w:rFonts w:hint="eastAsia" w:cs="宋体"/>
          <w:b w:val="0"/>
          <w:bCs/>
          <w:color w:val="auto"/>
          <w:sz w:val="24"/>
          <w:szCs w:val="24"/>
          <w:highlight w:val="none"/>
          <w:lang w:val="en-US" w:eastAsia="zh-CN"/>
        </w:rPr>
        <w:t>成都市新都区政府投资项目评审咨询机构管理办法（试行）</w:t>
      </w:r>
      <w:r>
        <w:rPr>
          <w:rFonts w:hint="eastAsia" w:cs="宋体"/>
          <w:b w:val="0"/>
          <w:bCs/>
          <w:color w:val="auto"/>
          <w:sz w:val="24"/>
          <w:szCs w:val="24"/>
          <w:highlight w:val="none"/>
          <w:lang w:eastAsia="zh-CN"/>
        </w:rPr>
        <w:t>》（详见“附件1”）</w:t>
      </w:r>
      <w:r>
        <w:rPr>
          <w:rFonts w:hint="eastAsia" w:cs="宋体"/>
          <w:b w:val="0"/>
          <w:bCs/>
          <w:color w:val="auto"/>
          <w:sz w:val="24"/>
          <w:szCs w:val="24"/>
          <w:highlight w:val="none"/>
        </w:rPr>
        <w:t>规定，将按情节轻重给予</w:t>
      </w:r>
      <w:r>
        <w:rPr>
          <w:rFonts w:hint="eastAsia" w:cs="宋体"/>
          <w:b w:val="0"/>
          <w:bCs/>
          <w:color w:val="auto"/>
          <w:sz w:val="24"/>
          <w:szCs w:val="24"/>
          <w:highlight w:val="none"/>
          <w:lang w:eastAsia="zh-CN"/>
        </w:rPr>
        <w:t>《</w:t>
      </w:r>
      <w:r>
        <w:rPr>
          <w:rFonts w:hint="eastAsia" w:cs="宋体"/>
          <w:b w:val="0"/>
          <w:bCs/>
          <w:color w:val="auto"/>
          <w:sz w:val="24"/>
          <w:szCs w:val="24"/>
          <w:highlight w:val="none"/>
          <w:lang w:val="en-US" w:eastAsia="zh-CN"/>
        </w:rPr>
        <w:t>成都市新都区政府投资项目评审咨询机构管理办法（试行）</w:t>
      </w:r>
      <w:r>
        <w:rPr>
          <w:rFonts w:hint="eastAsia" w:cs="宋体"/>
          <w:b w:val="0"/>
          <w:bCs/>
          <w:color w:val="auto"/>
          <w:sz w:val="24"/>
          <w:szCs w:val="24"/>
          <w:highlight w:val="none"/>
          <w:lang w:eastAsia="zh-CN"/>
        </w:rPr>
        <w:t>》（详见“附件1”）</w:t>
      </w:r>
      <w:r>
        <w:rPr>
          <w:rFonts w:hint="eastAsia" w:cs="宋体"/>
          <w:b w:val="0"/>
          <w:bCs/>
          <w:color w:val="auto"/>
          <w:sz w:val="24"/>
          <w:szCs w:val="24"/>
          <w:highlight w:val="none"/>
        </w:rPr>
        <w:t>范围内的相应惩罚</w:t>
      </w:r>
      <w:r>
        <w:rPr>
          <w:rFonts w:hint="eastAsia" w:cs="宋体"/>
          <w:b w:val="0"/>
          <w:bCs/>
          <w:color w:val="auto"/>
          <w:sz w:val="24"/>
          <w:szCs w:val="24"/>
          <w:highlight w:val="none"/>
          <w:lang w:eastAsia="zh-CN"/>
        </w:rPr>
        <w:t>。</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cs="宋体"/>
          <w:b w:val="0"/>
          <w:bCs/>
          <w:color w:val="auto"/>
          <w:sz w:val="24"/>
          <w:szCs w:val="24"/>
          <w:highlight w:val="none"/>
        </w:rPr>
      </w:pPr>
      <w:r>
        <w:rPr>
          <w:rFonts w:hint="eastAsia" w:cs="宋体"/>
          <w:b w:val="0"/>
          <w:bCs/>
          <w:color w:val="auto"/>
          <w:sz w:val="24"/>
          <w:szCs w:val="24"/>
          <w:highlight w:val="none"/>
          <w:lang w:eastAsia="zh-CN"/>
        </w:rPr>
        <w:t>注：本管理办法试行期到期后由采购人根据实际情况进行调整后执行</w:t>
      </w:r>
      <w:r>
        <w:rPr>
          <w:rFonts w:hint="eastAsia" w:cs="宋体"/>
          <w:b w:val="0"/>
          <w:bCs/>
          <w:color w:val="auto"/>
          <w:sz w:val="24"/>
          <w:szCs w:val="24"/>
          <w:highlight w:val="none"/>
        </w:rPr>
        <w:t>。</w:t>
      </w:r>
    </w:p>
    <w:p>
      <w:pPr>
        <w:keepNext w:val="0"/>
        <w:keepLines w:val="0"/>
        <w:pageBreakBefore w:val="0"/>
        <w:numPr>
          <w:ilvl w:val="0"/>
          <w:numId w:val="10"/>
        </w:numPr>
        <w:kinsoku/>
        <w:wordWrap/>
        <w:overflowPunct/>
        <w:topLinePunct w:val="0"/>
        <w:autoSpaceDE/>
        <w:autoSpaceDN/>
        <w:bidi w:val="0"/>
        <w:adjustRightInd/>
        <w:snapToGrid/>
        <w:spacing w:line="360" w:lineRule="auto"/>
        <w:ind w:firstLine="480"/>
        <w:textAlignment w:val="auto"/>
        <w:rPr>
          <w:rFonts w:hint="eastAsia" w:cs="宋体"/>
          <w:b w:val="0"/>
          <w:bCs/>
          <w:color w:val="auto"/>
          <w:sz w:val="24"/>
          <w:szCs w:val="24"/>
          <w:highlight w:val="none"/>
          <w:lang w:eastAsia="zh-CN"/>
        </w:rPr>
      </w:pPr>
      <w:r>
        <w:rPr>
          <w:rFonts w:hint="eastAsia" w:cs="宋体"/>
          <w:b w:val="0"/>
          <w:bCs/>
          <w:color w:val="auto"/>
          <w:sz w:val="24"/>
          <w:szCs w:val="24"/>
          <w:highlight w:val="none"/>
          <w:lang w:eastAsia="zh-CN"/>
        </w:rPr>
        <w:t>投标人投标时须提供针对本项目的内部控制管理制度，若为联合体投标的，须提供联合体所有成员之间针对本项目的内部控制管理制度（包括但不限于：内部管理制度、工作效率保证措施、人员安排制度等）。</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b w:val="0"/>
          <w:bCs/>
          <w:color w:val="auto"/>
          <w:sz w:val="24"/>
          <w:szCs w:val="24"/>
          <w:highlight w:val="none"/>
        </w:rPr>
      </w:pPr>
      <w:r>
        <w:rPr>
          <w:rFonts w:hint="eastAsia" w:cs="宋体"/>
          <w:b w:val="0"/>
          <w:bCs/>
          <w:color w:val="auto"/>
          <w:sz w:val="24"/>
          <w:szCs w:val="24"/>
          <w:highlight w:val="none"/>
          <w:lang w:eastAsia="zh-CN"/>
        </w:rPr>
        <w:t>注：中标人中标后须根据采购人要求进一步完善内部控制管理制度。</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cs="宋体"/>
          <w:b w:val="0"/>
          <w:bCs/>
          <w:color w:val="auto"/>
          <w:sz w:val="24"/>
          <w:szCs w:val="24"/>
        </w:rPr>
      </w:pPr>
      <w:r>
        <w:rPr>
          <w:rFonts w:hint="eastAsia" w:cs="宋体"/>
          <w:b w:val="0"/>
          <w:bCs/>
          <w:color w:val="auto"/>
          <w:sz w:val="24"/>
          <w:szCs w:val="24"/>
        </w:rPr>
        <w:t>3、</w:t>
      </w:r>
      <w:r>
        <w:rPr>
          <w:rFonts w:hint="eastAsia" w:cs="宋体"/>
          <w:b w:val="0"/>
          <w:bCs/>
          <w:color w:val="auto"/>
          <w:sz w:val="24"/>
          <w:szCs w:val="24"/>
          <w:lang w:val="en-US" w:eastAsia="zh-CN"/>
        </w:rPr>
        <w:t>中标人</w:t>
      </w:r>
      <w:r>
        <w:rPr>
          <w:rFonts w:hint="eastAsia" w:cs="宋体"/>
          <w:b w:val="0"/>
          <w:bCs/>
          <w:color w:val="auto"/>
          <w:sz w:val="24"/>
          <w:szCs w:val="24"/>
        </w:rPr>
        <w:t>在收到委托通知后，3小时内</w:t>
      </w:r>
      <w:r>
        <w:rPr>
          <w:rFonts w:hint="eastAsia" w:cs="宋体"/>
          <w:b w:val="0"/>
          <w:bCs/>
          <w:color w:val="auto"/>
          <w:sz w:val="24"/>
          <w:szCs w:val="24"/>
          <w:lang w:val="en-US" w:eastAsia="zh-CN"/>
        </w:rPr>
        <w:t>中标人</w:t>
      </w:r>
      <w:r>
        <w:rPr>
          <w:rFonts w:hint="eastAsia" w:cs="宋体"/>
          <w:b w:val="0"/>
          <w:bCs/>
          <w:color w:val="auto"/>
          <w:sz w:val="24"/>
          <w:szCs w:val="24"/>
        </w:rPr>
        <w:t>能指派专业技术人员且到达采购人办公所在地，需在1个工作日内联系</w:t>
      </w:r>
      <w:r>
        <w:rPr>
          <w:rFonts w:hint="eastAsia" w:cs="宋体"/>
          <w:b w:val="0"/>
          <w:bCs/>
          <w:color w:val="auto"/>
          <w:sz w:val="24"/>
          <w:szCs w:val="24"/>
          <w:lang w:val="en-US" w:eastAsia="zh-CN"/>
        </w:rPr>
        <w:t>采购人</w:t>
      </w:r>
      <w:r>
        <w:rPr>
          <w:rFonts w:hint="eastAsia" w:cs="宋体"/>
          <w:b w:val="0"/>
          <w:bCs/>
          <w:color w:val="auto"/>
          <w:sz w:val="24"/>
          <w:szCs w:val="24"/>
        </w:rPr>
        <w:t>办理项目资料移交手续、任务委托单，并及时根据委托要求开展工作。</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cs="宋体"/>
          <w:b w:val="0"/>
          <w:bCs/>
          <w:color w:val="auto"/>
          <w:sz w:val="24"/>
          <w:szCs w:val="24"/>
        </w:rPr>
      </w:pPr>
      <w:r>
        <w:rPr>
          <w:rFonts w:hint="eastAsia" w:cs="宋体"/>
          <w:b w:val="0"/>
          <w:bCs/>
          <w:color w:val="auto"/>
          <w:sz w:val="24"/>
          <w:szCs w:val="24"/>
        </w:rPr>
        <w:t>4、具体工作要求</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cs="宋体"/>
          <w:b w:val="0"/>
          <w:bCs/>
          <w:color w:val="auto"/>
          <w:sz w:val="24"/>
          <w:szCs w:val="24"/>
        </w:rPr>
      </w:pPr>
      <w:r>
        <w:rPr>
          <w:rFonts w:hint="eastAsia" w:cs="宋体"/>
          <w:b w:val="0"/>
          <w:bCs/>
          <w:color w:val="auto"/>
          <w:sz w:val="24"/>
          <w:szCs w:val="24"/>
        </w:rPr>
        <w:t>（1）质量要求</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cs="宋体"/>
          <w:b w:val="0"/>
          <w:bCs/>
          <w:color w:val="auto"/>
          <w:sz w:val="24"/>
          <w:szCs w:val="24"/>
        </w:rPr>
      </w:pPr>
      <w:r>
        <w:rPr>
          <w:rFonts w:hint="eastAsia" w:cs="宋体"/>
          <w:b w:val="0"/>
          <w:bCs/>
          <w:color w:val="auto"/>
          <w:sz w:val="24"/>
          <w:szCs w:val="24"/>
        </w:rPr>
        <w:t>①</w:t>
      </w:r>
      <w:r>
        <w:rPr>
          <w:rFonts w:hint="eastAsia" w:cs="宋体"/>
          <w:b w:val="0"/>
          <w:bCs/>
          <w:color w:val="auto"/>
          <w:sz w:val="24"/>
          <w:szCs w:val="24"/>
          <w:lang w:val="en-US" w:eastAsia="zh-CN"/>
        </w:rPr>
        <w:t>中标人</w:t>
      </w:r>
      <w:r>
        <w:rPr>
          <w:rFonts w:hint="eastAsia" w:cs="宋体"/>
          <w:b w:val="0"/>
          <w:bCs/>
          <w:color w:val="auto"/>
          <w:sz w:val="24"/>
          <w:szCs w:val="24"/>
        </w:rPr>
        <w:t>应当公正、规范、全面、详细地开展评审工作。</w:t>
      </w:r>
    </w:p>
    <w:p>
      <w:pPr>
        <w:keepNext w:val="0"/>
        <w:keepLines w:val="0"/>
        <w:pageBreakBefore w:val="0"/>
        <w:kinsoku/>
        <w:wordWrap/>
        <w:overflowPunct/>
        <w:topLinePunct w:val="0"/>
        <w:autoSpaceDE/>
        <w:autoSpaceDN/>
        <w:bidi w:val="0"/>
        <w:adjustRightInd/>
        <w:snapToGrid/>
        <w:spacing w:line="360" w:lineRule="auto"/>
        <w:ind w:firstLine="480"/>
        <w:jc w:val="left"/>
        <w:textAlignment w:val="auto"/>
        <w:rPr>
          <w:rFonts w:hint="eastAsia" w:cs="宋体"/>
          <w:b w:val="0"/>
          <w:bCs/>
          <w:color w:val="auto"/>
          <w:sz w:val="24"/>
          <w:szCs w:val="24"/>
        </w:rPr>
      </w:pPr>
      <w:r>
        <w:rPr>
          <w:rFonts w:hint="eastAsia" w:cs="宋体"/>
          <w:b w:val="0"/>
          <w:bCs/>
          <w:color w:val="auto"/>
          <w:sz w:val="24"/>
          <w:szCs w:val="24"/>
        </w:rPr>
        <w:t>②评审报告</w:t>
      </w:r>
      <w:r>
        <w:rPr>
          <w:rFonts w:hint="eastAsia" w:cs="宋体"/>
          <w:b w:val="0"/>
          <w:bCs/>
          <w:color w:val="auto"/>
          <w:sz w:val="24"/>
          <w:szCs w:val="24"/>
          <w:lang w:val="en-US" w:eastAsia="zh-CN"/>
        </w:rPr>
        <w:t>按采购人统一文本格式出具，</w:t>
      </w:r>
      <w:r>
        <w:rPr>
          <w:rFonts w:hint="eastAsia" w:cs="宋体"/>
          <w:b w:val="0"/>
          <w:bCs/>
          <w:color w:val="auto"/>
          <w:sz w:val="24"/>
          <w:szCs w:val="24"/>
        </w:rPr>
        <w:t>一般应包含</w:t>
      </w:r>
      <w:r>
        <w:rPr>
          <w:rFonts w:hint="eastAsia" w:cs="宋体"/>
          <w:b w:val="0"/>
          <w:bCs/>
          <w:color w:val="auto"/>
          <w:sz w:val="24"/>
          <w:szCs w:val="24"/>
          <w:lang w:val="en-US" w:eastAsia="zh-CN"/>
        </w:rPr>
        <w:t>但不限于</w:t>
      </w:r>
      <w:r>
        <w:rPr>
          <w:rFonts w:hint="eastAsia" w:cs="宋体"/>
          <w:b w:val="0"/>
          <w:bCs/>
          <w:color w:val="auto"/>
          <w:sz w:val="24"/>
          <w:szCs w:val="24"/>
        </w:rPr>
        <w:t>以下内容：工程项目的基本情况、评审范围和内容、评审依据、评审原则、评审方法及过程、评审结论等。评审报告还需包括审核对比表、具体审增（减）分析、建议意见等。</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cs="宋体"/>
          <w:b w:val="0"/>
          <w:bCs/>
          <w:color w:val="auto"/>
          <w:sz w:val="24"/>
          <w:szCs w:val="24"/>
        </w:rPr>
      </w:pPr>
      <w:r>
        <w:rPr>
          <w:rFonts w:hint="eastAsia" w:cs="宋体"/>
          <w:b w:val="0"/>
          <w:bCs/>
          <w:color w:val="auto"/>
          <w:sz w:val="24"/>
          <w:szCs w:val="24"/>
        </w:rPr>
        <w:t>（2）时间要求</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cs="宋体"/>
          <w:b w:val="0"/>
          <w:bCs/>
          <w:color w:val="auto"/>
          <w:sz w:val="24"/>
          <w:szCs w:val="24"/>
        </w:rPr>
      </w:pPr>
      <w:r>
        <w:rPr>
          <w:rFonts w:hint="eastAsia" w:cs="宋体"/>
          <w:b w:val="0"/>
          <w:bCs/>
          <w:color w:val="auto"/>
          <w:sz w:val="24"/>
          <w:szCs w:val="24"/>
          <w:lang w:val="en-US" w:eastAsia="zh-CN"/>
        </w:rPr>
        <w:t>中标人</w:t>
      </w:r>
      <w:r>
        <w:rPr>
          <w:rFonts w:hint="eastAsia" w:cs="宋体"/>
          <w:b w:val="0"/>
          <w:bCs/>
          <w:color w:val="auto"/>
          <w:sz w:val="24"/>
          <w:szCs w:val="24"/>
        </w:rPr>
        <w:t>应按照</w:t>
      </w:r>
      <w:r>
        <w:rPr>
          <w:rFonts w:hint="eastAsia" w:cs="宋体"/>
          <w:b w:val="0"/>
          <w:bCs/>
          <w:color w:val="auto"/>
          <w:sz w:val="24"/>
          <w:szCs w:val="24"/>
          <w:lang w:eastAsia="zh-CN"/>
        </w:rPr>
        <w:t>采购人</w:t>
      </w:r>
      <w:r>
        <w:rPr>
          <w:rFonts w:hint="eastAsia" w:cs="宋体"/>
          <w:b w:val="0"/>
          <w:bCs/>
          <w:color w:val="auto"/>
          <w:sz w:val="24"/>
          <w:szCs w:val="24"/>
        </w:rPr>
        <w:t>委托要求，在规定时间内完成报告编制工作：</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cs="宋体"/>
          <w:b w:val="0"/>
          <w:bCs/>
          <w:color w:val="auto"/>
          <w:sz w:val="24"/>
          <w:szCs w:val="24"/>
        </w:rPr>
      </w:pPr>
      <w:r>
        <w:rPr>
          <w:rFonts w:hint="eastAsia" w:cs="宋体"/>
          <w:b w:val="0"/>
          <w:bCs/>
          <w:color w:val="auto"/>
          <w:sz w:val="24"/>
          <w:szCs w:val="24"/>
        </w:rPr>
        <w:t>造价咨询评审，</w:t>
      </w:r>
      <w:r>
        <w:rPr>
          <w:rFonts w:hint="eastAsia" w:cs="宋体"/>
          <w:b w:val="0"/>
          <w:bCs/>
          <w:color w:val="auto"/>
          <w:sz w:val="24"/>
          <w:szCs w:val="24"/>
          <w:lang w:val="en-US" w:eastAsia="zh-CN"/>
        </w:rPr>
        <w:t>采购人委托后</w:t>
      </w:r>
      <w:r>
        <w:rPr>
          <w:rFonts w:hint="eastAsia" w:cs="宋体"/>
          <w:b w:val="0"/>
          <w:bCs/>
          <w:color w:val="auto"/>
          <w:sz w:val="24"/>
          <w:szCs w:val="24"/>
        </w:rPr>
        <w:t>5个工作日内完成初审（量价计算、现场踏勘、初步对量并出具机构意见函、项目交底、问题答复），待对量、核价双方无异议、评审机构出具初步成果后，在5个工作日内完成评审结果复核（包括出具评审报告），对个别技术复杂、投资较大的项目原则上可延长5个工作日。因项目情况复杂等原因确需延长时间的，须书面征求</w:t>
      </w:r>
      <w:r>
        <w:rPr>
          <w:rFonts w:hint="eastAsia" w:cs="宋体"/>
          <w:b w:val="0"/>
          <w:bCs/>
          <w:color w:val="auto"/>
          <w:sz w:val="24"/>
          <w:szCs w:val="24"/>
          <w:lang w:val="en-US" w:eastAsia="zh-CN"/>
        </w:rPr>
        <w:t>采购人</w:t>
      </w:r>
      <w:r>
        <w:rPr>
          <w:rFonts w:hint="eastAsia" w:cs="宋体"/>
          <w:b w:val="0"/>
          <w:bCs/>
          <w:color w:val="auto"/>
          <w:sz w:val="24"/>
          <w:szCs w:val="24"/>
        </w:rPr>
        <w:t>同意后方可延长时间。</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cs="宋体"/>
          <w:b w:val="0"/>
          <w:bCs/>
          <w:color w:val="auto"/>
          <w:sz w:val="24"/>
          <w:szCs w:val="24"/>
        </w:rPr>
      </w:pPr>
      <w:r>
        <w:rPr>
          <w:rFonts w:hint="eastAsia" w:cs="宋体"/>
          <w:b w:val="0"/>
          <w:bCs/>
          <w:color w:val="auto"/>
          <w:sz w:val="24"/>
          <w:szCs w:val="24"/>
        </w:rPr>
        <w:t>工程咨询评审，</w:t>
      </w:r>
      <w:r>
        <w:rPr>
          <w:rFonts w:hint="eastAsia" w:cs="宋体"/>
          <w:b w:val="0"/>
          <w:bCs/>
          <w:color w:val="auto"/>
          <w:sz w:val="24"/>
          <w:szCs w:val="24"/>
          <w:lang w:val="en-US" w:eastAsia="zh-CN"/>
        </w:rPr>
        <w:t>采购人委托后</w:t>
      </w:r>
      <w:r>
        <w:rPr>
          <w:rFonts w:hint="eastAsia" w:cs="宋体"/>
          <w:b w:val="0"/>
          <w:bCs/>
          <w:color w:val="auto"/>
          <w:sz w:val="24"/>
          <w:szCs w:val="24"/>
        </w:rPr>
        <w:t>5个工作日内完成初审（完成现场踏勘、召开评审会并出具专家意见），</w:t>
      </w:r>
      <w:r>
        <w:rPr>
          <w:rFonts w:hint="eastAsia" w:cs="宋体"/>
          <w:b w:val="0"/>
          <w:bCs/>
          <w:color w:val="auto"/>
          <w:sz w:val="24"/>
          <w:szCs w:val="24"/>
          <w:lang w:val="en-US" w:eastAsia="zh-CN"/>
        </w:rPr>
        <w:t>5</w:t>
      </w:r>
      <w:r>
        <w:rPr>
          <w:rFonts w:hint="eastAsia" w:cs="宋体"/>
          <w:b w:val="0"/>
          <w:bCs/>
          <w:color w:val="auto"/>
          <w:sz w:val="24"/>
          <w:szCs w:val="24"/>
        </w:rPr>
        <w:t>个工作日内完成</w:t>
      </w:r>
      <w:r>
        <w:rPr>
          <w:rFonts w:hint="eastAsia" w:cs="宋体"/>
          <w:b w:val="0"/>
          <w:bCs/>
          <w:color w:val="auto"/>
          <w:sz w:val="24"/>
          <w:szCs w:val="24"/>
          <w:lang w:val="en-US" w:eastAsia="zh-CN"/>
        </w:rPr>
        <w:t>采购人</w:t>
      </w:r>
      <w:r>
        <w:rPr>
          <w:rFonts w:hint="eastAsia" w:cs="宋体"/>
          <w:b w:val="0"/>
          <w:bCs/>
          <w:color w:val="auto"/>
          <w:sz w:val="24"/>
          <w:szCs w:val="24"/>
        </w:rPr>
        <w:t>已修订完善的可行性研究报告复核（包括出具评审报告），个别技术复杂、投资较大的项目原则上可延长5个工作日。因项目情况复杂等原因确需延长时间的，须书面征求</w:t>
      </w:r>
      <w:r>
        <w:rPr>
          <w:rFonts w:hint="eastAsia" w:cs="宋体"/>
          <w:b w:val="0"/>
          <w:bCs/>
          <w:color w:val="auto"/>
          <w:sz w:val="24"/>
          <w:szCs w:val="24"/>
          <w:lang w:val="en-US" w:eastAsia="zh-CN"/>
        </w:rPr>
        <w:t>采购人</w:t>
      </w:r>
      <w:r>
        <w:rPr>
          <w:rFonts w:hint="eastAsia" w:cs="宋体"/>
          <w:b w:val="0"/>
          <w:bCs/>
          <w:color w:val="auto"/>
          <w:sz w:val="24"/>
          <w:szCs w:val="24"/>
        </w:rPr>
        <w:t>同意后方可延长时间。</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cs="宋体"/>
          <w:b w:val="0"/>
          <w:bCs/>
          <w:color w:val="auto"/>
          <w:sz w:val="24"/>
          <w:szCs w:val="24"/>
        </w:rPr>
      </w:pPr>
      <w:r>
        <w:rPr>
          <w:rFonts w:hint="eastAsia" w:cs="宋体"/>
          <w:b w:val="0"/>
          <w:bCs/>
          <w:color w:val="auto"/>
          <w:sz w:val="24"/>
          <w:szCs w:val="24"/>
        </w:rPr>
        <w:t>5、对</w:t>
      </w:r>
      <w:r>
        <w:rPr>
          <w:rFonts w:hint="eastAsia" w:cs="宋体"/>
          <w:b w:val="0"/>
          <w:bCs/>
          <w:color w:val="auto"/>
          <w:sz w:val="24"/>
          <w:szCs w:val="24"/>
          <w:lang w:val="en-US" w:eastAsia="zh-CN"/>
        </w:rPr>
        <w:t>中标人</w:t>
      </w:r>
      <w:r>
        <w:rPr>
          <w:rFonts w:hint="eastAsia" w:cs="宋体"/>
          <w:b w:val="0"/>
          <w:bCs/>
          <w:color w:val="auto"/>
          <w:sz w:val="24"/>
          <w:szCs w:val="24"/>
        </w:rPr>
        <w:t>的考评分日常单次考评、季度考评和年度综合考评</w:t>
      </w:r>
      <w:r>
        <w:rPr>
          <w:rFonts w:hint="eastAsia" w:cs="宋体"/>
          <w:b w:val="0"/>
          <w:bCs/>
          <w:color w:val="auto"/>
          <w:sz w:val="24"/>
          <w:szCs w:val="24"/>
          <w:lang w:eastAsia="zh-CN"/>
        </w:rPr>
        <w:t>（</w:t>
      </w:r>
      <w:r>
        <w:rPr>
          <w:rFonts w:hint="eastAsia" w:cs="宋体"/>
          <w:b w:val="0"/>
          <w:bCs/>
          <w:color w:val="auto"/>
          <w:sz w:val="24"/>
          <w:szCs w:val="24"/>
          <w:lang w:val="en-US" w:eastAsia="zh-CN"/>
        </w:rPr>
        <w:t>详见“</w:t>
      </w:r>
      <w:r>
        <w:rPr>
          <w:rFonts w:hint="eastAsia" w:cs="宋体"/>
          <w:b w:val="0"/>
          <w:bCs/>
          <w:color w:val="auto"/>
          <w:sz w:val="24"/>
          <w:szCs w:val="24"/>
        </w:rPr>
        <w:t>附件2</w:t>
      </w:r>
      <w:r>
        <w:rPr>
          <w:rFonts w:hint="eastAsia" w:cs="宋体"/>
          <w:b w:val="0"/>
          <w:bCs/>
          <w:color w:val="auto"/>
          <w:sz w:val="24"/>
          <w:szCs w:val="24"/>
          <w:lang w:val="en-US" w:eastAsia="zh-CN"/>
        </w:rPr>
        <w:t>”</w:t>
      </w:r>
      <w:r>
        <w:rPr>
          <w:rFonts w:hint="eastAsia" w:cs="宋体"/>
          <w:b w:val="0"/>
          <w:bCs/>
          <w:color w:val="auto"/>
          <w:sz w:val="24"/>
          <w:szCs w:val="24"/>
          <w:lang w:eastAsia="zh-CN"/>
        </w:rPr>
        <w:t>）</w:t>
      </w:r>
      <w:r>
        <w:rPr>
          <w:rFonts w:hint="eastAsia" w:cs="宋体"/>
          <w:b w:val="0"/>
          <w:bCs/>
          <w:color w:val="auto"/>
          <w:sz w:val="24"/>
          <w:szCs w:val="24"/>
        </w:rPr>
        <w:t>。日常单次考评、季度考评由成都市新都区政府投资项目评审中心进行评价打分，年度综合考评由</w:t>
      </w:r>
      <w:r>
        <w:rPr>
          <w:rFonts w:hint="eastAsia" w:cs="宋体"/>
          <w:b w:val="0"/>
          <w:bCs/>
          <w:color w:val="auto"/>
          <w:sz w:val="24"/>
          <w:szCs w:val="24"/>
          <w:lang w:val="en-US" w:eastAsia="zh-CN"/>
        </w:rPr>
        <w:t>成都市新都</w:t>
      </w:r>
      <w:r>
        <w:rPr>
          <w:rFonts w:hint="eastAsia" w:cs="宋体"/>
          <w:b w:val="0"/>
          <w:bCs/>
          <w:color w:val="auto"/>
          <w:sz w:val="24"/>
          <w:szCs w:val="24"/>
        </w:rPr>
        <w:t>区发展和改革局结合日常考核和季度考核结果进行年度综合评价打分。</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cs="宋体"/>
          <w:b w:val="0"/>
          <w:bCs/>
          <w:color w:val="auto"/>
          <w:sz w:val="24"/>
          <w:szCs w:val="24"/>
        </w:rPr>
      </w:pPr>
      <w:r>
        <w:rPr>
          <w:rFonts w:hint="eastAsia" w:cs="宋体"/>
          <w:b w:val="0"/>
          <w:bCs/>
          <w:color w:val="auto"/>
          <w:sz w:val="24"/>
          <w:szCs w:val="24"/>
        </w:rPr>
        <w:t>考核内容包括：服务效率、服务质量、后续支持、违法违规、违反合同等。</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cs="宋体"/>
          <w:b w:val="0"/>
          <w:bCs/>
          <w:color w:val="auto"/>
          <w:sz w:val="24"/>
          <w:szCs w:val="24"/>
        </w:rPr>
      </w:pPr>
      <w:r>
        <w:rPr>
          <w:rFonts w:hint="eastAsia" w:cs="宋体"/>
          <w:b w:val="0"/>
          <w:bCs/>
          <w:color w:val="auto"/>
          <w:sz w:val="24"/>
          <w:szCs w:val="24"/>
        </w:rPr>
        <w:t>全年考评结果将作为淘汰、重新选择中介机构等工作的重要依据。</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cs="宋体"/>
          <w:b w:val="0"/>
          <w:bCs/>
          <w:color w:val="auto"/>
          <w:sz w:val="24"/>
          <w:szCs w:val="24"/>
        </w:rPr>
      </w:pPr>
      <w:r>
        <w:rPr>
          <w:rFonts w:hint="eastAsia" w:cs="宋体"/>
          <w:b w:val="0"/>
          <w:bCs/>
          <w:color w:val="auto"/>
          <w:sz w:val="24"/>
          <w:szCs w:val="24"/>
        </w:rPr>
        <w:t>投标人须承诺</w:t>
      </w:r>
      <w:r>
        <w:rPr>
          <w:rFonts w:hint="eastAsia" w:cs="宋体"/>
          <w:b w:val="0"/>
          <w:bCs/>
          <w:color w:val="auto"/>
          <w:sz w:val="24"/>
          <w:szCs w:val="24"/>
          <w:lang w:val="en-US" w:eastAsia="zh-CN"/>
        </w:rPr>
        <w:t>接受采购人</w:t>
      </w:r>
      <w:r>
        <w:rPr>
          <w:rFonts w:hint="eastAsia" w:cs="宋体"/>
          <w:b w:val="0"/>
          <w:bCs/>
          <w:color w:val="auto"/>
          <w:sz w:val="24"/>
          <w:szCs w:val="24"/>
        </w:rPr>
        <w:t>的考核办法。</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firstLine="420" w:firstLineChars="175"/>
        <w:jc w:val="left"/>
        <w:textAlignment w:val="auto"/>
        <w:rPr>
          <w:rFonts w:hint="eastAsia" w:cs="宋体"/>
          <w:b w:val="0"/>
          <w:bCs/>
          <w:color w:val="auto"/>
          <w:sz w:val="24"/>
          <w:szCs w:val="24"/>
          <w:lang w:eastAsia="zh-CN"/>
        </w:rPr>
      </w:pPr>
      <w:r>
        <w:rPr>
          <w:rFonts w:hint="eastAsia" w:cs="宋体"/>
          <w:b w:val="0"/>
          <w:bCs/>
          <w:color w:val="auto"/>
          <w:sz w:val="24"/>
          <w:szCs w:val="24"/>
          <w:lang w:eastAsia="zh-CN"/>
        </w:rPr>
        <w:t>（六）履约能力要求</w:t>
      </w:r>
      <w:r>
        <w:rPr>
          <w:rFonts w:hint="eastAsia" w:cs="宋体"/>
          <w:b w:val="0"/>
          <w:bCs/>
          <w:color w:val="auto"/>
          <w:sz w:val="24"/>
          <w:szCs w:val="24"/>
        </w:rPr>
        <w:t>（第1包、第2包共同适用）</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cs="宋体"/>
          <w:b w:val="0"/>
          <w:bCs/>
          <w:color w:val="auto"/>
          <w:sz w:val="24"/>
          <w:szCs w:val="24"/>
          <w:lang w:eastAsia="zh-CN"/>
        </w:rPr>
      </w:pPr>
      <w:r>
        <w:rPr>
          <w:rFonts w:hint="eastAsia" w:cs="宋体"/>
          <w:b w:val="0"/>
          <w:bCs/>
          <w:color w:val="auto"/>
          <w:sz w:val="24"/>
          <w:szCs w:val="24"/>
          <w:lang w:eastAsia="zh-CN"/>
        </w:rPr>
        <w:t>1、匹配与采购人工作相关的专业服务团队；</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cs="宋体"/>
          <w:b w:val="0"/>
          <w:bCs/>
          <w:color w:val="auto"/>
          <w:sz w:val="24"/>
          <w:szCs w:val="24"/>
          <w:lang w:eastAsia="zh-CN"/>
        </w:rPr>
      </w:pPr>
      <w:r>
        <w:rPr>
          <w:rFonts w:hint="eastAsia" w:cs="宋体"/>
          <w:b w:val="0"/>
          <w:bCs/>
          <w:color w:val="auto"/>
          <w:sz w:val="24"/>
          <w:szCs w:val="24"/>
          <w:lang w:eastAsia="zh-CN"/>
        </w:rPr>
        <w:t>2、具有健全</w:t>
      </w:r>
      <w:r>
        <w:rPr>
          <w:rFonts w:hint="eastAsia" w:cs="宋体"/>
          <w:b w:val="0"/>
          <w:bCs/>
          <w:color w:val="auto"/>
          <w:sz w:val="24"/>
          <w:szCs w:val="24"/>
          <w:lang w:val="en-US" w:eastAsia="zh-CN"/>
        </w:rPr>
        <w:t>内部控制</w:t>
      </w:r>
      <w:r>
        <w:rPr>
          <w:rFonts w:hint="eastAsia" w:cs="宋体"/>
          <w:b w:val="0"/>
          <w:bCs/>
          <w:color w:val="auto"/>
          <w:sz w:val="24"/>
          <w:szCs w:val="24"/>
          <w:lang w:eastAsia="zh-CN"/>
        </w:rPr>
        <w:t>制度及质量保障体系；</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cs="宋体"/>
          <w:b w:val="0"/>
          <w:bCs/>
          <w:color w:val="auto"/>
          <w:sz w:val="24"/>
          <w:szCs w:val="24"/>
          <w:lang w:eastAsia="zh-CN"/>
        </w:rPr>
      </w:pPr>
      <w:r>
        <w:rPr>
          <w:rFonts w:hint="eastAsia" w:cs="宋体"/>
          <w:b w:val="0"/>
          <w:bCs/>
          <w:color w:val="auto"/>
          <w:sz w:val="24"/>
          <w:szCs w:val="24"/>
          <w:lang w:eastAsia="zh-CN"/>
        </w:rPr>
        <w:t>3、具备开展服务工作有关的办公设备、设施；</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eastAsia="宋体" w:cs="宋体"/>
          <w:b w:val="0"/>
          <w:bCs/>
          <w:color w:val="auto"/>
          <w:sz w:val="24"/>
          <w:szCs w:val="24"/>
          <w:lang w:eastAsia="zh-CN"/>
        </w:rPr>
      </w:pPr>
      <w:r>
        <w:rPr>
          <w:rFonts w:hint="eastAsia" w:cs="宋体"/>
          <w:b w:val="0"/>
          <w:bCs/>
          <w:color w:val="auto"/>
          <w:sz w:val="24"/>
          <w:szCs w:val="24"/>
          <w:lang w:eastAsia="zh-CN"/>
        </w:rPr>
        <w:t>4、具有及响应服务时限的能力，并按照采购人工作要求提供相应人员配置。</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firstLine="420" w:firstLineChars="175"/>
        <w:jc w:val="left"/>
        <w:textAlignment w:val="auto"/>
        <w:rPr>
          <w:rFonts w:hint="eastAsia" w:cs="宋体"/>
          <w:b w:val="0"/>
          <w:bCs/>
          <w:color w:val="auto"/>
          <w:sz w:val="24"/>
          <w:szCs w:val="24"/>
          <w:lang w:val="en-US" w:eastAsia="zh-CN"/>
        </w:rPr>
      </w:pPr>
      <w:r>
        <w:rPr>
          <w:rFonts w:hint="eastAsia" w:cs="宋体"/>
          <w:b w:val="0"/>
          <w:bCs/>
          <w:color w:val="auto"/>
          <w:sz w:val="24"/>
          <w:szCs w:val="24"/>
          <w:lang w:eastAsia="zh-CN"/>
        </w:rPr>
        <w:t>★</w:t>
      </w:r>
      <w:r>
        <w:rPr>
          <w:rFonts w:hint="eastAsia" w:cs="宋体"/>
          <w:b w:val="0"/>
          <w:bCs/>
          <w:color w:val="auto"/>
          <w:sz w:val="24"/>
          <w:szCs w:val="24"/>
          <w:lang w:val="en-US" w:eastAsia="zh-CN"/>
        </w:rPr>
        <w:t>（七）报价要求</w:t>
      </w:r>
      <w:r>
        <w:rPr>
          <w:rFonts w:hint="eastAsia" w:cs="宋体"/>
          <w:b w:val="0"/>
          <w:bCs/>
          <w:color w:val="auto"/>
          <w:sz w:val="24"/>
          <w:szCs w:val="24"/>
        </w:rPr>
        <w:t>（第1包、第2包共同适用）</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b w:val="0"/>
          <w:bCs/>
          <w:color w:val="auto"/>
          <w:sz w:val="24"/>
          <w:szCs w:val="24"/>
          <w:lang w:val="en-US" w:eastAsia="zh-CN"/>
        </w:rPr>
      </w:pPr>
      <w:r>
        <w:rPr>
          <w:rFonts w:hint="eastAsia" w:cs="宋体"/>
          <w:b w:val="0"/>
          <w:bCs/>
          <w:color w:val="auto"/>
          <w:sz w:val="24"/>
          <w:szCs w:val="24"/>
          <w:highlight w:val="none"/>
          <w:lang w:val="en-US" w:eastAsia="zh-CN"/>
        </w:rPr>
        <w:t>本项目采用固定价格进行采购，投标人须按照《</w:t>
      </w:r>
      <w:r>
        <w:rPr>
          <w:rFonts w:hint="eastAsia" w:ascii="宋体" w:hAnsi="宋体" w:cs="宋体"/>
          <w:b w:val="0"/>
          <w:bCs/>
          <w:color w:val="auto"/>
          <w:sz w:val="24"/>
          <w:szCs w:val="24"/>
          <w:highlight w:val="none"/>
          <w:lang w:eastAsia="zh-CN"/>
        </w:rPr>
        <w:t>咨询机构费用管理</w:t>
      </w:r>
      <w:r>
        <w:rPr>
          <w:rFonts w:hint="eastAsia" w:ascii="宋体" w:hAnsi="宋体" w:cs="宋体"/>
          <w:b w:val="0"/>
          <w:bCs/>
          <w:color w:val="auto"/>
          <w:sz w:val="24"/>
          <w:szCs w:val="24"/>
          <w:highlight w:val="none"/>
          <w:lang w:val="en-US" w:eastAsia="zh-CN"/>
        </w:rPr>
        <w:t>》（详见“</w:t>
      </w:r>
      <w:r>
        <w:rPr>
          <w:rFonts w:hint="eastAsia" w:cs="宋体"/>
          <w:b w:val="0"/>
          <w:bCs/>
          <w:color w:val="auto"/>
          <w:sz w:val="24"/>
          <w:szCs w:val="24"/>
          <w:highlight w:val="none"/>
          <w:lang w:val="en-US" w:eastAsia="zh-CN"/>
        </w:rPr>
        <w:t>附件3</w:t>
      </w:r>
      <w:r>
        <w:rPr>
          <w:rFonts w:hint="eastAsia" w:ascii="宋体" w:hAnsi="宋体" w:cs="宋体"/>
          <w:b w:val="0"/>
          <w:bCs/>
          <w:color w:val="auto"/>
          <w:sz w:val="24"/>
          <w:szCs w:val="24"/>
          <w:highlight w:val="none"/>
          <w:lang w:val="en-US" w:eastAsia="zh-CN"/>
        </w:rPr>
        <w:t>”）计费标准的100%计取。报价时，在开标一览表中承诺响应。</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firstLine="420" w:firstLineChars="175"/>
        <w:jc w:val="left"/>
        <w:textAlignment w:val="auto"/>
        <w:rPr>
          <w:rFonts w:hint="eastAsia" w:cs="宋体"/>
          <w:b w:val="0"/>
          <w:bCs/>
          <w:color w:val="auto"/>
          <w:sz w:val="24"/>
          <w:szCs w:val="24"/>
          <w:lang w:eastAsia="zh-CN"/>
        </w:rPr>
      </w:pPr>
      <w:r>
        <w:rPr>
          <w:rFonts w:hint="eastAsia" w:cs="宋体"/>
          <w:b w:val="0"/>
          <w:bCs/>
          <w:color w:val="auto"/>
          <w:sz w:val="24"/>
          <w:szCs w:val="24"/>
          <w:lang w:eastAsia="zh-CN"/>
        </w:rPr>
        <w:t>（</w:t>
      </w:r>
      <w:r>
        <w:rPr>
          <w:rFonts w:hint="eastAsia" w:cs="宋体"/>
          <w:b w:val="0"/>
          <w:bCs/>
          <w:color w:val="auto"/>
          <w:sz w:val="24"/>
          <w:szCs w:val="24"/>
          <w:lang w:val="en-US" w:eastAsia="zh-CN"/>
        </w:rPr>
        <w:t>八</w:t>
      </w:r>
      <w:r>
        <w:rPr>
          <w:rFonts w:hint="eastAsia" w:cs="宋体"/>
          <w:b w:val="0"/>
          <w:bCs/>
          <w:color w:val="auto"/>
          <w:sz w:val="24"/>
          <w:szCs w:val="24"/>
          <w:lang w:eastAsia="zh-CN"/>
        </w:rPr>
        <w:t>）其他要求</w:t>
      </w:r>
      <w:r>
        <w:rPr>
          <w:rFonts w:hint="eastAsia" w:cs="宋体"/>
          <w:b w:val="0"/>
          <w:bCs/>
          <w:color w:val="auto"/>
          <w:sz w:val="24"/>
          <w:szCs w:val="24"/>
        </w:rPr>
        <w:t>（第1包、第2包共同适用）</w:t>
      </w:r>
      <w:r>
        <w:rPr>
          <w:rFonts w:hint="eastAsia" w:cs="宋体"/>
          <w:b w:val="0"/>
          <w:bCs/>
          <w:color w:val="auto"/>
          <w:sz w:val="24"/>
          <w:szCs w:val="24"/>
          <w:lang w:eastAsia="zh-CN"/>
        </w:rPr>
        <w:t xml:space="preserve"> </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heme="minorEastAsia" w:hAnsiTheme="minorEastAsia" w:eastAsiaTheme="minorEastAsia" w:cstheme="minorEastAsia"/>
          <w:color w:val="auto"/>
        </w:rPr>
      </w:pPr>
      <w:r>
        <w:rPr>
          <w:rFonts w:hint="eastAsia" w:cs="宋体"/>
          <w:b w:val="0"/>
          <w:bCs/>
          <w:color w:val="auto"/>
          <w:sz w:val="24"/>
          <w:szCs w:val="24"/>
          <w:lang w:eastAsia="zh-CN"/>
        </w:rPr>
        <w:t>按照国家相关法律法规和采购人的规定和要求，客观、公正、廉洁、科学地开展评审（评价）咨询等工作，并承担相应的法律责任。</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b/>
          <w:bCs/>
          <w:color w:val="auto"/>
          <w:sz w:val="24"/>
          <w:szCs w:val="24"/>
          <w:lang w:eastAsia="zh-CN"/>
        </w:rPr>
        <w:t>三、</w:t>
      </w:r>
      <w:r>
        <w:rPr>
          <w:rFonts w:hint="eastAsia" w:asciiTheme="minorEastAsia" w:hAnsiTheme="minorEastAsia" w:eastAsiaTheme="minorEastAsia" w:cstheme="minorEastAsia"/>
          <w:b/>
          <w:bCs/>
          <w:color w:val="auto"/>
          <w:sz w:val="24"/>
          <w:szCs w:val="24"/>
        </w:rPr>
        <w:t>商务要求</w:t>
      </w:r>
      <w:r>
        <w:rPr>
          <w:rFonts w:hint="eastAsia" w:asciiTheme="minorEastAsia" w:hAnsiTheme="minorEastAsia" w:eastAsiaTheme="minorEastAsia" w:cstheme="minorEastAsia"/>
          <w:b/>
          <w:bCs/>
          <w:color w:val="auto"/>
          <w:sz w:val="24"/>
          <w:szCs w:val="24"/>
          <w:lang w:eastAsia="zh-CN"/>
        </w:rPr>
        <w:t>（第</w:t>
      </w:r>
      <w:r>
        <w:rPr>
          <w:rFonts w:hint="eastAsia" w:asciiTheme="minorEastAsia" w:hAnsiTheme="minorEastAsia" w:eastAsiaTheme="minorEastAsia" w:cstheme="minorEastAsia"/>
          <w:b/>
          <w:bCs/>
          <w:color w:val="auto"/>
          <w:sz w:val="24"/>
          <w:szCs w:val="24"/>
          <w:lang w:val="en-US" w:eastAsia="zh-CN"/>
        </w:rPr>
        <w:t>1包、第2包共同适用</w:t>
      </w:r>
      <w:r>
        <w:rPr>
          <w:rFonts w:hint="eastAsia" w:asciiTheme="minorEastAsia" w:hAnsiTheme="minorEastAsia" w:eastAsiaTheme="minorEastAsia" w:cstheme="minorEastAsia"/>
          <w:b/>
          <w:bCs/>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1、服务期限：服务期3年，合同一年一签。</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2、服务区域：</w:t>
      </w:r>
      <w:r>
        <w:rPr>
          <w:rFonts w:hint="eastAsia" w:asciiTheme="minorEastAsia" w:hAnsiTheme="minorEastAsia" w:eastAsiaTheme="minorEastAsia" w:cstheme="minorEastAsia"/>
          <w:b w:val="0"/>
          <w:bCs/>
          <w:color w:val="auto"/>
          <w:sz w:val="24"/>
          <w:szCs w:val="24"/>
          <w:lang w:val="en-US" w:eastAsia="zh-CN"/>
        </w:rPr>
        <w:t>成都市</w:t>
      </w:r>
      <w:r>
        <w:rPr>
          <w:rFonts w:hint="eastAsia" w:asciiTheme="minorEastAsia" w:hAnsiTheme="minorEastAsia" w:eastAsiaTheme="minorEastAsia" w:cstheme="minorEastAsia"/>
          <w:b w:val="0"/>
          <w:bCs w:val="0"/>
          <w:color w:val="auto"/>
          <w:sz w:val="24"/>
          <w:szCs w:val="24"/>
        </w:rPr>
        <w:t>新都区范围内。</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color w:val="auto"/>
          <w:sz w:val="24"/>
          <w:szCs w:val="24"/>
        </w:rPr>
      </w:pPr>
      <w:bookmarkStart w:id="131" w:name="_Toc11723"/>
      <w:bookmarkStart w:id="132" w:name="_Toc267320050"/>
      <w:r>
        <w:rPr>
          <w:rFonts w:hint="eastAsia" w:asciiTheme="minorEastAsia" w:hAnsiTheme="minorEastAsia" w:eastAsiaTheme="minorEastAsia" w:cstheme="minorEastAsia"/>
          <w:b w:val="0"/>
          <w:bCs/>
          <w:color w:val="auto"/>
          <w:sz w:val="24"/>
          <w:szCs w:val="24"/>
          <w:lang w:val="en-US" w:eastAsia="zh-CN"/>
        </w:rPr>
        <w:t>★</w:t>
      </w:r>
      <w:r>
        <w:rPr>
          <w:rFonts w:hint="eastAsia" w:asciiTheme="minorEastAsia" w:hAnsiTheme="minorEastAsia" w:eastAsiaTheme="minorEastAsia" w:cstheme="minorEastAsia"/>
          <w:b w:val="0"/>
          <w:bCs/>
          <w:color w:val="auto"/>
          <w:sz w:val="24"/>
          <w:szCs w:val="24"/>
        </w:rPr>
        <w:t>3、</w:t>
      </w:r>
      <w:bookmarkEnd w:id="131"/>
      <w:r>
        <w:rPr>
          <w:rFonts w:hint="eastAsia" w:asciiTheme="minorEastAsia" w:hAnsiTheme="minorEastAsia" w:eastAsiaTheme="minorEastAsia" w:cstheme="minorEastAsia"/>
          <w:b w:val="0"/>
          <w:bCs/>
          <w:color w:val="auto"/>
          <w:sz w:val="24"/>
          <w:szCs w:val="24"/>
        </w:rPr>
        <w:t>付款方式：</w:t>
      </w:r>
      <w:r>
        <w:rPr>
          <w:rFonts w:hint="eastAsia" w:asciiTheme="minorEastAsia" w:hAnsiTheme="minorEastAsia" w:eastAsiaTheme="minorEastAsia" w:cstheme="minorEastAsia"/>
          <w:b w:val="0"/>
          <w:bCs/>
          <w:color w:val="auto"/>
          <w:sz w:val="24"/>
          <w:szCs w:val="24"/>
          <w:lang w:val="en-US" w:eastAsia="zh-CN"/>
        </w:rPr>
        <w:t>投标人接受并服从采购人已制定或修订的费用标准</w:t>
      </w:r>
      <w:r>
        <w:rPr>
          <w:rFonts w:hint="eastAsia" w:asciiTheme="minorEastAsia" w:hAnsiTheme="minorEastAsia" w:eastAsiaTheme="minorEastAsia" w:cstheme="minorEastAsia"/>
          <w:b w:val="0"/>
          <w:bCs/>
          <w:color w:val="auto"/>
          <w:sz w:val="24"/>
          <w:szCs w:val="24"/>
          <w:lang w:eastAsia="zh-CN"/>
        </w:rPr>
        <w:t>《咨询机构费用管理》</w:t>
      </w:r>
      <w:r>
        <w:rPr>
          <w:rFonts w:hint="eastAsia" w:asciiTheme="minorEastAsia" w:hAnsiTheme="minorEastAsia" w:eastAsiaTheme="minorEastAsia" w:cstheme="minorEastAsia"/>
          <w:b w:val="0"/>
          <w:bCs/>
          <w:color w:val="auto"/>
          <w:sz w:val="24"/>
          <w:szCs w:val="24"/>
          <w:lang w:val="en-US" w:eastAsia="zh-CN"/>
        </w:rPr>
        <w:t>（详见</w:t>
      </w:r>
      <w:r>
        <w:rPr>
          <w:rFonts w:hint="eastAsia" w:asciiTheme="minorEastAsia" w:hAnsiTheme="minorEastAsia" w:cstheme="minorEastAsia"/>
          <w:b w:val="0"/>
          <w:bCs/>
          <w:color w:val="auto"/>
          <w:sz w:val="24"/>
          <w:szCs w:val="24"/>
          <w:lang w:val="en-US" w:eastAsia="zh-CN"/>
        </w:rPr>
        <w:t>“</w:t>
      </w:r>
      <w:r>
        <w:rPr>
          <w:rFonts w:hint="eastAsia" w:asciiTheme="minorEastAsia" w:hAnsiTheme="minorEastAsia" w:eastAsiaTheme="minorEastAsia" w:cstheme="minorEastAsia"/>
          <w:b w:val="0"/>
          <w:bCs/>
          <w:color w:val="auto"/>
          <w:sz w:val="24"/>
          <w:szCs w:val="24"/>
          <w:lang w:eastAsia="zh-CN"/>
        </w:rPr>
        <w:t>附件3</w:t>
      </w:r>
      <w:r>
        <w:rPr>
          <w:rFonts w:hint="eastAsia" w:asciiTheme="minorEastAsia" w:hAnsiTheme="minorEastAsia" w:cstheme="minorEastAsia"/>
          <w:b w:val="0"/>
          <w:bCs/>
          <w:color w:val="auto"/>
          <w:sz w:val="24"/>
          <w:szCs w:val="24"/>
          <w:lang w:val="en-US" w:eastAsia="zh-CN"/>
        </w:rPr>
        <w:t>”</w:t>
      </w:r>
      <w:r>
        <w:rPr>
          <w:rFonts w:hint="eastAsia" w:asciiTheme="minorEastAsia" w:hAnsiTheme="minorEastAsia" w:eastAsiaTheme="minorEastAsia" w:cstheme="minorEastAsia"/>
          <w:b w:val="0"/>
          <w:bCs/>
          <w:color w:val="auto"/>
          <w:sz w:val="24"/>
          <w:szCs w:val="24"/>
          <w:lang w:val="en-US" w:eastAsia="zh-CN"/>
        </w:rPr>
        <w:t>）。支付方式和条件在委托服务合同中另行约定。</w:t>
      </w:r>
    </w:p>
    <w:bookmarkEnd w:id="132"/>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color w:val="auto"/>
          <w:sz w:val="24"/>
          <w:szCs w:val="24"/>
        </w:rPr>
      </w:pPr>
      <w:bookmarkStart w:id="133" w:name="_Toc19577"/>
      <w:r>
        <w:rPr>
          <w:rFonts w:hint="eastAsia" w:asciiTheme="minorEastAsia" w:hAnsiTheme="minorEastAsia" w:eastAsiaTheme="minorEastAsia" w:cstheme="minorEastAsia"/>
          <w:b w:val="0"/>
          <w:bCs/>
          <w:color w:val="auto"/>
          <w:sz w:val="24"/>
          <w:szCs w:val="24"/>
          <w:lang w:val="en-US" w:eastAsia="zh-CN"/>
        </w:rPr>
        <w:t>4</w:t>
      </w:r>
      <w:r>
        <w:rPr>
          <w:rFonts w:hint="eastAsia" w:asciiTheme="minorEastAsia" w:hAnsiTheme="minorEastAsia" w:eastAsiaTheme="minorEastAsia" w:cstheme="minorEastAsia"/>
          <w:b w:val="0"/>
          <w:bCs/>
          <w:color w:val="auto"/>
          <w:sz w:val="24"/>
          <w:szCs w:val="24"/>
        </w:rPr>
        <w:t>、后续服务要求</w:t>
      </w:r>
      <w:bookmarkEnd w:id="133"/>
      <w:r>
        <w:rPr>
          <w:rFonts w:hint="eastAsia" w:asciiTheme="minorEastAsia" w:hAnsiTheme="minorEastAsia" w:eastAsiaTheme="minorEastAsia" w:cstheme="minorEastAsia"/>
          <w:b w:val="0"/>
          <w:bCs/>
          <w:color w:val="auto"/>
          <w:sz w:val="24"/>
          <w:szCs w:val="24"/>
        </w:rPr>
        <w:t>：投标人需承诺在出具评审报告书后，接受</w:t>
      </w:r>
      <w:r>
        <w:rPr>
          <w:rFonts w:hint="eastAsia" w:asciiTheme="minorEastAsia" w:hAnsiTheme="minorEastAsia" w:cstheme="minorEastAsia"/>
          <w:b w:val="0"/>
          <w:bCs/>
          <w:color w:val="auto"/>
          <w:sz w:val="24"/>
          <w:szCs w:val="24"/>
          <w:lang w:val="en-US" w:eastAsia="zh-CN"/>
        </w:rPr>
        <w:t>采购人</w:t>
      </w:r>
      <w:r>
        <w:rPr>
          <w:rFonts w:hint="eastAsia" w:asciiTheme="minorEastAsia" w:hAnsiTheme="minorEastAsia" w:eastAsiaTheme="minorEastAsia" w:cstheme="minorEastAsia"/>
          <w:b w:val="0"/>
          <w:bCs/>
          <w:color w:val="auto"/>
          <w:sz w:val="24"/>
          <w:szCs w:val="24"/>
        </w:rPr>
        <w:t>进行后续包括咨询服务、各级巡查、抽查、复审等工作，若在各级巡查、抽查、复审等工作中发现有明显错误，</w:t>
      </w:r>
      <w:r>
        <w:rPr>
          <w:rFonts w:hint="eastAsia" w:asciiTheme="minorEastAsia" w:hAnsiTheme="minorEastAsia" w:cstheme="minorEastAsia"/>
          <w:b w:val="0"/>
          <w:bCs/>
          <w:color w:val="auto"/>
          <w:sz w:val="24"/>
          <w:szCs w:val="24"/>
          <w:lang w:val="en-US" w:eastAsia="zh-CN"/>
        </w:rPr>
        <w:t>采购人</w:t>
      </w:r>
      <w:r>
        <w:rPr>
          <w:rFonts w:hint="eastAsia" w:asciiTheme="minorEastAsia" w:hAnsiTheme="minorEastAsia" w:eastAsiaTheme="minorEastAsia" w:cstheme="minorEastAsia"/>
          <w:b w:val="0"/>
          <w:bCs/>
          <w:color w:val="auto"/>
          <w:sz w:val="24"/>
          <w:szCs w:val="24"/>
        </w:rPr>
        <w:t>将按照相关法律法规进行处理。</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color w:val="auto"/>
          <w:sz w:val="24"/>
          <w:szCs w:val="24"/>
        </w:rPr>
      </w:pPr>
      <w:bookmarkStart w:id="134" w:name="_Toc8769"/>
      <w:bookmarkStart w:id="135" w:name="_Toc267320052"/>
      <w:r>
        <w:rPr>
          <w:rFonts w:hint="eastAsia" w:asciiTheme="minorEastAsia" w:hAnsiTheme="minorEastAsia" w:eastAsiaTheme="minorEastAsia" w:cstheme="minorEastAsia"/>
          <w:b w:val="0"/>
          <w:bCs/>
          <w:color w:val="auto"/>
          <w:sz w:val="24"/>
          <w:szCs w:val="24"/>
          <w:lang w:val="en-US" w:eastAsia="zh-CN"/>
        </w:rPr>
        <w:t>5</w:t>
      </w:r>
      <w:r>
        <w:rPr>
          <w:rFonts w:hint="eastAsia" w:asciiTheme="minorEastAsia" w:hAnsiTheme="minorEastAsia" w:eastAsiaTheme="minorEastAsia" w:cstheme="minorEastAsia"/>
          <w:b w:val="0"/>
          <w:bCs/>
          <w:color w:val="auto"/>
          <w:sz w:val="24"/>
          <w:szCs w:val="24"/>
        </w:rPr>
        <w:t>、知识产权</w:t>
      </w:r>
      <w:bookmarkEnd w:id="134"/>
      <w:bookmarkEnd w:id="135"/>
      <w:r>
        <w:rPr>
          <w:rFonts w:hint="eastAsia" w:asciiTheme="minorEastAsia" w:hAnsiTheme="minorEastAsia" w:eastAsiaTheme="minorEastAsia" w:cstheme="minorEastAsia"/>
          <w:b w:val="0"/>
          <w:bCs/>
          <w:color w:val="auto"/>
          <w:sz w:val="24"/>
          <w:szCs w:val="24"/>
        </w:rPr>
        <w:t>：采购人在中华人民共和国境内使用投标人提供的服务时免受第三方提出的侵犯其专利权或其它知识产权的起诉。如果第三方提出侵权指控，中标人应承担由此而引起的一切法律责任和费用。</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color w:val="auto"/>
          <w:sz w:val="24"/>
          <w:szCs w:val="24"/>
          <w:lang w:val="en-US" w:eastAsia="zh-CN"/>
        </w:rPr>
      </w:pPr>
      <w:r>
        <w:rPr>
          <w:rFonts w:hint="eastAsia" w:asciiTheme="minorEastAsia" w:hAnsiTheme="minorEastAsia" w:eastAsiaTheme="minorEastAsia" w:cstheme="minorEastAsia"/>
          <w:b w:val="0"/>
          <w:color w:val="auto"/>
          <w:sz w:val="24"/>
          <w:szCs w:val="24"/>
          <w:lang w:val="en-US" w:eastAsia="zh-CN"/>
        </w:rPr>
        <w:t>6</w:t>
      </w:r>
      <w:r>
        <w:rPr>
          <w:rFonts w:hint="eastAsia" w:asciiTheme="minorEastAsia" w:hAnsiTheme="minorEastAsia" w:eastAsiaTheme="minorEastAsia" w:cstheme="minorEastAsia"/>
          <w:b w:val="0"/>
          <w:bCs/>
          <w:color w:val="auto"/>
          <w:sz w:val="24"/>
          <w:szCs w:val="24"/>
          <w:lang w:val="en-US" w:eastAsia="zh-CN"/>
        </w:rPr>
        <w:t>、</w:t>
      </w:r>
      <w:r>
        <w:rPr>
          <w:rFonts w:hint="eastAsia" w:asciiTheme="minorEastAsia" w:hAnsiTheme="minorEastAsia" w:eastAsiaTheme="minorEastAsia" w:cstheme="minorEastAsia"/>
          <w:b w:val="0"/>
          <w:bCs/>
          <w:color w:val="auto"/>
          <w:sz w:val="24"/>
          <w:szCs w:val="24"/>
        </w:rPr>
        <w:t>验收标准：</w:t>
      </w:r>
      <w:r>
        <w:rPr>
          <w:rFonts w:hint="eastAsia" w:asciiTheme="minorEastAsia" w:hAnsiTheme="minorEastAsia" w:eastAsiaTheme="minorEastAsia" w:cstheme="minorEastAsia"/>
          <w:b w:val="0"/>
          <w:bCs/>
          <w:color w:val="auto"/>
          <w:sz w:val="24"/>
          <w:szCs w:val="24"/>
          <w:lang w:eastAsia="zh-CN"/>
        </w:rPr>
        <w:t>采购人与中标人严格按照</w:t>
      </w:r>
      <w:r>
        <w:rPr>
          <w:rFonts w:hint="eastAsia" w:asciiTheme="minorEastAsia" w:hAnsiTheme="minorEastAsia" w:eastAsiaTheme="minorEastAsia" w:cstheme="minorEastAsia"/>
          <w:b w:val="0"/>
          <w:bCs/>
          <w:color w:val="auto"/>
          <w:sz w:val="24"/>
          <w:szCs w:val="24"/>
        </w:rPr>
        <w:t>财库〔201</w:t>
      </w:r>
      <w:r>
        <w:rPr>
          <w:rFonts w:hint="eastAsia" w:asciiTheme="minorEastAsia" w:hAnsiTheme="minorEastAsia" w:eastAsiaTheme="minorEastAsia" w:cstheme="minorEastAsia"/>
          <w:b w:val="0"/>
          <w:bCs/>
          <w:color w:val="auto"/>
          <w:sz w:val="24"/>
          <w:szCs w:val="24"/>
          <w:lang w:val="en-US" w:eastAsia="zh-CN"/>
        </w:rPr>
        <w:t>6</w:t>
      </w:r>
      <w:r>
        <w:rPr>
          <w:rFonts w:hint="eastAsia" w:asciiTheme="minorEastAsia" w:hAnsiTheme="minorEastAsia" w:eastAsiaTheme="minorEastAsia" w:cstheme="minorEastAsia"/>
          <w:b w:val="0"/>
          <w:bCs/>
          <w:color w:val="auto"/>
          <w:sz w:val="24"/>
          <w:szCs w:val="24"/>
        </w:rPr>
        <w:t>〕205号</w:t>
      </w:r>
      <w:r>
        <w:rPr>
          <w:rFonts w:hint="eastAsia" w:asciiTheme="minorEastAsia" w:hAnsiTheme="minorEastAsia" w:eastAsiaTheme="minorEastAsia" w:cstheme="minorEastAsia"/>
          <w:b w:val="0"/>
          <w:bCs/>
          <w:color w:val="auto"/>
          <w:sz w:val="24"/>
          <w:szCs w:val="24"/>
          <w:lang w:eastAsia="zh-CN"/>
        </w:rPr>
        <w:t>及相关规定</w:t>
      </w:r>
      <w:r>
        <w:rPr>
          <w:rFonts w:hint="eastAsia" w:asciiTheme="minorEastAsia" w:hAnsiTheme="minorEastAsia" w:eastAsiaTheme="minorEastAsia" w:cstheme="minorEastAsia"/>
          <w:b w:val="0"/>
          <w:bCs/>
          <w:color w:val="auto"/>
          <w:sz w:val="24"/>
          <w:szCs w:val="24"/>
        </w:rPr>
        <w:t>的要求进行验收。</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color w:val="auto"/>
          <w:sz w:val="24"/>
          <w:szCs w:val="24"/>
          <w:lang w:val="en-US" w:eastAsia="zh-CN"/>
        </w:rPr>
        <w:t>★</w:t>
      </w:r>
      <w:r>
        <w:rPr>
          <w:rFonts w:hint="eastAsia" w:asciiTheme="minorEastAsia" w:hAnsiTheme="minorEastAsia" w:eastAsiaTheme="minorEastAsia" w:cstheme="minorEastAsia"/>
          <w:b w:val="0"/>
          <w:bCs w:val="0"/>
          <w:color w:val="auto"/>
          <w:sz w:val="24"/>
          <w:szCs w:val="24"/>
          <w:lang w:val="en-US" w:eastAsia="zh-CN"/>
        </w:rPr>
        <w:t>7</w:t>
      </w:r>
      <w:r>
        <w:rPr>
          <w:rFonts w:hint="eastAsia" w:asciiTheme="minorEastAsia" w:hAnsiTheme="minorEastAsia" w:eastAsiaTheme="minorEastAsia" w:cstheme="minorEastAsia"/>
          <w:b w:val="0"/>
          <w:bCs w:val="0"/>
          <w:color w:val="auto"/>
          <w:sz w:val="24"/>
          <w:szCs w:val="24"/>
        </w:rPr>
        <w:t>、投标人接受并服从采购人已制定或修订的《</w:t>
      </w:r>
      <w:r>
        <w:rPr>
          <w:rFonts w:hint="eastAsia" w:asciiTheme="minorEastAsia" w:hAnsiTheme="minorEastAsia" w:eastAsiaTheme="minorEastAsia" w:cstheme="minorEastAsia"/>
          <w:b w:val="0"/>
          <w:bCs/>
          <w:color w:val="auto"/>
          <w:sz w:val="24"/>
          <w:szCs w:val="24"/>
          <w:lang w:eastAsia="zh-CN"/>
        </w:rPr>
        <w:t>成都市新都</w:t>
      </w:r>
      <w:r>
        <w:rPr>
          <w:rFonts w:hint="eastAsia" w:asciiTheme="minorEastAsia" w:hAnsiTheme="minorEastAsia" w:eastAsiaTheme="minorEastAsia" w:cstheme="minorEastAsia"/>
          <w:b w:val="0"/>
          <w:bCs/>
          <w:color w:val="auto"/>
          <w:sz w:val="24"/>
          <w:szCs w:val="24"/>
          <w:lang w:val="en-US" w:eastAsia="zh-CN"/>
        </w:rPr>
        <w:t>区</w:t>
      </w:r>
      <w:r>
        <w:rPr>
          <w:rFonts w:hint="eastAsia" w:asciiTheme="minorEastAsia" w:hAnsiTheme="minorEastAsia" w:eastAsiaTheme="minorEastAsia" w:cstheme="minorEastAsia"/>
          <w:b w:val="0"/>
          <w:bCs/>
          <w:color w:val="auto"/>
          <w:sz w:val="24"/>
          <w:szCs w:val="24"/>
          <w:lang w:eastAsia="zh-CN"/>
        </w:rPr>
        <w:t>政府投资项目评审中心中标咨询机构管理暂行办法</w:t>
      </w:r>
      <w:r>
        <w:rPr>
          <w:rFonts w:hint="eastAsia" w:asciiTheme="minorEastAsia" w:hAnsiTheme="minorEastAsia" w:eastAsiaTheme="minorEastAsia" w:cstheme="minorEastAsia"/>
          <w:b w:val="0"/>
          <w:bCs w:val="0"/>
          <w:color w:val="auto"/>
          <w:sz w:val="24"/>
          <w:szCs w:val="24"/>
        </w:rPr>
        <w:t>》（详见“附件1”）。</w:t>
      </w:r>
    </w:p>
    <w:p>
      <w:pPr>
        <w:pStyle w:val="2"/>
        <w:rPr>
          <w:rFonts w:hint="eastAsia"/>
          <w:color w:val="auto"/>
        </w:rPr>
      </w:pPr>
    </w:p>
    <w:p>
      <w:pPr>
        <w:pStyle w:val="2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rPr>
      </w:pPr>
      <w:r>
        <w:rPr>
          <w:rFonts w:hint="eastAsia"/>
          <w:b/>
          <w:bCs/>
          <w:color w:val="auto"/>
          <w:sz w:val="24"/>
          <w:szCs w:val="24"/>
        </w:rPr>
        <w:t>注：以上标注“★”为实质性要求，不允许偏离，否则按无效投标处理。</w:t>
      </w:r>
    </w:p>
    <w:p>
      <w:pPr>
        <w:pStyle w:val="42"/>
        <w:jc w:val="both"/>
        <w:rPr>
          <w:rFonts w:hint="eastAsia" w:asciiTheme="minorEastAsia" w:hAnsiTheme="minorEastAsia" w:eastAsiaTheme="minorEastAsia" w:cstheme="minorEastAsia"/>
          <w:color w:val="auto"/>
        </w:rPr>
      </w:pPr>
    </w:p>
    <w:p>
      <w:pPr>
        <w:pStyle w:val="42"/>
        <w:jc w:val="both"/>
        <w:rPr>
          <w:rFonts w:hint="eastAsia" w:asciiTheme="minorEastAsia" w:hAnsiTheme="minorEastAsia" w:eastAsiaTheme="minorEastAsia" w:cstheme="minorEastAsia"/>
          <w:color w:val="auto"/>
        </w:rPr>
      </w:pPr>
    </w:p>
    <w:p>
      <w:pPr>
        <w:pStyle w:val="42"/>
        <w:jc w:val="both"/>
        <w:rPr>
          <w:rFonts w:hint="eastAsia" w:asciiTheme="minorEastAsia" w:hAnsiTheme="minorEastAsia" w:eastAsiaTheme="minorEastAsia" w:cstheme="minorEastAsia"/>
          <w:color w:val="auto"/>
        </w:rPr>
      </w:pPr>
    </w:p>
    <w:p>
      <w:pPr>
        <w:pStyle w:val="42"/>
        <w:jc w:val="both"/>
        <w:rPr>
          <w:rFonts w:hint="eastAsia" w:asciiTheme="minorEastAsia" w:hAnsiTheme="minorEastAsia" w:eastAsiaTheme="minorEastAsia" w:cstheme="minorEastAsia"/>
          <w:color w:val="auto"/>
        </w:rPr>
      </w:pPr>
    </w:p>
    <w:p>
      <w:pPr>
        <w:pStyle w:val="42"/>
        <w:jc w:val="both"/>
        <w:rPr>
          <w:rFonts w:hint="eastAsia" w:asciiTheme="minorEastAsia" w:hAnsiTheme="minorEastAsia" w:eastAsiaTheme="minorEastAsia" w:cstheme="minorEastAsia"/>
          <w:color w:val="auto"/>
        </w:rPr>
      </w:pPr>
    </w:p>
    <w:p>
      <w:pPr>
        <w:pStyle w:val="42"/>
        <w:jc w:val="both"/>
        <w:rPr>
          <w:rFonts w:hint="eastAsia" w:asciiTheme="minorEastAsia" w:hAnsiTheme="minorEastAsia" w:eastAsiaTheme="minorEastAsia" w:cstheme="minorEastAsia"/>
          <w:color w:val="auto"/>
        </w:rPr>
      </w:pPr>
    </w:p>
    <w:p>
      <w:pPr>
        <w:pStyle w:val="42"/>
        <w:jc w:val="both"/>
        <w:rPr>
          <w:rFonts w:hint="eastAsia" w:asciiTheme="minorEastAsia" w:hAnsiTheme="minorEastAsia" w:eastAsiaTheme="minorEastAsia" w:cstheme="minorEastAsia"/>
          <w:color w:val="auto"/>
        </w:rPr>
      </w:pPr>
    </w:p>
    <w:p>
      <w:pPr>
        <w:keepNext w:val="0"/>
        <w:keepLines w:val="0"/>
        <w:pageBreakBefore w:val="0"/>
        <w:widowControl w:val="0"/>
        <w:numPr>
          <w:ilvl w:val="0"/>
          <w:numId w:val="0"/>
        </w:numPr>
        <w:kinsoku/>
        <w:wordWrap/>
        <w:overflowPunct/>
        <w:topLinePunct w:val="0"/>
        <w:autoSpaceDE/>
        <w:autoSpaceDN/>
        <w:bidi w:val="0"/>
        <w:adjustRightInd/>
        <w:snapToGrid/>
        <w:spacing w:before="469" w:beforeLines="150" w:line="360" w:lineRule="auto"/>
        <w:ind w:left="0" w:leftChars="0" w:firstLine="0" w:firstLineChars="0"/>
        <w:textAlignment w:val="auto"/>
        <w:rPr>
          <w:rFonts w:hint="default" w:eastAsia="方正小标宋简体"/>
          <w:color w:val="auto"/>
          <w:kern w:val="44"/>
          <w:sz w:val="40"/>
          <w:szCs w:val="40"/>
          <w:lang w:val="en-US"/>
        </w:rPr>
      </w:pPr>
      <w:r>
        <w:rPr>
          <w:rFonts w:hint="eastAsia" w:asciiTheme="minorEastAsia" w:hAnsiTheme="minorEastAsia" w:eastAsiaTheme="minorEastAsia" w:cstheme="minorEastAsia"/>
          <w:color w:val="auto"/>
        </w:rPr>
        <w:br w:type="page"/>
      </w:r>
      <w:r>
        <w:rPr>
          <w:rFonts w:hint="eastAsia"/>
          <w:b/>
          <w:bCs/>
          <w:color w:val="auto"/>
          <w:sz w:val="24"/>
          <w:szCs w:val="24"/>
          <w:lang w:val="en-US" w:eastAsia="zh-CN"/>
        </w:rPr>
        <w:t xml:space="preserve">附件1 </w:t>
      </w:r>
    </w:p>
    <w:p>
      <w:pPr>
        <w:suppressAutoHyphens/>
        <w:spacing w:line="581" w:lineRule="exact"/>
        <w:ind w:firstLine="0" w:firstLineChars="0"/>
        <w:jc w:val="center"/>
        <w:rPr>
          <w:rFonts w:hint="eastAsia" w:eastAsia="方正小标宋简体"/>
          <w:color w:val="auto"/>
          <w:kern w:val="44"/>
          <w:sz w:val="40"/>
          <w:szCs w:val="40"/>
        </w:rPr>
      </w:pPr>
      <w:r>
        <w:rPr>
          <w:rFonts w:hint="eastAsia" w:eastAsia="方正小标宋简体"/>
          <w:color w:val="auto"/>
          <w:kern w:val="44"/>
          <w:sz w:val="40"/>
          <w:szCs w:val="40"/>
        </w:rPr>
        <w:t>成都市新都区政府投资项目评审咨询</w:t>
      </w:r>
    </w:p>
    <w:p>
      <w:pPr>
        <w:suppressAutoHyphens/>
        <w:spacing w:line="581" w:lineRule="exact"/>
        <w:ind w:firstLine="0" w:firstLineChars="0"/>
        <w:jc w:val="center"/>
        <w:rPr>
          <w:rFonts w:eastAsia="方正小标宋简体"/>
          <w:color w:val="auto"/>
          <w:kern w:val="44"/>
          <w:sz w:val="44"/>
          <w:szCs w:val="44"/>
        </w:rPr>
      </w:pPr>
      <w:r>
        <w:rPr>
          <w:rFonts w:hint="eastAsia" w:eastAsia="方正小标宋简体"/>
          <w:color w:val="auto"/>
          <w:kern w:val="44"/>
          <w:sz w:val="40"/>
          <w:szCs w:val="40"/>
        </w:rPr>
        <w:t>机构管理办法（试行）</w:t>
      </w:r>
    </w:p>
    <w:p>
      <w:pPr>
        <w:spacing w:line="581" w:lineRule="exact"/>
        <w:ind w:firstLine="883"/>
        <w:jc w:val="center"/>
        <w:rPr>
          <w:rFonts w:eastAsia="黑体"/>
          <w:color w:val="auto"/>
          <w:sz w:val="44"/>
          <w:szCs w:val="44"/>
        </w:rPr>
      </w:pPr>
    </w:p>
    <w:p>
      <w:pPr>
        <w:keepNext w:val="0"/>
        <w:keepLines w:val="0"/>
        <w:pageBreakBefore w:val="0"/>
        <w:widowControl w:val="0"/>
        <w:kinsoku/>
        <w:wordWrap/>
        <w:overflowPunct/>
        <w:topLinePunct w:val="0"/>
        <w:autoSpaceDE/>
        <w:autoSpaceDN/>
        <w:bidi w:val="0"/>
        <w:adjustRightInd/>
        <w:spacing w:line="360" w:lineRule="auto"/>
        <w:ind w:left="0" w:firstLine="549" w:firstLineChars="196"/>
        <w:textAlignment w:val="auto"/>
        <w:rPr>
          <w:rFonts w:hint="eastAsia" w:ascii="仿宋_GB2312" w:hAnsi="华文仿宋" w:eastAsia="仿宋_GB2312"/>
          <w:color w:val="auto"/>
          <w:sz w:val="28"/>
          <w:szCs w:val="28"/>
        </w:rPr>
      </w:pPr>
      <w:r>
        <w:rPr>
          <w:rFonts w:hint="eastAsia" w:ascii="方正仿宋简体" w:hAnsi="华文仿宋" w:eastAsia="方正仿宋简体"/>
          <w:b/>
          <w:color w:val="auto"/>
          <w:sz w:val="28"/>
          <w:szCs w:val="28"/>
        </w:rPr>
        <w:t xml:space="preserve">第一条  </w:t>
      </w:r>
      <w:r>
        <w:rPr>
          <w:rFonts w:hint="eastAsia" w:ascii="仿宋_GB2312" w:hAnsi="华文仿宋" w:eastAsia="仿宋_GB2312"/>
          <w:color w:val="auto"/>
          <w:sz w:val="28"/>
          <w:szCs w:val="28"/>
        </w:rPr>
        <w:t>为进一步加强对我区政府投资项目评审咨询机构的管理，规范评审咨询机构参与我区政府投资项目评审的执业行为，确保评审质量，提高政府投资效益，根据《成都市人民政府关于加强政府投资项目评审管理工作的意见 》(成府发〔2008〕41号)、《成都市新都区人民政府关于进一步加强政府投资项目管理的意见》（新都府发〔2011〕1号）、《成都市新都区人民政府办公室关于进一步优化新都区政府投资项目管理有关事项的通知》新都府办发〔2017〕53号）、参照《成都市新都区人民政府关于印发成都市新都区政府投资项目管理实施细则的通知》（新都府办发〔2015〕75号）及有关法律、法规、规章的规定，参照《成都市政府投资项目评审管理规程》（2020版），结合我区实际，制定本办法。</w:t>
      </w:r>
    </w:p>
    <w:p>
      <w:pPr>
        <w:keepNext w:val="0"/>
        <w:keepLines w:val="0"/>
        <w:pageBreakBefore w:val="0"/>
        <w:widowControl w:val="0"/>
        <w:kinsoku/>
        <w:wordWrap/>
        <w:overflowPunct/>
        <w:topLinePunct w:val="0"/>
        <w:autoSpaceDE/>
        <w:autoSpaceDN/>
        <w:bidi w:val="0"/>
        <w:adjustRightInd/>
        <w:spacing w:line="360" w:lineRule="auto"/>
        <w:ind w:left="0" w:firstLine="549" w:firstLineChars="196"/>
        <w:textAlignment w:val="auto"/>
        <w:rPr>
          <w:rFonts w:hint="eastAsia" w:ascii="仿宋_GB2312" w:hAnsi="华文仿宋" w:eastAsia="仿宋_GB2312"/>
          <w:color w:val="auto"/>
          <w:sz w:val="28"/>
          <w:szCs w:val="28"/>
        </w:rPr>
      </w:pPr>
      <w:r>
        <w:rPr>
          <w:rFonts w:hint="eastAsia" w:ascii="方正仿宋简体" w:hAnsi="华文仿宋" w:eastAsia="方正仿宋简体"/>
          <w:b/>
          <w:color w:val="auto"/>
          <w:sz w:val="28"/>
          <w:szCs w:val="28"/>
        </w:rPr>
        <w:t xml:space="preserve">第二条  </w:t>
      </w:r>
      <w:r>
        <w:rPr>
          <w:rFonts w:hint="eastAsia" w:ascii="仿宋_GB2312" w:hAnsi="华文仿宋" w:eastAsia="仿宋_GB2312"/>
          <w:color w:val="auto"/>
          <w:sz w:val="28"/>
          <w:szCs w:val="28"/>
        </w:rPr>
        <w:t>本办法所称评审咨询机构指我中心通过公开招标</w:t>
      </w:r>
      <w:r>
        <w:rPr>
          <w:rFonts w:hint="eastAsia" w:ascii="仿宋_GB2312" w:hAnsi="华文仿宋" w:eastAsia="仿宋_GB2312"/>
          <w:color w:val="auto"/>
          <w:sz w:val="28"/>
          <w:szCs w:val="28"/>
          <w:lang w:val="en-US" w:eastAsia="zh-CN"/>
        </w:rPr>
        <w:t>中标</w:t>
      </w:r>
      <w:r>
        <w:rPr>
          <w:rFonts w:hint="eastAsia" w:ascii="仿宋_GB2312" w:hAnsi="华文仿宋" w:eastAsia="仿宋_GB2312"/>
          <w:color w:val="auto"/>
          <w:sz w:val="28"/>
          <w:szCs w:val="28"/>
        </w:rPr>
        <w:t>的评审咨询机构。</w:t>
      </w:r>
    </w:p>
    <w:p>
      <w:pPr>
        <w:keepNext w:val="0"/>
        <w:keepLines w:val="0"/>
        <w:pageBreakBefore w:val="0"/>
        <w:widowControl w:val="0"/>
        <w:kinsoku/>
        <w:wordWrap/>
        <w:overflowPunct/>
        <w:topLinePunct w:val="0"/>
        <w:autoSpaceDE/>
        <w:autoSpaceDN/>
        <w:bidi w:val="0"/>
        <w:adjustRightInd/>
        <w:spacing w:line="360" w:lineRule="auto"/>
        <w:ind w:left="0" w:firstLine="549" w:firstLineChars="196"/>
        <w:textAlignment w:val="auto"/>
        <w:rPr>
          <w:rFonts w:hint="eastAsia" w:ascii="仿宋_GB2312" w:hAnsi="华文仿宋" w:eastAsia="仿宋_GB2312"/>
          <w:color w:val="auto"/>
          <w:sz w:val="28"/>
          <w:szCs w:val="28"/>
        </w:rPr>
      </w:pPr>
      <w:r>
        <w:rPr>
          <w:rFonts w:hint="eastAsia" w:ascii="方正仿宋简体" w:hAnsi="华文仿宋" w:eastAsia="方正仿宋简体"/>
          <w:b/>
          <w:color w:val="auto"/>
          <w:sz w:val="28"/>
          <w:szCs w:val="28"/>
        </w:rPr>
        <w:t xml:space="preserve">第三条  </w:t>
      </w:r>
      <w:r>
        <w:rPr>
          <w:rFonts w:hint="eastAsia" w:ascii="仿宋_GB2312" w:hAnsi="华文仿宋" w:eastAsia="仿宋_GB2312"/>
          <w:color w:val="auto"/>
          <w:sz w:val="28"/>
          <w:szCs w:val="28"/>
        </w:rPr>
        <w:t>新都区政府投资项目评审中心（以下简称“中心”）根据有关法律、法规的相关规定，对评审咨询机构的评审服务进行管理、监督、考核。</w:t>
      </w:r>
    </w:p>
    <w:p>
      <w:pPr>
        <w:keepNext w:val="0"/>
        <w:keepLines w:val="0"/>
        <w:pageBreakBefore w:val="0"/>
        <w:widowControl w:val="0"/>
        <w:kinsoku/>
        <w:wordWrap/>
        <w:overflowPunct/>
        <w:topLinePunct w:val="0"/>
        <w:autoSpaceDE/>
        <w:autoSpaceDN/>
        <w:bidi w:val="0"/>
        <w:adjustRightInd/>
        <w:spacing w:line="360" w:lineRule="auto"/>
        <w:ind w:left="0" w:firstLine="549" w:firstLineChars="196"/>
        <w:textAlignment w:val="auto"/>
        <w:rPr>
          <w:rFonts w:hint="eastAsia" w:ascii="仿宋_GB2312" w:hAnsi="华文仿宋" w:eastAsia="仿宋_GB2312"/>
          <w:color w:val="auto"/>
          <w:sz w:val="28"/>
          <w:szCs w:val="28"/>
        </w:rPr>
      </w:pPr>
      <w:r>
        <w:rPr>
          <w:rFonts w:hint="eastAsia" w:ascii="方正仿宋简体" w:hAnsi="华文仿宋" w:eastAsia="方正仿宋简体"/>
          <w:b/>
          <w:color w:val="auto"/>
          <w:sz w:val="28"/>
          <w:szCs w:val="28"/>
        </w:rPr>
        <w:t xml:space="preserve">第四条  </w:t>
      </w:r>
      <w:r>
        <w:rPr>
          <w:rFonts w:hint="eastAsia" w:ascii="仿宋_GB2312" w:hAnsi="华文仿宋" w:eastAsia="仿宋_GB2312"/>
          <w:color w:val="auto"/>
          <w:sz w:val="28"/>
          <w:szCs w:val="28"/>
        </w:rPr>
        <w:t>评审范围及内容为成都市新都区政府投资项目可行性研究报告</w:t>
      </w:r>
      <w:r>
        <w:rPr>
          <w:rFonts w:hint="eastAsia" w:ascii="仿宋_GB2312" w:hAnsi="华文仿宋" w:eastAsia="仿宋_GB2312"/>
          <w:color w:val="auto"/>
          <w:sz w:val="28"/>
          <w:szCs w:val="28"/>
          <w:lang w:eastAsia="zh-CN"/>
        </w:rPr>
        <w:t>（</w:t>
      </w:r>
      <w:r>
        <w:rPr>
          <w:rFonts w:hint="eastAsia" w:ascii="仿宋_GB2312" w:hAnsi="华文仿宋" w:eastAsia="仿宋_GB2312"/>
          <w:color w:val="auto"/>
          <w:sz w:val="28"/>
          <w:szCs w:val="28"/>
          <w:lang w:val="en-US" w:eastAsia="zh-CN"/>
        </w:rPr>
        <w:t>含项目建议书</w:t>
      </w:r>
      <w:r>
        <w:rPr>
          <w:rFonts w:hint="eastAsia" w:ascii="仿宋_GB2312" w:hAnsi="华文仿宋" w:eastAsia="仿宋_GB2312"/>
          <w:color w:val="auto"/>
          <w:sz w:val="28"/>
          <w:szCs w:val="28"/>
          <w:lang w:eastAsia="zh-CN"/>
        </w:rPr>
        <w:t>）</w:t>
      </w:r>
      <w:r>
        <w:rPr>
          <w:rFonts w:hint="eastAsia" w:ascii="仿宋_GB2312" w:hAnsi="华文仿宋" w:eastAsia="仿宋_GB2312"/>
          <w:color w:val="auto"/>
          <w:sz w:val="28"/>
          <w:szCs w:val="28"/>
        </w:rPr>
        <w:t>评审、投资概算评审以及其他文件规定的评审工作、上级交办安排的其他评审工作。</w:t>
      </w:r>
    </w:p>
    <w:p>
      <w:pPr>
        <w:keepNext w:val="0"/>
        <w:keepLines w:val="0"/>
        <w:pageBreakBefore w:val="0"/>
        <w:widowControl w:val="0"/>
        <w:kinsoku/>
        <w:wordWrap/>
        <w:overflowPunct/>
        <w:topLinePunct w:val="0"/>
        <w:autoSpaceDE/>
        <w:autoSpaceDN/>
        <w:bidi w:val="0"/>
        <w:adjustRightInd/>
        <w:spacing w:line="360" w:lineRule="auto"/>
        <w:ind w:left="0"/>
        <w:jc w:val="center"/>
        <w:textAlignment w:val="auto"/>
        <w:rPr>
          <w:rFonts w:hint="eastAsia" w:ascii="黑体" w:eastAsia="黑体"/>
          <w:color w:val="auto"/>
          <w:sz w:val="28"/>
          <w:szCs w:val="28"/>
        </w:rPr>
      </w:pPr>
      <w:r>
        <w:rPr>
          <w:rFonts w:hint="eastAsia" w:ascii="黑体" w:eastAsia="黑体"/>
          <w:color w:val="auto"/>
          <w:sz w:val="28"/>
          <w:szCs w:val="28"/>
        </w:rPr>
        <w:t>第二章  工作要求</w:t>
      </w:r>
    </w:p>
    <w:p>
      <w:pPr>
        <w:keepNext w:val="0"/>
        <w:keepLines w:val="0"/>
        <w:pageBreakBefore w:val="0"/>
        <w:widowControl w:val="0"/>
        <w:kinsoku/>
        <w:wordWrap/>
        <w:overflowPunct/>
        <w:topLinePunct w:val="0"/>
        <w:autoSpaceDE/>
        <w:autoSpaceDN/>
        <w:bidi w:val="0"/>
        <w:adjustRightInd/>
        <w:spacing w:line="360" w:lineRule="auto"/>
        <w:ind w:left="0" w:firstLine="549" w:firstLineChars="196"/>
        <w:textAlignment w:val="auto"/>
        <w:rPr>
          <w:rFonts w:hint="eastAsia" w:ascii="仿宋_GB2312" w:hAnsi="华文仿宋" w:eastAsia="仿宋_GB2312"/>
          <w:color w:val="auto"/>
          <w:sz w:val="28"/>
          <w:szCs w:val="28"/>
        </w:rPr>
      </w:pPr>
      <w:r>
        <w:rPr>
          <w:rFonts w:hint="eastAsia" w:ascii="方正仿宋简体" w:hAnsi="华文仿宋" w:eastAsia="方正仿宋简体"/>
          <w:b/>
          <w:color w:val="auto"/>
          <w:sz w:val="28"/>
          <w:szCs w:val="28"/>
        </w:rPr>
        <w:t xml:space="preserve">第五条 </w:t>
      </w:r>
      <w:r>
        <w:rPr>
          <w:rFonts w:hint="eastAsia" w:ascii="仿宋_GB2312" w:hAnsi="华文仿宋" w:eastAsia="仿宋_GB2312"/>
          <w:color w:val="auto"/>
          <w:sz w:val="28"/>
          <w:szCs w:val="28"/>
        </w:rPr>
        <w:t xml:space="preserve"> 评审咨询机构必须按照国家相关法律法规和评审中心的相关规定，独立、客观、公正、科学地开展评审咨询工作。</w:t>
      </w:r>
    </w:p>
    <w:p>
      <w:pPr>
        <w:keepNext w:val="0"/>
        <w:keepLines w:val="0"/>
        <w:pageBreakBefore w:val="0"/>
        <w:widowControl w:val="0"/>
        <w:kinsoku/>
        <w:wordWrap/>
        <w:overflowPunct/>
        <w:topLinePunct w:val="0"/>
        <w:autoSpaceDE/>
        <w:autoSpaceDN/>
        <w:bidi w:val="0"/>
        <w:adjustRightInd/>
        <w:spacing w:line="360" w:lineRule="auto"/>
        <w:ind w:left="0" w:firstLine="560" w:firstLineChars="200"/>
        <w:textAlignment w:val="auto"/>
        <w:rPr>
          <w:rFonts w:hint="eastAsia" w:ascii="方正仿宋简体" w:hAnsi="华文仿宋" w:eastAsia="方正仿宋简体"/>
          <w:b/>
          <w:color w:val="auto"/>
          <w:sz w:val="28"/>
          <w:szCs w:val="28"/>
        </w:rPr>
      </w:pPr>
      <w:r>
        <w:rPr>
          <w:rFonts w:hint="eastAsia" w:ascii="仿宋_GB2312" w:hAnsi="华文仿宋" w:eastAsia="仿宋_GB2312"/>
          <w:color w:val="auto"/>
          <w:sz w:val="28"/>
          <w:szCs w:val="28"/>
        </w:rPr>
        <w:t>（一）评审咨询机构按照评审中心的委托和要求进行项目评审，并服从评审中心的监督管理。承担同一项目编制业务的评审咨询机构，不得承担同一项目的评审任务。</w:t>
      </w:r>
    </w:p>
    <w:p>
      <w:pPr>
        <w:keepNext w:val="0"/>
        <w:keepLines w:val="0"/>
        <w:pageBreakBefore w:val="0"/>
        <w:widowControl w:val="0"/>
        <w:kinsoku/>
        <w:wordWrap/>
        <w:overflowPunct/>
        <w:topLinePunct w:val="0"/>
        <w:autoSpaceDE/>
        <w:autoSpaceDN/>
        <w:bidi w:val="0"/>
        <w:adjustRightInd/>
        <w:spacing w:line="360" w:lineRule="auto"/>
        <w:ind w:left="0" w:firstLine="560" w:firstLineChars="200"/>
        <w:textAlignment w:val="auto"/>
        <w:rPr>
          <w:rFonts w:hint="eastAsia" w:ascii="仿宋_GB2312" w:hAnsi="华文仿宋" w:eastAsia="仿宋_GB2312"/>
          <w:color w:val="auto"/>
          <w:sz w:val="28"/>
          <w:szCs w:val="28"/>
        </w:rPr>
      </w:pPr>
      <w:r>
        <w:rPr>
          <w:rFonts w:hint="eastAsia" w:ascii="仿宋_GB2312" w:hAnsi="华文仿宋" w:eastAsia="仿宋_GB2312"/>
          <w:color w:val="auto"/>
          <w:sz w:val="28"/>
          <w:szCs w:val="28"/>
        </w:rPr>
        <w:t>（二）评审咨询机构应选派业务能力强的员工参与我区评审工作，评审咨询机构应将负责新都区评审工作的人员资料向我中心进行报备，若有调整应及时汇报。</w:t>
      </w:r>
    </w:p>
    <w:p>
      <w:pPr>
        <w:keepNext w:val="0"/>
        <w:keepLines w:val="0"/>
        <w:pageBreakBefore w:val="0"/>
        <w:widowControl w:val="0"/>
        <w:kinsoku/>
        <w:wordWrap/>
        <w:overflowPunct/>
        <w:topLinePunct w:val="0"/>
        <w:autoSpaceDE/>
        <w:autoSpaceDN/>
        <w:bidi w:val="0"/>
        <w:adjustRightInd/>
        <w:snapToGrid w:val="0"/>
        <w:spacing w:line="360" w:lineRule="auto"/>
        <w:ind w:left="0" w:firstLine="560" w:firstLineChars="200"/>
        <w:textAlignment w:val="auto"/>
        <w:rPr>
          <w:rFonts w:hint="eastAsia" w:ascii="仿宋_GB2312" w:hAnsi="华文仿宋" w:eastAsia="仿宋_GB2312"/>
          <w:color w:val="auto"/>
          <w:sz w:val="28"/>
          <w:szCs w:val="28"/>
        </w:rPr>
      </w:pPr>
      <w:r>
        <w:rPr>
          <w:rFonts w:hint="eastAsia" w:ascii="仿宋_GB2312" w:hAnsi="华文仿宋" w:eastAsia="仿宋_GB2312"/>
          <w:color w:val="auto"/>
          <w:sz w:val="28"/>
          <w:szCs w:val="28"/>
        </w:rPr>
        <w:t>（三）评审咨询机构接到评审任务后，应及时组建项目工作组，明确工作组长，工作组人员名单需及时向中心报备。评审咨询机构根据中心安排踏勘现场、核对工程量，在资料完整的情况下，</w:t>
      </w:r>
      <w:r>
        <w:rPr>
          <w:rFonts w:hint="eastAsia" w:ascii="仿宋_GB2312" w:hAnsi="华文仿宋" w:eastAsia="仿宋_GB2312"/>
          <w:color w:val="auto"/>
          <w:sz w:val="28"/>
          <w:szCs w:val="28"/>
          <w:lang w:eastAsia="zh-CN"/>
        </w:rPr>
        <w:t>所有评审项目</w:t>
      </w:r>
      <w:r>
        <w:rPr>
          <w:rFonts w:hint="eastAsia" w:ascii="仿宋_GB2312" w:hAnsi="华文仿宋" w:eastAsia="仿宋_GB2312"/>
          <w:color w:val="auto"/>
          <w:sz w:val="28"/>
          <w:szCs w:val="28"/>
        </w:rPr>
        <w:t>原则上应在10个工作日内完成全部评审工作（个别技术复杂、投资较大的项目原则上可延长5个工作日）。</w:t>
      </w:r>
    </w:p>
    <w:p>
      <w:pPr>
        <w:keepNext w:val="0"/>
        <w:keepLines w:val="0"/>
        <w:pageBreakBefore w:val="0"/>
        <w:widowControl w:val="0"/>
        <w:kinsoku/>
        <w:wordWrap/>
        <w:overflowPunct/>
        <w:topLinePunct w:val="0"/>
        <w:autoSpaceDE/>
        <w:autoSpaceDN/>
        <w:bidi w:val="0"/>
        <w:adjustRightInd/>
        <w:spacing w:line="360" w:lineRule="auto"/>
        <w:ind w:left="0" w:firstLine="560" w:firstLineChars="200"/>
        <w:textAlignment w:val="auto"/>
        <w:rPr>
          <w:rFonts w:hint="eastAsia" w:ascii="仿宋_GB2312" w:hAnsi="华文仿宋" w:eastAsia="仿宋_GB2312"/>
          <w:color w:val="auto"/>
          <w:sz w:val="28"/>
          <w:szCs w:val="28"/>
        </w:rPr>
      </w:pPr>
      <w:r>
        <w:rPr>
          <w:rFonts w:hint="eastAsia" w:ascii="仿宋_GB2312" w:hAnsi="华文仿宋" w:eastAsia="仿宋_GB2312"/>
          <w:color w:val="auto"/>
          <w:sz w:val="28"/>
          <w:szCs w:val="28"/>
        </w:rPr>
        <w:t>（四）评审咨询机构须严格执行内部复核制度，复核人员对评审报告书签字盖章。</w:t>
      </w:r>
    </w:p>
    <w:p>
      <w:pPr>
        <w:keepNext w:val="0"/>
        <w:keepLines w:val="0"/>
        <w:pageBreakBefore w:val="0"/>
        <w:widowControl w:val="0"/>
        <w:kinsoku/>
        <w:wordWrap/>
        <w:overflowPunct/>
        <w:topLinePunct w:val="0"/>
        <w:autoSpaceDE/>
        <w:autoSpaceDN/>
        <w:bidi w:val="0"/>
        <w:adjustRightInd/>
        <w:spacing w:line="360" w:lineRule="auto"/>
        <w:ind w:left="0" w:firstLine="560" w:firstLineChars="200"/>
        <w:textAlignment w:val="auto"/>
        <w:rPr>
          <w:rFonts w:hint="eastAsia" w:ascii="仿宋_GB2312" w:hAnsi="华文仿宋" w:eastAsia="仿宋_GB2312"/>
          <w:color w:val="auto"/>
          <w:sz w:val="28"/>
          <w:szCs w:val="28"/>
        </w:rPr>
      </w:pPr>
      <w:r>
        <w:rPr>
          <w:rFonts w:hint="eastAsia" w:ascii="仿宋_GB2312" w:hAnsi="华文仿宋" w:eastAsia="仿宋_GB2312"/>
          <w:color w:val="auto"/>
          <w:sz w:val="28"/>
          <w:szCs w:val="28"/>
        </w:rPr>
        <w:t>（五）评审咨询机构在执行评审业务过程中发现重大问题和不明确、有争议、有分歧的事项，应及时组织相关技术人员召开项目评审分析研究会，形成评审意见，向中心书面反映，由中心协调解决。</w:t>
      </w:r>
    </w:p>
    <w:p>
      <w:pPr>
        <w:keepNext w:val="0"/>
        <w:keepLines w:val="0"/>
        <w:pageBreakBefore w:val="0"/>
        <w:widowControl w:val="0"/>
        <w:kinsoku/>
        <w:wordWrap/>
        <w:overflowPunct/>
        <w:topLinePunct w:val="0"/>
        <w:autoSpaceDE/>
        <w:autoSpaceDN/>
        <w:bidi w:val="0"/>
        <w:adjustRightInd/>
        <w:spacing w:line="360" w:lineRule="auto"/>
        <w:ind w:left="0" w:firstLine="560" w:firstLineChars="200"/>
        <w:textAlignment w:val="auto"/>
        <w:rPr>
          <w:rFonts w:hint="eastAsia" w:ascii="仿宋_GB2312" w:hAnsi="华文仿宋" w:eastAsia="仿宋_GB2312"/>
          <w:color w:val="auto"/>
          <w:sz w:val="28"/>
          <w:szCs w:val="28"/>
        </w:rPr>
      </w:pPr>
      <w:r>
        <w:rPr>
          <w:rFonts w:hint="eastAsia" w:ascii="仿宋_GB2312" w:hAnsi="华文仿宋" w:eastAsia="仿宋_GB2312"/>
          <w:color w:val="auto"/>
          <w:sz w:val="28"/>
          <w:szCs w:val="28"/>
        </w:rPr>
        <w:t>（六）评审咨询机构在项目评审完成后应按照中心要求及时出具评审报告书，并对其真实性、完整性、准确性、合法性负责，同时独立承担相应的法律责任。</w:t>
      </w:r>
    </w:p>
    <w:p>
      <w:pPr>
        <w:keepNext w:val="0"/>
        <w:keepLines w:val="0"/>
        <w:pageBreakBefore w:val="0"/>
        <w:widowControl w:val="0"/>
        <w:kinsoku/>
        <w:wordWrap/>
        <w:overflowPunct/>
        <w:topLinePunct w:val="0"/>
        <w:autoSpaceDE/>
        <w:autoSpaceDN/>
        <w:bidi w:val="0"/>
        <w:adjustRightInd/>
        <w:spacing w:line="360" w:lineRule="auto"/>
        <w:ind w:left="0" w:firstLine="549" w:firstLineChars="196"/>
        <w:textAlignment w:val="auto"/>
        <w:rPr>
          <w:rFonts w:hint="eastAsia" w:ascii="仿宋_GB2312" w:hAnsi="华文仿宋" w:eastAsia="仿宋_GB2312"/>
          <w:color w:val="auto"/>
          <w:sz w:val="28"/>
          <w:szCs w:val="28"/>
        </w:rPr>
      </w:pPr>
      <w:r>
        <w:rPr>
          <w:rFonts w:hint="eastAsia" w:ascii="方正仿宋简体" w:hAnsi="华文仿宋" w:eastAsia="方正仿宋简体"/>
          <w:b/>
          <w:color w:val="auto"/>
          <w:sz w:val="28"/>
          <w:szCs w:val="28"/>
        </w:rPr>
        <w:t xml:space="preserve">第六条   </w:t>
      </w:r>
      <w:r>
        <w:rPr>
          <w:rFonts w:hint="eastAsia" w:ascii="仿宋_GB2312" w:hAnsi="华文仿宋" w:eastAsia="仿宋_GB2312"/>
          <w:color w:val="auto"/>
          <w:sz w:val="28"/>
          <w:szCs w:val="28"/>
        </w:rPr>
        <w:t>有下列情形之一的评审咨询机构应当回避：</w:t>
      </w:r>
    </w:p>
    <w:p>
      <w:pPr>
        <w:keepNext w:val="0"/>
        <w:keepLines w:val="0"/>
        <w:pageBreakBefore w:val="0"/>
        <w:widowControl w:val="0"/>
        <w:kinsoku/>
        <w:wordWrap/>
        <w:overflowPunct/>
        <w:topLinePunct w:val="0"/>
        <w:autoSpaceDE/>
        <w:autoSpaceDN/>
        <w:bidi w:val="0"/>
        <w:adjustRightInd/>
        <w:spacing w:line="360" w:lineRule="auto"/>
        <w:ind w:left="0" w:firstLine="560" w:firstLineChars="200"/>
        <w:textAlignment w:val="auto"/>
        <w:rPr>
          <w:rFonts w:hint="eastAsia" w:ascii="仿宋_GB2312" w:hAnsi="华文仿宋" w:eastAsia="仿宋_GB2312"/>
          <w:color w:val="auto"/>
          <w:sz w:val="28"/>
          <w:szCs w:val="28"/>
        </w:rPr>
      </w:pPr>
      <w:r>
        <w:rPr>
          <w:rFonts w:hint="eastAsia" w:ascii="仿宋_GB2312" w:hAnsi="华文仿宋" w:eastAsia="仿宋_GB2312"/>
          <w:color w:val="auto"/>
          <w:sz w:val="28"/>
          <w:szCs w:val="28"/>
        </w:rPr>
        <w:t>（一）参与该工程项目管理。</w:t>
      </w:r>
    </w:p>
    <w:p>
      <w:pPr>
        <w:keepNext w:val="0"/>
        <w:keepLines w:val="0"/>
        <w:pageBreakBefore w:val="0"/>
        <w:widowControl w:val="0"/>
        <w:kinsoku/>
        <w:wordWrap/>
        <w:overflowPunct/>
        <w:topLinePunct w:val="0"/>
        <w:autoSpaceDE/>
        <w:autoSpaceDN/>
        <w:bidi w:val="0"/>
        <w:adjustRightInd/>
        <w:spacing w:line="360" w:lineRule="auto"/>
        <w:ind w:left="0" w:firstLine="560" w:firstLineChars="200"/>
        <w:textAlignment w:val="auto"/>
        <w:rPr>
          <w:rFonts w:hint="eastAsia" w:ascii="仿宋_GB2312" w:hAnsi="华文仿宋" w:eastAsia="仿宋_GB2312"/>
          <w:color w:val="auto"/>
          <w:sz w:val="28"/>
          <w:szCs w:val="28"/>
        </w:rPr>
      </w:pPr>
      <w:r>
        <w:rPr>
          <w:rFonts w:hint="eastAsia" w:ascii="仿宋_GB2312" w:hAnsi="华文仿宋" w:eastAsia="仿宋_GB2312"/>
          <w:color w:val="auto"/>
          <w:sz w:val="28"/>
          <w:szCs w:val="28"/>
        </w:rPr>
        <w:t>（二）负责该工程的监理业务。</w:t>
      </w:r>
    </w:p>
    <w:p>
      <w:pPr>
        <w:keepNext w:val="0"/>
        <w:keepLines w:val="0"/>
        <w:pageBreakBefore w:val="0"/>
        <w:widowControl w:val="0"/>
        <w:kinsoku/>
        <w:wordWrap/>
        <w:overflowPunct/>
        <w:topLinePunct w:val="0"/>
        <w:autoSpaceDE/>
        <w:autoSpaceDN/>
        <w:bidi w:val="0"/>
        <w:adjustRightInd/>
        <w:spacing w:line="360" w:lineRule="auto"/>
        <w:ind w:left="0" w:firstLine="560" w:firstLineChars="200"/>
        <w:textAlignment w:val="auto"/>
        <w:rPr>
          <w:rFonts w:hint="eastAsia" w:ascii="仿宋_GB2312" w:hAnsi="华文仿宋" w:eastAsia="仿宋_GB2312"/>
          <w:color w:val="auto"/>
          <w:sz w:val="28"/>
          <w:szCs w:val="28"/>
        </w:rPr>
      </w:pPr>
      <w:r>
        <w:rPr>
          <w:rFonts w:hint="eastAsia" w:ascii="仿宋_GB2312" w:hAnsi="华文仿宋" w:eastAsia="仿宋_GB2312"/>
          <w:color w:val="auto"/>
          <w:sz w:val="28"/>
          <w:szCs w:val="28"/>
        </w:rPr>
        <w:t>（三）评审咨询机构及其派出的审查人员与被审核单位或评审项目有利害关系的。</w:t>
      </w:r>
    </w:p>
    <w:p>
      <w:pPr>
        <w:keepNext w:val="0"/>
        <w:keepLines w:val="0"/>
        <w:pageBreakBefore w:val="0"/>
        <w:widowControl w:val="0"/>
        <w:kinsoku/>
        <w:wordWrap/>
        <w:overflowPunct/>
        <w:topLinePunct w:val="0"/>
        <w:autoSpaceDE/>
        <w:autoSpaceDN/>
        <w:bidi w:val="0"/>
        <w:adjustRightInd/>
        <w:spacing w:line="360" w:lineRule="auto"/>
        <w:ind w:left="0" w:firstLine="560" w:firstLineChars="200"/>
        <w:textAlignment w:val="auto"/>
        <w:rPr>
          <w:rFonts w:hint="eastAsia" w:ascii="仿宋_GB2312" w:hAnsi="华文仿宋" w:eastAsia="仿宋_GB2312"/>
          <w:color w:val="auto"/>
          <w:sz w:val="28"/>
          <w:szCs w:val="28"/>
        </w:rPr>
      </w:pPr>
      <w:r>
        <w:rPr>
          <w:rFonts w:hint="eastAsia" w:ascii="仿宋_GB2312" w:hAnsi="华文仿宋" w:eastAsia="仿宋_GB2312"/>
          <w:color w:val="auto"/>
          <w:sz w:val="28"/>
          <w:szCs w:val="28"/>
        </w:rPr>
        <w:t>（四）其他应当回避的有关事项。</w:t>
      </w:r>
    </w:p>
    <w:p>
      <w:pPr>
        <w:keepNext w:val="0"/>
        <w:keepLines w:val="0"/>
        <w:pageBreakBefore w:val="0"/>
        <w:widowControl w:val="0"/>
        <w:kinsoku/>
        <w:wordWrap/>
        <w:overflowPunct/>
        <w:topLinePunct w:val="0"/>
        <w:autoSpaceDE/>
        <w:autoSpaceDN/>
        <w:bidi w:val="0"/>
        <w:adjustRightInd/>
        <w:spacing w:line="360" w:lineRule="auto"/>
        <w:ind w:left="0"/>
        <w:jc w:val="center"/>
        <w:textAlignment w:val="auto"/>
        <w:rPr>
          <w:rFonts w:hint="eastAsia" w:ascii="黑体" w:eastAsia="黑体"/>
          <w:color w:val="auto"/>
          <w:sz w:val="28"/>
          <w:szCs w:val="28"/>
        </w:rPr>
      </w:pPr>
      <w:r>
        <w:rPr>
          <w:rFonts w:hint="eastAsia" w:ascii="黑体" w:eastAsia="黑体"/>
          <w:color w:val="auto"/>
          <w:sz w:val="28"/>
          <w:szCs w:val="28"/>
        </w:rPr>
        <w:t>第三章  工作管理</w:t>
      </w:r>
    </w:p>
    <w:p>
      <w:pPr>
        <w:keepNext w:val="0"/>
        <w:keepLines w:val="0"/>
        <w:pageBreakBefore w:val="0"/>
        <w:widowControl w:val="0"/>
        <w:kinsoku/>
        <w:wordWrap/>
        <w:overflowPunct/>
        <w:topLinePunct w:val="0"/>
        <w:autoSpaceDE/>
        <w:autoSpaceDN/>
        <w:bidi w:val="0"/>
        <w:adjustRightInd/>
        <w:spacing w:line="360" w:lineRule="auto"/>
        <w:ind w:left="0" w:firstLine="560" w:firstLineChars="200"/>
        <w:textAlignment w:val="auto"/>
        <w:rPr>
          <w:rFonts w:hint="eastAsia" w:ascii="方正仿宋简体" w:hAnsi="华文仿宋" w:eastAsia="方正仿宋简体"/>
          <w:b/>
          <w:color w:val="auto"/>
          <w:sz w:val="28"/>
          <w:szCs w:val="28"/>
        </w:rPr>
      </w:pPr>
      <w:r>
        <w:rPr>
          <w:rFonts w:hint="eastAsia" w:ascii="方正仿宋简体" w:hAnsi="华文仿宋" w:eastAsia="方正仿宋简体"/>
          <w:b/>
          <w:color w:val="auto"/>
          <w:sz w:val="28"/>
          <w:szCs w:val="28"/>
        </w:rPr>
        <w:t xml:space="preserve">第七条 </w:t>
      </w:r>
      <w:r>
        <w:rPr>
          <w:rFonts w:hint="eastAsia" w:ascii="仿宋_GB2312" w:hAnsi="华文仿宋" w:eastAsia="仿宋_GB2312"/>
          <w:color w:val="auto"/>
          <w:sz w:val="28"/>
          <w:szCs w:val="28"/>
          <w:highlight w:val="none"/>
        </w:rPr>
        <w:t xml:space="preserve"> 中心对评审咨询机构的评审服务进行评价考核，</w:t>
      </w:r>
      <w:r>
        <w:rPr>
          <w:rFonts w:hint="eastAsia" w:ascii="仿宋_GB2312" w:hAnsi="华文仿宋" w:eastAsia="仿宋_GB2312"/>
          <w:color w:val="auto"/>
          <w:sz w:val="28"/>
          <w:szCs w:val="28"/>
          <w:highlight w:val="none"/>
          <w:lang w:val="en-US" w:eastAsia="zh-CN"/>
        </w:rPr>
        <w:t>考核</w:t>
      </w:r>
      <w:r>
        <w:rPr>
          <w:rFonts w:hint="eastAsia" w:ascii="仿宋_GB2312" w:hAnsi="华文仿宋" w:eastAsia="仿宋_GB2312"/>
          <w:color w:val="auto"/>
          <w:sz w:val="28"/>
          <w:szCs w:val="28"/>
          <w:highlight w:val="none"/>
        </w:rPr>
        <w:t>得分</w:t>
      </w:r>
      <w:r>
        <w:rPr>
          <w:rFonts w:hint="eastAsia" w:ascii="仿宋_GB2312" w:hAnsi="华文仿宋" w:eastAsia="仿宋_GB2312"/>
          <w:color w:val="auto"/>
          <w:sz w:val="28"/>
          <w:szCs w:val="28"/>
          <w:highlight w:val="none"/>
          <w:lang w:val="en-US" w:eastAsia="zh-CN"/>
        </w:rPr>
        <w:t>每个季度进行通报，并</w:t>
      </w:r>
      <w:r>
        <w:rPr>
          <w:rFonts w:hint="eastAsia" w:ascii="仿宋_GB2312" w:hAnsi="华文仿宋" w:eastAsia="仿宋_GB2312"/>
          <w:color w:val="auto"/>
          <w:sz w:val="28"/>
          <w:szCs w:val="28"/>
          <w:highlight w:val="none"/>
        </w:rPr>
        <w:t>纳入评审咨询机构</w:t>
      </w:r>
      <w:r>
        <w:rPr>
          <w:rFonts w:hint="eastAsia" w:ascii="仿宋_GB2312" w:hAnsi="华文仿宋" w:eastAsia="仿宋_GB2312"/>
          <w:color w:val="auto"/>
          <w:sz w:val="28"/>
          <w:szCs w:val="28"/>
        </w:rPr>
        <w:t>服务费用支付标准。</w:t>
      </w:r>
    </w:p>
    <w:p>
      <w:pPr>
        <w:keepNext w:val="0"/>
        <w:keepLines w:val="0"/>
        <w:pageBreakBefore w:val="0"/>
        <w:widowControl w:val="0"/>
        <w:kinsoku/>
        <w:wordWrap/>
        <w:overflowPunct/>
        <w:topLinePunct w:val="0"/>
        <w:autoSpaceDE/>
        <w:autoSpaceDN/>
        <w:bidi w:val="0"/>
        <w:adjustRightInd/>
        <w:spacing w:line="360" w:lineRule="auto"/>
        <w:ind w:left="0" w:firstLine="560" w:firstLineChars="200"/>
        <w:textAlignment w:val="auto"/>
        <w:rPr>
          <w:rFonts w:hint="eastAsia" w:ascii="仿宋_GB2312" w:hAnsi="华文仿宋" w:eastAsia="仿宋_GB2312"/>
          <w:color w:val="auto"/>
          <w:sz w:val="28"/>
          <w:szCs w:val="28"/>
        </w:rPr>
      </w:pPr>
      <w:r>
        <w:rPr>
          <w:rFonts w:hint="eastAsia" w:ascii="方正仿宋简体" w:hAnsi="华文仿宋" w:eastAsia="方正仿宋简体"/>
          <w:b/>
          <w:color w:val="auto"/>
          <w:sz w:val="28"/>
          <w:szCs w:val="28"/>
        </w:rPr>
        <w:t xml:space="preserve">第八条 </w:t>
      </w:r>
      <w:r>
        <w:rPr>
          <w:rFonts w:hint="eastAsia" w:ascii="仿宋_GB2312" w:hAnsi="华文仿宋" w:eastAsia="仿宋_GB2312"/>
          <w:color w:val="auto"/>
          <w:sz w:val="28"/>
          <w:szCs w:val="28"/>
        </w:rPr>
        <w:t xml:space="preserve"> 中心按照确保质量、提高效率、控制风险、公平、公开、公正的总原则进行评审任务分配。</w:t>
      </w:r>
      <w:r>
        <w:rPr>
          <w:rFonts w:hint="eastAsia" w:ascii="仿宋_GB2312" w:hAnsi="华文仿宋" w:eastAsia="仿宋_GB2312"/>
          <w:color w:val="auto"/>
          <w:sz w:val="28"/>
          <w:szCs w:val="28"/>
          <w:highlight w:val="none"/>
          <w:lang w:val="en-US" w:eastAsia="zh-CN"/>
        </w:rPr>
        <w:t>按照各评审机构的中标名次依次轮转分配项目，</w:t>
      </w:r>
      <w:r>
        <w:rPr>
          <w:rFonts w:hint="eastAsia" w:ascii="仿宋_GB2312" w:hAnsi="华文仿宋" w:eastAsia="仿宋_GB2312"/>
          <w:color w:val="auto"/>
          <w:sz w:val="28"/>
          <w:szCs w:val="28"/>
          <w:highlight w:val="none"/>
        </w:rPr>
        <w:t>根据评审咨询机构的履约评价和</w:t>
      </w:r>
      <w:r>
        <w:rPr>
          <w:rFonts w:hint="eastAsia" w:ascii="仿宋_GB2312" w:hAnsi="华文仿宋" w:eastAsia="仿宋_GB2312"/>
          <w:color w:val="auto"/>
          <w:sz w:val="28"/>
          <w:szCs w:val="28"/>
        </w:rPr>
        <w:t>考核情况中心将适时调整任务分配。</w:t>
      </w:r>
    </w:p>
    <w:p>
      <w:pPr>
        <w:keepNext w:val="0"/>
        <w:keepLines w:val="0"/>
        <w:pageBreakBefore w:val="0"/>
        <w:widowControl w:val="0"/>
        <w:kinsoku/>
        <w:wordWrap/>
        <w:overflowPunct/>
        <w:topLinePunct w:val="0"/>
        <w:autoSpaceDE/>
        <w:autoSpaceDN/>
        <w:bidi w:val="0"/>
        <w:adjustRightInd/>
        <w:spacing w:line="360" w:lineRule="auto"/>
        <w:ind w:left="0" w:firstLine="560" w:firstLineChars="200"/>
        <w:textAlignment w:val="auto"/>
        <w:rPr>
          <w:rFonts w:hint="eastAsia" w:ascii="仿宋_GB2312" w:hAnsi="华文仿宋" w:eastAsia="仿宋_GB2312"/>
          <w:b/>
          <w:bCs/>
          <w:color w:val="auto"/>
          <w:sz w:val="28"/>
          <w:szCs w:val="28"/>
          <w:highlight w:val="none"/>
          <w:u w:val="single"/>
        </w:rPr>
      </w:pPr>
      <w:r>
        <w:rPr>
          <w:rFonts w:hint="eastAsia" w:ascii="方正仿宋简体" w:hAnsi="华文仿宋" w:eastAsia="方正仿宋简体"/>
          <w:b/>
          <w:color w:val="auto"/>
          <w:sz w:val="28"/>
          <w:szCs w:val="28"/>
        </w:rPr>
        <w:t xml:space="preserve">第九条 </w:t>
      </w:r>
      <w:r>
        <w:rPr>
          <w:rFonts w:hint="eastAsia" w:ascii="仿宋_GB2312" w:hAnsi="华文仿宋" w:eastAsia="仿宋_GB2312"/>
          <w:color w:val="auto"/>
          <w:sz w:val="28"/>
          <w:szCs w:val="28"/>
        </w:rPr>
        <w:t xml:space="preserve"> 中心依据《国家发改委关于进一步放开建设项目专业服务价格的通知》（国家发改价格〔2015〕299号）文件，</w:t>
      </w:r>
      <w:r>
        <w:rPr>
          <w:rFonts w:hint="eastAsia" w:ascii="仿宋_GB2312" w:hAnsi="华文仿宋" w:eastAsia="仿宋_GB2312"/>
          <w:color w:val="auto"/>
          <w:sz w:val="28"/>
          <w:szCs w:val="28"/>
          <w:lang w:val="en-US" w:eastAsia="zh-CN"/>
        </w:rPr>
        <w:t>参</w:t>
      </w:r>
      <w:r>
        <w:rPr>
          <w:rFonts w:hint="eastAsia" w:ascii="仿宋_GB2312" w:hAnsi="华文仿宋" w:eastAsia="仿宋_GB2312"/>
          <w:color w:val="auto"/>
          <w:sz w:val="28"/>
          <w:szCs w:val="28"/>
        </w:rPr>
        <w:t>照</w:t>
      </w:r>
      <w:r>
        <w:rPr>
          <w:rFonts w:hint="eastAsia" w:ascii="仿宋_GB2312" w:hAnsi="华文仿宋" w:eastAsia="仿宋_GB2312"/>
          <w:color w:val="auto"/>
          <w:sz w:val="28"/>
          <w:szCs w:val="28"/>
          <w:highlight w:val="none"/>
        </w:rPr>
        <w:t>《成都市政府投资项目评审中心（</w:t>
      </w:r>
      <w:r>
        <w:rPr>
          <w:rFonts w:hint="eastAsia" w:ascii="仿宋_GB2312" w:hAnsi="华文仿宋" w:eastAsia="仿宋_GB2312"/>
          <w:color w:val="auto"/>
          <w:sz w:val="28"/>
          <w:szCs w:val="28"/>
          <w:highlight w:val="none"/>
          <w:lang w:val="en-US" w:eastAsia="zh-CN"/>
        </w:rPr>
        <w:t>市</w:t>
      </w:r>
      <w:r>
        <w:rPr>
          <w:rFonts w:hint="eastAsia" w:ascii="仿宋_GB2312" w:hAnsi="华文仿宋" w:eastAsia="仿宋_GB2312"/>
          <w:color w:val="auto"/>
          <w:sz w:val="28"/>
          <w:szCs w:val="28"/>
          <w:highlight w:val="none"/>
        </w:rPr>
        <w:t>PPP中心）</w:t>
      </w:r>
      <w:r>
        <w:rPr>
          <w:rFonts w:hint="eastAsia" w:ascii="仿宋_GB2312" w:hAnsi="华文仿宋" w:eastAsia="仿宋_GB2312"/>
          <w:color w:val="auto"/>
          <w:sz w:val="28"/>
          <w:szCs w:val="28"/>
          <w:highlight w:val="none"/>
          <w:lang w:val="en-US" w:eastAsia="zh-CN"/>
        </w:rPr>
        <w:t>项目评审费用核算及支付管理办法</w:t>
      </w:r>
      <w:r>
        <w:rPr>
          <w:rFonts w:hint="eastAsia" w:ascii="仿宋_GB2312" w:hAnsi="华文仿宋" w:eastAsia="仿宋_GB2312"/>
          <w:color w:val="auto"/>
          <w:sz w:val="28"/>
          <w:szCs w:val="28"/>
          <w:highlight w:val="none"/>
        </w:rPr>
        <w:t>》</w:t>
      </w:r>
      <w:r>
        <w:rPr>
          <w:rFonts w:hint="eastAsia" w:ascii="仿宋_GB2312" w:hAnsi="华文仿宋" w:eastAsia="仿宋_GB2312"/>
          <w:color w:val="auto"/>
          <w:sz w:val="28"/>
          <w:szCs w:val="28"/>
          <w:highlight w:val="none"/>
          <w:lang w:eastAsia="zh-CN"/>
        </w:rPr>
        <w:t>（</w:t>
      </w:r>
      <w:r>
        <w:rPr>
          <w:rFonts w:hint="eastAsia" w:ascii="仿宋_GB2312" w:hAnsi="华文仿宋" w:eastAsia="仿宋_GB2312"/>
          <w:color w:val="auto"/>
          <w:sz w:val="28"/>
          <w:szCs w:val="28"/>
          <w:highlight w:val="none"/>
        </w:rPr>
        <w:t>成评审〔201</w:t>
      </w:r>
      <w:r>
        <w:rPr>
          <w:rFonts w:hint="eastAsia" w:ascii="仿宋_GB2312" w:hAnsi="华文仿宋" w:eastAsia="仿宋_GB2312"/>
          <w:color w:val="auto"/>
          <w:sz w:val="28"/>
          <w:szCs w:val="28"/>
          <w:highlight w:val="none"/>
          <w:lang w:val="en-US" w:eastAsia="zh-CN"/>
        </w:rPr>
        <w:t>9</w:t>
      </w:r>
      <w:r>
        <w:rPr>
          <w:rFonts w:hint="eastAsia" w:ascii="仿宋_GB2312" w:hAnsi="华文仿宋" w:eastAsia="仿宋_GB2312"/>
          <w:color w:val="auto"/>
          <w:sz w:val="28"/>
          <w:szCs w:val="28"/>
          <w:highlight w:val="none"/>
        </w:rPr>
        <w:t>〕2号</w:t>
      </w:r>
      <w:r>
        <w:rPr>
          <w:rFonts w:hint="eastAsia" w:ascii="仿宋_GB2312" w:hAnsi="华文仿宋" w:eastAsia="仿宋_GB2312"/>
          <w:color w:val="auto"/>
          <w:sz w:val="28"/>
          <w:szCs w:val="28"/>
          <w:highlight w:val="none"/>
          <w:lang w:eastAsia="zh-CN"/>
        </w:rPr>
        <w:t>）</w:t>
      </w:r>
      <w:r>
        <w:rPr>
          <w:rFonts w:hint="eastAsia" w:ascii="仿宋_GB2312" w:hAnsi="华文仿宋" w:eastAsia="仿宋_GB2312"/>
          <w:color w:val="auto"/>
          <w:sz w:val="28"/>
          <w:szCs w:val="28"/>
          <w:highlight w:val="none"/>
        </w:rPr>
        <w:t>的要求，</w:t>
      </w:r>
      <w:r>
        <w:rPr>
          <w:rFonts w:hint="eastAsia" w:ascii="仿宋_GB2312" w:hAnsi="华文仿宋" w:eastAsia="仿宋_GB2312"/>
          <w:color w:val="auto"/>
          <w:sz w:val="28"/>
          <w:szCs w:val="28"/>
          <w:highlight w:val="none"/>
          <w:lang w:val="en-US" w:eastAsia="zh-CN"/>
        </w:rPr>
        <w:t>结合我区项目实际支付评审费</w:t>
      </w:r>
      <w:r>
        <w:rPr>
          <w:rFonts w:hint="eastAsia" w:ascii="仿宋_GB2312" w:hAnsi="华文仿宋" w:eastAsia="仿宋_GB2312" w:cs="Times New Roman"/>
          <w:color w:val="auto"/>
          <w:sz w:val="28"/>
          <w:szCs w:val="28"/>
          <w:highlight w:val="none"/>
        </w:rPr>
        <w:t>。</w:t>
      </w:r>
    </w:p>
    <w:p>
      <w:pPr>
        <w:keepNext w:val="0"/>
        <w:keepLines w:val="0"/>
        <w:pageBreakBefore w:val="0"/>
        <w:widowControl w:val="0"/>
        <w:kinsoku/>
        <w:wordWrap/>
        <w:overflowPunct/>
        <w:topLinePunct w:val="0"/>
        <w:autoSpaceDE/>
        <w:autoSpaceDN/>
        <w:bidi w:val="0"/>
        <w:adjustRightInd/>
        <w:spacing w:line="360" w:lineRule="auto"/>
        <w:ind w:left="0"/>
        <w:jc w:val="center"/>
        <w:textAlignment w:val="auto"/>
        <w:rPr>
          <w:rFonts w:hint="eastAsia" w:ascii="黑体" w:eastAsia="黑体"/>
          <w:color w:val="auto"/>
          <w:sz w:val="28"/>
          <w:szCs w:val="28"/>
        </w:rPr>
      </w:pPr>
      <w:r>
        <w:rPr>
          <w:rFonts w:hint="eastAsia" w:ascii="黑体" w:eastAsia="黑体"/>
          <w:color w:val="auto"/>
          <w:sz w:val="28"/>
          <w:szCs w:val="28"/>
        </w:rPr>
        <w:t>第四章  考核管理</w:t>
      </w:r>
    </w:p>
    <w:p>
      <w:pPr>
        <w:keepNext w:val="0"/>
        <w:keepLines w:val="0"/>
        <w:pageBreakBefore w:val="0"/>
        <w:widowControl w:val="0"/>
        <w:kinsoku/>
        <w:wordWrap/>
        <w:overflowPunct/>
        <w:topLinePunct w:val="0"/>
        <w:autoSpaceDE/>
        <w:autoSpaceDN/>
        <w:bidi w:val="0"/>
        <w:adjustRightInd/>
        <w:spacing w:line="360" w:lineRule="auto"/>
        <w:ind w:left="0" w:firstLine="549" w:firstLineChars="196"/>
        <w:textAlignment w:val="auto"/>
        <w:rPr>
          <w:rFonts w:hint="eastAsia" w:ascii="仿宋_GB2312" w:hAnsi="华文仿宋" w:eastAsia="仿宋_GB2312"/>
          <w:color w:val="auto"/>
          <w:sz w:val="28"/>
          <w:szCs w:val="28"/>
        </w:rPr>
      </w:pPr>
      <w:r>
        <w:rPr>
          <w:rFonts w:hint="eastAsia" w:ascii="方正仿宋简体" w:hAnsi="华文仿宋" w:eastAsia="方正仿宋简体"/>
          <w:b/>
          <w:color w:val="auto"/>
          <w:sz w:val="28"/>
          <w:szCs w:val="28"/>
        </w:rPr>
        <w:t xml:space="preserve">第十条 </w:t>
      </w:r>
      <w:r>
        <w:rPr>
          <w:rFonts w:hint="eastAsia" w:ascii="仿宋_GB2312" w:hAnsi="华文仿宋" w:eastAsia="仿宋_GB2312"/>
          <w:color w:val="auto"/>
          <w:sz w:val="28"/>
          <w:szCs w:val="28"/>
        </w:rPr>
        <w:t xml:space="preserve"> 评审咨询机构考核分为季度考核和年度考核两种方式，考核内容包括评审咨询机构的评审质量、服务质量、廉政情况、综合工作。</w:t>
      </w:r>
    </w:p>
    <w:p>
      <w:pPr>
        <w:keepNext w:val="0"/>
        <w:keepLines w:val="0"/>
        <w:pageBreakBefore w:val="0"/>
        <w:widowControl w:val="0"/>
        <w:kinsoku/>
        <w:wordWrap/>
        <w:overflowPunct/>
        <w:topLinePunct w:val="0"/>
        <w:autoSpaceDE/>
        <w:autoSpaceDN/>
        <w:bidi w:val="0"/>
        <w:adjustRightInd/>
        <w:spacing w:line="360" w:lineRule="auto"/>
        <w:ind w:left="0" w:firstLine="640"/>
        <w:textAlignment w:val="auto"/>
        <w:rPr>
          <w:rFonts w:ascii="仿宋_GB2312" w:hAnsi="华文仿宋" w:eastAsia="仿宋_GB2312"/>
          <w:color w:val="auto"/>
          <w:sz w:val="28"/>
          <w:szCs w:val="28"/>
        </w:rPr>
      </w:pPr>
      <w:r>
        <w:rPr>
          <w:rFonts w:hint="eastAsia" w:ascii="仿宋_GB2312" w:hAnsi="华文仿宋" w:eastAsia="仿宋_GB2312"/>
          <w:color w:val="auto"/>
          <w:sz w:val="28"/>
          <w:szCs w:val="28"/>
        </w:rPr>
        <w:t>（一）季度考核工作在每一季度结束后由中心负责实施。</w:t>
      </w:r>
      <w:r>
        <w:rPr>
          <w:rFonts w:hint="eastAsia" w:ascii="方正仿宋简体" w:hAnsi="华文仿宋" w:eastAsia="方正仿宋简体"/>
          <w:color w:val="auto"/>
          <w:sz w:val="28"/>
          <w:szCs w:val="28"/>
        </w:rPr>
        <w:t>中心以每个项目评价情况为依据，结合项目实际推进进行考核，</w:t>
      </w:r>
      <w:r>
        <w:rPr>
          <w:rFonts w:hint="eastAsia" w:ascii="仿宋_GB2312" w:hAnsi="华文仿宋" w:eastAsia="仿宋_GB2312"/>
          <w:color w:val="auto"/>
          <w:sz w:val="28"/>
          <w:szCs w:val="28"/>
        </w:rPr>
        <w:t>考核结果分优（a≥90分）、良（80分≤a＜90分）、中（75分≤a＜80分）、合格（70分≤a＜75分）、不合格（70分以下）5个等级（考核结果表示为a）”；在合同期内，考核结果为不合格者，第1次将暂停一个季度评审业务，第2次将取消评审咨询服务资格。</w:t>
      </w:r>
    </w:p>
    <w:p>
      <w:pPr>
        <w:keepNext w:val="0"/>
        <w:keepLines w:val="0"/>
        <w:pageBreakBefore w:val="0"/>
        <w:widowControl w:val="0"/>
        <w:kinsoku/>
        <w:wordWrap/>
        <w:overflowPunct/>
        <w:topLinePunct w:val="0"/>
        <w:autoSpaceDE/>
        <w:autoSpaceDN/>
        <w:bidi w:val="0"/>
        <w:adjustRightInd/>
        <w:spacing w:line="360" w:lineRule="auto"/>
        <w:ind w:left="0" w:firstLine="640"/>
        <w:textAlignment w:val="auto"/>
        <w:rPr>
          <w:rFonts w:eastAsia="方正仿宋简体"/>
          <w:color w:val="auto"/>
          <w:sz w:val="28"/>
          <w:szCs w:val="28"/>
        </w:rPr>
      </w:pPr>
      <w:r>
        <w:rPr>
          <w:rFonts w:eastAsia="方正仿宋简体"/>
          <w:color w:val="auto"/>
          <w:sz w:val="28"/>
          <w:szCs w:val="28"/>
        </w:rPr>
        <w:t>（二）年度考核工作在每年年终由中心负责实施。中心对评审咨询机构在综合实力、资质条件、合同履行情况、业务水平、内部稽核制度、遵守职业道德情况、服务质量及社会信誉等方面的综合考核，得出年度考核分数，</w:t>
      </w:r>
      <w:r>
        <w:rPr>
          <w:rFonts w:hint="eastAsia" w:eastAsia="方正仿宋简体"/>
          <w:color w:val="auto"/>
          <w:sz w:val="28"/>
          <w:szCs w:val="28"/>
        </w:rPr>
        <w:t>考核结果分优（a≥90分）、良（80分≤a＜90分）、中（75分≤a＜80分）、合格（70分≤a＜75分）、不合格（70分以下）5个等级”（考核结果表示为a）</w:t>
      </w:r>
      <w:r>
        <w:rPr>
          <w:rFonts w:eastAsia="方正仿宋简体"/>
          <w:color w:val="auto"/>
          <w:sz w:val="28"/>
          <w:szCs w:val="28"/>
        </w:rPr>
        <w:t>。</w:t>
      </w:r>
    </w:p>
    <w:p>
      <w:pPr>
        <w:keepNext w:val="0"/>
        <w:keepLines w:val="0"/>
        <w:pageBreakBefore w:val="0"/>
        <w:widowControl w:val="0"/>
        <w:kinsoku/>
        <w:wordWrap/>
        <w:overflowPunct/>
        <w:topLinePunct w:val="0"/>
        <w:autoSpaceDE/>
        <w:autoSpaceDN/>
        <w:bidi w:val="0"/>
        <w:adjustRightInd/>
        <w:spacing w:line="360" w:lineRule="auto"/>
        <w:ind w:left="0" w:firstLine="640"/>
        <w:textAlignment w:val="auto"/>
        <w:rPr>
          <w:rFonts w:hint="eastAsia" w:ascii="仿宋_GB2312" w:hAnsi="华文仿宋" w:eastAsia="仿宋_GB2312"/>
          <w:color w:val="auto"/>
          <w:sz w:val="28"/>
          <w:szCs w:val="28"/>
        </w:rPr>
      </w:pPr>
      <w:r>
        <w:rPr>
          <w:rFonts w:hint="eastAsia" w:ascii="方正仿宋简体" w:hAnsi="华文仿宋" w:eastAsia="方正仿宋简体"/>
          <w:b/>
          <w:color w:val="auto"/>
          <w:sz w:val="28"/>
          <w:szCs w:val="28"/>
        </w:rPr>
        <w:t xml:space="preserve">第十一条  </w:t>
      </w:r>
      <w:r>
        <w:rPr>
          <w:rFonts w:hint="eastAsia" w:ascii="仿宋_GB2312" w:hAnsi="华文仿宋" w:eastAsia="仿宋_GB2312"/>
          <w:color w:val="auto"/>
          <w:sz w:val="28"/>
          <w:szCs w:val="28"/>
        </w:rPr>
        <w:t>中心对评审咨询机构实行分级管理制度，责任追究实行警告、扣减咨询费用、暂停评审业务、取消评审咨询服务资格四种责任追究办法。</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560" w:firstLineChars="200"/>
        <w:textAlignment w:val="auto"/>
        <w:rPr>
          <w:rFonts w:hint="eastAsia" w:ascii="仿宋_GB2312" w:hAnsi="华文仿宋" w:eastAsia="仿宋_GB2312"/>
          <w:color w:val="auto"/>
          <w:sz w:val="28"/>
          <w:szCs w:val="28"/>
        </w:rPr>
      </w:pPr>
      <w:r>
        <w:rPr>
          <w:rFonts w:hint="eastAsia" w:ascii="仿宋_GB2312" w:hAnsi="华文仿宋" w:eastAsia="仿宋_GB2312"/>
          <w:color w:val="auto"/>
          <w:sz w:val="28"/>
          <w:szCs w:val="28"/>
          <w:lang w:val="en-US" w:eastAsia="zh-CN"/>
        </w:rPr>
        <w:t>1.</w:t>
      </w:r>
      <w:r>
        <w:rPr>
          <w:rFonts w:hint="eastAsia" w:ascii="仿宋_GB2312" w:hAnsi="华文仿宋" w:eastAsia="仿宋_GB2312"/>
          <w:color w:val="auto"/>
          <w:sz w:val="28"/>
          <w:szCs w:val="28"/>
        </w:rPr>
        <w:t>警告</w:t>
      </w:r>
    </w:p>
    <w:p>
      <w:pPr>
        <w:keepNext w:val="0"/>
        <w:keepLines w:val="0"/>
        <w:pageBreakBefore w:val="0"/>
        <w:widowControl w:val="0"/>
        <w:kinsoku/>
        <w:wordWrap/>
        <w:overflowPunct/>
        <w:topLinePunct w:val="0"/>
        <w:autoSpaceDE/>
        <w:autoSpaceDN/>
        <w:bidi w:val="0"/>
        <w:adjustRightInd/>
        <w:spacing w:line="360" w:lineRule="auto"/>
        <w:ind w:left="0" w:firstLine="560" w:firstLineChars="200"/>
        <w:textAlignment w:val="auto"/>
        <w:rPr>
          <w:rFonts w:hint="eastAsia" w:ascii="仿宋_GB2312" w:hAnsi="华文仿宋" w:eastAsia="仿宋_GB2312"/>
          <w:color w:val="auto"/>
          <w:sz w:val="28"/>
          <w:szCs w:val="28"/>
        </w:rPr>
      </w:pPr>
      <w:r>
        <w:rPr>
          <w:rFonts w:hint="eastAsia" w:ascii="仿宋_GB2312" w:hAnsi="华文仿宋" w:eastAsia="仿宋_GB2312"/>
          <w:color w:val="auto"/>
          <w:sz w:val="28"/>
          <w:szCs w:val="28"/>
        </w:rPr>
        <w:t>有下列情形之一的将给予警告，警告一次暂停一次评审业务。</w:t>
      </w:r>
    </w:p>
    <w:p>
      <w:pPr>
        <w:keepNext w:val="0"/>
        <w:keepLines w:val="0"/>
        <w:pageBreakBefore w:val="0"/>
        <w:widowControl w:val="0"/>
        <w:kinsoku/>
        <w:wordWrap/>
        <w:overflowPunct/>
        <w:topLinePunct w:val="0"/>
        <w:autoSpaceDE/>
        <w:autoSpaceDN/>
        <w:bidi w:val="0"/>
        <w:adjustRightInd/>
        <w:spacing w:line="360" w:lineRule="auto"/>
        <w:ind w:left="0" w:firstLine="560" w:firstLineChars="200"/>
        <w:textAlignment w:val="auto"/>
        <w:rPr>
          <w:rFonts w:hint="eastAsia" w:ascii="仿宋_GB2312" w:hAnsi="华文仿宋" w:eastAsia="仿宋_GB2312"/>
          <w:color w:val="auto"/>
          <w:sz w:val="28"/>
          <w:szCs w:val="28"/>
        </w:rPr>
      </w:pPr>
      <w:r>
        <w:rPr>
          <w:rFonts w:hint="eastAsia" w:ascii="仿宋_GB2312" w:hAnsi="华文仿宋" w:eastAsia="仿宋_GB2312"/>
          <w:color w:val="auto"/>
          <w:sz w:val="28"/>
          <w:szCs w:val="28"/>
        </w:rPr>
        <w:t>①工作人员态度恶劣、工作推诿不主动不积极配合；</w:t>
      </w:r>
    </w:p>
    <w:p>
      <w:pPr>
        <w:keepNext w:val="0"/>
        <w:keepLines w:val="0"/>
        <w:pageBreakBefore w:val="0"/>
        <w:widowControl w:val="0"/>
        <w:kinsoku/>
        <w:wordWrap/>
        <w:overflowPunct/>
        <w:topLinePunct w:val="0"/>
        <w:autoSpaceDE/>
        <w:autoSpaceDN/>
        <w:bidi w:val="0"/>
        <w:adjustRightInd/>
        <w:spacing w:line="360" w:lineRule="auto"/>
        <w:ind w:left="0" w:firstLine="560" w:firstLineChars="200"/>
        <w:textAlignment w:val="auto"/>
        <w:rPr>
          <w:rFonts w:hint="eastAsia" w:ascii="仿宋_GB2312" w:hAnsi="华文仿宋" w:eastAsia="仿宋_GB2312"/>
          <w:color w:val="auto"/>
          <w:sz w:val="28"/>
          <w:szCs w:val="28"/>
        </w:rPr>
      </w:pPr>
      <w:r>
        <w:rPr>
          <w:rFonts w:hint="eastAsia" w:ascii="仿宋_GB2312" w:hAnsi="华文仿宋" w:eastAsia="仿宋_GB2312"/>
          <w:color w:val="auto"/>
          <w:sz w:val="28"/>
          <w:szCs w:val="28"/>
        </w:rPr>
        <w:t>②评审咨询机构未按规定时间完成评审工作；</w:t>
      </w:r>
    </w:p>
    <w:p>
      <w:pPr>
        <w:keepNext w:val="0"/>
        <w:keepLines w:val="0"/>
        <w:pageBreakBefore w:val="0"/>
        <w:widowControl w:val="0"/>
        <w:kinsoku/>
        <w:wordWrap/>
        <w:overflowPunct/>
        <w:topLinePunct w:val="0"/>
        <w:autoSpaceDE/>
        <w:autoSpaceDN/>
        <w:bidi w:val="0"/>
        <w:adjustRightInd/>
        <w:spacing w:line="360" w:lineRule="auto"/>
        <w:ind w:left="0" w:firstLine="560" w:firstLineChars="200"/>
        <w:textAlignment w:val="auto"/>
        <w:rPr>
          <w:rFonts w:hint="eastAsia" w:ascii="仿宋_GB2312" w:hAnsi="华文仿宋" w:eastAsia="仿宋_GB2312"/>
          <w:color w:val="auto"/>
          <w:sz w:val="28"/>
          <w:szCs w:val="28"/>
        </w:rPr>
      </w:pPr>
      <w:r>
        <w:rPr>
          <w:rFonts w:hint="eastAsia" w:ascii="仿宋_GB2312" w:hAnsi="华文仿宋" w:eastAsia="仿宋_GB2312"/>
          <w:color w:val="auto"/>
          <w:sz w:val="28"/>
          <w:szCs w:val="28"/>
        </w:rPr>
        <w:t>③安排的专业技术人员能力较差，责任心不强；</w:t>
      </w:r>
    </w:p>
    <w:p>
      <w:pPr>
        <w:keepNext w:val="0"/>
        <w:keepLines w:val="0"/>
        <w:pageBreakBefore w:val="0"/>
        <w:widowControl w:val="0"/>
        <w:kinsoku/>
        <w:wordWrap/>
        <w:overflowPunct/>
        <w:topLinePunct w:val="0"/>
        <w:autoSpaceDE/>
        <w:autoSpaceDN/>
        <w:bidi w:val="0"/>
        <w:adjustRightInd/>
        <w:spacing w:line="360" w:lineRule="auto"/>
        <w:ind w:left="0" w:firstLine="560" w:firstLineChars="200"/>
        <w:textAlignment w:val="auto"/>
        <w:rPr>
          <w:rFonts w:hint="eastAsia" w:ascii="仿宋_GB2312" w:hAnsi="华文仿宋" w:eastAsia="仿宋_GB2312"/>
          <w:color w:val="auto"/>
          <w:sz w:val="28"/>
          <w:szCs w:val="28"/>
        </w:rPr>
      </w:pPr>
      <w:r>
        <w:rPr>
          <w:rFonts w:hint="eastAsia" w:ascii="仿宋_GB2312" w:hAnsi="华文仿宋" w:eastAsia="仿宋_GB2312"/>
          <w:color w:val="auto"/>
          <w:sz w:val="28"/>
          <w:szCs w:val="28"/>
        </w:rPr>
        <w:t>④工程概况描述与设计不符、技术指标出入较大时未及时向中心说明；</w:t>
      </w:r>
    </w:p>
    <w:p>
      <w:pPr>
        <w:keepNext w:val="0"/>
        <w:keepLines w:val="0"/>
        <w:pageBreakBefore w:val="0"/>
        <w:widowControl w:val="0"/>
        <w:kinsoku/>
        <w:wordWrap/>
        <w:overflowPunct/>
        <w:topLinePunct w:val="0"/>
        <w:autoSpaceDE/>
        <w:autoSpaceDN/>
        <w:bidi w:val="0"/>
        <w:adjustRightInd/>
        <w:spacing w:line="360" w:lineRule="auto"/>
        <w:ind w:left="0" w:firstLine="560" w:firstLineChars="200"/>
        <w:textAlignment w:val="auto"/>
        <w:rPr>
          <w:rFonts w:hint="eastAsia" w:ascii="仿宋_GB2312" w:hAnsi="华文仿宋" w:eastAsia="仿宋_GB2312"/>
          <w:color w:val="auto"/>
          <w:sz w:val="28"/>
          <w:szCs w:val="28"/>
        </w:rPr>
      </w:pPr>
      <w:r>
        <w:rPr>
          <w:rFonts w:hint="eastAsia" w:ascii="仿宋_GB2312" w:hAnsi="华文仿宋" w:eastAsia="仿宋_GB2312"/>
          <w:color w:val="auto"/>
          <w:sz w:val="28"/>
          <w:szCs w:val="28"/>
        </w:rPr>
        <w:t>⑤评审主要项目存在异常而未向中心反映；</w:t>
      </w:r>
    </w:p>
    <w:p>
      <w:pPr>
        <w:keepNext w:val="0"/>
        <w:keepLines w:val="0"/>
        <w:pageBreakBefore w:val="0"/>
        <w:widowControl w:val="0"/>
        <w:kinsoku/>
        <w:wordWrap/>
        <w:overflowPunct/>
        <w:topLinePunct w:val="0"/>
        <w:autoSpaceDE/>
        <w:autoSpaceDN/>
        <w:bidi w:val="0"/>
        <w:adjustRightInd/>
        <w:spacing w:line="360" w:lineRule="auto"/>
        <w:ind w:left="0" w:firstLine="560" w:firstLineChars="200"/>
        <w:textAlignment w:val="auto"/>
        <w:rPr>
          <w:rFonts w:hint="eastAsia" w:ascii="仿宋_GB2312" w:hAnsi="华文仿宋" w:eastAsia="仿宋_GB2312"/>
          <w:color w:val="auto"/>
          <w:sz w:val="28"/>
          <w:szCs w:val="28"/>
        </w:rPr>
      </w:pPr>
      <w:r>
        <w:rPr>
          <w:rFonts w:hint="eastAsia" w:ascii="仿宋_GB2312" w:hAnsi="华文仿宋" w:eastAsia="仿宋_GB2312"/>
          <w:color w:val="auto"/>
          <w:sz w:val="28"/>
          <w:szCs w:val="28"/>
        </w:rPr>
        <w:t>⑥私自与评审工作关联单位联系、提供、泄露项目评审相关情况；</w:t>
      </w:r>
    </w:p>
    <w:p>
      <w:pPr>
        <w:keepNext w:val="0"/>
        <w:keepLines w:val="0"/>
        <w:pageBreakBefore w:val="0"/>
        <w:widowControl w:val="0"/>
        <w:kinsoku/>
        <w:wordWrap/>
        <w:overflowPunct/>
        <w:topLinePunct w:val="0"/>
        <w:autoSpaceDE/>
        <w:autoSpaceDN/>
        <w:bidi w:val="0"/>
        <w:adjustRightInd/>
        <w:spacing w:line="360" w:lineRule="auto"/>
        <w:ind w:left="0" w:firstLine="560" w:firstLineChars="200"/>
        <w:textAlignment w:val="auto"/>
        <w:rPr>
          <w:rFonts w:hint="eastAsia" w:ascii="仿宋_GB2312" w:hAnsi="华文仿宋" w:eastAsia="仿宋_GB2312"/>
          <w:color w:val="auto"/>
          <w:sz w:val="28"/>
          <w:szCs w:val="28"/>
        </w:rPr>
      </w:pPr>
      <w:r>
        <w:rPr>
          <w:rFonts w:hint="eastAsia" w:ascii="仿宋_GB2312" w:hAnsi="华文仿宋" w:eastAsia="仿宋_GB2312"/>
          <w:color w:val="auto"/>
          <w:sz w:val="28"/>
          <w:szCs w:val="28"/>
        </w:rPr>
        <w:t>⑦私自借取评审项目预算编制计算底稿；</w:t>
      </w:r>
    </w:p>
    <w:p>
      <w:pPr>
        <w:keepNext w:val="0"/>
        <w:keepLines w:val="0"/>
        <w:pageBreakBefore w:val="0"/>
        <w:widowControl w:val="0"/>
        <w:kinsoku/>
        <w:wordWrap/>
        <w:overflowPunct/>
        <w:topLinePunct w:val="0"/>
        <w:autoSpaceDE/>
        <w:autoSpaceDN/>
        <w:bidi w:val="0"/>
        <w:adjustRightInd/>
        <w:spacing w:line="360" w:lineRule="auto"/>
        <w:ind w:left="0" w:firstLine="560" w:firstLineChars="200"/>
        <w:textAlignment w:val="auto"/>
        <w:rPr>
          <w:rFonts w:hint="eastAsia" w:ascii="仿宋_GB2312" w:hAnsi="华文仿宋" w:eastAsia="仿宋_GB2312"/>
          <w:color w:val="auto"/>
          <w:sz w:val="28"/>
          <w:szCs w:val="28"/>
        </w:rPr>
      </w:pPr>
      <w:r>
        <w:rPr>
          <w:rFonts w:hint="eastAsia" w:ascii="仿宋_GB2312" w:hAnsi="华文仿宋" w:eastAsia="仿宋_GB2312"/>
          <w:color w:val="auto"/>
          <w:sz w:val="28"/>
          <w:szCs w:val="28"/>
        </w:rPr>
        <w:t>⑧评审咨询机构完成评审工作后未及时向评审中心返还资料。</w:t>
      </w:r>
    </w:p>
    <w:p>
      <w:pPr>
        <w:keepNext w:val="0"/>
        <w:keepLines w:val="0"/>
        <w:pageBreakBefore w:val="0"/>
        <w:widowControl w:val="0"/>
        <w:kinsoku/>
        <w:wordWrap/>
        <w:overflowPunct/>
        <w:topLinePunct w:val="0"/>
        <w:autoSpaceDE/>
        <w:autoSpaceDN/>
        <w:bidi w:val="0"/>
        <w:adjustRightInd/>
        <w:spacing w:line="360" w:lineRule="auto"/>
        <w:ind w:left="0" w:firstLine="560" w:firstLineChars="200"/>
        <w:textAlignment w:val="auto"/>
        <w:rPr>
          <w:rFonts w:hint="eastAsia" w:ascii="仿宋_GB2312" w:hAnsi="华文仿宋" w:eastAsia="仿宋_GB2312"/>
          <w:color w:val="auto"/>
          <w:sz w:val="28"/>
          <w:szCs w:val="28"/>
        </w:rPr>
      </w:pPr>
      <w:r>
        <w:rPr>
          <w:rFonts w:hint="eastAsia" w:ascii="仿宋_GB2312" w:hAnsi="华文仿宋" w:eastAsia="仿宋_GB2312"/>
          <w:color w:val="auto"/>
          <w:sz w:val="28"/>
          <w:szCs w:val="28"/>
        </w:rPr>
        <w:t>2</w:t>
      </w:r>
      <w:r>
        <w:rPr>
          <w:rFonts w:hint="eastAsia" w:ascii="仿宋_GB2312" w:hAnsi="华文仿宋" w:eastAsia="仿宋_GB2312"/>
          <w:color w:val="auto"/>
          <w:sz w:val="28"/>
          <w:szCs w:val="28"/>
          <w:lang w:val="en-US" w:eastAsia="zh-CN"/>
        </w:rPr>
        <w:t>.</w:t>
      </w:r>
      <w:r>
        <w:rPr>
          <w:rFonts w:hint="eastAsia" w:ascii="仿宋_GB2312" w:hAnsi="华文仿宋" w:eastAsia="仿宋_GB2312"/>
          <w:color w:val="auto"/>
          <w:sz w:val="28"/>
          <w:szCs w:val="28"/>
        </w:rPr>
        <w:t>扣减咨询费用</w:t>
      </w:r>
    </w:p>
    <w:p>
      <w:pPr>
        <w:keepNext w:val="0"/>
        <w:keepLines w:val="0"/>
        <w:pageBreakBefore w:val="0"/>
        <w:widowControl w:val="0"/>
        <w:kinsoku/>
        <w:wordWrap/>
        <w:overflowPunct/>
        <w:topLinePunct w:val="0"/>
        <w:autoSpaceDE/>
        <w:autoSpaceDN/>
        <w:bidi w:val="0"/>
        <w:adjustRightInd/>
        <w:spacing w:line="360" w:lineRule="auto"/>
        <w:ind w:left="0"/>
        <w:textAlignment w:val="auto"/>
        <w:rPr>
          <w:rFonts w:hint="eastAsia" w:ascii="仿宋_GB2312" w:hAnsi="华文仿宋" w:eastAsia="仿宋_GB2312"/>
          <w:color w:val="auto"/>
          <w:sz w:val="28"/>
          <w:szCs w:val="28"/>
        </w:rPr>
      </w:pPr>
      <w:r>
        <w:rPr>
          <w:rFonts w:hint="eastAsia" w:ascii="仿宋_GB2312" w:hAnsi="华文仿宋" w:eastAsia="仿宋_GB2312"/>
          <w:color w:val="auto"/>
          <w:sz w:val="28"/>
          <w:szCs w:val="28"/>
        </w:rPr>
        <w:t>有下列情形之一的将扣减咨询费用：</w:t>
      </w:r>
    </w:p>
    <w:p>
      <w:pPr>
        <w:keepNext w:val="0"/>
        <w:keepLines w:val="0"/>
        <w:pageBreakBefore w:val="0"/>
        <w:widowControl w:val="0"/>
        <w:kinsoku/>
        <w:wordWrap/>
        <w:overflowPunct/>
        <w:topLinePunct w:val="0"/>
        <w:autoSpaceDE/>
        <w:autoSpaceDN/>
        <w:bidi w:val="0"/>
        <w:adjustRightInd/>
        <w:spacing w:line="360" w:lineRule="auto"/>
        <w:ind w:left="0" w:firstLine="560" w:firstLineChars="200"/>
        <w:textAlignment w:val="auto"/>
        <w:rPr>
          <w:rFonts w:hint="eastAsia" w:ascii="仿宋_GB2312" w:hAnsi="华文仿宋" w:eastAsia="仿宋_GB2312"/>
          <w:color w:val="auto"/>
          <w:sz w:val="28"/>
          <w:szCs w:val="28"/>
        </w:rPr>
      </w:pPr>
      <w:r>
        <w:rPr>
          <w:rFonts w:hint="eastAsia" w:ascii="仿宋_GB2312" w:hAnsi="华文仿宋" w:eastAsia="仿宋_GB2312"/>
          <w:color w:val="auto"/>
          <w:sz w:val="28"/>
          <w:szCs w:val="28"/>
        </w:rPr>
        <w:t>①经复核发现评审结果清单子项工程量差异达10%以上，扣减咨询费用10%-50%；清单子项综合单价组价差异达20%（不包括材料价格差异）以上，扣减咨询费用10%-50%；主要材料询价经调查核实差异达30%以上，扣减咨询费用10%-50%；</w:t>
      </w:r>
    </w:p>
    <w:p>
      <w:pPr>
        <w:keepNext w:val="0"/>
        <w:keepLines w:val="0"/>
        <w:pageBreakBefore w:val="0"/>
        <w:widowControl w:val="0"/>
        <w:kinsoku/>
        <w:wordWrap/>
        <w:overflowPunct/>
        <w:topLinePunct w:val="0"/>
        <w:autoSpaceDE/>
        <w:autoSpaceDN/>
        <w:bidi w:val="0"/>
        <w:adjustRightInd/>
        <w:spacing w:line="360" w:lineRule="auto"/>
        <w:ind w:left="0" w:firstLine="560" w:firstLineChars="200"/>
        <w:textAlignment w:val="auto"/>
        <w:rPr>
          <w:rFonts w:hint="eastAsia" w:ascii="仿宋_GB2312" w:hAnsi="华文仿宋" w:eastAsia="仿宋_GB2312"/>
          <w:color w:val="auto"/>
          <w:sz w:val="28"/>
          <w:szCs w:val="28"/>
        </w:rPr>
      </w:pPr>
      <w:r>
        <w:rPr>
          <w:rFonts w:hint="eastAsia" w:ascii="仿宋_GB2312" w:hAnsi="华文仿宋" w:eastAsia="仿宋_GB2312"/>
          <w:color w:val="auto"/>
          <w:sz w:val="28"/>
          <w:szCs w:val="28"/>
        </w:rPr>
        <w:t>②重要项目漏项及错误，扣减咨询费用10%-50%；</w:t>
      </w:r>
    </w:p>
    <w:p>
      <w:pPr>
        <w:keepNext w:val="0"/>
        <w:keepLines w:val="0"/>
        <w:pageBreakBefore w:val="0"/>
        <w:widowControl w:val="0"/>
        <w:kinsoku/>
        <w:wordWrap/>
        <w:overflowPunct/>
        <w:topLinePunct w:val="0"/>
        <w:autoSpaceDE/>
        <w:autoSpaceDN/>
        <w:bidi w:val="0"/>
        <w:adjustRightInd/>
        <w:spacing w:line="360" w:lineRule="auto"/>
        <w:ind w:left="0" w:firstLine="560" w:firstLineChars="200"/>
        <w:textAlignment w:val="auto"/>
        <w:rPr>
          <w:rFonts w:hint="eastAsia" w:ascii="仿宋_GB2312" w:hAnsi="华文仿宋" w:eastAsia="仿宋_GB2312"/>
          <w:color w:val="auto"/>
          <w:sz w:val="28"/>
          <w:szCs w:val="28"/>
        </w:rPr>
      </w:pPr>
      <w:r>
        <w:rPr>
          <w:rFonts w:hint="eastAsia" w:ascii="仿宋_GB2312" w:hAnsi="华文仿宋" w:eastAsia="仿宋_GB2312"/>
          <w:color w:val="auto"/>
          <w:sz w:val="28"/>
          <w:szCs w:val="28"/>
        </w:rPr>
        <w:t>③根据具体评审项目要求未提供完整正确的工程量计算工作底稿则扣减该评审项目咨询费用50%；</w:t>
      </w:r>
    </w:p>
    <w:p>
      <w:pPr>
        <w:keepNext w:val="0"/>
        <w:keepLines w:val="0"/>
        <w:pageBreakBefore w:val="0"/>
        <w:widowControl w:val="0"/>
        <w:kinsoku/>
        <w:wordWrap/>
        <w:overflowPunct/>
        <w:topLinePunct w:val="0"/>
        <w:autoSpaceDE/>
        <w:autoSpaceDN/>
        <w:bidi w:val="0"/>
        <w:adjustRightInd/>
        <w:spacing w:line="360" w:lineRule="auto"/>
        <w:ind w:left="0" w:firstLine="560" w:firstLineChars="200"/>
        <w:textAlignment w:val="auto"/>
        <w:rPr>
          <w:rFonts w:hint="eastAsia" w:ascii="仿宋_GB2312" w:hAnsi="华文仿宋" w:eastAsia="仿宋_GB2312"/>
          <w:color w:val="auto"/>
          <w:sz w:val="28"/>
          <w:szCs w:val="28"/>
        </w:rPr>
      </w:pPr>
      <w:r>
        <w:rPr>
          <w:rFonts w:hint="eastAsia" w:ascii="仿宋_GB2312" w:hAnsi="华文仿宋" w:eastAsia="仿宋_GB2312"/>
          <w:color w:val="auto"/>
          <w:sz w:val="28"/>
          <w:szCs w:val="28"/>
        </w:rPr>
        <w:t>④可行性研究报告评审结果由于评审咨询机构的疏漏造成必须调整可研批复的，扣减咨询费用10%-50%；</w:t>
      </w:r>
    </w:p>
    <w:p>
      <w:pPr>
        <w:keepNext w:val="0"/>
        <w:keepLines w:val="0"/>
        <w:pageBreakBefore w:val="0"/>
        <w:widowControl w:val="0"/>
        <w:kinsoku/>
        <w:wordWrap/>
        <w:overflowPunct/>
        <w:topLinePunct w:val="0"/>
        <w:autoSpaceDE/>
        <w:autoSpaceDN/>
        <w:bidi w:val="0"/>
        <w:adjustRightInd/>
        <w:spacing w:line="360" w:lineRule="auto"/>
        <w:ind w:left="0" w:firstLine="560" w:firstLineChars="200"/>
        <w:textAlignment w:val="auto"/>
        <w:rPr>
          <w:rFonts w:hint="eastAsia" w:ascii="仿宋_GB2312" w:hAnsi="华文仿宋" w:eastAsia="仿宋_GB2312"/>
          <w:color w:val="auto"/>
          <w:sz w:val="28"/>
          <w:szCs w:val="28"/>
        </w:rPr>
      </w:pPr>
      <w:r>
        <w:rPr>
          <w:rFonts w:hint="eastAsia" w:ascii="仿宋_GB2312" w:hAnsi="华文仿宋" w:eastAsia="仿宋_GB2312"/>
          <w:color w:val="auto"/>
          <w:sz w:val="28"/>
          <w:szCs w:val="28"/>
        </w:rPr>
        <w:t>⑤初步设计投资概算评审结果由于评审咨询机构的疏漏造成必须调整概算批复的，扣减咨询费用10%-50%；</w:t>
      </w:r>
    </w:p>
    <w:p>
      <w:pPr>
        <w:keepNext w:val="0"/>
        <w:keepLines w:val="0"/>
        <w:pageBreakBefore w:val="0"/>
        <w:widowControl w:val="0"/>
        <w:numPr>
          <w:ilvl w:val="0"/>
          <w:numId w:val="0"/>
        </w:numPr>
        <w:kinsoku/>
        <w:wordWrap/>
        <w:overflowPunct/>
        <w:topLinePunct w:val="0"/>
        <w:autoSpaceDE/>
        <w:autoSpaceDN/>
        <w:bidi w:val="0"/>
        <w:adjustRightInd/>
        <w:spacing w:line="360" w:lineRule="auto"/>
        <w:ind w:left="-720" w:leftChars="0" w:firstLine="1120" w:firstLineChars="400"/>
        <w:textAlignment w:val="auto"/>
        <w:rPr>
          <w:rFonts w:hint="eastAsia" w:ascii="仿宋_GB2312" w:hAnsi="华文仿宋" w:eastAsia="仿宋_GB2312"/>
          <w:color w:val="auto"/>
          <w:sz w:val="28"/>
          <w:szCs w:val="28"/>
        </w:rPr>
      </w:pPr>
      <w:r>
        <w:rPr>
          <w:rFonts w:hint="eastAsia" w:ascii="仿宋_GB2312" w:hAnsi="华文仿宋" w:eastAsia="仿宋_GB2312"/>
          <w:color w:val="auto"/>
          <w:sz w:val="28"/>
          <w:szCs w:val="28"/>
          <w:lang w:val="en-US" w:eastAsia="zh-CN"/>
        </w:rPr>
        <w:t>3.</w:t>
      </w:r>
      <w:r>
        <w:rPr>
          <w:rFonts w:hint="eastAsia" w:ascii="仿宋_GB2312" w:hAnsi="华文仿宋" w:eastAsia="仿宋_GB2312"/>
          <w:color w:val="auto"/>
          <w:sz w:val="28"/>
          <w:szCs w:val="28"/>
        </w:rPr>
        <w:t>暂停评审业务</w:t>
      </w:r>
    </w:p>
    <w:p>
      <w:pPr>
        <w:keepNext w:val="0"/>
        <w:keepLines w:val="0"/>
        <w:pageBreakBefore w:val="0"/>
        <w:widowControl w:val="0"/>
        <w:kinsoku/>
        <w:wordWrap/>
        <w:overflowPunct/>
        <w:topLinePunct w:val="0"/>
        <w:autoSpaceDE/>
        <w:autoSpaceDN/>
        <w:bidi w:val="0"/>
        <w:adjustRightInd/>
        <w:spacing w:line="360" w:lineRule="auto"/>
        <w:ind w:left="0"/>
        <w:textAlignment w:val="auto"/>
        <w:rPr>
          <w:rFonts w:hint="eastAsia" w:ascii="仿宋_GB2312" w:hAnsi="华文仿宋" w:eastAsia="仿宋_GB2312"/>
          <w:color w:val="auto"/>
          <w:sz w:val="28"/>
          <w:szCs w:val="28"/>
        </w:rPr>
      </w:pPr>
      <w:r>
        <w:rPr>
          <w:rFonts w:hint="eastAsia" w:ascii="仿宋_GB2312" w:hAnsi="华文仿宋" w:eastAsia="仿宋_GB2312"/>
          <w:color w:val="auto"/>
          <w:sz w:val="28"/>
          <w:szCs w:val="28"/>
        </w:rPr>
        <w:t>有下列情形之一的暂停评审业务：</w:t>
      </w:r>
    </w:p>
    <w:p>
      <w:pPr>
        <w:keepNext w:val="0"/>
        <w:keepLines w:val="0"/>
        <w:pageBreakBefore w:val="0"/>
        <w:widowControl w:val="0"/>
        <w:kinsoku/>
        <w:wordWrap/>
        <w:overflowPunct/>
        <w:topLinePunct w:val="0"/>
        <w:autoSpaceDE/>
        <w:autoSpaceDN/>
        <w:bidi w:val="0"/>
        <w:adjustRightInd/>
        <w:spacing w:line="360" w:lineRule="auto"/>
        <w:ind w:left="0" w:firstLine="560" w:firstLineChars="200"/>
        <w:textAlignment w:val="auto"/>
        <w:rPr>
          <w:rFonts w:hint="eastAsia" w:ascii="仿宋_GB2312" w:hAnsi="华文仿宋" w:eastAsia="仿宋_GB2312"/>
          <w:color w:val="auto"/>
          <w:sz w:val="28"/>
          <w:szCs w:val="28"/>
        </w:rPr>
      </w:pPr>
      <w:r>
        <w:rPr>
          <w:rFonts w:hint="eastAsia" w:ascii="仿宋_GB2312" w:hAnsi="华文仿宋" w:eastAsia="仿宋_GB2312"/>
          <w:color w:val="auto"/>
          <w:sz w:val="28"/>
          <w:szCs w:val="28"/>
        </w:rPr>
        <w:t>①评审咨询机构完成项目评审工作后，经核实发现评审报告存在重大遗漏、偏差的，评审咨询机构必须赔偿由此所造成的损失，中心将向有关部门通报，并视具体情况暂停其评审业务；</w:t>
      </w:r>
    </w:p>
    <w:p>
      <w:pPr>
        <w:pStyle w:val="16"/>
        <w:keepNext w:val="0"/>
        <w:keepLines w:val="0"/>
        <w:pageBreakBefore w:val="0"/>
        <w:widowControl w:val="0"/>
        <w:kinsoku/>
        <w:wordWrap/>
        <w:overflowPunct/>
        <w:topLinePunct w:val="0"/>
        <w:autoSpaceDE/>
        <w:autoSpaceDN/>
        <w:bidi w:val="0"/>
        <w:adjustRightInd/>
        <w:spacing w:line="360" w:lineRule="auto"/>
        <w:ind w:left="0" w:firstLine="560" w:firstLineChars="200"/>
        <w:textAlignment w:val="auto"/>
        <w:rPr>
          <w:rFonts w:hint="eastAsia"/>
          <w:color w:val="auto"/>
          <w:sz w:val="28"/>
          <w:szCs w:val="28"/>
        </w:rPr>
      </w:pPr>
      <w:r>
        <w:rPr>
          <w:rFonts w:hint="eastAsia" w:ascii="仿宋_GB2312" w:hAnsi="华文仿宋" w:eastAsia="仿宋_GB2312"/>
          <w:color w:val="auto"/>
          <w:sz w:val="28"/>
          <w:szCs w:val="28"/>
        </w:rPr>
        <w:t>②项目实施过程中，发现因量、价原因导致概算总金额调整偏差超过5%。</w:t>
      </w:r>
    </w:p>
    <w:p>
      <w:pPr>
        <w:keepNext w:val="0"/>
        <w:keepLines w:val="0"/>
        <w:pageBreakBefore w:val="0"/>
        <w:widowControl w:val="0"/>
        <w:kinsoku/>
        <w:wordWrap/>
        <w:overflowPunct/>
        <w:topLinePunct w:val="0"/>
        <w:autoSpaceDE/>
        <w:autoSpaceDN/>
        <w:bidi w:val="0"/>
        <w:adjustRightInd/>
        <w:spacing w:line="360" w:lineRule="auto"/>
        <w:ind w:left="0" w:firstLine="560" w:firstLineChars="200"/>
        <w:textAlignment w:val="auto"/>
        <w:rPr>
          <w:rFonts w:hint="eastAsia" w:ascii="仿宋_GB2312" w:hAnsi="华文仿宋" w:eastAsia="仿宋_GB2312"/>
          <w:color w:val="auto"/>
          <w:sz w:val="28"/>
          <w:szCs w:val="28"/>
          <w:shd w:val="clear" w:color="FFFFFF" w:fill="D9D9D9"/>
        </w:rPr>
      </w:pPr>
      <w:r>
        <w:rPr>
          <w:rFonts w:hint="eastAsia" w:ascii="仿宋_GB2312" w:hAnsi="华文仿宋" w:eastAsia="仿宋_GB2312"/>
          <w:color w:val="auto"/>
          <w:sz w:val="28"/>
          <w:szCs w:val="28"/>
        </w:rPr>
        <w:t>一经核实，自核实之日起暂停其该评审咨询机构的委托评审业务6-12个月。</w:t>
      </w:r>
    </w:p>
    <w:p>
      <w:pPr>
        <w:keepNext w:val="0"/>
        <w:keepLines w:val="0"/>
        <w:pageBreakBefore w:val="0"/>
        <w:widowControl w:val="0"/>
        <w:kinsoku/>
        <w:wordWrap/>
        <w:overflowPunct/>
        <w:topLinePunct w:val="0"/>
        <w:autoSpaceDE/>
        <w:autoSpaceDN/>
        <w:bidi w:val="0"/>
        <w:adjustRightInd/>
        <w:spacing w:line="360" w:lineRule="auto"/>
        <w:ind w:left="0" w:firstLine="560" w:firstLineChars="200"/>
        <w:textAlignment w:val="auto"/>
        <w:rPr>
          <w:rFonts w:hint="eastAsia" w:ascii="仿宋_GB2312" w:hAnsi="华文仿宋" w:eastAsia="仿宋_GB2312"/>
          <w:color w:val="auto"/>
          <w:sz w:val="28"/>
          <w:szCs w:val="28"/>
        </w:rPr>
      </w:pPr>
      <w:r>
        <w:rPr>
          <w:rFonts w:hint="eastAsia" w:ascii="仿宋_GB2312" w:hAnsi="华文仿宋" w:eastAsia="仿宋_GB2312"/>
          <w:color w:val="auto"/>
          <w:sz w:val="28"/>
          <w:szCs w:val="28"/>
          <w:lang w:val="en-US" w:eastAsia="zh-CN"/>
        </w:rPr>
        <w:t>4.</w:t>
      </w:r>
      <w:r>
        <w:rPr>
          <w:rFonts w:hint="eastAsia" w:ascii="仿宋_GB2312" w:hAnsi="华文仿宋" w:eastAsia="仿宋_GB2312"/>
          <w:color w:val="auto"/>
          <w:sz w:val="28"/>
          <w:szCs w:val="28"/>
        </w:rPr>
        <w:t>取消评审服务资格</w:t>
      </w:r>
    </w:p>
    <w:p>
      <w:pPr>
        <w:keepNext w:val="0"/>
        <w:keepLines w:val="0"/>
        <w:pageBreakBefore w:val="0"/>
        <w:widowControl w:val="0"/>
        <w:kinsoku/>
        <w:wordWrap/>
        <w:overflowPunct/>
        <w:topLinePunct w:val="0"/>
        <w:autoSpaceDE/>
        <w:autoSpaceDN/>
        <w:bidi w:val="0"/>
        <w:adjustRightInd/>
        <w:spacing w:line="360" w:lineRule="auto"/>
        <w:ind w:left="0" w:firstLine="560" w:firstLineChars="200"/>
        <w:textAlignment w:val="auto"/>
        <w:rPr>
          <w:rFonts w:hint="eastAsia" w:ascii="仿宋_GB2312" w:hAnsi="华文仿宋" w:eastAsia="仿宋_GB2312"/>
          <w:color w:val="auto"/>
          <w:sz w:val="28"/>
          <w:szCs w:val="28"/>
        </w:rPr>
      </w:pPr>
      <w:r>
        <w:rPr>
          <w:rFonts w:hint="eastAsia" w:ascii="仿宋_GB2312" w:hAnsi="华文仿宋" w:eastAsia="仿宋_GB2312"/>
          <w:color w:val="auto"/>
          <w:sz w:val="28"/>
          <w:szCs w:val="28"/>
        </w:rPr>
        <w:t>有下列情形之一的取消评审服务资格：</w:t>
      </w:r>
    </w:p>
    <w:p>
      <w:pPr>
        <w:keepNext w:val="0"/>
        <w:keepLines w:val="0"/>
        <w:pageBreakBefore w:val="0"/>
        <w:widowControl w:val="0"/>
        <w:kinsoku/>
        <w:wordWrap/>
        <w:overflowPunct/>
        <w:topLinePunct w:val="0"/>
        <w:autoSpaceDE/>
        <w:autoSpaceDN/>
        <w:bidi w:val="0"/>
        <w:adjustRightInd/>
        <w:spacing w:line="360" w:lineRule="auto"/>
        <w:ind w:left="0" w:firstLine="560" w:firstLineChars="200"/>
        <w:textAlignment w:val="auto"/>
        <w:rPr>
          <w:rFonts w:hint="eastAsia" w:ascii="仿宋_GB2312" w:hAnsi="华文仿宋" w:eastAsia="仿宋_GB2312"/>
          <w:color w:val="auto"/>
          <w:sz w:val="28"/>
          <w:szCs w:val="28"/>
        </w:rPr>
      </w:pPr>
      <w:r>
        <w:rPr>
          <w:rFonts w:hint="eastAsia" w:ascii="仿宋_GB2312" w:hAnsi="华文仿宋" w:eastAsia="仿宋_GB2312"/>
          <w:color w:val="auto"/>
          <w:sz w:val="28"/>
          <w:szCs w:val="28"/>
        </w:rPr>
        <w:t>①项目实施过程中，经核实，因评审人员过失造成重大经济损失的；</w:t>
      </w:r>
    </w:p>
    <w:p>
      <w:pPr>
        <w:keepNext w:val="0"/>
        <w:keepLines w:val="0"/>
        <w:pageBreakBefore w:val="0"/>
        <w:widowControl w:val="0"/>
        <w:kinsoku/>
        <w:wordWrap/>
        <w:overflowPunct/>
        <w:topLinePunct w:val="0"/>
        <w:autoSpaceDE/>
        <w:autoSpaceDN/>
        <w:bidi w:val="0"/>
        <w:adjustRightInd/>
        <w:spacing w:line="360" w:lineRule="auto"/>
        <w:ind w:left="0" w:firstLine="560" w:firstLineChars="200"/>
        <w:textAlignment w:val="auto"/>
        <w:rPr>
          <w:rFonts w:hint="eastAsia" w:ascii="仿宋_GB2312" w:hAnsi="华文仿宋" w:eastAsia="仿宋_GB2312"/>
          <w:color w:val="auto"/>
          <w:sz w:val="28"/>
          <w:szCs w:val="28"/>
        </w:rPr>
      </w:pPr>
      <w:r>
        <w:rPr>
          <w:rFonts w:hint="eastAsia" w:ascii="仿宋_GB2312" w:hAnsi="华文仿宋" w:eastAsia="仿宋_GB2312"/>
          <w:color w:val="auto"/>
          <w:sz w:val="28"/>
          <w:szCs w:val="28"/>
        </w:rPr>
        <w:t>②评审咨询机构或其人员徇私舞弊的；</w:t>
      </w:r>
    </w:p>
    <w:p>
      <w:pPr>
        <w:keepNext w:val="0"/>
        <w:keepLines w:val="0"/>
        <w:pageBreakBefore w:val="0"/>
        <w:widowControl w:val="0"/>
        <w:kinsoku/>
        <w:wordWrap/>
        <w:overflowPunct/>
        <w:topLinePunct w:val="0"/>
        <w:autoSpaceDE/>
        <w:autoSpaceDN/>
        <w:bidi w:val="0"/>
        <w:adjustRightInd/>
        <w:spacing w:line="360" w:lineRule="auto"/>
        <w:ind w:left="0" w:firstLine="560" w:firstLineChars="200"/>
        <w:textAlignment w:val="auto"/>
        <w:rPr>
          <w:rFonts w:hint="eastAsia" w:ascii="仿宋_GB2312" w:hAnsi="华文仿宋" w:eastAsia="仿宋_GB2312"/>
          <w:color w:val="auto"/>
          <w:sz w:val="28"/>
          <w:szCs w:val="28"/>
        </w:rPr>
      </w:pPr>
      <w:r>
        <w:rPr>
          <w:rFonts w:hint="eastAsia" w:ascii="仿宋_GB2312" w:hAnsi="华文仿宋" w:eastAsia="仿宋_GB2312"/>
          <w:color w:val="auto"/>
          <w:sz w:val="28"/>
          <w:szCs w:val="28"/>
        </w:rPr>
        <w:t>③收取被评审项目相关单位或个人财物的；</w:t>
      </w:r>
    </w:p>
    <w:p>
      <w:pPr>
        <w:keepNext w:val="0"/>
        <w:keepLines w:val="0"/>
        <w:pageBreakBefore w:val="0"/>
        <w:widowControl w:val="0"/>
        <w:kinsoku/>
        <w:wordWrap/>
        <w:overflowPunct/>
        <w:topLinePunct w:val="0"/>
        <w:autoSpaceDE/>
        <w:autoSpaceDN/>
        <w:bidi w:val="0"/>
        <w:adjustRightInd/>
        <w:spacing w:line="360" w:lineRule="auto"/>
        <w:ind w:left="0" w:firstLine="560" w:firstLineChars="200"/>
        <w:textAlignment w:val="auto"/>
        <w:rPr>
          <w:rFonts w:hint="eastAsia" w:ascii="仿宋_GB2312" w:hAnsi="华文仿宋" w:eastAsia="仿宋_GB2312"/>
          <w:color w:val="auto"/>
          <w:sz w:val="28"/>
          <w:szCs w:val="28"/>
        </w:rPr>
      </w:pPr>
      <w:r>
        <w:rPr>
          <w:rFonts w:hint="eastAsia" w:ascii="仿宋_GB2312" w:hAnsi="华文仿宋" w:eastAsia="仿宋_GB2312"/>
          <w:color w:val="auto"/>
          <w:sz w:val="28"/>
          <w:szCs w:val="28"/>
        </w:rPr>
        <w:t>④评审咨询机构与项目业主、投标单位、预算编制咨询机构互相串通、包庇，导致评审意见缺乏真实性、完整性、准确性、合法性，一经核实，自核实之日起暂停其该评审咨询机构的委托评审业务，同时评审咨询机构承担相应独立的法律责任；</w:t>
      </w:r>
    </w:p>
    <w:p>
      <w:pPr>
        <w:keepNext w:val="0"/>
        <w:keepLines w:val="0"/>
        <w:pageBreakBefore w:val="0"/>
        <w:widowControl w:val="0"/>
        <w:kinsoku/>
        <w:wordWrap/>
        <w:overflowPunct/>
        <w:topLinePunct w:val="0"/>
        <w:autoSpaceDE/>
        <w:autoSpaceDN/>
        <w:bidi w:val="0"/>
        <w:adjustRightInd/>
        <w:spacing w:line="360" w:lineRule="auto"/>
        <w:ind w:left="0" w:firstLine="560" w:firstLineChars="200"/>
        <w:textAlignment w:val="auto"/>
        <w:rPr>
          <w:rFonts w:hint="eastAsia" w:ascii="仿宋_GB2312" w:hAnsi="华文仿宋" w:eastAsia="仿宋_GB2312" w:cs="Times New Roman"/>
          <w:color w:val="auto"/>
          <w:sz w:val="28"/>
          <w:szCs w:val="28"/>
        </w:rPr>
      </w:pPr>
      <w:bookmarkStart w:id="136" w:name="_Toc10743"/>
      <w:bookmarkStart w:id="137" w:name="_Toc5865"/>
      <w:r>
        <w:rPr>
          <w:rFonts w:hint="eastAsia" w:ascii="仿宋_GB2312" w:hAnsi="华文仿宋" w:eastAsia="仿宋_GB2312" w:cs="Times New Roman"/>
          <w:color w:val="auto"/>
          <w:sz w:val="28"/>
          <w:szCs w:val="28"/>
        </w:rPr>
        <w:t>⑤将承接的评审项目转给其他咨询机构;</w:t>
      </w:r>
      <w:bookmarkEnd w:id="136"/>
      <w:bookmarkEnd w:id="137"/>
    </w:p>
    <w:p>
      <w:pPr>
        <w:keepNext w:val="0"/>
        <w:keepLines w:val="0"/>
        <w:pageBreakBefore w:val="0"/>
        <w:widowControl w:val="0"/>
        <w:kinsoku/>
        <w:wordWrap/>
        <w:overflowPunct/>
        <w:topLinePunct w:val="0"/>
        <w:autoSpaceDE/>
        <w:autoSpaceDN/>
        <w:bidi w:val="0"/>
        <w:adjustRightInd/>
        <w:spacing w:line="360" w:lineRule="auto"/>
        <w:ind w:left="0" w:firstLine="560" w:firstLineChars="200"/>
        <w:textAlignment w:val="auto"/>
        <w:rPr>
          <w:rFonts w:hint="eastAsia" w:ascii="仿宋_GB2312" w:hAnsi="华文仿宋" w:eastAsia="仿宋_GB2312"/>
          <w:color w:val="auto"/>
          <w:szCs w:val="28"/>
        </w:rPr>
      </w:pPr>
      <w:r>
        <w:rPr>
          <w:rFonts w:hint="eastAsia" w:ascii="仿宋_GB2312" w:hAnsi="华文仿宋" w:eastAsia="仿宋_GB2312" w:cs="Times New Roman"/>
          <w:color w:val="auto"/>
          <w:sz w:val="28"/>
          <w:szCs w:val="28"/>
        </w:rPr>
        <w:t>⑥其他违反法律法规行为及廉政工作要求的，根据廉政建设要求实行考核一票否决制，将其年终考核直接确定</w:t>
      </w:r>
      <w:r>
        <w:rPr>
          <w:rFonts w:hint="eastAsia" w:ascii="仿宋_GB2312" w:hAnsi="华文仿宋" w:eastAsia="仿宋_GB2312"/>
          <w:color w:val="auto"/>
          <w:szCs w:val="28"/>
        </w:rPr>
        <w:t>为差并取消评审服务资格。</w:t>
      </w:r>
    </w:p>
    <w:p>
      <w:pPr>
        <w:keepNext w:val="0"/>
        <w:keepLines w:val="0"/>
        <w:pageBreakBefore w:val="0"/>
        <w:widowControl w:val="0"/>
        <w:kinsoku/>
        <w:wordWrap/>
        <w:overflowPunct/>
        <w:topLinePunct w:val="0"/>
        <w:autoSpaceDE/>
        <w:autoSpaceDN/>
        <w:bidi w:val="0"/>
        <w:adjustRightInd/>
        <w:spacing w:line="360" w:lineRule="auto"/>
        <w:ind w:left="0"/>
        <w:jc w:val="center"/>
        <w:textAlignment w:val="auto"/>
        <w:rPr>
          <w:rFonts w:hint="eastAsia" w:ascii="黑体" w:eastAsia="黑体"/>
          <w:color w:val="auto"/>
          <w:sz w:val="28"/>
          <w:szCs w:val="28"/>
        </w:rPr>
      </w:pPr>
      <w:r>
        <w:rPr>
          <w:rFonts w:hint="eastAsia" w:ascii="黑体" w:eastAsia="黑体"/>
          <w:color w:val="auto"/>
          <w:sz w:val="28"/>
          <w:szCs w:val="28"/>
        </w:rPr>
        <w:t>第五章  附则</w:t>
      </w:r>
    </w:p>
    <w:p>
      <w:pPr>
        <w:keepNext w:val="0"/>
        <w:keepLines w:val="0"/>
        <w:pageBreakBefore w:val="0"/>
        <w:widowControl w:val="0"/>
        <w:kinsoku/>
        <w:wordWrap/>
        <w:overflowPunct/>
        <w:topLinePunct w:val="0"/>
        <w:autoSpaceDE/>
        <w:autoSpaceDN/>
        <w:bidi w:val="0"/>
        <w:adjustRightInd/>
        <w:spacing w:line="360" w:lineRule="auto"/>
        <w:ind w:left="0" w:firstLine="560" w:firstLineChars="200"/>
        <w:textAlignment w:val="auto"/>
        <w:rPr>
          <w:rFonts w:hint="eastAsia" w:ascii="仿宋_GB2312" w:hAnsi="华文仿宋" w:eastAsia="仿宋_GB2312"/>
          <w:color w:val="auto"/>
          <w:sz w:val="28"/>
          <w:szCs w:val="28"/>
        </w:rPr>
      </w:pPr>
      <w:r>
        <w:rPr>
          <w:rFonts w:hint="eastAsia" w:ascii="方正仿宋简体" w:hAnsi="华文仿宋" w:eastAsia="方正仿宋简体"/>
          <w:b/>
          <w:color w:val="auto"/>
          <w:sz w:val="28"/>
          <w:szCs w:val="28"/>
        </w:rPr>
        <w:t xml:space="preserve">第十二条  </w:t>
      </w:r>
      <w:r>
        <w:rPr>
          <w:rFonts w:hint="eastAsia" w:ascii="仿宋_GB2312" w:hAnsi="华文仿宋" w:eastAsia="仿宋_GB2312"/>
          <w:color w:val="auto"/>
          <w:sz w:val="28"/>
          <w:szCs w:val="28"/>
        </w:rPr>
        <w:t>本办法由成都市新都区政府投资项目评审中心负责解释。</w:t>
      </w:r>
    </w:p>
    <w:p>
      <w:pPr>
        <w:keepNext w:val="0"/>
        <w:keepLines w:val="0"/>
        <w:pageBreakBefore w:val="0"/>
        <w:widowControl w:val="0"/>
        <w:kinsoku/>
        <w:wordWrap/>
        <w:overflowPunct/>
        <w:topLinePunct w:val="0"/>
        <w:autoSpaceDE/>
        <w:autoSpaceDN/>
        <w:bidi w:val="0"/>
        <w:adjustRightInd/>
        <w:spacing w:line="360" w:lineRule="auto"/>
        <w:ind w:left="0" w:firstLine="560" w:firstLineChars="200"/>
        <w:textAlignment w:val="auto"/>
        <w:rPr>
          <w:rFonts w:hint="eastAsia" w:ascii="仿宋_GB2312" w:hAnsi="华文仿宋" w:eastAsia="仿宋_GB2312"/>
          <w:b/>
          <w:bCs/>
          <w:color w:val="auto"/>
          <w:sz w:val="28"/>
          <w:szCs w:val="28"/>
        </w:rPr>
      </w:pPr>
      <w:r>
        <w:rPr>
          <w:rFonts w:hint="eastAsia" w:ascii="方正仿宋简体" w:hAnsi="华文仿宋" w:eastAsia="方正仿宋简体"/>
          <w:b/>
          <w:color w:val="auto"/>
          <w:sz w:val="28"/>
          <w:szCs w:val="28"/>
        </w:rPr>
        <w:t xml:space="preserve">第十三条  </w:t>
      </w:r>
      <w:r>
        <w:rPr>
          <w:rFonts w:hint="eastAsia" w:ascii="仿宋_GB2312" w:hAnsi="华文仿宋" w:eastAsia="仿宋_GB2312"/>
          <w:b/>
          <w:bCs/>
          <w:color w:val="auto"/>
          <w:sz w:val="28"/>
          <w:szCs w:val="28"/>
          <w:u w:val="single"/>
        </w:rPr>
        <w:t>本办法试行期为一年。</w:t>
      </w:r>
    </w:p>
    <w:p>
      <w:pPr>
        <w:keepNext w:val="0"/>
        <w:keepLines w:val="0"/>
        <w:pageBreakBefore w:val="0"/>
        <w:widowControl w:val="0"/>
        <w:kinsoku/>
        <w:wordWrap/>
        <w:overflowPunct/>
        <w:topLinePunct w:val="0"/>
        <w:autoSpaceDE/>
        <w:autoSpaceDN/>
        <w:bidi w:val="0"/>
        <w:adjustRightInd/>
        <w:spacing w:line="360" w:lineRule="auto"/>
        <w:ind w:left="0" w:firstLine="3220" w:firstLineChars="1150"/>
        <w:textAlignment w:val="auto"/>
        <w:rPr>
          <w:rFonts w:hint="eastAsia" w:ascii="仿宋_GB2312" w:hAnsi="华文仿宋" w:eastAsia="仿宋_GB2312"/>
          <w:color w:val="auto"/>
          <w:sz w:val="28"/>
          <w:szCs w:val="28"/>
        </w:rPr>
      </w:pPr>
      <w:r>
        <w:rPr>
          <w:rFonts w:hint="eastAsia" w:ascii="仿宋_GB2312" w:hAnsi="华文仿宋" w:eastAsia="仿宋_GB2312"/>
          <w:color w:val="auto"/>
          <w:sz w:val="28"/>
          <w:szCs w:val="28"/>
        </w:rPr>
        <w:t>成都市新都区政府投资项目评审中心</w:t>
      </w:r>
    </w:p>
    <w:p>
      <w:pPr>
        <w:keepNext w:val="0"/>
        <w:keepLines w:val="0"/>
        <w:pageBreakBefore w:val="0"/>
        <w:widowControl w:val="0"/>
        <w:kinsoku/>
        <w:wordWrap/>
        <w:overflowPunct/>
        <w:topLinePunct w:val="0"/>
        <w:autoSpaceDE/>
        <w:autoSpaceDN/>
        <w:bidi w:val="0"/>
        <w:adjustRightInd/>
        <w:spacing w:line="360" w:lineRule="auto"/>
        <w:ind w:left="0" w:firstLine="4340" w:firstLineChars="1550"/>
        <w:textAlignment w:val="auto"/>
        <w:rPr>
          <w:rFonts w:hint="eastAsia" w:ascii="仿宋_GB2312" w:hAnsi="华文仿宋" w:eastAsia="仿宋_GB2312"/>
          <w:color w:val="auto"/>
          <w:sz w:val="32"/>
          <w:szCs w:val="32"/>
        </w:rPr>
      </w:pPr>
      <w:r>
        <w:rPr>
          <w:rFonts w:hint="eastAsia" w:ascii="仿宋_GB2312" w:hAnsi="华文仿宋" w:eastAsia="仿宋_GB2312"/>
          <w:color w:val="auto"/>
          <w:sz w:val="28"/>
          <w:szCs w:val="28"/>
        </w:rPr>
        <w:t xml:space="preserve"> 20</w:t>
      </w:r>
      <w:r>
        <w:rPr>
          <w:rFonts w:hint="eastAsia" w:ascii="仿宋_GB2312" w:hAnsi="华文仿宋" w:eastAsia="仿宋_GB2312"/>
          <w:color w:val="auto"/>
          <w:sz w:val="28"/>
          <w:szCs w:val="28"/>
          <w:lang w:val="en-US" w:eastAsia="zh-CN"/>
        </w:rPr>
        <w:t>21</w:t>
      </w:r>
      <w:r>
        <w:rPr>
          <w:rFonts w:hint="eastAsia" w:ascii="仿宋_GB2312" w:hAnsi="华文仿宋" w:eastAsia="仿宋_GB2312"/>
          <w:color w:val="auto"/>
          <w:sz w:val="28"/>
          <w:szCs w:val="28"/>
        </w:rPr>
        <w:t>年</w:t>
      </w:r>
      <w:r>
        <w:rPr>
          <w:rFonts w:hint="eastAsia" w:ascii="仿宋_GB2312" w:hAnsi="华文仿宋" w:eastAsia="仿宋_GB2312"/>
          <w:color w:val="auto"/>
          <w:sz w:val="28"/>
          <w:szCs w:val="28"/>
          <w:lang w:val="en-US" w:eastAsia="zh-CN"/>
        </w:rPr>
        <w:t>3</w:t>
      </w:r>
      <w:r>
        <w:rPr>
          <w:rFonts w:hint="eastAsia" w:ascii="仿宋_GB2312" w:hAnsi="华文仿宋" w:eastAsia="仿宋_GB2312"/>
          <w:color w:val="auto"/>
          <w:sz w:val="28"/>
          <w:szCs w:val="28"/>
        </w:rPr>
        <w:t>月</w:t>
      </w:r>
      <w:r>
        <w:rPr>
          <w:rFonts w:hint="eastAsia" w:ascii="仿宋_GB2312" w:hAnsi="华文仿宋" w:eastAsia="仿宋_GB2312"/>
          <w:color w:val="auto"/>
          <w:sz w:val="28"/>
          <w:szCs w:val="28"/>
          <w:lang w:val="en-US" w:eastAsia="zh-CN"/>
        </w:rPr>
        <w:t>1</w:t>
      </w:r>
      <w:r>
        <w:rPr>
          <w:rFonts w:hint="eastAsia" w:ascii="仿宋_GB2312" w:hAnsi="华文仿宋" w:eastAsia="仿宋_GB2312"/>
          <w:color w:val="auto"/>
          <w:sz w:val="28"/>
          <w:szCs w:val="28"/>
        </w:rPr>
        <w:t>日</w:t>
      </w:r>
    </w:p>
    <w:p>
      <w:pPr>
        <w:rPr>
          <w:rFonts w:hint="eastAsia" w:asciiTheme="minorEastAsia" w:hAnsiTheme="minorEastAsia" w:cstheme="minorEastAsia"/>
          <w:b/>
          <w:bCs w:val="0"/>
          <w:color w:val="auto"/>
          <w:sz w:val="28"/>
          <w:szCs w:val="28"/>
          <w:lang w:val="en-US" w:eastAsia="zh-CN"/>
        </w:rPr>
      </w:pPr>
      <w:r>
        <w:rPr>
          <w:rFonts w:hint="eastAsia" w:asciiTheme="minorEastAsia" w:hAnsiTheme="minorEastAsia" w:cstheme="minorEastAsia"/>
          <w:b/>
          <w:bCs w:val="0"/>
          <w:color w:val="auto"/>
          <w:sz w:val="28"/>
          <w:szCs w:val="28"/>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before="469" w:beforeLines="150" w:line="360" w:lineRule="auto"/>
        <w:ind w:left="0" w:leftChars="0" w:firstLine="176" w:firstLineChars="175"/>
        <w:textAlignment w:val="auto"/>
        <w:rPr>
          <w:rFonts w:hint="eastAsia"/>
          <w:b/>
          <w:bCs/>
          <w:color w:val="auto"/>
          <w:sz w:val="10"/>
          <w:szCs w:val="1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2" w:firstLineChars="175"/>
        <w:textAlignment w:val="auto"/>
        <w:rPr>
          <w:rFonts w:hint="eastAsia"/>
          <w:b/>
          <w:bCs/>
          <w:color w:val="auto"/>
          <w:sz w:val="24"/>
          <w:szCs w:val="24"/>
          <w:lang w:val="en-US" w:eastAsia="zh-CN"/>
        </w:rPr>
      </w:pPr>
      <w:r>
        <w:rPr>
          <w:rFonts w:hint="eastAsia"/>
          <w:b/>
          <w:bCs/>
          <w:color w:val="auto"/>
          <w:sz w:val="24"/>
          <w:szCs w:val="24"/>
          <w:lang w:val="en-US" w:eastAsia="zh-CN"/>
        </w:rPr>
        <w:t>附件2</w:t>
      </w:r>
    </w:p>
    <w:p>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562" w:firstLineChars="175"/>
        <w:jc w:val="center"/>
        <w:textAlignment w:val="auto"/>
        <w:rPr>
          <w:rFonts w:hint="eastAsia"/>
          <w:b/>
          <w:bCs/>
          <w:color w:val="auto"/>
          <w:sz w:val="32"/>
          <w:szCs w:val="32"/>
          <w:lang w:val="en-US" w:eastAsia="zh-CN"/>
        </w:rPr>
      </w:pPr>
      <w:r>
        <w:rPr>
          <w:rFonts w:hint="eastAsia"/>
          <w:b/>
          <w:bCs/>
          <w:color w:val="auto"/>
          <w:sz w:val="32"/>
          <w:szCs w:val="32"/>
          <w:lang w:val="en-US" w:eastAsia="zh-CN"/>
        </w:rPr>
        <w:t>单项考核评价表</w:t>
      </w:r>
    </w:p>
    <w:p>
      <w:pPr>
        <w:ind w:firstLine="480"/>
        <w:jc w:val="center"/>
        <w:rPr>
          <w:rFonts w:hint="eastAsia" w:ascii="Calibri" w:eastAsia="宋体" w:cs="宋体"/>
          <w:b/>
          <w:bCs w:val="0"/>
          <w:color w:val="auto"/>
          <w:kern w:val="2"/>
          <w:sz w:val="28"/>
          <w:szCs w:val="28"/>
        </w:rPr>
      </w:pPr>
      <w:r>
        <w:rPr>
          <w:rFonts w:hint="eastAsia" w:ascii="Calibri" w:eastAsia="宋体" w:cs="宋体"/>
          <w:b/>
          <w:bCs w:val="0"/>
          <w:color w:val="auto"/>
          <w:kern w:val="2"/>
          <w:sz w:val="28"/>
          <w:szCs w:val="28"/>
        </w:rPr>
        <w:t>工程咨询类项目单项评价表</w:t>
      </w:r>
    </w:p>
    <w:p>
      <w:pPr>
        <w:adjustRightInd w:val="0"/>
        <w:snapToGrid w:val="0"/>
        <w:rPr>
          <w:rFonts w:hint="eastAsia" w:ascii="宋体" w:hAnsi="宋体" w:eastAsia="微软雅黑" w:cs="宋体"/>
          <w:bCs/>
          <w:color w:val="auto"/>
          <w:sz w:val="24"/>
          <w:szCs w:val="24"/>
          <w:lang w:val="en-US" w:eastAsia="zh-CN" w:bidi="ar-SA"/>
        </w:rPr>
      </w:pPr>
      <w:r>
        <w:rPr>
          <w:rFonts w:hint="eastAsia" w:ascii="宋体" w:hAnsi="宋体" w:eastAsia="微软雅黑" w:cs="宋体"/>
          <w:bCs/>
          <w:color w:val="auto"/>
          <w:sz w:val="24"/>
          <w:szCs w:val="24"/>
          <w:lang w:val="en-US" w:eastAsia="zh-CN" w:bidi="ar-SA"/>
        </w:rPr>
        <w:t>评审项目：              送审（万元）：             评审类型：</w:t>
      </w:r>
    </w:p>
    <w:p>
      <w:pPr>
        <w:adjustRightInd w:val="0"/>
        <w:snapToGrid w:val="0"/>
        <w:rPr>
          <w:rFonts w:hint="eastAsia" w:ascii="宋体" w:hAnsi="宋体" w:eastAsia="微软雅黑" w:cs="宋体"/>
          <w:bCs/>
          <w:color w:val="auto"/>
          <w:sz w:val="24"/>
          <w:szCs w:val="24"/>
          <w:lang w:val="en-US" w:eastAsia="zh-CN" w:bidi="ar-SA"/>
        </w:rPr>
      </w:pPr>
      <w:r>
        <w:rPr>
          <w:rFonts w:hint="eastAsia" w:ascii="宋体" w:hAnsi="宋体" w:eastAsia="微软雅黑" w:cs="宋体"/>
          <w:bCs/>
          <w:color w:val="auto"/>
          <w:sz w:val="24"/>
          <w:szCs w:val="24"/>
          <w:lang w:val="en-US" w:eastAsia="zh-CN" w:bidi="ar-SA"/>
        </w:rPr>
        <w:t>咨询机构：              审定（万元）：             审减率（%）：</w:t>
      </w:r>
    </w:p>
    <w:tbl>
      <w:tblPr>
        <w:tblStyle w:val="47"/>
        <w:tblW w:w="10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
        <w:gridCol w:w="704"/>
        <w:gridCol w:w="3929"/>
        <w:gridCol w:w="481"/>
        <w:gridCol w:w="3298"/>
        <w:gridCol w:w="356"/>
        <w:gridCol w:w="637"/>
        <w:gridCol w:w="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9" w:type="dxa"/>
            <w:vMerge w:val="restart"/>
            <w:vAlign w:val="center"/>
          </w:tcPr>
          <w:p>
            <w:pPr>
              <w:spacing w:line="240" w:lineRule="auto"/>
              <w:jc w:val="center"/>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序</w:t>
            </w:r>
          </w:p>
          <w:p>
            <w:pPr>
              <w:spacing w:line="240" w:lineRule="auto"/>
              <w:jc w:val="center"/>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号</w:t>
            </w:r>
          </w:p>
        </w:tc>
        <w:tc>
          <w:tcPr>
            <w:tcW w:w="704" w:type="dxa"/>
            <w:vMerge w:val="restart"/>
            <w:vAlign w:val="center"/>
          </w:tcPr>
          <w:p>
            <w:pPr>
              <w:spacing w:line="240" w:lineRule="auto"/>
              <w:jc w:val="center"/>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评价</w:t>
            </w:r>
          </w:p>
          <w:p>
            <w:pPr>
              <w:spacing w:line="240" w:lineRule="auto"/>
              <w:jc w:val="center"/>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项目</w:t>
            </w:r>
          </w:p>
        </w:tc>
        <w:tc>
          <w:tcPr>
            <w:tcW w:w="3929" w:type="dxa"/>
            <w:vMerge w:val="restart"/>
            <w:vAlign w:val="center"/>
          </w:tcPr>
          <w:p>
            <w:pPr>
              <w:spacing w:line="240" w:lineRule="auto"/>
              <w:jc w:val="center"/>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基本工作质量要求</w:t>
            </w:r>
          </w:p>
        </w:tc>
        <w:tc>
          <w:tcPr>
            <w:tcW w:w="5158" w:type="dxa"/>
            <w:gridSpan w:val="5"/>
            <w:vAlign w:val="center"/>
          </w:tcPr>
          <w:p>
            <w:pPr>
              <w:spacing w:line="240" w:lineRule="auto"/>
              <w:jc w:val="center"/>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9" w:type="dxa"/>
            <w:vMerge w:val="continue"/>
            <w:vAlign w:val="center"/>
          </w:tcPr>
          <w:p>
            <w:pPr>
              <w:spacing w:line="240" w:lineRule="auto"/>
              <w:jc w:val="center"/>
              <w:rPr>
                <w:rFonts w:ascii="方正仿宋简体" w:hAnsi="方正仿宋简体" w:eastAsia="方正仿宋简体" w:cs="方正仿宋简体"/>
                <w:color w:val="auto"/>
                <w:kern w:val="2"/>
                <w:sz w:val="21"/>
                <w:szCs w:val="24"/>
              </w:rPr>
            </w:pPr>
          </w:p>
        </w:tc>
        <w:tc>
          <w:tcPr>
            <w:tcW w:w="704" w:type="dxa"/>
            <w:vMerge w:val="continue"/>
            <w:vAlign w:val="center"/>
          </w:tcPr>
          <w:p>
            <w:pPr>
              <w:spacing w:line="240" w:lineRule="auto"/>
              <w:jc w:val="center"/>
              <w:rPr>
                <w:rFonts w:ascii="方正仿宋简体" w:hAnsi="方正仿宋简体" w:eastAsia="方正仿宋简体" w:cs="方正仿宋简体"/>
                <w:color w:val="auto"/>
                <w:kern w:val="2"/>
                <w:sz w:val="21"/>
                <w:szCs w:val="24"/>
              </w:rPr>
            </w:pPr>
          </w:p>
        </w:tc>
        <w:tc>
          <w:tcPr>
            <w:tcW w:w="3929" w:type="dxa"/>
            <w:vMerge w:val="continue"/>
            <w:vAlign w:val="center"/>
          </w:tcPr>
          <w:p>
            <w:pPr>
              <w:spacing w:line="240" w:lineRule="auto"/>
              <w:jc w:val="center"/>
              <w:rPr>
                <w:rFonts w:ascii="方正仿宋简体" w:hAnsi="方正仿宋简体" w:eastAsia="方正仿宋简体" w:cs="方正仿宋简体"/>
                <w:color w:val="auto"/>
                <w:kern w:val="2"/>
                <w:sz w:val="21"/>
                <w:szCs w:val="24"/>
              </w:rPr>
            </w:pPr>
          </w:p>
        </w:tc>
        <w:tc>
          <w:tcPr>
            <w:tcW w:w="481" w:type="dxa"/>
            <w:vAlign w:val="center"/>
          </w:tcPr>
          <w:p>
            <w:pPr>
              <w:spacing w:line="240" w:lineRule="auto"/>
              <w:jc w:val="center"/>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基 准 分</w:t>
            </w:r>
          </w:p>
        </w:tc>
        <w:tc>
          <w:tcPr>
            <w:tcW w:w="3298" w:type="dxa"/>
            <w:vAlign w:val="center"/>
          </w:tcPr>
          <w:p>
            <w:pPr>
              <w:spacing w:line="240" w:lineRule="auto"/>
              <w:jc w:val="center"/>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评价标准</w:t>
            </w:r>
          </w:p>
        </w:tc>
        <w:tc>
          <w:tcPr>
            <w:tcW w:w="356" w:type="dxa"/>
            <w:vAlign w:val="center"/>
          </w:tcPr>
          <w:p>
            <w:pPr>
              <w:spacing w:line="240" w:lineRule="auto"/>
              <w:ind w:right="9"/>
              <w:jc w:val="center"/>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加减分</w:t>
            </w:r>
          </w:p>
        </w:tc>
        <w:tc>
          <w:tcPr>
            <w:tcW w:w="637" w:type="dxa"/>
            <w:vAlign w:val="center"/>
          </w:tcPr>
          <w:p>
            <w:pPr>
              <w:spacing w:line="240" w:lineRule="auto"/>
              <w:jc w:val="center"/>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±各小分（说明）</w:t>
            </w:r>
          </w:p>
        </w:tc>
        <w:tc>
          <w:tcPr>
            <w:tcW w:w="386" w:type="dxa"/>
            <w:vAlign w:val="center"/>
          </w:tcPr>
          <w:p>
            <w:pPr>
              <w:spacing w:line="240" w:lineRule="auto"/>
              <w:jc w:val="center"/>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小  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jc w:val="center"/>
        </w:trPr>
        <w:tc>
          <w:tcPr>
            <w:tcW w:w="409" w:type="dxa"/>
            <w:vMerge w:val="restart"/>
            <w:vAlign w:val="center"/>
          </w:tcPr>
          <w:p>
            <w:pPr>
              <w:spacing w:line="240" w:lineRule="auto"/>
              <w:jc w:val="center"/>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1</w:t>
            </w:r>
          </w:p>
        </w:tc>
        <w:tc>
          <w:tcPr>
            <w:tcW w:w="704" w:type="dxa"/>
            <w:vMerge w:val="restart"/>
            <w:vAlign w:val="center"/>
          </w:tcPr>
          <w:p>
            <w:pPr>
              <w:spacing w:line="240" w:lineRule="auto"/>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技术</w:t>
            </w:r>
          </w:p>
          <w:p>
            <w:pPr>
              <w:spacing w:line="240" w:lineRule="auto"/>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力量</w:t>
            </w:r>
          </w:p>
          <w:p>
            <w:pPr>
              <w:spacing w:line="240" w:lineRule="auto"/>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投入</w:t>
            </w:r>
          </w:p>
          <w:p>
            <w:pPr>
              <w:spacing w:line="240" w:lineRule="auto"/>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（20</w:t>
            </w:r>
          </w:p>
          <w:p>
            <w:pPr>
              <w:spacing w:line="240" w:lineRule="auto"/>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分）</w:t>
            </w:r>
          </w:p>
        </w:tc>
        <w:tc>
          <w:tcPr>
            <w:tcW w:w="3929" w:type="dxa"/>
            <w:vMerge w:val="restart"/>
            <w:vAlign w:val="center"/>
          </w:tcPr>
          <w:p>
            <w:pPr>
              <w:numPr>
                <w:ilvl w:val="0"/>
                <w:numId w:val="11"/>
              </w:numPr>
              <w:spacing w:line="240" w:lineRule="auto"/>
              <w:ind w:firstLine="420" w:firstLineChars="200"/>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评审负责人、项目经理应具备国家执业技术资格。</w:t>
            </w:r>
          </w:p>
          <w:p>
            <w:pPr>
              <w:numPr>
                <w:ilvl w:val="0"/>
                <w:numId w:val="11"/>
              </w:numPr>
              <w:spacing w:line="240" w:lineRule="auto"/>
              <w:ind w:firstLine="420" w:firstLineChars="200"/>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项目经理应全过程组织评审工作；</w:t>
            </w:r>
          </w:p>
          <w:p>
            <w:pPr>
              <w:numPr>
                <w:ilvl w:val="0"/>
                <w:numId w:val="11"/>
              </w:numPr>
              <w:spacing w:line="240" w:lineRule="auto"/>
              <w:ind w:firstLine="420" w:firstLineChars="200"/>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专业组长为入库申报人员或经中心同意变更人员；专业技术人员配置合理（一般1-2人，具备工程咨询类或造价类相关工作经验）；</w:t>
            </w:r>
          </w:p>
          <w:p>
            <w:pPr>
              <w:numPr>
                <w:ilvl w:val="0"/>
                <w:numId w:val="11"/>
              </w:numPr>
              <w:spacing w:line="240" w:lineRule="auto"/>
              <w:ind w:firstLine="420" w:firstLineChars="200"/>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咨询专家专业与相关工作资历满足项目评审要求，专家专业配置合理。</w:t>
            </w:r>
          </w:p>
        </w:tc>
        <w:tc>
          <w:tcPr>
            <w:tcW w:w="481" w:type="dxa"/>
            <w:vMerge w:val="restart"/>
            <w:vAlign w:val="center"/>
          </w:tcPr>
          <w:p>
            <w:pPr>
              <w:spacing w:line="240" w:lineRule="auto"/>
              <w:jc w:val="center"/>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16</w:t>
            </w:r>
          </w:p>
        </w:tc>
        <w:tc>
          <w:tcPr>
            <w:tcW w:w="3298" w:type="dxa"/>
          </w:tcPr>
          <w:p>
            <w:pPr>
              <w:numPr>
                <w:ilvl w:val="0"/>
                <w:numId w:val="12"/>
              </w:numPr>
              <w:spacing w:line="240" w:lineRule="auto"/>
              <w:ind w:firstLine="420" w:firstLineChars="200"/>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评审人员专业领域与项目涉及专业适应度及胜任评审能力好+1~2分;</w:t>
            </w:r>
          </w:p>
          <w:p>
            <w:pPr>
              <w:numPr>
                <w:ilvl w:val="0"/>
                <w:numId w:val="12"/>
              </w:numPr>
              <w:spacing w:line="240" w:lineRule="auto"/>
              <w:ind w:firstLine="420" w:firstLineChars="200"/>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在咨询专家专业配置全面的基础上，每增加一名专家+1分。</w:t>
            </w:r>
          </w:p>
        </w:tc>
        <w:tc>
          <w:tcPr>
            <w:tcW w:w="356" w:type="dxa"/>
            <w:vMerge w:val="restart"/>
          </w:tcPr>
          <w:p>
            <w:pPr>
              <w:spacing w:line="240" w:lineRule="auto"/>
              <w:rPr>
                <w:rFonts w:ascii="方正仿宋简体" w:hAnsi="方正仿宋简体" w:eastAsia="方正仿宋简体" w:cs="方正仿宋简体"/>
                <w:color w:val="auto"/>
                <w:kern w:val="2"/>
                <w:sz w:val="21"/>
                <w:szCs w:val="24"/>
              </w:rPr>
            </w:pPr>
          </w:p>
        </w:tc>
        <w:tc>
          <w:tcPr>
            <w:tcW w:w="637" w:type="dxa"/>
            <w:vMerge w:val="restart"/>
          </w:tcPr>
          <w:p>
            <w:pPr>
              <w:spacing w:line="240" w:lineRule="auto"/>
              <w:rPr>
                <w:rFonts w:ascii="方正仿宋简体" w:hAnsi="方正仿宋简体" w:eastAsia="方正仿宋简体" w:cs="方正仿宋简体"/>
                <w:color w:val="auto"/>
                <w:kern w:val="2"/>
                <w:sz w:val="21"/>
                <w:szCs w:val="24"/>
              </w:rPr>
            </w:pPr>
          </w:p>
        </w:tc>
        <w:tc>
          <w:tcPr>
            <w:tcW w:w="386" w:type="dxa"/>
            <w:vMerge w:val="restart"/>
          </w:tcPr>
          <w:p>
            <w:pPr>
              <w:spacing w:line="240" w:lineRule="auto"/>
              <w:rPr>
                <w:rFonts w:ascii="方正仿宋简体" w:hAnsi="方正仿宋简体" w:eastAsia="方正仿宋简体" w:cs="方正仿宋简体"/>
                <w:color w:val="auto"/>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409" w:type="dxa"/>
            <w:vMerge w:val="continue"/>
            <w:vAlign w:val="center"/>
          </w:tcPr>
          <w:p>
            <w:pPr>
              <w:spacing w:line="240" w:lineRule="auto"/>
              <w:jc w:val="center"/>
              <w:rPr>
                <w:rFonts w:ascii="方正仿宋简体" w:hAnsi="方正仿宋简体" w:eastAsia="方正仿宋简体" w:cs="方正仿宋简体"/>
                <w:color w:val="auto"/>
                <w:kern w:val="2"/>
                <w:sz w:val="21"/>
                <w:szCs w:val="24"/>
              </w:rPr>
            </w:pPr>
          </w:p>
        </w:tc>
        <w:tc>
          <w:tcPr>
            <w:tcW w:w="704" w:type="dxa"/>
            <w:vMerge w:val="continue"/>
            <w:vAlign w:val="center"/>
          </w:tcPr>
          <w:p>
            <w:pPr>
              <w:spacing w:line="240" w:lineRule="auto"/>
              <w:rPr>
                <w:rFonts w:ascii="方正仿宋简体" w:hAnsi="方正仿宋简体" w:eastAsia="方正仿宋简体" w:cs="方正仿宋简体"/>
                <w:color w:val="auto"/>
                <w:kern w:val="2"/>
                <w:sz w:val="21"/>
                <w:szCs w:val="24"/>
              </w:rPr>
            </w:pPr>
          </w:p>
        </w:tc>
        <w:tc>
          <w:tcPr>
            <w:tcW w:w="3929" w:type="dxa"/>
            <w:vMerge w:val="continue"/>
            <w:vAlign w:val="center"/>
          </w:tcPr>
          <w:p>
            <w:pPr>
              <w:numPr>
                <w:ilvl w:val="0"/>
                <w:numId w:val="11"/>
              </w:numPr>
              <w:spacing w:line="240" w:lineRule="auto"/>
              <w:ind w:firstLine="420" w:firstLineChars="200"/>
              <w:rPr>
                <w:rFonts w:ascii="方正仿宋简体" w:hAnsi="方正仿宋简体" w:eastAsia="方正仿宋简体" w:cs="方正仿宋简体"/>
                <w:color w:val="auto"/>
                <w:kern w:val="2"/>
                <w:sz w:val="21"/>
                <w:szCs w:val="24"/>
              </w:rPr>
            </w:pPr>
          </w:p>
        </w:tc>
        <w:tc>
          <w:tcPr>
            <w:tcW w:w="481" w:type="dxa"/>
            <w:vMerge w:val="continue"/>
            <w:vAlign w:val="center"/>
          </w:tcPr>
          <w:p>
            <w:pPr>
              <w:spacing w:line="240" w:lineRule="auto"/>
              <w:jc w:val="center"/>
              <w:rPr>
                <w:rFonts w:ascii="方正仿宋简体" w:hAnsi="方正仿宋简体" w:eastAsia="方正仿宋简体" w:cs="方正仿宋简体"/>
                <w:color w:val="auto"/>
                <w:kern w:val="2"/>
                <w:sz w:val="21"/>
                <w:szCs w:val="24"/>
              </w:rPr>
            </w:pPr>
          </w:p>
        </w:tc>
        <w:tc>
          <w:tcPr>
            <w:tcW w:w="3298" w:type="dxa"/>
          </w:tcPr>
          <w:p>
            <w:pPr>
              <w:widowControl w:val="0"/>
              <w:numPr>
                <w:ilvl w:val="0"/>
                <w:numId w:val="13"/>
              </w:numPr>
              <w:spacing w:line="240" w:lineRule="auto"/>
              <w:ind w:left="780" w:hanging="360" w:firstLineChars="0"/>
              <w:jc w:val="both"/>
              <w:rPr>
                <w:rFonts w:ascii="方正仿宋简体" w:hAnsi="方正仿宋简体" w:eastAsia="方正仿宋简体" w:cs="方正仿宋简体"/>
                <w:color w:val="auto"/>
                <w:kern w:val="2"/>
                <w:sz w:val="21"/>
                <w:szCs w:val="22"/>
                <w:lang w:val="en-US" w:eastAsia="zh-CN" w:bidi="ar-SA"/>
              </w:rPr>
            </w:pPr>
            <w:r>
              <w:rPr>
                <w:rFonts w:hint="eastAsia" w:ascii="方正仿宋简体" w:hAnsi="方正仿宋简体" w:eastAsia="方正仿宋简体" w:cs="方正仿宋简体"/>
                <w:color w:val="auto"/>
                <w:kern w:val="2"/>
                <w:sz w:val="21"/>
                <w:szCs w:val="22"/>
                <w:lang w:val="en-US" w:eastAsia="zh-CN" w:bidi="ar-SA"/>
              </w:rPr>
              <w:t>人员未经中心同意变更</w:t>
            </w:r>
          </w:p>
          <w:p>
            <w:pPr>
              <w:spacing w:line="240" w:lineRule="auto"/>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人员的-1.5分)；</w:t>
            </w:r>
          </w:p>
          <w:p>
            <w:pPr>
              <w:widowControl w:val="0"/>
              <w:numPr>
                <w:ilvl w:val="0"/>
                <w:numId w:val="13"/>
              </w:numPr>
              <w:spacing w:line="240" w:lineRule="auto"/>
              <w:ind w:left="780" w:hanging="360" w:firstLineChars="0"/>
              <w:jc w:val="both"/>
              <w:rPr>
                <w:rFonts w:ascii="方正仿宋简体" w:hAnsi="方正仿宋简体" w:eastAsia="方正仿宋简体" w:cs="方正仿宋简体"/>
                <w:color w:val="auto"/>
                <w:kern w:val="2"/>
                <w:sz w:val="21"/>
                <w:szCs w:val="22"/>
                <w:lang w:val="en-US" w:eastAsia="zh-CN" w:bidi="ar-SA"/>
              </w:rPr>
            </w:pPr>
            <w:r>
              <w:rPr>
                <w:rFonts w:hint="eastAsia" w:ascii="方正仿宋简体" w:hAnsi="方正仿宋简体" w:eastAsia="方正仿宋简体" w:cs="方正仿宋简体"/>
                <w:color w:val="auto"/>
                <w:kern w:val="2"/>
                <w:sz w:val="21"/>
                <w:szCs w:val="22"/>
                <w:lang w:val="en-US" w:eastAsia="zh-CN" w:bidi="ar-SA"/>
              </w:rPr>
              <w:t>咨询专家专业配置不齐,</w:t>
            </w:r>
          </w:p>
          <w:p>
            <w:pPr>
              <w:spacing w:line="240" w:lineRule="auto"/>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每缺一专业-2分。</w:t>
            </w:r>
          </w:p>
        </w:tc>
        <w:tc>
          <w:tcPr>
            <w:tcW w:w="356" w:type="dxa"/>
            <w:vMerge w:val="continue"/>
          </w:tcPr>
          <w:p>
            <w:pPr>
              <w:spacing w:line="240" w:lineRule="auto"/>
              <w:rPr>
                <w:rFonts w:ascii="方正仿宋简体" w:hAnsi="方正仿宋简体" w:eastAsia="方正仿宋简体" w:cs="方正仿宋简体"/>
                <w:color w:val="auto"/>
                <w:kern w:val="2"/>
                <w:sz w:val="21"/>
                <w:szCs w:val="24"/>
              </w:rPr>
            </w:pPr>
          </w:p>
        </w:tc>
        <w:tc>
          <w:tcPr>
            <w:tcW w:w="637" w:type="dxa"/>
            <w:vMerge w:val="continue"/>
          </w:tcPr>
          <w:p>
            <w:pPr>
              <w:spacing w:line="240" w:lineRule="auto"/>
              <w:rPr>
                <w:rFonts w:ascii="方正仿宋简体" w:hAnsi="方正仿宋简体" w:eastAsia="方正仿宋简体" w:cs="方正仿宋简体"/>
                <w:color w:val="auto"/>
                <w:kern w:val="2"/>
                <w:sz w:val="21"/>
                <w:szCs w:val="24"/>
              </w:rPr>
            </w:pPr>
          </w:p>
        </w:tc>
        <w:tc>
          <w:tcPr>
            <w:tcW w:w="386" w:type="dxa"/>
            <w:vMerge w:val="continue"/>
          </w:tcPr>
          <w:p>
            <w:pPr>
              <w:spacing w:line="240" w:lineRule="auto"/>
              <w:rPr>
                <w:rFonts w:ascii="方正仿宋简体" w:hAnsi="方正仿宋简体" w:eastAsia="方正仿宋简体" w:cs="方正仿宋简体"/>
                <w:color w:val="auto"/>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9" w:type="dxa"/>
            <w:vMerge w:val="restart"/>
            <w:vAlign w:val="center"/>
          </w:tcPr>
          <w:p>
            <w:pPr>
              <w:spacing w:line="240" w:lineRule="auto"/>
              <w:jc w:val="center"/>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2</w:t>
            </w:r>
          </w:p>
        </w:tc>
        <w:tc>
          <w:tcPr>
            <w:tcW w:w="704" w:type="dxa"/>
            <w:vMerge w:val="restart"/>
            <w:vAlign w:val="center"/>
          </w:tcPr>
          <w:p>
            <w:pPr>
              <w:spacing w:line="240" w:lineRule="auto"/>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技术准备和现场踏勘（15分）</w:t>
            </w:r>
          </w:p>
        </w:tc>
        <w:tc>
          <w:tcPr>
            <w:tcW w:w="3929" w:type="dxa"/>
            <w:vMerge w:val="restart"/>
            <w:vAlign w:val="center"/>
          </w:tcPr>
          <w:p>
            <w:pPr>
              <w:numPr>
                <w:ilvl w:val="0"/>
                <w:numId w:val="14"/>
              </w:numPr>
              <w:spacing w:line="240" w:lineRule="auto"/>
              <w:ind w:firstLine="420" w:firstLineChars="200"/>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熟悉项目基本情况,了解项目的建设背景、建设内容、规模等；</w:t>
            </w:r>
          </w:p>
          <w:p>
            <w:pPr>
              <w:numPr>
                <w:ilvl w:val="0"/>
                <w:numId w:val="14"/>
              </w:numPr>
              <w:spacing w:line="240" w:lineRule="auto"/>
              <w:ind w:firstLine="420" w:firstLineChars="200"/>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现场踏勘组织具备工作效率(事前通知及时准确、现场踏勘时间准时、现场踏勘地点无误、参会踏勘人员均到场、行车路线提前规划等)，应有现场踏勘记录且能准确反映现场情况，具备影像设备记录资料，能将现场情况与编制文本结合对比考虑，能与咨询专家、项目业主、报告编制单位等进行技术交流。</w:t>
            </w:r>
          </w:p>
        </w:tc>
        <w:tc>
          <w:tcPr>
            <w:tcW w:w="481" w:type="dxa"/>
            <w:vMerge w:val="restart"/>
            <w:vAlign w:val="center"/>
          </w:tcPr>
          <w:p>
            <w:pPr>
              <w:spacing w:line="240" w:lineRule="auto"/>
              <w:jc w:val="center"/>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12</w:t>
            </w:r>
          </w:p>
        </w:tc>
        <w:tc>
          <w:tcPr>
            <w:tcW w:w="3298" w:type="dxa"/>
          </w:tcPr>
          <w:p>
            <w:pPr>
              <w:numPr>
                <w:ilvl w:val="0"/>
                <w:numId w:val="15"/>
              </w:numPr>
              <w:spacing w:line="240" w:lineRule="auto"/>
              <w:ind w:firstLine="420" w:firstLineChars="200"/>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初审意见提出及时、规范,并能发现问题、提出切实可行的解决建议或办法的+0.5~1分；</w:t>
            </w:r>
          </w:p>
          <w:p>
            <w:pPr>
              <w:numPr>
                <w:ilvl w:val="0"/>
                <w:numId w:val="15"/>
              </w:numPr>
              <w:spacing w:line="240" w:lineRule="auto"/>
              <w:ind w:firstLine="420" w:firstLineChars="200"/>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现场踏勘组织工作完善,现场踏勘记录准确、记录资料完备+1~2分。</w:t>
            </w:r>
          </w:p>
        </w:tc>
        <w:tc>
          <w:tcPr>
            <w:tcW w:w="356" w:type="dxa"/>
            <w:vMerge w:val="restart"/>
          </w:tcPr>
          <w:p>
            <w:pPr>
              <w:spacing w:line="240" w:lineRule="auto"/>
              <w:rPr>
                <w:rFonts w:ascii="方正仿宋简体" w:hAnsi="方正仿宋简体" w:eastAsia="方正仿宋简体" w:cs="方正仿宋简体"/>
                <w:color w:val="auto"/>
                <w:kern w:val="2"/>
                <w:sz w:val="21"/>
                <w:szCs w:val="24"/>
              </w:rPr>
            </w:pPr>
          </w:p>
        </w:tc>
        <w:tc>
          <w:tcPr>
            <w:tcW w:w="637" w:type="dxa"/>
            <w:vMerge w:val="restart"/>
          </w:tcPr>
          <w:p>
            <w:pPr>
              <w:spacing w:line="240" w:lineRule="auto"/>
              <w:rPr>
                <w:rFonts w:ascii="方正仿宋简体" w:hAnsi="方正仿宋简体" w:eastAsia="方正仿宋简体" w:cs="方正仿宋简体"/>
                <w:color w:val="auto"/>
                <w:kern w:val="2"/>
                <w:sz w:val="21"/>
                <w:szCs w:val="24"/>
              </w:rPr>
            </w:pPr>
          </w:p>
        </w:tc>
        <w:tc>
          <w:tcPr>
            <w:tcW w:w="386" w:type="dxa"/>
            <w:vMerge w:val="restart"/>
          </w:tcPr>
          <w:p>
            <w:pPr>
              <w:spacing w:line="240" w:lineRule="auto"/>
              <w:rPr>
                <w:rFonts w:ascii="方正仿宋简体" w:hAnsi="方正仿宋简体" w:eastAsia="方正仿宋简体" w:cs="方正仿宋简体"/>
                <w:color w:val="auto"/>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0" w:hRule="atLeast"/>
          <w:jc w:val="center"/>
        </w:trPr>
        <w:tc>
          <w:tcPr>
            <w:tcW w:w="409" w:type="dxa"/>
            <w:vMerge w:val="continue"/>
            <w:vAlign w:val="center"/>
          </w:tcPr>
          <w:p>
            <w:pPr>
              <w:spacing w:line="240" w:lineRule="auto"/>
              <w:jc w:val="center"/>
              <w:rPr>
                <w:rFonts w:ascii="方正仿宋简体" w:hAnsi="方正仿宋简体" w:eastAsia="方正仿宋简体" w:cs="方正仿宋简体"/>
                <w:color w:val="auto"/>
                <w:kern w:val="2"/>
                <w:sz w:val="21"/>
                <w:szCs w:val="24"/>
              </w:rPr>
            </w:pPr>
          </w:p>
        </w:tc>
        <w:tc>
          <w:tcPr>
            <w:tcW w:w="704" w:type="dxa"/>
            <w:vMerge w:val="continue"/>
            <w:vAlign w:val="center"/>
          </w:tcPr>
          <w:p>
            <w:pPr>
              <w:spacing w:line="240" w:lineRule="auto"/>
              <w:rPr>
                <w:rFonts w:ascii="方正仿宋简体" w:hAnsi="方正仿宋简体" w:eastAsia="方正仿宋简体" w:cs="方正仿宋简体"/>
                <w:color w:val="auto"/>
                <w:kern w:val="2"/>
                <w:sz w:val="21"/>
                <w:szCs w:val="24"/>
              </w:rPr>
            </w:pPr>
          </w:p>
        </w:tc>
        <w:tc>
          <w:tcPr>
            <w:tcW w:w="3929" w:type="dxa"/>
            <w:vMerge w:val="continue"/>
            <w:vAlign w:val="center"/>
          </w:tcPr>
          <w:p>
            <w:pPr>
              <w:numPr>
                <w:ilvl w:val="0"/>
                <w:numId w:val="14"/>
              </w:numPr>
              <w:spacing w:line="240" w:lineRule="auto"/>
              <w:ind w:firstLine="420" w:firstLineChars="200"/>
              <w:rPr>
                <w:rFonts w:ascii="方正仿宋简体" w:hAnsi="方正仿宋简体" w:eastAsia="方正仿宋简体" w:cs="方正仿宋简体"/>
                <w:color w:val="auto"/>
                <w:kern w:val="2"/>
                <w:sz w:val="21"/>
                <w:szCs w:val="24"/>
              </w:rPr>
            </w:pPr>
          </w:p>
        </w:tc>
        <w:tc>
          <w:tcPr>
            <w:tcW w:w="481" w:type="dxa"/>
            <w:vMerge w:val="continue"/>
            <w:vAlign w:val="center"/>
          </w:tcPr>
          <w:p>
            <w:pPr>
              <w:spacing w:line="240" w:lineRule="auto"/>
              <w:jc w:val="center"/>
              <w:rPr>
                <w:rFonts w:ascii="方正仿宋简体" w:hAnsi="方正仿宋简体" w:eastAsia="方正仿宋简体" w:cs="方正仿宋简体"/>
                <w:color w:val="auto"/>
                <w:kern w:val="2"/>
                <w:sz w:val="21"/>
                <w:szCs w:val="24"/>
              </w:rPr>
            </w:pPr>
          </w:p>
        </w:tc>
        <w:tc>
          <w:tcPr>
            <w:tcW w:w="3298" w:type="dxa"/>
          </w:tcPr>
          <w:p>
            <w:pPr>
              <w:spacing w:line="240" w:lineRule="auto"/>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 xml:space="preserve">    </w:t>
            </w:r>
            <w:r>
              <w:rPr>
                <w:rFonts w:hint="eastAsia" w:ascii="方正仿宋简体" w:hAnsi="方正仿宋简体" w:eastAsia="方正仿宋简体" w:cs="方正仿宋简体"/>
                <w:color w:val="auto"/>
                <w:kern w:val="2"/>
                <w:sz w:val="21"/>
                <w:szCs w:val="24"/>
                <w:lang w:val="en-US" w:eastAsia="zh-CN"/>
              </w:rPr>
              <w:t>3、</w:t>
            </w:r>
            <w:r>
              <w:rPr>
                <w:rFonts w:hint="eastAsia" w:ascii="方正仿宋简体" w:hAnsi="方正仿宋简体" w:eastAsia="方正仿宋简体" w:cs="方正仿宋简体"/>
                <w:color w:val="auto"/>
                <w:kern w:val="2"/>
                <w:sz w:val="21"/>
                <w:szCs w:val="24"/>
              </w:rPr>
              <w:t>不熟悉项目基本情况的-0.5分；现场踏勘时间不准时、不了解踏勘地点或范围、因事前通知不到位或组织有误以致影响现场踏勘效率、效果的-3分；没有现场踏勘记录资料的-0.5分；工作方案所提交的咨询专家中无故未到现场的，每人次-2分，咨询机构所拟定的项目经理无故未到场的-4分。</w:t>
            </w:r>
          </w:p>
        </w:tc>
        <w:tc>
          <w:tcPr>
            <w:tcW w:w="356" w:type="dxa"/>
            <w:vMerge w:val="continue"/>
          </w:tcPr>
          <w:p>
            <w:pPr>
              <w:spacing w:line="240" w:lineRule="auto"/>
              <w:rPr>
                <w:rFonts w:ascii="方正仿宋简体" w:hAnsi="方正仿宋简体" w:eastAsia="方正仿宋简体" w:cs="方正仿宋简体"/>
                <w:color w:val="auto"/>
                <w:kern w:val="2"/>
                <w:sz w:val="21"/>
                <w:szCs w:val="24"/>
              </w:rPr>
            </w:pPr>
          </w:p>
        </w:tc>
        <w:tc>
          <w:tcPr>
            <w:tcW w:w="637" w:type="dxa"/>
            <w:vMerge w:val="continue"/>
          </w:tcPr>
          <w:p>
            <w:pPr>
              <w:spacing w:line="240" w:lineRule="auto"/>
              <w:rPr>
                <w:rFonts w:ascii="方正仿宋简体" w:hAnsi="方正仿宋简体" w:eastAsia="方正仿宋简体" w:cs="方正仿宋简体"/>
                <w:color w:val="auto"/>
                <w:kern w:val="2"/>
                <w:sz w:val="21"/>
                <w:szCs w:val="24"/>
              </w:rPr>
            </w:pPr>
          </w:p>
        </w:tc>
        <w:tc>
          <w:tcPr>
            <w:tcW w:w="386" w:type="dxa"/>
            <w:vMerge w:val="continue"/>
          </w:tcPr>
          <w:p>
            <w:pPr>
              <w:spacing w:line="240" w:lineRule="auto"/>
              <w:rPr>
                <w:rFonts w:ascii="方正仿宋简体" w:hAnsi="方正仿宋简体" w:eastAsia="方正仿宋简体" w:cs="方正仿宋简体"/>
                <w:color w:val="auto"/>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409" w:type="dxa"/>
            <w:vMerge w:val="restart"/>
            <w:vAlign w:val="center"/>
          </w:tcPr>
          <w:p>
            <w:pPr>
              <w:spacing w:line="240" w:lineRule="auto"/>
              <w:jc w:val="center"/>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3</w:t>
            </w:r>
          </w:p>
        </w:tc>
        <w:tc>
          <w:tcPr>
            <w:tcW w:w="704" w:type="dxa"/>
            <w:vMerge w:val="restart"/>
            <w:vAlign w:val="center"/>
          </w:tcPr>
          <w:p>
            <w:pPr>
              <w:spacing w:line="240" w:lineRule="auto"/>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评审会议（10分）</w:t>
            </w:r>
          </w:p>
        </w:tc>
        <w:tc>
          <w:tcPr>
            <w:tcW w:w="3929" w:type="dxa"/>
            <w:vMerge w:val="restart"/>
            <w:vAlign w:val="center"/>
          </w:tcPr>
          <w:p>
            <w:pPr>
              <w:numPr>
                <w:ilvl w:val="0"/>
                <w:numId w:val="16"/>
              </w:numPr>
              <w:spacing w:line="240" w:lineRule="auto"/>
              <w:ind w:firstLine="420" w:firstLineChars="200"/>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会议组织：会场大小、会场布置、会议设备满足项目评审需要，会场组织合理；会议程序安排适当；</w:t>
            </w:r>
          </w:p>
          <w:p>
            <w:pPr>
              <w:numPr>
                <w:ilvl w:val="0"/>
                <w:numId w:val="16"/>
              </w:numPr>
              <w:spacing w:line="240" w:lineRule="auto"/>
              <w:ind w:firstLine="420" w:firstLineChars="200"/>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会议成果：会议对项目进行全方位专业化的评审，指出项目存在的问题和提出合理化建议，形成会议成果，指导下一步修订工作。</w:t>
            </w:r>
          </w:p>
        </w:tc>
        <w:tc>
          <w:tcPr>
            <w:tcW w:w="481" w:type="dxa"/>
            <w:vMerge w:val="restart"/>
            <w:vAlign w:val="center"/>
          </w:tcPr>
          <w:p>
            <w:pPr>
              <w:spacing w:line="240" w:lineRule="auto"/>
              <w:jc w:val="center"/>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8</w:t>
            </w:r>
          </w:p>
        </w:tc>
        <w:tc>
          <w:tcPr>
            <w:tcW w:w="3298" w:type="dxa"/>
          </w:tcPr>
          <w:p>
            <w:pPr>
              <w:spacing w:line="240" w:lineRule="auto"/>
              <w:ind w:firstLine="420" w:firstLineChars="200"/>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lang w:val="en-US" w:eastAsia="zh-CN"/>
              </w:rPr>
              <w:t>1、</w:t>
            </w:r>
            <w:r>
              <w:rPr>
                <w:rFonts w:hint="eastAsia" w:ascii="方正仿宋简体" w:hAnsi="方正仿宋简体" w:eastAsia="方正仿宋简体" w:cs="方正仿宋简体"/>
                <w:color w:val="auto"/>
                <w:kern w:val="2"/>
                <w:sz w:val="21"/>
                <w:szCs w:val="24"/>
              </w:rPr>
              <w:t>会议组织合理，重点突出，会上指出项目存在的重大问题并提出切实可行的建议+1~2分。</w:t>
            </w:r>
          </w:p>
        </w:tc>
        <w:tc>
          <w:tcPr>
            <w:tcW w:w="356" w:type="dxa"/>
            <w:vMerge w:val="restart"/>
          </w:tcPr>
          <w:p>
            <w:pPr>
              <w:spacing w:line="240" w:lineRule="auto"/>
              <w:rPr>
                <w:rFonts w:ascii="方正仿宋简体" w:hAnsi="方正仿宋简体" w:eastAsia="方正仿宋简体" w:cs="方正仿宋简体"/>
                <w:color w:val="auto"/>
                <w:kern w:val="2"/>
                <w:sz w:val="21"/>
                <w:szCs w:val="24"/>
              </w:rPr>
            </w:pPr>
          </w:p>
        </w:tc>
        <w:tc>
          <w:tcPr>
            <w:tcW w:w="637" w:type="dxa"/>
            <w:vMerge w:val="restart"/>
          </w:tcPr>
          <w:p>
            <w:pPr>
              <w:spacing w:line="240" w:lineRule="auto"/>
              <w:rPr>
                <w:rFonts w:ascii="方正仿宋简体" w:hAnsi="方正仿宋简体" w:eastAsia="方正仿宋简体" w:cs="方正仿宋简体"/>
                <w:color w:val="auto"/>
                <w:kern w:val="2"/>
                <w:sz w:val="21"/>
                <w:szCs w:val="24"/>
              </w:rPr>
            </w:pPr>
          </w:p>
        </w:tc>
        <w:tc>
          <w:tcPr>
            <w:tcW w:w="386" w:type="dxa"/>
            <w:vMerge w:val="restart"/>
          </w:tcPr>
          <w:p>
            <w:pPr>
              <w:spacing w:line="240" w:lineRule="auto"/>
              <w:rPr>
                <w:rFonts w:ascii="方正仿宋简体" w:hAnsi="方正仿宋简体" w:eastAsia="方正仿宋简体" w:cs="方正仿宋简体"/>
                <w:color w:val="auto"/>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409" w:type="dxa"/>
            <w:vMerge w:val="continue"/>
            <w:vAlign w:val="center"/>
          </w:tcPr>
          <w:p>
            <w:pPr>
              <w:spacing w:line="240" w:lineRule="auto"/>
              <w:jc w:val="center"/>
              <w:rPr>
                <w:rFonts w:ascii="方正仿宋简体" w:hAnsi="方正仿宋简体" w:eastAsia="方正仿宋简体" w:cs="方正仿宋简体"/>
                <w:color w:val="auto"/>
                <w:kern w:val="2"/>
                <w:sz w:val="21"/>
                <w:szCs w:val="24"/>
              </w:rPr>
            </w:pPr>
          </w:p>
        </w:tc>
        <w:tc>
          <w:tcPr>
            <w:tcW w:w="704" w:type="dxa"/>
            <w:vMerge w:val="continue"/>
            <w:vAlign w:val="center"/>
          </w:tcPr>
          <w:p>
            <w:pPr>
              <w:spacing w:line="240" w:lineRule="auto"/>
              <w:rPr>
                <w:rFonts w:ascii="方正仿宋简体" w:hAnsi="方正仿宋简体" w:eastAsia="方正仿宋简体" w:cs="方正仿宋简体"/>
                <w:color w:val="auto"/>
                <w:kern w:val="2"/>
                <w:sz w:val="21"/>
                <w:szCs w:val="24"/>
              </w:rPr>
            </w:pPr>
          </w:p>
        </w:tc>
        <w:tc>
          <w:tcPr>
            <w:tcW w:w="3929" w:type="dxa"/>
            <w:vMerge w:val="continue"/>
            <w:vAlign w:val="center"/>
          </w:tcPr>
          <w:p>
            <w:pPr>
              <w:numPr>
                <w:ilvl w:val="0"/>
                <w:numId w:val="16"/>
              </w:numPr>
              <w:spacing w:line="240" w:lineRule="auto"/>
              <w:ind w:firstLine="420" w:firstLineChars="200"/>
              <w:rPr>
                <w:rFonts w:ascii="方正仿宋简体" w:hAnsi="方正仿宋简体" w:eastAsia="方正仿宋简体" w:cs="方正仿宋简体"/>
                <w:color w:val="auto"/>
                <w:kern w:val="2"/>
                <w:sz w:val="21"/>
                <w:szCs w:val="24"/>
              </w:rPr>
            </w:pPr>
          </w:p>
        </w:tc>
        <w:tc>
          <w:tcPr>
            <w:tcW w:w="481" w:type="dxa"/>
            <w:vMerge w:val="continue"/>
            <w:vAlign w:val="center"/>
          </w:tcPr>
          <w:p>
            <w:pPr>
              <w:spacing w:line="240" w:lineRule="auto"/>
              <w:jc w:val="center"/>
              <w:rPr>
                <w:rFonts w:ascii="方正仿宋简体" w:hAnsi="方正仿宋简体" w:eastAsia="方正仿宋简体" w:cs="方正仿宋简体"/>
                <w:color w:val="auto"/>
                <w:kern w:val="2"/>
                <w:sz w:val="21"/>
                <w:szCs w:val="24"/>
              </w:rPr>
            </w:pPr>
          </w:p>
        </w:tc>
        <w:tc>
          <w:tcPr>
            <w:tcW w:w="3298" w:type="dxa"/>
          </w:tcPr>
          <w:p>
            <w:pPr>
              <w:spacing w:line="240" w:lineRule="auto"/>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 xml:space="preserve">    </w:t>
            </w:r>
            <w:r>
              <w:rPr>
                <w:rFonts w:hint="eastAsia" w:ascii="方正仿宋简体" w:hAnsi="方正仿宋简体" w:eastAsia="方正仿宋简体" w:cs="方正仿宋简体"/>
                <w:color w:val="auto"/>
                <w:kern w:val="2"/>
                <w:sz w:val="21"/>
                <w:szCs w:val="24"/>
                <w:lang w:val="en-US" w:eastAsia="zh-CN"/>
              </w:rPr>
              <w:t>2、</w:t>
            </w:r>
            <w:r>
              <w:rPr>
                <w:rFonts w:hint="eastAsia" w:ascii="方正仿宋简体" w:hAnsi="方正仿宋简体" w:eastAsia="方正仿宋简体" w:cs="方正仿宋简体"/>
                <w:color w:val="auto"/>
                <w:kern w:val="2"/>
                <w:sz w:val="21"/>
                <w:szCs w:val="24"/>
              </w:rPr>
              <w:t>会场组织混乱无序的-2分；</w:t>
            </w:r>
          </w:p>
          <w:p>
            <w:pPr>
              <w:spacing w:line="240" w:lineRule="auto"/>
              <w:ind w:firstLine="420" w:firstLineChars="200"/>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lang w:val="en-US" w:eastAsia="zh-CN"/>
              </w:rPr>
              <w:t>3、</w:t>
            </w:r>
            <w:r>
              <w:rPr>
                <w:rFonts w:hint="eastAsia" w:ascii="方正仿宋简体" w:hAnsi="方正仿宋简体" w:eastAsia="方正仿宋简体" w:cs="方正仿宋简体"/>
                <w:color w:val="auto"/>
                <w:kern w:val="2"/>
                <w:sz w:val="21"/>
                <w:szCs w:val="24"/>
              </w:rPr>
              <w:t>会议评审遗漏一般问题的-2分；遗漏重大问题的-4分；</w:t>
            </w:r>
          </w:p>
        </w:tc>
        <w:tc>
          <w:tcPr>
            <w:tcW w:w="356" w:type="dxa"/>
            <w:vMerge w:val="continue"/>
          </w:tcPr>
          <w:p>
            <w:pPr>
              <w:spacing w:line="240" w:lineRule="auto"/>
              <w:rPr>
                <w:rFonts w:ascii="方正仿宋简体" w:hAnsi="方正仿宋简体" w:eastAsia="方正仿宋简体" w:cs="方正仿宋简体"/>
                <w:color w:val="auto"/>
                <w:kern w:val="2"/>
                <w:sz w:val="21"/>
                <w:szCs w:val="24"/>
              </w:rPr>
            </w:pPr>
          </w:p>
        </w:tc>
        <w:tc>
          <w:tcPr>
            <w:tcW w:w="637" w:type="dxa"/>
            <w:vMerge w:val="continue"/>
          </w:tcPr>
          <w:p>
            <w:pPr>
              <w:spacing w:line="240" w:lineRule="auto"/>
              <w:rPr>
                <w:rFonts w:ascii="方正仿宋简体" w:hAnsi="方正仿宋简体" w:eastAsia="方正仿宋简体" w:cs="方正仿宋简体"/>
                <w:color w:val="auto"/>
                <w:kern w:val="2"/>
                <w:sz w:val="21"/>
                <w:szCs w:val="24"/>
              </w:rPr>
            </w:pPr>
          </w:p>
        </w:tc>
        <w:tc>
          <w:tcPr>
            <w:tcW w:w="386" w:type="dxa"/>
            <w:vMerge w:val="continue"/>
          </w:tcPr>
          <w:p>
            <w:pPr>
              <w:spacing w:line="240" w:lineRule="auto"/>
              <w:rPr>
                <w:rFonts w:ascii="方正仿宋简体" w:hAnsi="方正仿宋简体" w:eastAsia="方正仿宋简体" w:cs="方正仿宋简体"/>
                <w:color w:val="auto"/>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jc w:val="center"/>
        </w:trPr>
        <w:tc>
          <w:tcPr>
            <w:tcW w:w="409" w:type="dxa"/>
            <w:vMerge w:val="restart"/>
            <w:vAlign w:val="center"/>
          </w:tcPr>
          <w:p>
            <w:pPr>
              <w:spacing w:line="240" w:lineRule="auto"/>
              <w:jc w:val="center"/>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4</w:t>
            </w:r>
          </w:p>
        </w:tc>
        <w:tc>
          <w:tcPr>
            <w:tcW w:w="704" w:type="dxa"/>
            <w:vMerge w:val="restart"/>
            <w:vAlign w:val="center"/>
          </w:tcPr>
          <w:p>
            <w:pPr>
              <w:spacing w:line="240" w:lineRule="auto"/>
              <w:jc w:val="center"/>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技术管理与复核</w:t>
            </w:r>
          </w:p>
          <w:p>
            <w:pPr>
              <w:spacing w:line="240" w:lineRule="auto"/>
              <w:jc w:val="center"/>
              <w:rPr>
                <w:rFonts w:ascii="方正仿宋简体" w:hAnsi="方正仿宋简体" w:eastAsia="方正仿宋简体" w:cs="方正仿宋简体"/>
                <w:color w:val="auto"/>
                <w:kern w:val="2"/>
                <w:sz w:val="21"/>
                <w:szCs w:val="24"/>
              </w:rPr>
            </w:pPr>
          </w:p>
          <w:p>
            <w:pPr>
              <w:spacing w:line="240" w:lineRule="auto"/>
              <w:jc w:val="center"/>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（30分）</w:t>
            </w:r>
          </w:p>
        </w:tc>
        <w:tc>
          <w:tcPr>
            <w:tcW w:w="3929" w:type="dxa"/>
            <w:vMerge w:val="restart"/>
            <w:vAlign w:val="center"/>
          </w:tcPr>
          <w:p>
            <w:pPr>
              <w:numPr>
                <w:ilvl w:val="0"/>
                <w:numId w:val="17"/>
              </w:numPr>
              <w:spacing w:line="240" w:lineRule="auto"/>
              <w:ind w:firstLine="420" w:firstLineChars="200"/>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评审意见(含初审阶段)应对成果数据全面复核，工程量基本准确，工程指标合理，计算依据充分，取费文件及费率适当，无多项、漏项，无计算偏差，投资估算基本适当；</w:t>
            </w:r>
          </w:p>
          <w:p>
            <w:pPr>
              <w:numPr>
                <w:ilvl w:val="0"/>
                <w:numId w:val="17"/>
              </w:numPr>
              <w:spacing w:line="240" w:lineRule="auto"/>
              <w:ind w:firstLine="420" w:firstLineChars="200"/>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重要变更要痕迹记录。</w:t>
            </w:r>
          </w:p>
        </w:tc>
        <w:tc>
          <w:tcPr>
            <w:tcW w:w="481" w:type="dxa"/>
            <w:vMerge w:val="restart"/>
            <w:vAlign w:val="center"/>
          </w:tcPr>
          <w:p>
            <w:pPr>
              <w:spacing w:line="240" w:lineRule="auto"/>
              <w:jc w:val="center"/>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24</w:t>
            </w:r>
          </w:p>
        </w:tc>
        <w:tc>
          <w:tcPr>
            <w:tcW w:w="3298" w:type="dxa"/>
          </w:tcPr>
          <w:p>
            <w:pPr>
              <w:spacing w:line="240" w:lineRule="auto"/>
              <w:ind w:firstLine="420" w:firstLineChars="200"/>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1、对项目建设内容、工程量、工程指标等能准确校对的+1~3分；</w:t>
            </w:r>
          </w:p>
          <w:p>
            <w:pPr>
              <w:spacing w:line="240" w:lineRule="auto"/>
              <w:ind w:firstLine="420" w:firstLineChars="200"/>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2、各项依据充分合理，复核成果全面无误，能提供复核底稿的+1~3分。</w:t>
            </w:r>
          </w:p>
        </w:tc>
        <w:tc>
          <w:tcPr>
            <w:tcW w:w="356" w:type="dxa"/>
            <w:vMerge w:val="restart"/>
          </w:tcPr>
          <w:p>
            <w:pPr>
              <w:spacing w:line="240" w:lineRule="auto"/>
              <w:rPr>
                <w:rFonts w:ascii="方正仿宋简体" w:hAnsi="方正仿宋简体" w:eastAsia="方正仿宋简体" w:cs="方正仿宋简体"/>
                <w:color w:val="auto"/>
                <w:kern w:val="2"/>
                <w:sz w:val="21"/>
                <w:szCs w:val="24"/>
              </w:rPr>
            </w:pPr>
          </w:p>
        </w:tc>
        <w:tc>
          <w:tcPr>
            <w:tcW w:w="637" w:type="dxa"/>
            <w:vMerge w:val="restart"/>
          </w:tcPr>
          <w:p>
            <w:pPr>
              <w:spacing w:line="240" w:lineRule="auto"/>
              <w:rPr>
                <w:rFonts w:ascii="方正仿宋简体" w:hAnsi="方正仿宋简体" w:eastAsia="方正仿宋简体" w:cs="方正仿宋简体"/>
                <w:color w:val="auto"/>
                <w:kern w:val="2"/>
                <w:sz w:val="21"/>
                <w:szCs w:val="24"/>
              </w:rPr>
            </w:pPr>
          </w:p>
        </w:tc>
        <w:tc>
          <w:tcPr>
            <w:tcW w:w="386" w:type="dxa"/>
            <w:vMerge w:val="restart"/>
          </w:tcPr>
          <w:p>
            <w:pPr>
              <w:spacing w:line="240" w:lineRule="auto"/>
              <w:rPr>
                <w:rFonts w:ascii="方正仿宋简体" w:hAnsi="方正仿宋简体" w:eastAsia="方正仿宋简体" w:cs="方正仿宋简体"/>
                <w:color w:val="auto"/>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7" w:hRule="atLeast"/>
          <w:jc w:val="center"/>
        </w:trPr>
        <w:tc>
          <w:tcPr>
            <w:tcW w:w="409" w:type="dxa"/>
            <w:vMerge w:val="continue"/>
            <w:vAlign w:val="center"/>
          </w:tcPr>
          <w:p>
            <w:pPr>
              <w:spacing w:line="240" w:lineRule="auto"/>
              <w:jc w:val="center"/>
              <w:rPr>
                <w:rFonts w:ascii="方正仿宋简体" w:hAnsi="方正仿宋简体" w:eastAsia="方正仿宋简体" w:cs="方正仿宋简体"/>
                <w:color w:val="auto"/>
                <w:kern w:val="2"/>
                <w:sz w:val="21"/>
                <w:szCs w:val="24"/>
              </w:rPr>
            </w:pPr>
          </w:p>
        </w:tc>
        <w:tc>
          <w:tcPr>
            <w:tcW w:w="704" w:type="dxa"/>
            <w:vMerge w:val="continue"/>
            <w:vAlign w:val="center"/>
          </w:tcPr>
          <w:p>
            <w:pPr>
              <w:spacing w:line="240" w:lineRule="auto"/>
              <w:jc w:val="center"/>
              <w:rPr>
                <w:rFonts w:ascii="方正仿宋简体" w:hAnsi="方正仿宋简体" w:eastAsia="方正仿宋简体" w:cs="方正仿宋简体"/>
                <w:color w:val="auto"/>
                <w:kern w:val="2"/>
                <w:sz w:val="21"/>
                <w:szCs w:val="24"/>
              </w:rPr>
            </w:pPr>
          </w:p>
        </w:tc>
        <w:tc>
          <w:tcPr>
            <w:tcW w:w="3929" w:type="dxa"/>
            <w:vMerge w:val="continue"/>
            <w:vAlign w:val="center"/>
          </w:tcPr>
          <w:p>
            <w:pPr>
              <w:numPr>
                <w:ilvl w:val="0"/>
                <w:numId w:val="17"/>
              </w:numPr>
              <w:spacing w:line="240" w:lineRule="auto"/>
              <w:ind w:firstLine="420" w:firstLineChars="200"/>
              <w:rPr>
                <w:rFonts w:ascii="方正仿宋简体" w:hAnsi="方正仿宋简体" w:eastAsia="方正仿宋简体" w:cs="方正仿宋简体"/>
                <w:color w:val="auto"/>
                <w:kern w:val="2"/>
                <w:sz w:val="21"/>
                <w:szCs w:val="24"/>
              </w:rPr>
            </w:pPr>
          </w:p>
        </w:tc>
        <w:tc>
          <w:tcPr>
            <w:tcW w:w="481" w:type="dxa"/>
            <w:vMerge w:val="continue"/>
            <w:vAlign w:val="center"/>
          </w:tcPr>
          <w:p>
            <w:pPr>
              <w:spacing w:line="240" w:lineRule="auto"/>
              <w:jc w:val="center"/>
              <w:rPr>
                <w:rFonts w:ascii="方正仿宋简体" w:hAnsi="方正仿宋简体" w:eastAsia="方正仿宋简体" w:cs="方正仿宋简体"/>
                <w:color w:val="auto"/>
                <w:kern w:val="2"/>
                <w:sz w:val="21"/>
                <w:szCs w:val="24"/>
              </w:rPr>
            </w:pPr>
          </w:p>
        </w:tc>
        <w:tc>
          <w:tcPr>
            <w:tcW w:w="3298" w:type="dxa"/>
          </w:tcPr>
          <w:p>
            <w:pPr>
              <w:spacing w:line="240" w:lineRule="auto"/>
              <w:ind w:firstLine="420"/>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lang w:val="en-US" w:eastAsia="zh-CN"/>
              </w:rPr>
              <w:t>3</w:t>
            </w:r>
            <w:r>
              <w:rPr>
                <w:rFonts w:hint="eastAsia" w:ascii="方正仿宋简体" w:hAnsi="方正仿宋简体" w:eastAsia="方正仿宋简体" w:cs="方正仿宋简体"/>
                <w:color w:val="auto"/>
                <w:kern w:val="2"/>
                <w:sz w:val="21"/>
                <w:szCs w:val="24"/>
              </w:rPr>
              <w:t>、不了解项目对应的建设标准、技术规范的-4分；</w:t>
            </w:r>
          </w:p>
          <w:p>
            <w:pPr>
              <w:spacing w:line="240" w:lineRule="auto"/>
              <w:ind w:firstLine="420"/>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lang w:val="en-US" w:eastAsia="zh-CN"/>
              </w:rPr>
              <w:t>4</w:t>
            </w:r>
            <w:r>
              <w:rPr>
                <w:rFonts w:hint="eastAsia" w:ascii="方正仿宋简体" w:hAnsi="方正仿宋简体" w:eastAsia="方正仿宋简体" w:cs="方正仿宋简体"/>
                <w:color w:val="auto"/>
                <w:kern w:val="2"/>
                <w:sz w:val="21"/>
                <w:szCs w:val="24"/>
              </w:rPr>
              <w:t>、复核后的工程量、工程指标相对经验指标或测算指标等存在一定偏差的每项-2分；</w:t>
            </w:r>
          </w:p>
          <w:p>
            <w:pPr>
              <w:spacing w:line="240" w:lineRule="auto"/>
              <w:ind w:firstLine="420"/>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lang w:val="en-US" w:eastAsia="zh-CN"/>
              </w:rPr>
              <w:t>5</w:t>
            </w:r>
            <w:r>
              <w:rPr>
                <w:rFonts w:hint="eastAsia" w:ascii="方正仿宋简体" w:hAnsi="方正仿宋简体" w:eastAsia="方正仿宋简体" w:cs="方正仿宋简体"/>
                <w:color w:val="auto"/>
                <w:kern w:val="2"/>
                <w:sz w:val="21"/>
                <w:szCs w:val="24"/>
              </w:rPr>
              <w:t>、取费文件采取不正确、取费费率不当-2分；</w:t>
            </w:r>
          </w:p>
          <w:p>
            <w:pPr>
              <w:spacing w:line="240" w:lineRule="auto"/>
              <w:ind w:firstLine="420"/>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lang w:val="en-US" w:eastAsia="zh-CN"/>
              </w:rPr>
              <w:t>6</w:t>
            </w:r>
            <w:r>
              <w:rPr>
                <w:rFonts w:hint="eastAsia" w:ascii="方正仿宋简体" w:hAnsi="方正仿宋简体" w:eastAsia="方正仿宋简体" w:cs="方正仿宋简体"/>
                <w:color w:val="auto"/>
                <w:kern w:val="2"/>
                <w:sz w:val="21"/>
                <w:szCs w:val="24"/>
              </w:rPr>
              <w:t>、未对评审会提出的问题予以落实的-2分；</w:t>
            </w:r>
          </w:p>
          <w:p>
            <w:pPr>
              <w:spacing w:line="240" w:lineRule="auto"/>
              <w:ind w:firstLine="420"/>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lang w:val="en-US" w:eastAsia="zh-CN"/>
              </w:rPr>
              <w:t>7</w:t>
            </w:r>
            <w:r>
              <w:rPr>
                <w:rFonts w:hint="eastAsia" w:ascii="方正仿宋简体" w:hAnsi="方正仿宋简体" w:eastAsia="方正仿宋简体" w:cs="方正仿宋简体"/>
                <w:color w:val="auto"/>
                <w:kern w:val="2"/>
                <w:sz w:val="21"/>
                <w:szCs w:val="24"/>
              </w:rPr>
              <w:t>、复核后的编制文本不符合有关规定，文本、表格等各项数据对应有偏差的-2分；</w:t>
            </w:r>
          </w:p>
          <w:p>
            <w:pPr>
              <w:spacing w:line="240" w:lineRule="auto"/>
              <w:ind w:firstLine="420"/>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lang w:val="en-US" w:eastAsia="zh-CN"/>
              </w:rPr>
              <w:t>8</w:t>
            </w:r>
            <w:r>
              <w:rPr>
                <w:rFonts w:hint="eastAsia" w:ascii="方正仿宋简体" w:hAnsi="方正仿宋简体" w:eastAsia="方正仿宋简体" w:cs="方正仿宋简体"/>
                <w:color w:val="auto"/>
                <w:kern w:val="2"/>
                <w:sz w:val="21"/>
                <w:szCs w:val="24"/>
              </w:rPr>
              <w:t>、基本计算有误的-2分；</w:t>
            </w:r>
          </w:p>
          <w:p>
            <w:pPr>
              <w:spacing w:line="240" w:lineRule="auto"/>
              <w:ind w:firstLine="420"/>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lang w:val="en-US" w:eastAsia="zh-CN"/>
              </w:rPr>
              <w:t>9</w:t>
            </w:r>
            <w:r>
              <w:rPr>
                <w:rFonts w:hint="eastAsia" w:ascii="方正仿宋简体" w:hAnsi="方正仿宋简体" w:eastAsia="方正仿宋简体" w:cs="方正仿宋简体"/>
                <w:color w:val="auto"/>
                <w:kern w:val="2"/>
                <w:sz w:val="21"/>
                <w:szCs w:val="24"/>
              </w:rPr>
              <w:t>、内部管理失控、无效、未能发挥内部复核作用的-5分。</w:t>
            </w:r>
          </w:p>
        </w:tc>
        <w:tc>
          <w:tcPr>
            <w:tcW w:w="356" w:type="dxa"/>
            <w:vMerge w:val="continue"/>
          </w:tcPr>
          <w:p>
            <w:pPr>
              <w:spacing w:line="240" w:lineRule="auto"/>
              <w:rPr>
                <w:rFonts w:ascii="方正仿宋简体" w:hAnsi="方正仿宋简体" w:eastAsia="方正仿宋简体" w:cs="方正仿宋简体"/>
                <w:color w:val="auto"/>
                <w:kern w:val="2"/>
                <w:sz w:val="21"/>
                <w:szCs w:val="24"/>
              </w:rPr>
            </w:pPr>
          </w:p>
        </w:tc>
        <w:tc>
          <w:tcPr>
            <w:tcW w:w="637" w:type="dxa"/>
            <w:vMerge w:val="continue"/>
          </w:tcPr>
          <w:p>
            <w:pPr>
              <w:spacing w:line="240" w:lineRule="auto"/>
              <w:rPr>
                <w:rFonts w:ascii="方正仿宋简体" w:hAnsi="方正仿宋简体" w:eastAsia="方正仿宋简体" w:cs="方正仿宋简体"/>
                <w:color w:val="auto"/>
                <w:kern w:val="2"/>
                <w:sz w:val="21"/>
                <w:szCs w:val="24"/>
              </w:rPr>
            </w:pPr>
          </w:p>
        </w:tc>
        <w:tc>
          <w:tcPr>
            <w:tcW w:w="386" w:type="dxa"/>
            <w:vMerge w:val="continue"/>
          </w:tcPr>
          <w:p>
            <w:pPr>
              <w:spacing w:line="240" w:lineRule="auto"/>
              <w:rPr>
                <w:rFonts w:ascii="方正仿宋简体" w:hAnsi="方正仿宋简体" w:eastAsia="方正仿宋简体" w:cs="方正仿宋简体"/>
                <w:color w:val="auto"/>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409" w:type="dxa"/>
            <w:vMerge w:val="restart"/>
            <w:vAlign w:val="center"/>
          </w:tcPr>
          <w:p>
            <w:pPr>
              <w:spacing w:line="240" w:lineRule="auto"/>
              <w:jc w:val="center"/>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5</w:t>
            </w:r>
          </w:p>
        </w:tc>
        <w:tc>
          <w:tcPr>
            <w:tcW w:w="704" w:type="dxa"/>
            <w:vMerge w:val="restart"/>
            <w:vAlign w:val="center"/>
          </w:tcPr>
          <w:p>
            <w:pPr>
              <w:spacing w:line="240" w:lineRule="auto"/>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成果文件编制质量（10分）</w:t>
            </w:r>
          </w:p>
        </w:tc>
        <w:tc>
          <w:tcPr>
            <w:tcW w:w="3929" w:type="dxa"/>
            <w:vMerge w:val="restart"/>
            <w:vAlign w:val="center"/>
          </w:tcPr>
          <w:p>
            <w:pPr>
              <w:spacing w:line="240" w:lineRule="auto"/>
              <w:ind w:firstLine="420" w:firstLineChars="200"/>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报告编制符合规范，符合标准文本相关要求，反映内容完整，附件齐全，装订工整、规范，无错别字等非技术性错误。</w:t>
            </w:r>
          </w:p>
        </w:tc>
        <w:tc>
          <w:tcPr>
            <w:tcW w:w="481" w:type="dxa"/>
            <w:vMerge w:val="restart"/>
            <w:vAlign w:val="center"/>
          </w:tcPr>
          <w:p>
            <w:pPr>
              <w:spacing w:line="240" w:lineRule="auto"/>
              <w:jc w:val="center"/>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8</w:t>
            </w:r>
          </w:p>
        </w:tc>
        <w:tc>
          <w:tcPr>
            <w:tcW w:w="3298" w:type="dxa"/>
          </w:tcPr>
          <w:p>
            <w:pPr>
              <w:spacing w:line="240" w:lineRule="auto"/>
              <w:ind w:firstLine="420" w:firstLineChars="200"/>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lang w:val="en-US" w:eastAsia="zh-CN"/>
              </w:rPr>
              <w:t>1、</w:t>
            </w:r>
            <w:r>
              <w:rPr>
                <w:rFonts w:hint="eastAsia" w:ascii="方正仿宋简体" w:hAnsi="方正仿宋简体" w:eastAsia="方正仿宋简体" w:cs="方正仿宋简体"/>
                <w:color w:val="auto"/>
                <w:kern w:val="2"/>
                <w:sz w:val="21"/>
                <w:szCs w:val="24"/>
              </w:rPr>
              <w:t>报告编制符合规范，符合标准文本相关要求，反映内容完整，附件齐全，装订工整、规范，无错别字等非技术性错误+1~2分。</w:t>
            </w:r>
          </w:p>
        </w:tc>
        <w:tc>
          <w:tcPr>
            <w:tcW w:w="356" w:type="dxa"/>
            <w:vMerge w:val="restart"/>
          </w:tcPr>
          <w:p>
            <w:pPr>
              <w:spacing w:line="240" w:lineRule="auto"/>
              <w:rPr>
                <w:rFonts w:ascii="方正仿宋简体" w:hAnsi="方正仿宋简体" w:eastAsia="方正仿宋简体" w:cs="方正仿宋简体"/>
                <w:color w:val="auto"/>
                <w:kern w:val="2"/>
                <w:sz w:val="21"/>
                <w:szCs w:val="24"/>
              </w:rPr>
            </w:pPr>
          </w:p>
        </w:tc>
        <w:tc>
          <w:tcPr>
            <w:tcW w:w="637" w:type="dxa"/>
            <w:vMerge w:val="restart"/>
          </w:tcPr>
          <w:p>
            <w:pPr>
              <w:spacing w:line="240" w:lineRule="auto"/>
              <w:rPr>
                <w:rFonts w:ascii="方正仿宋简体" w:hAnsi="方正仿宋简体" w:eastAsia="方正仿宋简体" w:cs="方正仿宋简体"/>
                <w:color w:val="auto"/>
                <w:kern w:val="2"/>
                <w:sz w:val="21"/>
                <w:szCs w:val="24"/>
              </w:rPr>
            </w:pPr>
          </w:p>
        </w:tc>
        <w:tc>
          <w:tcPr>
            <w:tcW w:w="386" w:type="dxa"/>
            <w:vMerge w:val="restart"/>
          </w:tcPr>
          <w:p>
            <w:pPr>
              <w:spacing w:line="240" w:lineRule="auto"/>
              <w:rPr>
                <w:rFonts w:ascii="方正仿宋简体" w:hAnsi="方正仿宋简体" w:eastAsia="方正仿宋简体" w:cs="方正仿宋简体"/>
                <w:color w:val="auto"/>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jc w:val="center"/>
        </w:trPr>
        <w:tc>
          <w:tcPr>
            <w:tcW w:w="409" w:type="dxa"/>
            <w:vMerge w:val="continue"/>
            <w:vAlign w:val="center"/>
          </w:tcPr>
          <w:p>
            <w:pPr>
              <w:spacing w:line="240" w:lineRule="auto"/>
              <w:jc w:val="center"/>
              <w:rPr>
                <w:rFonts w:ascii="方正仿宋简体" w:hAnsi="方正仿宋简体" w:eastAsia="方正仿宋简体" w:cs="方正仿宋简体"/>
                <w:color w:val="auto"/>
                <w:kern w:val="2"/>
                <w:sz w:val="21"/>
                <w:szCs w:val="24"/>
              </w:rPr>
            </w:pPr>
          </w:p>
        </w:tc>
        <w:tc>
          <w:tcPr>
            <w:tcW w:w="704" w:type="dxa"/>
            <w:vMerge w:val="continue"/>
            <w:vAlign w:val="center"/>
          </w:tcPr>
          <w:p>
            <w:pPr>
              <w:spacing w:line="240" w:lineRule="auto"/>
              <w:rPr>
                <w:rFonts w:ascii="方正仿宋简体" w:hAnsi="方正仿宋简体" w:eastAsia="方正仿宋简体" w:cs="方正仿宋简体"/>
                <w:color w:val="auto"/>
                <w:kern w:val="2"/>
                <w:sz w:val="21"/>
                <w:szCs w:val="24"/>
              </w:rPr>
            </w:pPr>
          </w:p>
        </w:tc>
        <w:tc>
          <w:tcPr>
            <w:tcW w:w="3929" w:type="dxa"/>
            <w:vMerge w:val="continue"/>
            <w:vAlign w:val="center"/>
          </w:tcPr>
          <w:p>
            <w:pPr>
              <w:spacing w:line="240" w:lineRule="auto"/>
              <w:ind w:firstLine="420" w:firstLineChars="200"/>
              <w:rPr>
                <w:rFonts w:ascii="方正仿宋简体" w:hAnsi="方正仿宋简体" w:eastAsia="方正仿宋简体" w:cs="方正仿宋简体"/>
                <w:color w:val="auto"/>
                <w:kern w:val="2"/>
                <w:sz w:val="21"/>
                <w:szCs w:val="24"/>
              </w:rPr>
            </w:pPr>
          </w:p>
        </w:tc>
        <w:tc>
          <w:tcPr>
            <w:tcW w:w="481" w:type="dxa"/>
            <w:vMerge w:val="continue"/>
            <w:vAlign w:val="center"/>
          </w:tcPr>
          <w:p>
            <w:pPr>
              <w:spacing w:line="240" w:lineRule="auto"/>
              <w:jc w:val="center"/>
              <w:rPr>
                <w:rFonts w:ascii="方正仿宋简体" w:hAnsi="方正仿宋简体" w:eastAsia="方正仿宋简体" w:cs="方正仿宋简体"/>
                <w:color w:val="auto"/>
                <w:kern w:val="2"/>
                <w:sz w:val="21"/>
                <w:szCs w:val="24"/>
              </w:rPr>
            </w:pPr>
          </w:p>
        </w:tc>
        <w:tc>
          <w:tcPr>
            <w:tcW w:w="3298" w:type="dxa"/>
          </w:tcPr>
          <w:p>
            <w:pPr>
              <w:numPr>
                <w:ilvl w:val="0"/>
                <w:numId w:val="0"/>
              </w:numPr>
              <w:spacing w:line="240" w:lineRule="auto"/>
              <w:ind w:firstLine="420" w:firstLineChars="200"/>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lang w:val="en-US" w:eastAsia="zh-CN"/>
              </w:rPr>
              <w:t>2、</w:t>
            </w:r>
            <w:r>
              <w:rPr>
                <w:rFonts w:hint="eastAsia" w:ascii="方正仿宋简体" w:hAnsi="方正仿宋简体" w:eastAsia="方正仿宋简体" w:cs="方正仿宋简体"/>
                <w:color w:val="auto"/>
                <w:kern w:val="2"/>
                <w:sz w:val="21"/>
                <w:szCs w:val="24"/>
              </w:rPr>
              <w:t>报告编制不符合标准文本格式要求的-2分;</w:t>
            </w:r>
          </w:p>
          <w:p>
            <w:pPr>
              <w:numPr>
                <w:ilvl w:val="0"/>
                <w:numId w:val="0"/>
              </w:numPr>
              <w:spacing w:line="240" w:lineRule="auto"/>
              <w:ind w:firstLine="420" w:firstLineChars="200"/>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lang w:val="en-US" w:eastAsia="zh-CN"/>
              </w:rPr>
              <w:t>3、</w:t>
            </w:r>
            <w:r>
              <w:rPr>
                <w:rFonts w:hint="eastAsia" w:ascii="方正仿宋简体" w:hAnsi="方正仿宋简体" w:eastAsia="方正仿宋简体" w:cs="方正仿宋简体"/>
                <w:color w:val="auto"/>
                <w:kern w:val="2"/>
                <w:sz w:val="21"/>
                <w:szCs w:val="24"/>
              </w:rPr>
              <w:t>反映内容不全，遗漏一般问题的-2分；遗漏重大问题的-4分；</w:t>
            </w:r>
          </w:p>
          <w:p>
            <w:pPr>
              <w:numPr>
                <w:ilvl w:val="0"/>
                <w:numId w:val="0"/>
              </w:numPr>
              <w:spacing w:line="240" w:lineRule="auto"/>
              <w:ind w:firstLine="420" w:firstLineChars="200"/>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lang w:val="en-US" w:eastAsia="zh-CN"/>
              </w:rPr>
              <w:t>4、</w:t>
            </w:r>
            <w:r>
              <w:rPr>
                <w:rFonts w:hint="eastAsia" w:ascii="方正仿宋简体" w:hAnsi="方正仿宋简体" w:eastAsia="方正仿宋简体" w:cs="方正仿宋简体"/>
                <w:color w:val="auto"/>
                <w:kern w:val="2"/>
                <w:sz w:val="21"/>
                <w:szCs w:val="24"/>
              </w:rPr>
              <w:t>附件不齐的-2分；</w:t>
            </w:r>
          </w:p>
          <w:p>
            <w:pPr>
              <w:numPr>
                <w:ilvl w:val="0"/>
                <w:numId w:val="0"/>
              </w:numPr>
              <w:spacing w:line="240" w:lineRule="auto"/>
              <w:ind w:firstLine="420" w:firstLineChars="200"/>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lang w:val="en-US" w:eastAsia="zh-CN"/>
              </w:rPr>
              <w:t>5、</w:t>
            </w:r>
            <w:r>
              <w:rPr>
                <w:rFonts w:hint="eastAsia" w:ascii="方正仿宋简体" w:hAnsi="方正仿宋简体" w:eastAsia="方正仿宋简体" w:cs="方正仿宋简体"/>
                <w:color w:val="auto"/>
                <w:kern w:val="2"/>
                <w:sz w:val="21"/>
                <w:szCs w:val="24"/>
              </w:rPr>
              <w:t>装订不规范的-2分；</w:t>
            </w:r>
          </w:p>
          <w:p>
            <w:pPr>
              <w:numPr>
                <w:ilvl w:val="0"/>
                <w:numId w:val="0"/>
              </w:numPr>
              <w:spacing w:line="240" w:lineRule="auto"/>
              <w:ind w:firstLine="420" w:firstLineChars="200"/>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lang w:val="en-US" w:eastAsia="zh-CN"/>
              </w:rPr>
              <w:t>6、</w:t>
            </w:r>
            <w:r>
              <w:rPr>
                <w:rFonts w:hint="eastAsia" w:ascii="方正仿宋简体" w:hAnsi="方正仿宋简体" w:eastAsia="方正仿宋简体" w:cs="方正仿宋简体"/>
                <w:color w:val="auto"/>
                <w:kern w:val="2"/>
                <w:sz w:val="21"/>
                <w:szCs w:val="24"/>
              </w:rPr>
              <w:t>有非技术性错误的-1分。</w:t>
            </w:r>
          </w:p>
        </w:tc>
        <w:tc>
          <w:tcPr>
            <w:tcW w:w="356" w:type="dxa"/>
            <w:vMerge w:val="continue"/>
          </w:tcPr>
          <w:p>
            <w:pPr>
              <w:spacing w:line="240" w:lineRule="auto"/>
              <w:rPr>
                <w:rFonts w:ascii="方正仿宋简体" w:hAnsi="方正仿宋简体" w:eastAsia="方正仿宋简体" w:cs="方正仿宋简体"/>
                <w:color w:val="auto"/>
                <w:kern w:val="2"/>
                <w:sz w:val="21"/>
                <w:szCs w:val="24"/>
              </w:rPr>
            </w:pPr>
          </w:p>
        </w:tc>
        <w:tc>
          <w:tcPr>
            <w:tcW w:w="637" w:type="dxa"/>
            <w:vMerge w:val="continue"/>
          </w:tcPr>
          <w:p>
            <w:pPr>
              <w:spacing w:line="240" w:lineRule="auto"/>
              <w:rPr>
                <w:rFonts w:ascii="方正仿宋简体" w:hAnsi="方正仿宋简体" w:eastAsia="方正仿宋简体" w:cs="方正仿宋简体"/>
                <w:color w:val="auto"/>
                <w:kern w:val="2"/>
                <w:sz w:val="21"/>
                <w:szCs w:val="24"/>
              </w:rPr>
            </w:pPr>
          </w:p>
        </w:tc>
        <w:tc>
          <w:tcPr>
            <w:tcW w:w="386" w:type="dxa"/>
            <w:vMerge w:val="continue"/>
          </w:tcPr>
          <w:p>
            <w:pPr>
              <w:spacing w:line="240" w:lineRule="auto"/>
              <w:rPr>
                <w:rFonts w:ascii="方正仿宋简体" w:hAnsi="方正仿宋简体" w:eastAsia="方正仿宋简体" w:cs="方正仿宋简体"/>
                <w:color w:val="auto"/>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409" w:type="dxa"/>
            <w:vMerge w:val="restart"/>
            <w:vAlign w:val="center"/>
          </w:tcPr>
          <w:p>
            <w:pPr>
              <w:spacing w:line="240" w:lineRule="auto"/>
              <w:jc w:val="center"/>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6</w:t>
            </w:r>
          </w:p>
        </w:tc>
        <w:tc>
          <w:tcPr>
            <w:tcW w:w="704" w:type="dxa"/>
            <w:vMerge w:val="restart"/>
            <w:vAlign w:val="center"/>
          </w:tcPr>
          <w:p>
            <w:pPr>
              <w:spacing w:line="240" w:lineRule="auto"/>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工作效能</w:t>
            </w:r>
          </w:p>
          <w:p>
            <w:pPr>
              <w:spacing w:line="240" w:lineRule="auto"/>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（15分）</w:t>
            </w:r>
          </w:p>
        </w:tc>
        <w:tc>
          <w:tcPr>
            <w:tcW w:w="3929" w:type="dxa"/>
            <w:vMerge w:val="restart"/>
            <w:vAlign w:val="center"/>
          </w:tcPr>
          <w:p>
            <w:pPr>
              <w:numPr>
                <w:ilvl w:val="0"/>
                <w:numId w:val="18"/>
              </w:numPr>
              <w:spacing w:line="240" w:lineRule="auto"/>
              <w:ind w:firstLine="420" w:firstLineChars="200"/>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评审会议结束后在中心要求的评审时限内应提交符合要求的正式评审报告(因故不能完成的可与中心及时联系或书面通知)；</w:t>
            </w:r>
          </w:p>
          <w:p>
            <w:pPr>
              <w:numPr>
                <w:ilvl w:val="0"/>
                <w:numId w:val="18"/>
              </w:numPr>
              <w:spacing w:line="240" w:lineRule="auto"/>
              <w:ind w:firstLine="420" w:firstLineChars="200"/>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工作过程中积极主动，组织协调具有一定成效，能通过多方沟通解决项目中的问题或提出切实意见。</w:t>
            </w:r>
          </w:p>
        </w:tc>
        <w:tc>
          <w:tcPr>
            <w:tcW w:w="481" w:type="dxa"/>
            <w:vMerge w:val="restart"/>
            <w:vAlign w:val="center"/>
          </w:tcPr>
          <w:p>
            <w:pPr>
              <w:spacing w:line="240" w:lineRule="auto"/>
              <w:jc w:val="center"/>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12</w:t>
            </w:r>
          </w:p>
        </w:tc>
        <w:tc>
          <w:tcPr>
            <w:tcW w:w="3298" w:type="dxa"/>
            <w:vAlign w:val="bottom"/>
          </w:tcPr>
          <w:p>
            <w:pPr>
              <w:numPr>
                <w:ilvl w:val="0"/>
                <w:numId w:val="19"/>
              </w:numPr>
              <w:spacing w:line="240" w:lineRule="auto"/>
              <w:ind w:firstLine="420" w:firstLineChars="200"/>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评审会议结束后提交较为完善的会议纪要草案的+1分；</w:t>
            </w:r>
          </w:p>
          <w:p>
            <w:pPr>
              <w:numPr>
                <w:ilvl w:val="0"/>
                <w:numId w:val="19"/>
              </w:numPr>
              <w:spacing w:line="240" w:lineRule="auto"/>
              <w:ind w:firstLine="420" w:firstLineChars="200"/>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能通过多方沟通解决项目中的重大问题或提出提高评审效率的有效意见和建议+2~3分。</w:t>
            </w:r>
          </w:p>
        </w:tc>
        <w:tc>
          <w:tcPr>
            <w:tcW w:w="356" w:type="dxa"/>
            <w:vMerge w:val="restart"/>
          </w:tcPr>
          <w:p>
            <w:pPr>
              <w:spacing w:line="240" w:lineRule="auto"/>
              <w:rPr>
                <w:rFonts w:ascii="方正仿宋简体" w:hAnsi="方正仿宋简体" w:eastAsia="方正仿宋简体" w:cs="方正仿宋简体"/>
                <w:color w:val="auto"/>
                <w:kern w:val="2"/>
                <w:sz w:val="21"/>
                <w:szCs w:val="24"/>
              </w:rPr>
            </w:pPr>
          </w:p>
        </w:tc>
        <w:tc>
          <w:tcPr>
            <w:tcW w:w="637" w:type="dxa"/>
            <w:vMerge w:val="restart"/>
          </w:tcPr>
          <w:p>
            <w:pPr>
              <w:spacing w:line="240" w:lineRule="auto"/>
              <w:rPr>
                <w:rFonts w:ascii="方正仿宋简体" w:hAnsi="方正仿宋简体" w:eastAsia="方正仿宋简体" w:cs="方正仿宋简体"/>
                <w:color w:val="auto"/>
                <w:kern w:val="2"/>
                <w:sz w:val="21"/>
                <w:szCs w:val="24"/>
              </w:rPr>
            </w:pPr>
          </w:p>
        </w:tc>
        <w:tc>
          <w:tcPr>
            <w:tcW w:w="386" w:type="dxa"/>
            <w:vMerge w:val="restart"/>
          </w:tcPr>
          <w:p>
            <w:pPr>
              <w:spacing w:line="240" w:lineRule="auto"/>
              <w:rPr>
                <w:rFonts w:ascii="方正仿宋简体" w:hAnsi="方正仿宋简体" w:eastAsia="方正仿宋简体" w:cs="方正仿宋简体"/>
                <w:color w:val="auto"/>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409" w:type="dxa"/>
            <w:vMerge w:val="continue"/>
            <w:vAlign w:val="center"/>
          </w:tcPr>
          <w:p>
            <w:pPr>
              <w:spacing w:line="240" w:lineRule="auto"/>
              <w:jc w:val="center"/>
              <w:rPr>
                <w:rFonts w:ascii="方正仿宋简体" w:hAnsi="方正仿宋简体" w:eastAsia="方正仿宋简体" w:cs="方正仿宋简体"/>
                <w:color w:val="auto"/>
                <w:kern w:val="2"/>
                <w:sz w:val="21"/>
                <w:szCs w:val="24"/>
              </w:rPr>
            </w:pPr>
          </w:p>
        </w:tc>
        <w:tc>
          <w:tcPr>
            <w:tcW w:w="704" w:type="dxa"/>
            <w:vMerge w:val="continue"/>
            <w:vAlign w:val="center"/>
          </w:tcPr>
          <w:p>
            <w:pPr>
              <w:spacing w:line="240" w:lineRule="auto"/>
              <w:rPr>
                <w:rFonts w:ascii="方正仿宋简体" w:hAnsi="方正仿宋简体" w:eastAsia="方正仿宋简体" w:cs="方正仿宋简体"/>
                <w:color w:val="auto"/>
                <w:kern w:val="2"/>
                <w:sz w:val="21"/>
                <w:szCs w:val="24"/>
              </w:rPr>
            </w:pPr>
          </w:p>
        </w:tc>
        <w:tc>
          <w:tcPr>
            <w:tcW w:w="3929" w:type="dxa"/>
            <w:vMerge w:val="continue"/>
            <w:vAlign w:val="center"/>
          </w:tcPr>
          <w:p>
            <w:pPr>
              <w:numPr>
                <w:ilvl w:val="0"/>
                <w:numId w:val="18"/>
              </w:numPr>
              <w:spacing w:line="240" w:lineRule="auto"/>
              <w:ind w:firstLine="420" w:firstLineChars="200"/>
              <w:rPr>
                <w:rFonts w:ascii="方正仿宋简体" w:hAnsi="方正仿宋简体" w:eastAsia="方正仿宋简体" w:cs="方正仿宋简体"/>
                <w:color w:val="auto"/>
                <w:kern w:val="2"/>
                <w:sz w:val="21"/>
                <w:szCs w:val="24"/>
              </w:rPr>
            </w:pPr>
          </w:p>
        </w:tc>
        <w:tc>
          <w:tcPr>
            <w:tcW w:w="481" w:type="dxa"/>
            <w:vMerge w:val="continue"/>
            <w:vAlign w:val="center"/>
          </w:tcPr>
          <w:p>
            <w:pPr>
              <w:spacing w:line="240" w:lineRule="auto"/>
              <w:jc w:val="center"/>
              <w:rPr>
                <w:rFonts w:ascii="方正仿宋简体" w:hAnsi="方正仿宋简体" w:eastAsia="方正仿宋简体" w:cs="方正仿宋简体"/>
                <w:color w:val="auto"/>
                <w:kern w:val="2"/>
                <w:sz w:val="21"/>
                <w:szCs w:val="24"/>
              </w:rPr>
            </w:pPr>
          </w:p>
        </w:tc>
        <w:tc>
          <w:tcPr>
            <w:tcW w:w="3298" w:type="dxa"/>
            <w:vAlign w:val="bottom"/>
          </w:tcPr>
          <w:p>
            <w:pPr>
              <w:numPr>
                <w:ilvl w:val="0"/>
                <w:numId w:val="0"/>
              </w:numPr>
              <w:spacing w:line="240" w:lineRule="auto"/>
              <w:ind w:firstLine="420" w:firstLineChars="200"/>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lang w:val="en-US" w:eastAsia="zh-CN"/>
              </w:rPr>
              <w:t>3、</w:t>
            </w:r>
            <w:r>
              <w:rPr>
                <w:rFonts w:hint="eastAsia" w:ascii="方正仿宋简体" w:hAnsi="方正仿宋简体" w:eastAsia="方正仿宋简体" w:cs="方正仿宋简体"/>
                <w:color w:val="auto"/>
                <w:kern w:val="2"/>
                <w:sz w:val="21"/>
                <w:szCs w:val="24"/>
              </w:rPr>
              <w:t>在中心要求的评审时限后每延天-4分；</w:t>
            </w:r>
          </w:p>
          <w:p>
            <w:pPr>
              <w:numPr>
                <w:ilvl w:val="0"/>
                <w:numId w:val="0"/>
              </w:numPr>
              <w:spacing w:line="240" w:lineRule="auto"/>
              <w:ind w:firstLine="420" w:firstLineChars="200"/>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lang w:val="en-US" w:eastAsia="zh-CN"/>
              </w:rPr>
              <w:t>4、</w:t>
            </w:r>
            <w:r>
              <w:rPr>
                <w:rFonts w:hint="eastAsia" w:ascii="方正仿宋简体" w:hAnsi="方正仿宋简体" w:eastAsia="方正仿宋简体" w:cs="方正仿宋简体"/>
                <w:color w:val="auto"/>
                <w:kern w:val="2"/>
                <w:sz w:val="21"/>
                <w:szCs w:val="24"/>
              </w:rPr>
              <w:t>工作不主动、不积极、不负责-4分。</w:t>
            </w:r>
          </w:p>
        </w:tc>
        <w:tc>
          <w:tcPr>
            <w:tcW w:w="356" w:type="dxa"/>
            <w:vMerge w:val="continue"/>
          </w:tcPr>
          <w:p>
            <w:pPr>
              <w:spacing w:line="240" w:lineRule="auto"/>
              <w:rPr>
                <w:rFonts w:ascii="方正仿宋简体" w:hAnsi="方正仿宋简体" w:eastAsia="方正仿宋简体" w:cs="方正仿宋简体"/>
                <w:color w:val="auto"/>
                <w:kern w:val="2"/>
                <w:sz w:val="21"/>
                <w:szCs w:val="24"/>
              </w:rPr>
            </w:pPr>
          </w:p>
        </w:tc>
        <w:tc>
          <w:tcPr>
            <w:tcW w:w="637" w:type="dxa"/>
            <w:vMerge w:val="continue"/>
          </w:tcPr>
          <w:p>
            <w:pPr>
              <w:spacing w:line="240" w:lineRule="auto"/>
              <w:rPr>
                <w:rFonts w:ascii="方正仿宋简体" w:hAnsi="方正仿宋简体" w:eastAsia="方正仿宋简体" w:cs="方正仿宋简体"/>
                <w:color w:val="auto"/>
                <w:kern w:val="2"/>
                <w:sz w:val="21"/>
                <w:szCs w:val="24"/>
              </w:rPr>
            </w:pPr>
          </w:p>
        </w:tc>
        <w:tc>
          <w:tcPr>
            <w:tcW w:w="386" w:type="dxa"/>
            <w:vMerge w:val="continue"/>
          </w:tcPr>
          <w:p>
            <w:pPr>
              <w:spacing w:line="240" w:lineRule="auto"/>
              <w:rPr>
                <w:rFonts w:ascii="方正仿宋简体" w:hAnsi="方正仿宋简体" w:eastAsia="方正仿宋简体" w:cs="方正仿宋简体"/>
                <w:color w:val="auto"/>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3" w:type="dxa"/>
            <w:gridSpan w:val="2"/>
            <w:vAlign w:val="center"/>
          </w:tcPr>
          <w:p>
            <w:pPr>
              <w:spacing w:line="240" w:lineRule="auto"/>
              <w:jc w:val="center"/>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审定</w:t>
            </w:r>
          </w:p>
          <w:p>
            <w:pPr>
              <w:spacing w:line="240" w:lineRule="auto"/>
              <w:jc w:val="center"/>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分数</w:t>
            </w:r>
          </w:p>
        </w:tc>
        <w:tc>
          <w:tcPr>
            <w:tcW w:w="9087" w:type="dxa"/>
            <w:gridSpan w:val="6"/>
          </w:tcPr>
          <w:p>
            <w:pPr>
              <w:spacing w:line="240" w:lineRule="auto"/>
              <w:jc w:val="left"/>
              <w:rPr>
                <w:rFonts w:ascii="Calibri" w:eastAsia="宋体" w:cs="Times New Roman"/>
                <w:color w:val="auto"/>
                <w:kern w:val="2"/>
                <w:sz w:val="21"/>
                <w:szCs w:val="24"/>
              </w:rPr>
            </w:pPr>
          </w:p>
          <w:p>
            <w:pPr>
              <w:spacing w:line="240" w:lineRule="auto"/>
              <w:jc w:val="left"/>
              <w:rPr>
                <w:rFonts w:ascii="Calibri" w:eastAsia="宋体" w:cs="Times New Roman"/>
                <w:color w:val="auto"/>
                <w:kern w:val="2"/>
                <w:sz w:val="21"/>
                <w:szCs w:val="24"/>
              </w:rPr>
            </w:pPr>
          </w:p>
          <w:p>
            <w:pPr>
              <w:spacing w:line="240" w:lineRule="auto"/>
              <w:jc w:val="left"/>
              <w:rPr>
                <w:rFonts w:ascii="Calibri" w:eastAsia="宋体" w:cs="Times New Roman"/>
                <w:color w:val="auto"/>
                <w:kern w:val="2"/>
                <w:sz w:val="21"/>
                <w:szCs w:val="24"/>
              </w:rPr>
            </w:pPr>
          </w:p>
        </w:tc>
      </w:tr>
    </w:tbl>
    <w:p>
      <w:pPr>
        <w:spacing w:line="240" w:lineRule="atLeast"/>
        <w:ind w:left="0" w:leftChars="0" w:firstLine="3780" w:firstLineChars="1800"/>
        <w:jc w:val="right"/>
        <w:rPr>
          <w:rFonts w:ascii="方正仿宋简体" w:hAnsi="方正仿宋简体" w:eastAsia="方正仿宋简体" w:cs="方正仿宋简体"/>
          <w:color w:val="auto"/>
          <w:kern w:val="2"/>
          <w:sz w:val="21"/>
          <w:szCs w:val="24"/>
        </w:rPr>
      </w:pPr>
      <w:r>
        <w:rPr>
          <w:rFonts w:hint="eastAsia" w:ascii="方正仿宋简体" w:hAnsi="方正仿宋简体" w:eastAsia="方正仿宋简体" w:cs="方正仿宋简体"/>
          <w:color w:val="auto"/>
          <w:kern w:val="2"/>
          <w:sz w:val="21"/>
          <w:szCs w:val="24"/>
        </w:rPr>
        <w:t xml:space="preserve">咨询机构合格报告递交时间：   </w:t>
      </w:r>
      <w:r>
        <w:rPr>
          <w:rFonts w:hint="eastAsia" w:ascii="Calibri" w:eastAsia="宋体" w:cs="Times New Roman"/>
          <w:color w:val="auto"/>
          <w:kern w:val="2"/>
          <w:sz w:val="21"/>
          <w:szCs w:val="24"/>
        </w:rPr>
        <w:t xml:space="preserve"> </w:t>
      </w:r>
      <w:r>
        <w:rPr>
          <w:rFonts w:hint="eastAsia" w:ascii="方正仿宋简体" w:hAnsi="方正仿宋简体" w:eastAsia="方正仿宋简体" w:cs="方正仿宋简体"/>
          <w:color w:val="auto"/>
          <w:kern w:val="2"/>
          <w:sz w:val="21"/>
          <w:szCs w:val="24"/>
        </w:rPr>
        <w:t xml:space="preserve"> 年   月   日</w:t>
      </w:r>
    </w:p>
    <w:p>
      <w:pPr>
        <w:ind w:firstLine="480"/>
        <w:jc w:val="center"/>
        <w:rPr>
          <w:rFonts w:hint="eastAsia" w:ascii="Calibri" w:eastAsia="宋体" w:cs="宋体"/>
          <w:b/>
          <w:bCs w:val="0"/>
          <w:color w:val="auto"/>
          <w:kern w:val="2"/>
          <w:sz w:val="28"/>
          <w:szCs w:val="28"/>
        </w:rPr>
      </w:pPr>
    </w:p>
    <w:p>
      <w:pPr>
        <w:ind w:firstLine="480"/>
        <w:jc w:val="center"/>
        <w:rPr>
          <w:rFonts w:hint="eastAsia" w:ascii="Calibri" w:eastAsia="宋体" w:cs="宋体"/>
          <w:b/>
          <w:bCs w:val="0"/>
          <w:color w:val="auto"/>
          <w:kern w:val="2"/>
          <w:sz w:val="28"/>
          <w:szCs w:val="28"/>
        </w:rPr>
      </w:pPr>
      <w:r>
        <w:rPr>
          <w:rFonts w:hint="eastAsia" w:ascii="Calibri" w:eastAsia="宋体" w:cs="宋体"/>
          <w:b/>
          <w:bCs w:val="0"/>
          <w:color w:val="auto"/>
          <w:kern w:val="2"/>
          <w:sz w:val="28"/>
          <w:szCs w:val="28"/>
        </w:rPr>
        <w:t>工程造价类项目单项评价表</w:t>
      </w:r>
    </w:p>
    <w:p>
      <w:pPr>
        <w:adjustRightInd w:val="0"/>
        <w:snapToGrid w:val="0"/>
        <w:rPr>
          <w:rFonts w:hint="eastAsia" w:ascii="宋体" w:hAnsi="宋体" w:eastAsia="微软雅黑" w:cs="宋体"/>
          <w:bCs/>
          <w:color w:val="auto"/>
          <w:kern w:val="0"/>
          <w:sz w:val="24"/>
          <w:szCs w:val="24"/>
          <w:lang w:val="en-US" w:eastAsia="zh-CN" w:bidi="ar-SA"/>
        </w:rPr>
      </w:pPr>
    </w:p>
    <w:p>
      <w:pPr>
        <w:adjustRightInd w:val="0"/>
        <w:snapToGrid w:val="0"/>
        <w:rPr>
          <w:rFonts w:hint="eastAsia" w:ascii="宋体" w:hAnsi="宋体" w:eastAsia="微软雅黑" w:cs="宋体"/>
          <w:bCs/>
          <w:color w:val="auto"/>
          <w:kern w:val="0"/>
          <w:sz w:val="24"/>
          <w:szCs w:val="24"/>
          <w:lang w:val="en-US" w:eastAsia="zh-CN" w:bidi="ar-SA"/>
        </w:rPr>
      </w:pPr>
      <w:r>
        <w:rPr>
          <w:rFonts w:hint="eastAsia" w:ascii="宋体" w:hAnsi="宋体" w:eastAsia="微软雅黑" w:cs="宋体"/>
          <w:bCs/>
          <w:color w:val="auto"/>
          <w:kern w:val="0"/>
          <w:sz w:val="24"/>
          <w:szCs w:val="24"/>
          <w:lang w:val="en-US" w:eastAsia="zh-CN" w:bidi="ar-SA"/>
        </w:rPr>
        <w:t>评审项目：                      送审（万元）：            评审类型：</w:t>
      </w:r>
    </w:p>
    <w:p>
      <w:pPr>
        <w:adjustRightInd w:val="0"/>
        <w:snapToGrid w:val="0"/>
        <w:rPr>
          <w:rFonts w:hint="eastAsia" w:ascii="宋体" w:hAnsi="宋体" w:eastAsia="微软雅黑" w:cs="宋体"/>
          <w:bCs/>
          <w:color w:val="auto"/>
          <w:kern w:val="0"/>
          <w:sz w:val="24"/>
          <w:szCs w:val="24"/>
          <w:lang w:val="en-US" w:eastAsia="zh-CN" w:bidi="ar-SA"/>
        </w:rPr>
      </w:pPr>
      <w:r>
        <w:rPr>
          <w:rFonts w:hint="eastAsia" w:ascii="宋体" w:hAnsi="宋体" w:eastAsia="微软雅黑" w:cs="宋体"/>
          <w:bCs/>
          <w:color w:val="auto"/>
          <w:kern w:val="0"/>
          <w:sz w:val="24"/>
          <w:szCs w:val="24"/>
          <w:lang w:val="en-US" w:eastAsia="zh-CN" w:bidi="ar-SA"/>
        </w:rPr>
        <w:t>咨询机构：                      审定（万元）：             审减率（%）：</w:t>
      </w:r>
    </w:p>
    <w:tbl>
      <w:tblPr>
        <w:tblStyle w:val="47"/>
        <w:tblW w:w="108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675"/>
        <w:gridCol w:w="3402"/>
        <w:gridCol w:w="567"/>
        <w:gridCol w:w="4252"/>
        <w:gridCol w:w="425"/>
        <w:gridCol w:w="709"/>
        <w:gridCol w:w="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6" w:type="dxa"/>
            <w:vMerge w:val="restart"/>
            <w:vAlign w:val="center"/>
          </w:tcPr>
          <w:p>
            <w:pPr>
              <w:jc w:val="center"/>
              <w:rPr>
                <w:rFonts w:ascii="Calibri" w:eastAsia="宋体" w:cs="Times New Roman"/>
                <w:color w:val="auto"/>
                <w:kern w:val="2"/>
                <w:sz w:val="21"/>
                <w:szCs w:val="24"/>
              </w:rPr>
            </w:pPr>
            <w:r>
              <w:rPr>
                <w:rFonts w:hint="eastAsia" w:ascii="方正仿宋简体" w:hAnsi="方正仿宋简体" w:eastAsia="方正仿宋简体" w:cs="方正仿宋简体"/>
                <w:color w:val="auto"/>
                <w:kern w:val="2"/>
                <w:sz w:val="21"/>
                <w:szCs w:val="24"/>
              </w:rPr>
              <w:t>序号</w:t>
            </w:r>
          </w:p>
        </w:tc>
        <w:tc>
          <w:tcPr>
            <w:tcW w:w="675" w:type="dxa"/>
            <w:vMerge w:val="restart"/>
            <w:vAlign w:val="center"/>
          </w:tcPr>
          <w:p>
            <w:pPr>
              <w:jc w:val="center"/>
              <w:rPr>
                <w:rFonts w:ascii="Calibri" w:eastAsia="宋体" w:cs="Times New Roman"/>
                <w:color w:val="auto"/>
                <w:kern w:val="2"/>
                <w:sz w:val="21"/>
                <w:szCs w:val="24"/>
              </w:rPr>
            </w:pPr>
            <w:r>
              <w:rPr>
                <w:rFonts w:hint="eastAsia" w:ascii="方正仿宋简体" w:hAnsi="方正仿宋简体" w:eastAsia="方正仿宋简体" w:cs="方正仿宋简体"/>
                <w:color w:val="auto"/>
                <w:kern w:val="2"/>
                <w:sz w:val="21"/>
                <w:szCs w:val="24"/>
              </w:rPr>
              <w:t>评价项目</w:t>
            </w:r>
          </w:p>
        </w:tc>
        <w:tc>
          <w:tcPr>
            <w:tcW w:w="3402" w:type="dxa"/>
            <w:vMerge w:val="restart"/>
            <w:vAlign w:val="center"/>
          </w:tcPr>
          <w:p>
            <w:pPr>
              <w:jc w:val="center"/>
              <w:rPr>
                <w:rFonts w:ascii="Calibri" w:eastAsia="宋体" w:cs="Times New Roman"/>
                <w:color w:val="auto"/>
                <w:kern w:val="2"/>
                <w:sz w:val="21"/>
                <w:szCs w:val="24"/>
              </w:rPr>
            </w:pPr>
            <w:r>
              <w:rPr>
                <w:rFonts w:hint="eastAsia" w:ascii="方正仿宋简体" w:hAnsi="方正仿宋简体" w:eastAsia="方正仿宋简体" w:cs="方正仿宋简体"/>
                <w:color w:val="auto"/>
                <w:kern w:val="2"/>
                <w:sz w:val="21"/>
                <w:szCs w:val="24"/>
              </w:rPr>
              <w:t>工作要求</w:t>
            </w:r>
          </w:p>
        </w:tc>
        <w:tc>
          <w:tcPr>
            <w:tcW w:w="6378" w:type="dxa"/>
            <w:gridSpan w:val="5"/>
            <w:vAlign w:val="center"/>
          </w:tcPr>
          <w:p>
            <w:pPr>
              <w:ind w:firstLine="420" w:firstLineChars="200"/>
              <w:jc w:val="center"/>
              <w:rPr>
                <w:rFonts w:ascii="Calibri" w:eastAsia="宋体" w:cs="Times New Roman"/>
                <w:color w:val="auto"/>
                <w:kern w:val="2"/>
                <w:sz w:val="21"/>
                <w:szCs w:val="24"/>
              </w:rPr>
            </w:pPr>
            <w:r>
              <w:rPr>
                <w:rFonts w:hint="eastAsia" w:ascii="方正仿宋简体" w:hAnsi="方正仿宋简体" w:eastAsia="方正仿宋简体" w:cs="方正仿宋简体"/>
                <w:color w:val="auto"/>
                <w:kern w:val="2"/>
                <w:sz w:val="21"/>
                <w:szCs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26" w:type="dxa"/>
            <w:vMerge w:val="continue"/>
            <w:vAlign w:val="center"/>
          </w:tcPr>
          <w:p>
            <w:pPr>
              <w:jc w:val="center"/>
              <w:rPr>
                <w:rFonts w:ascii="Calibri" w:eastAsia="宋体" w:cs="Times New Roman"/>
                <w:color w:val="auto"/>
                <w:kern w:val="2"/>
                <w:sz w:val="21"/>
                <w:szCs w:val="24"/>
              </w:rPr>
            </w:pPr>
          </w:p>
        </w:tc>
        <w:tc>
          <w:tcPr>
            <w:tcW w:w="675" w:type="dxa"/>
            <w:vMerge w:val="continue"/>
            <w:vAlign w:val="center"/>
          </w:tcPr>
          <w:p>
            <w:pPr>
              <w:jc w:val="center"/>
              <w:rPr>
                <w:rFonts w:ascii="Calibri" w:eastAsia="宋体" w:cs="Times New Roman"/>
                <w:color w:val="auto"/>
                <w:kern w:val="2"/>
                <w:sz w:val="21"/>
                <w:szCs w:val="24"/>
              </w:rPr>
            </w:pPr>
          </w:p>
        </w:tc>
        <w:tc>
          <w:tcPr>
            <w:tcW w:w="3402" w:type="dxa"/>
            <w:vMerge w:val="continue"/>
            <w:vAlign w:val="center"/>
          </w:tcPr>
          <w:p>
            <w:pPr>
              <w:jc w:val="center"/>
              <w:rPr>
                <w:rFonts w:ascii="Calibri" w:eastAsia="宋体" w:cs="Times New Roman"/>
                <w:color w:val="auto"/>
                <w:kern w:val="2"/>
                <w:sz w:val="21"/>
                <w:szCs w:val="24"/>
              </w:rPr>
            </w:pPr>
          </w:p>
        </w:tc>
        <w:tc>
          <w:tcPr>
            <w:tcW w:w="567" w:type="dxa"/>
            <w:vAlign w:val="center"/>
          </w:tcPr>
          <w:p>
            <w:pPr>
              <w:jc w:val="center"/>
              <w:rPr>
                <w:rFonts w:ascii="Calibri" w:eastAsia="宋体" w:cs="Times New Roman"/>
                <w:color w:val="auto"/>
                <w:kern w:val="2"/>
                <w:sz w:val="21"/>
                <w:szCs w:val="24"/>
              </w:rPr>
            </w:pPr>
            <w:r>
              <w:rPr>
                <w:rFonts w:hint="eastAsia" w:ascii="方正仿宋简体" w:hAnsi="方正仿宋简体" w:eastAsia="方正仿宋简体" w:cs="方正仿宋简体"/>
                <w:color w:val="auto"/>
                <w:kern w:val="2"/>
                <w:sz w:val="21"/>
                <w:szCs w:val="24"/>
              </w:rPr>
              <w:t>基准分</w:t>
            </w:r>
          </w:p>
        </w:tc>
        <w:tc>
          <w:tcPr>
            <w:tcW w:w="4252" w:type="dxa"/>
            <w:vAlign w:val="center"/>
          </w:tcPr>
          <w:p>
            <w:pPr>
              <w:ind w:firstLine="420" w:firstLineChars="200"/>
              <w:jc w:val="center"/>
              <w:rPr>
                <w:rFonts w:ascii="Calibri" w:eastAsia="宋体" w:cs="Times New Roman"/>
                <w:color w:val="auto"/>
                <w:kern w:val="2"/>
                <w:sz w:val="21"/>
                <w:szCs w:val="24"/>
              </w:rPr>
            </w:pPr>
            <w:r>
              <w:rPr>
                <w:rFonts w:hint="eastAsia" w:ascii="方正仿宋简体" w:hAnsi="方正仿宋简体" w:eastAsia="方正仿宋简体" w:cs="方正仿宋简体"/>
                <w:color w:val="auto"/>
                <w:kern w:val="2"/>
                <w:sz w:val="21"/>
                <w:szCs w:val="24"/>
              </w:rPr>
              <w:t>评价标准</w:t>
            </w:r>
          </w:p>
        </w:tc>
        <w:tc>
          <w:tcPr>
            <w:tcW w:w="425" w:type="dxa"/>
            <w:vAlign w:val="center"/>
          </w:tcPr>
          <w:p>
            <w:pPr>
              <w:rPr>
                <w:rFonts w:ascii="Calibri" w:eastAsia="宋体" w:cs="Times New Roman"/>
                <w:color w:val="auto"/>
                <w:kern w:val="2"/>
                <w:sz w:val="21"/>
                <w:szCs w:val="24"/>
              </w:rPr>
            </w:pPr>
            <w:r>
              <w:rPr>
                <w:rFonts w:hint="eastAsia" w:ascii="方正仿宋简体" w:hAnsi="方正仿宋简体" w:eastAsia="方正仿宋简体" w:cs="方正仿宋简体"/>
                <w:color w:val="auto"/>
                <w:kern w:val="2"/>
                <w:sz w:val="21"/>
                <w:szCs w:val="24"/>
              </w:rPr>
              <w:t>加减分</w:t>
            </w:r>
          </w:p>
        </w:tc>
        <w:tc>
          <w:tcPr>
            <w:tcW w:w="709" w:type="dxa"/>
            <w:vAlign w:val="center"/>
          </w:tcPr>
          <w:p>
            <w:pPr>
              <w:jc w:val="center"/>
              <w:rPr>
                <w:rFonts w:ascii="Calibri" w:eastAsia="宋体" w:cs="Times New Roman"/>
                <w:color w:val="auto"/>
                <w:kern w:val="2"/>
                <w:sz w:val="21"/>
                <w:szCs w:val="24"/>
              </w:rPr>
            </w:pPr>
            <w:r>
              <w:rPr>
                <w:rFonts w:ascii="Vrinda" w:hAnsi="Vrinda" w:eastAsia="宋体" w:cs="Vrinda"/>
                <w:color w:val="auto"/>
                <w:kern w:val="2"/>
                <w:sz w:val="21"/>
                <w:szCs w:val="24"/>
              </w:rPr>
              <w:t>±</w:t>
            </w:r>
            <w:r>
              <w:rPr>
                <w:rFonts w:hint="eastAsia" w:ascii="Calibri" w:eastAsia="宋体" w:cs="Times New Roman"/>
                <w:color w:val="auto"/>
                <w:kern w:val="2"/>
                <w:sz w:val="21"/>
                <w:szCs w:val="24"/>
              </w:rPr>
              <w:t>各小分（说明）</w:t>
            </w:r>
          </w:p>
        </w:tc>
        <w:tc>
          <w:tcPr>
            <w:tcW w:w="425" w:type="dxa"/>
            <w:vAlign w:val="center"/>
          </w:tcPr>
          <w:p>
            <w:pPr>
              <w:jc w:val="center"/>
              <w:rPr>
                <w:rFonts w:ascii="Calibri" w:eastAsia="宋体" w:cs="Times New Roman"/>
                <w:color w:val="auto"/>
                <w:kern w:val="2"/>
                <w:sz w:val="21"/>
                <w:szCs w:val="24"/>
              </w:rPr>
            </w:pPr>
            <w:r>
              <w:rPr>
                <w:rFonts w:hint="eastAsia" w:ascii="Calibri" w:eastAsia="宋体" w:cs="Times New Roman"/>
                <w:color w:val="auto"/>
                <w:kern w:val="2"/>
                <w:sz w:val="21"/>
                <w:szCs w:val="24"/>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0" w:hRule="atLeast"/>
          <w:jc w:val="center"/>
        </w:trPr>
        <w:tc>
          <w:tcPr>
            <w:tcW w:w="426" w:type="dxa"/>
            <w:vAlign w:val="center"/>
          </w:tcPr>
          <w:p>
            <w:pPr>
              <w:jc w:val="center"/>
              <w:rPr>
                <w:rFonts w:ascii="Calibri" w:eastAsia="宋体" w:cs="Times New Roman"/>
                <w:color w:val="auto"/>
                <w:kern w:val="2"/>
                <w:sz w:val="21"/>
                <w:szCs w:val="24"/>
              </w:rPr>
            </w:pPr>
            <w:r>
              <w:rPr>
                <w:rFonts w:hint="eastAsia" w:ascii="Calibri" w:eastAsia="宋体" w:cs="Times New Roman"/>
                <w:color w:val="auto"/>
                <w:kern w:val="2"/>
                <w:sz w:val="21"/>
                <w:szCs w:val="24"/>
              </w:rPr>
              <w:t>1</w:t>
            </w:r>
          </w:p>
        </w:tc>
        <w:tc>
          <w:tcPr>
            <w:tcW w:w="675" w:type="dxa"/>
            <w:vAlign w:val="center"/>
          </w:tcPr>
          <w:p>
            <w:pPr>
              <w:jc w:val="center"/>
              <w:rPr>
                <w:rFonts w:ascii="Calibri" w:eastAsia="宋体" w:cs="Times New Roman"/>
                <w:color w:val="auto"/>
                <w:kern w:val="2"/>
                <w:sz w:val="20"/>
                <w:szCs w:val="22"/>
              </w:rPr>
            </w:pPr>
            <w:r>
              <w:rPr>
                <w:rFonts w:hint="eastAsia" w:ascii="方正仿宋简体" w:eastAsia="方正仿宋简体" w:cs="Times New Roman"/>
                <w:color w:val="auto"/>
                <w:kern w:val="2"/>
                <w:sz w:val="20"/>
                <w:szCs w:val="20"/>
              </w:rPr>
              <w:t>工作效能（12分）</w:t>
            </w:r>
          </w:p>
        </w:tc>
        <w:tc>
          <w:tcPr>
            <w:tcW w:w="3402" w:type="dxa"/>
          </w:tcPr>
          <w:p>
            <w:pPr>
              <w:widowControl w:val="0"/>
              <w:numPr>
                <w:ilvl w:val="0"/>
                <w:numId w:val="20"/>
              </w:numPr>
              <w:ind w:left="780" w:hanging="360" w:firstLineChars="0"/>
              <w:jc w:val="both"/>
              <w:rPr>
                <w:rFonts w:ascii="方正仿宋简体" w:hAnsi="Calibri" w:eastAsia="方正仿宋简体" w:cs="Times New Roman"/>
                <w:color w:val="auto"/>
                <w:kern w:val="2"/>
                <w:sz w:val="18"/>
                <w:szCs w:val="18"/>
                <w:lang w:val="en-US" w:eastAsia="zh-CN" w:bidi="ar-SA"/>
              </w:rPr>
            </w:pPr>
            <w:r>
              <w:rPr>
                <w:rFonts w:hint="eastAsia" w:ascii="方正仿宋简体" w:hAnsi="Calibri" w:eastAsia="方正仿宋简体" w:cs="Times New Roman"/>
                <w:color w:val="auto"/>
                <w:kern w:val="2"/>
                <w:sz w:val="18"/>
                <w:szCs w:val="18"/>
                <w:lang w:val="en-US" w:eastAsia="zh-CN" w:bidi="ar-SA"/>
              </w:rPr>
              <w:t>不得超过规定时限,满足评</w:t>
            </w:r>
          </w:p>
          <w:p>
            <w:pPr>
              <w:rPr>
                <w:rFonts w:ascii="方正仿宋简体" w:eastAsia="方正仿宋简体" w:cs="Times New Roman"/>
                <w:color w:val="auto"/>
                <w:kern w:val="2"/>
                <w:sz w:val="18"/>
                <w:szCs w:val="18"/>
              </w:rPr>
            </w:pPr>
            <w:r>
              <w:rPr>
                <w:rFonts w:hint="eastAsia" w:ascii="方正仿宋简体" w:eastAsia="方正仿宋简体" w:cs="Times New Roman"/>
                <w:color w:val="auto"/>
                <w:kern w:val="2"/>
                <w:sz w:val="18"/>
                <w:szCs w:val="18"/>
              </w:rPr>
              <w:t>审流程各时间节点要求；</w:t>
            </w:r>
          </w:p>
          <w:p>
            <w:pPr>
              <w:ind w:firstLine="450" w:firstLineChars="250"/>
              <w:rPr>
                <w:rFonts w:ascii="方正仿宋简体" w:eastAsia="方正仿宋简体" w:cs="Times New Roman"/>
                <w:color w:val="auto"/>
                <w:kern w:val="2"/>
                <w:sz w:val="18"/>
                <w:szCs w:val="18"/>
              </w:rPr>
            </w:pPr>
            <w:r>
              <w:rPr>
                <w:rFonts w:hint="eastAsia" w:ascii="方正仿宋简体" w:eastAsia="方正仿宋简体" w:cs="Times New Roman"/>
                <w:color w:val="auto"/>
                <w:kern w:val="2"/>
                <w:sz w:val="18"/>
                <w:szCs w:val="18"/>
              </w:rPr>
              <w:t>2、工作积极主动，及时反映和报告评审中发现的问题；</w:t>
            </w:r>
          </w:p>
          <w:p>
            <w:pPr>
              <w:ind w:firstLine="360" w:firstLineChars="200"/>
              <w:rPr>
                <w:rFonts w:ascii="Calibri" w:eastAsia="宋体" w:cs="Times New Roman"/>
                <w:color w:val="auto"/>
                <w:kern w:val="2"/>
                <w:sz w:val="18"/>
                <w:szCs w:val="18"/>
              </w:rPr>
            </w:pPr>
            <w:r>
              <w:rPr>
                <w:rFonts w:hint="eastAsia" w:ascii="方正仿宋简体" w:eastAsia="方正仿宋简体" w:cs="Times New Roman"/>
                <w:color w:val="auto"/>
                <w:kern w:val="2"/>
                <w:sz w:val="18"/>
                <w:szCs w:val="18"/>
              </w:rPr>
              <w:t>3、在规定时限内提交符合要求的成果文件（包括评审初稿、初步成果征求意见稿、报告等）。</w:t>
            </w:r>
          </w:p>
        </w:tc>
        <w:tc>
          <w:tcPr>
            <w:tcW w:w="567" w:type="dxa"/>
            <w:vAlign w:val="center"/>
          </w:tcPr>
          <w:p>
            <w:pPr>
              <w:jc w:val="center"/>
              <w:rPr>
                <w:rFonts w:ascii="Calibri" w:eastAsia="宋体" w:cs="Times New Roman"/>
                <w:color w:val="auto"/>
                <w:kern w:val="2"/>
                <w:sz w:val="21"/>
                <w:szCs w:val="24"/>
              </w:rPr>
            </w:pPr>
            <w:r>
              <w:rPr>
                <w:rFonts w:hint="eastAsia" w:ascii="Calibri" w:eastAsia="宋体" w:cs="Times New Roman"/>
                <w:color w:val="auto"/>
                <w:kern w:val="2"/>
                <w:sz w:val="21"/>
                <w:szCs w:val="24"/>
              </w:rPr>
              <w:t>10</w:t>
            </w:r>
          </w:p>
        </w:tc>
        <w:tc>
          <w:tcPr>
            <w:tcW w:w="4252" w:type="dxa"/>
          </w:tcPr>
          <w:p>
            <w:pPr>
              <w:ind w:firstLine="360" w:firstLineChars="200"/>
              <w:rPr>
                <w:rFonts w:ascii="方正仿宋简体" w:eastAsia="方正仿宋简体" w:cs="Times New Roman"/>
                <w:color w:val="auto"/>
                <w:kern w:val="2"/>
                <w:sz w:val="18"/>
                <w:szCs w:val="18"/>
              </w:rPr>
            </w:pPr>
            <w:r>
              <w:rPr>
                <w:rFonts w:hint="eastAsia" w:ascii="方正仿宋简体" w:eastAsia="方正仿宋简体" w:cs="Times New Roman"/>
                <w:color w:val="auto"/>
                <w:kern w:val="2"/>
                <w:sz w:val="18"/>
                <w:szCs w:val="18"/>
              </w:rPr>
              <w:t>(1)能通过多方沟通解决项目中的重大问题或对提高评审效率提出有效意见和建议+1分；</w:t>
            </w:r>
          </w:p>
          <w:p>
            <w:pPr>
              <w:ind w:firstLine="360" w:firstLineChars="200"/>
              <w:rPr>
                <w:rFonts w:ascii="Calibri" w:eastAsia="宋体" w:cs="Times New Roman"/>
                <w:color w:val="auto"/>
                <w:kern w:val="2"/>
                <w:sz w:val="18"/>
                <w:szCs w:val="18"/>
              </w:rPr>
            </w:pPr>
            <w:r>
              <w:rPr>
                <w:rFonts w:hint="eastAsia" w:ascii="方正仿宋简体" w:eastAsia="方正仿宋简体" w:cs="Times New Roman"/>
                <w:color w:val="auto"/>
                <w:kern w:val="2"/>
                <w:sz w:val="18"/>
                <w:szCs w:val="18"/>
              </w:rPr>
              <w:t>(2)工作成果文件在规定节点提前2日及以上完成+1分,每超过规定节点时限延1日-3分(但不得超过最终规定时限,非机构原因延时除外)</w:t>
            </w:r>
          </w:p>
        </w:tc>
        <w:tc>
          <w:tcPr>
            <w:tcW w:w="425" w:type="dxa"/>
          </w:tcPr>
          <w:p>
            <w:pPr>
              <w:rPr>
                <w:rFonts w:ascii="Calibri" w:eastAsia="宋体" w:cs="Times New Roman"/>
                <w:color w:val="auto"/>
                <w:kern w:val="2"/>
                <w:sz w:val="21"/>
                <w:szCs w:val="24"/>
              </w:rPr>
            </w:pPr>
          </w:p>
        </w:tc>
        <w:tc>
          <w:tcPr>
            <w:tcW w:w="709" w:type="dxa"/>
          </w:tcPr>
          <w:p>
            <w:pPr>
              <w:rPr>
                <w:rFonts w:ascii="Calibri" w:eastAsia="宋体" w:cs="Times New Roman"/>
                <w:color w:val="auto"/>
                <w:kern w:val="2"/>
                <w:sz w:val="21"/>
                <w:szCs w:val="24"/>
              </w:rPr>
            </w:pPr>
          </w:p>
        </w:tc>
        <w:tc>
          <w:tcPr>
            <w:tcW w:w="425" w:type="dxa"/>
          </w:tcPr>
          <w:p>
            <w:pPr>
              <w:rPr>
                <w:rFonts w:ascii="Calibri" w:eastAsia="宋体" w:cs="Times New Roman"/>
                <w:color w:val="auto"/>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5" w:hRule="atLeast"/>
          <w:jc w:val="center"/>
        </w:trPr>
        <w:tc>
          <w:tcPr>
            <w:tcW w:w="426" w:type="dxa"/>
            <w:vAlign w:val="center"/>
          </w:tcPr>
          <w:p>
            <w:pPr>
              <w:jc w:val="center"/>
              <w:rPr>
                <w:rFonts w:ascii="Calibri" w:eastAsia="宋体" w:cs="Times New Roman"/>
                <w:color w:val="auto"/>
                <w:kern w:val="2"/>
                <w:sz w:val="21"/>
                <w:szCs w:val="24"/>
              </w:rPr>
            </w:pPr>
            <w:r>
              <w:rPr>
                <w:rFonts w:hint="eastAsia" w:ascii="Calibri" w:eastAsia="宋体" w:cs="Times New Roman"/>
                <w:color w:val="auto"/>
                <w:kern w:val="2"/>
                <w:sz w:val="21"/>
                <w:szCs w:val="24"/>
              </w:rPr>
              <w:t>2</w:t>
            </w:r>
          </w:p>
        </w:tc>
        <w:tc>
          <w:tcPr>
            <w:tcW w:w="675" w:type="dxa"/>
            <w:vAlign w:val="center"/>
          </w:tcPr>
          <w:p>
            <w:pPr>
              <w:jc w:val="center"/>
              <w:rPr>
                <w:rFonts w:ascii="Calibri" w:eastAsia="宋体" w:cs="Times New Roman"/>
                <w:color w:val="auto"/>
                <w:kern w:val="2"/>
                <w:sz w:val="20"/>
                <w:szCs w:val="22"/>
              </w:rPr>
            </w:pPr>
            <w:r>
              <w:rPr>
                <w:rFonts w:hint="eastAsia" w:ascii="方正仿宋简体" w:eastAsia="方正仿宋简体" w:cs="Times New Roman"/>
                <w:color w:val="auto"/>
                <w:kern w:val="2"/>
                <w:sz w:val="20"/>
                <w:szCs w:val="20"/>
              </w:rPr>
              <w:t>专业技术力量配置（10分</w:t>
            </w:r>
            <w:r>
              <w:rPr>
                <w:rFonts w:hint="eastAsia" w:ascii="Calibri" w:eastAsia="宋体" w:cs="Times New Roman"/>
                <w:color w:val="auto"/>
                <w:kern w:val="2"/>
                <w:sz w:val="20"/>
                <w:szCs w:val="22"/>
              </w:rPr>
              <w:t>）</w:t>
            </w:r>
          </w:p>
        </w:tc>
        <w:tc>
          <w:tcPr>
            <w:tcW w:w="3402" w:type="dxa"/>
          </w:tcPr>
          <w:p>
            <w:pPr>
              <w:ind w:firstLine="360" w:firstLineChars="200"/>
              <w:rPr>
                <w:rFonts w:ascii="方正仿宋简体" w:eastAsia="方正仿宋简体" w:cs="Times New Roman"/>
                <w:color w:val="auto"/>
                <w:kern w:val="2"/>
                <w:sz w:val="18"/>
                <w:szCs w:val="18"/>
              </w:rPr>
            </w:pPr>
            <w:r>
              <w:rPr>
                <w:rFonts w:hint="eastAsia" w:ascii="方正仿宋简体" w:eastAsia="方正仿宋简体" w:cs="Times New Roman"/>
                <w:color w:val="auto"/>
                <w:kern w:val="2"/>
                <w:sz w:val="18"/>
                <w:szCs w:val="18"/>
              </w:rPr>
              <w:t>1、评审负责人应为造价工程师和高级职称；项目经理应为造价工程师和中级职称及以上职称，并应全过程组织评审工作；专业组长至少为造价员（审）；</w:t>
            </w:r>
          </w:p>
          <w:p>
            <w:pPr>
              <w:ind w:firstLine="360" w:firstLineChars="200"/>
              <w:rPr>
                <w:rFonts w:ascii="方正仿宋简体" w:eastAsia="方正仿宋简体" w:cs="Times New Roman"/>
                <w:color w:val="auto"/>
                <w:kern w:val="2"/>
                <w:sz w:val="18"/>
                <w:szCs w:val="18"/>
              </w:rPr>
            </w:pPr>
            <w:r>
              <w:rPr>
                <w:rFonts w:hint="eastAsia" w:ascii="方正仿宋简体" w:eastAsia="方正仿宋简体" w:cs="Times New Roman"/>
                <w:color w:val="auto"/>
                <w:kern w:val="2"/>
                <w:sz w:val="18"/>
                <w:szCs w:val="18"/>
              </w:rPr>
              <w:t>2、项目经理及专业组长的专业领域应与评审项目相适应并具胜任本项目评审能力；</w:t>
            </w:r>
          </w:p>
          <w:p>
            <w:pPr>
              <w:ind w:firstLine="360" w:firstLineChars="200"/>
              <w:rPr>
                <w:rFonts w:ascii="Calibri" w:eastAsia="宋体" w:cs="Times New Roman"/>
                <w:color w:val="auto"/>
                <w:kern w:val="2"/>
                <w:sz w:val="18"/>
                <w:szCs w:val="18"/>
              </w:rPr>
            </w:pPr>
            <w:r>
              <w:rPr>
                <w:rFonts w:hint="eastAsia" w:ascii="方正仿宋简体" w:eastAsia="方正仿宋简体" w:cs="Times New Roman"/>
                <w:color w:val="auto"/>
                <w:kern w:val="2"/>
                <w:sz w:val="18"/>
                <w:szCs w:val="18"/>
              </w:rPr>
              <w:t>3、以上人员应与入库申报人员一致，未经评审中心同意不得更换；签章人员必须与实际作业人员一致。</w:t>
            </w:r>
          </w:p>
        </w:tc>
        <w:tc>
          <w:tcPr>
            <w:tcW w:w="567" w:type="dxa"/>
            <w:vAlign w:val="center"/>
          </w:tcPr>
          <w:p>
            <w:pPr>
              <w:jc w:val="center"/>
              <w:rPr>
                <w:rFonts w:ascii="Calibri" w:eastAsia="宋体" w:cs="Times New Roman"/>
                <w:color w:val="auto"/>
                <w:kern w:val="2"/>
                <w:sz w:val="21"/>
                <w:szCs w:val="24"/>
              </w:rPr>
            </w:pPr>
            <w:r>
              <w:rPr>
                <w:rFonts w:hint="eastAsia" w:ascii="Calibri" w:eastAsia="宋体" w:cs="Times New Roman"/>
                <w:color w:val="auto"/>
                <w:kern w:val="2"/>
                <w:sz w:val="21"/>
                <w:szCs w:val="24"/>
              </w:rPr>
              <w:t>8</w:t>
            </w:r>
          </w:p>
        </w:tc>
        <w:tc>
          <w:tcPr>
            <w:tcW w:w="4252" w:type="dxa"/>
          </w:tcPr>
          <w:p>
            <w:pPr>
              <w:ind w:firstLine="360" w:firstLineChars="200"/>
              <w:rPr>
                <w:rFonts w:ascii="方正仿宋简体" w:eastAsia="方正仿宋简体" w:cs="Times New Roman"/>
                <w:color w:val="auto"/>
                <w:kern w:val="2"/>
                <w:sz w:val="18"/>
                <w:szCs w:val="18"/>
              </w:rPr>
            </w:pPr>
            <w:r>
              <w:rPr>
                <w:rFonts w:hint="eastAsia" w:ascii="方正仿宋简体" w:eastAsia="方正仿宋简体" w:cs="Times New Roman"/>
                <w:color w:val="auto"/>
                <w:kern w:val="2"/>
                <w:sz w:val="18"/>
                <w:szCs w:val="18"/>
              </w:rPr>
              <w:t>(1)评审人员专业领域与项目涉及专业适应度及胜任评审能力好+2分,较差-2分；</w:t>
            </w:r>
          </w:p>
          <w:p>
            <w:pPr>
              <w:ind w:firstLine="360" w:firstLineChars="200"/>
              <w:rPr>
                <w:rFonts w:ascii="方正仿宋简体" w:eastAsia="方正仿宋简体" w:cs="Times New Roman"/>
                <w:color w:val="auto"/>
                <w:kern w:val="2"/>
                <w:sz w:val="18"/>
                <w:szCs w:val="18"/>
              </w:rPr>
            </w:pPr>
            <w:r>
              <w:rPr>
                <w:rFonts w:hint="eastAsia" w:ascii="方正仿宋简体" w:eastAsia="方正仿宋简体" w:cs="Times New Roman"/>
                <w:color w:val="auto"/>
                <w:kern w:val="2"/>
                <w:sz w:val="18"/>
                <w:szCs w:val="18"/>
              </w:rPr>
              <w:t>(2)专业组长有非造价员(审)-8分；</w:t>
            </w:r>
          </w:p>
          <w:p>
            <w:pPr>
              <w:ind w:firstLine="360" w:firstLineChars="200"/>
              <w:rPr>
                <w:rFonts w:ascii="方正仿宋简体" w:eastAsia="方正仿宋简体" w:cs="Times New Roman"/>
                <w:color w:val="auto"/>
                <w:kern w:val="2"/>
                <w:sz w:val="18"/>
                <w:szCs w:val="18"/>
              </w:rPr>
            </w:pPr>
            <w:r>
              <w:rPr>
                <w:rFonts w:hint="eastAsia" w:ascii="方正仿宋简体" w:eastAsia="方正仿宋简体" w:cs="Times New Roman"/>
                <w:color w:val="auto"/>
                <w:kern w:val="2"/>
                <w:sz w:val="18"/>
                <w:szCs w:val="18"/>
              </w:rPr>
              <w:t>(3) 评审人员与中心备案人员不一致-2分，签章人员与实际作业人员不一致-4分；</w:t>
            </w:r>
          </w:p>
          <w:p>
            <w:pPr>
              <w:ind w:firstLine="360" w:firstLineChars="200"/>
              <w:rPr>
                <w:rFonts w:ascii="Calibri" w:eastAsia="宋体" w:cs="Times New Roman"/>
                <w:color w:val="auto"/>
                <w:kern w:val="2"/>
                <w:sz w:val="18"/>
                <w:szCs w:val="18"/>
              </w:rPr>
            </w:pPr>
            <w:r>
              <w:rPr>
                <w:rFonts w:hint="eastAsia" w:ascii="方正仿宋简体" w:eastAsia="方正仿宋简体" w:cs="Times New Roman"/>
                <w:color w:val="auto"/>
                <w:kern w:val="2"/>
                <w:sz w:val="18"/>
                <w:szCs w:val="18"/>
              </w:rPr>
              <w:t>(4)项目经理：现场踏未参加-1分，核对或协调会未到场参与-1分，评审初稿交底未参加或不能清晰说明初稿情况-2分，评审定稿未参加或不能清晰说明定稿情况-2分</w:t>
            </w:r>
          </w:p>
        </w:tc>
        <w:tc>
          <w:tcPr>
            <w:tcW w:w="425" w:type="dxa"/>
          </w:tcPr>
          <w:p>
            <w:pPr>
              <w:rPr>
                <w:rFonts w:ascii="Calibri" w:eastAsia="宋体" w:cs="Times New Roman"/>
                <w:color w:val="auto"/>
                <w:kern w:val="2"/>
                <w:sz w:val="21"/>
                <w:szCs w:val="24"/>
              </w:rPr>
            </w:pPr>
          </w:p>
        </w:tc>
        <w:tc>
          <w:tcPr>
            <w:tcW w:w="709" w:type="dxa"/>
          </w:tcPr>
          <w:p>
            <w:pPr>
              <w:rPr>
                <w:rFonts w:ascii="Calibri" w:eastAsia="宋体" w:cs="Times New Roman"/>
                <w:color w:val="auto"/>
                <w:kern w:val="2"/>
                <w:sz w:val="21"/>
                <w:szCs w:val="24"/>
              </w:rPr>
            </w:pPr>
          </w:p>
        </w:tc>
        <w:tc>
          <w:tcPr>
            <w:tcW w:w="425" w:type="dxa"/>
          </w:tcPr>
          <w:p>
            <w:pPr>
              <w:rPr>
                <w:rFonts w:ascii="Calibri" w:eastAsia="宋体" w:cs="Times New Roman"/>
                <w:color w:val="auto"/>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9" w:hRule="atLeast"/>
          <w:jc w:val="center"/>
        </w:trPr>
        <w:tc>
          <w:tcPr>
            <w:tcW w:w="426" w:type="dxa"/>
            <w:vAlign w:val="center"/>
          </w:tcPr>
          <w:p>
            <w:pPr>
              <w:jc w:val="center"/>
              <w:rPr>
                <w:rFonts w:ascii="Calibri" w:eastAsia="宋体" w:cs="Times New Roman"/>
                <w:color w:val="auto"/>
                <w:kern w:val="2"/>
                <w:sz w:val="21"/>
                <w:szCs w:val="24"/>
              </w:rPr>
            </w:pPr>
            <w:r>
              <w:rPr>
                <w:rFonts w:hint="eastAsia" w:ascii="Calibri" w:eastAsia="宋体" w:cs="Times New Roman"/>
                <w:color w:val="auto"/>
                <w:kern w:val="2"/>
                <w:sz w:val="21"/>
                <w:szCs w:val="24"/>
              </w:rPr>
              <w:t>3</w:t>
            </w:r>
          </w:p>
        </w:tc>
        <w:tc>
          <w:tcPr>
            <w:tcW w:w="675" w:type="dxa"/>
          </w:tcPr>
          <w:p>
            <w:pPr>
              <w:rPr>
                <w:rFonts w:ascii="Calibri" w:eastAsia="宋体" w:cs="Times New Roman"/>
                <w:color w:val="auto"/>
                <w:kern w:val="2"/>
                <w:sz w:val="20"/>
                <w:szCs w:val="22"/>
              </w:rPr>
            </w:pPr>
            <w:r>
              <w:rPr>
                <w:rFonts w:hint="eastAsia" w:ascii="方正仿宋简体" w:eastAsia="方正仿宋简体" w:cs="Times New Roman"/>
                <w:color w:val="auto"/>
                <w:kern w:val="2"/>
                <w:sz w:val="20"/>
                <w:szCs w:val="20"/>
              </w:rPr>
              <w:t>现场踏勘（5分）</w:t>
            </w:r>
          </w:p>
        </w:tc>
        <w:tc>
          <w:tcPr>
            <w:tcW w:w="3402" w:type="dxa"/>
          </w:tcPr>
          <w:p>
            <w:pPr>
              <w:ind w:firstLine="360" w:firstLineChars="200"/>
              <w:rPr>
                <w:rFonts w:ascii="Calibri" w:eastAsia="宋体" w:cs="Times New Roman"/>
                <w:color w:val="auto"/>
                <w:kern w:val="2"/>
                <w:sz w:val="18"/>
                <w:szCs w:val="18"/>
              </w:rPr>
            </w:pPr>
            <w:r>
              <w:rPr>
                <w:rFonts w:hint="eastAsia" w:ascii="方正仿宋简体" w:eastAsia="方正仿宋简体" w:cs="Times New Roman"/>
                <w:color w:val="auto"/>
                <w:kern w:val="2"/>
                <w:sz w:val="18"/>
                <w:szCs w:val="18"/>
              </w:rPr>
              <w:t>技术准备充分，熟悉有关评审材料, 事先准备有关同题,现场踏勘深入了解现场和施工条件及有关情况,辅以必要工具勘测,技术交流深入,有踏勘记录和影像资料。</w:t>
            </w:r>
          </w:p>
        </w:tc>
        <w:tc>
          <w:tcPr>
            <w:tcW w:w="567" w:type="dxa"/>
            <w:vAlign w:val="center"/>
          </w:tcPr>
          <w:p>
            <w:pPr>
              <w:jc w:val="center"/>
              <w:rPr>
                <w:rFonts w:ascii="Calibri" w:eastAsia="宋体" w:cs="Times New Roman"/>
                <w:color w:val="auto"/>
                <w:kern w:val="2"/>
                <w:sz w:val="21"/>
                <w:szCs w:val="24"/>
              </w:rPr>
            </w:pPr>
            <w:r>
              <w:rPr>
                <w:rFonts w:hint="eastAsia" w:ascii="Calibri" w:eastAsia="宋体" w:cs="Times New Roman"/>
                <w:color w:val="auto"/>
                <w:kern w:val="2"/>
                <w:sz w:val="21"/>
                <w:szCs w:val="24"/>
              </w:rPr>
              <w:t>4</w:t>
            </w:r>
          </w:p>
        </w:tc>
        <w:tc>
          <w:tcPr>
            <w:tcW w:w="4252" w:type="dxa"/>
          </w:tcPr>
          <w:p>
            <w:pPr>
              <w:numPr>
                <w:ilvl w:val="0"/>
                <w:numId w:val="0"/>
              </w:numPr>
              <w:ind w:firstLine="360" w:firstLineChars="200"/>
              <w:rPr>
                <w:rFonts w:hint="eastAsia" w:ascii="方正仿宋简体" w:eastAsia="方正仿宋简体" w:cs="Times New Roman"/>
                <w:color w:val="auto"/>
                <w:kern w:val="2"/>
                <w:sz w:val="18"/>
                <w:szCs w:val="18"/>
              </w:rPr>
            </w:pPr>
            <w:r>
              <w:rPr>
                <w:rFonts w:hint="eastAsia" w:ascii="方正仿宋简体" w:eastAsia="方正仿宋简体" w:cs="Times New Roman"/>
                <w:color w:val="auto"/>
                <w:kern w:val="2"/>
                <w:sz w:val="18"/>
                <w:szCs w:val="18"/>
                <w:lang w:val="en-US" w:eastAsia="zh-CN"/>
              </w:rPr>
              <w:t>（1）</w:t>
            </w:r>
            <w:r>
              <w:rPr>
                <w:rFonts w:hint="eastAsia" w:ascii="方正仿宋简体" w:eastAsia="方正仿宋简体" w:cs="Times New Roman"/>
                <w:color w:val="auto"/>
                <w:kern w:val="2"/>
                <w:sz w:val="18"/>
                <w:szCs w:val="18"/>
              </w:rPr>
              <w:t>现场踏勘有针对性、切合项目实际情况，踏勘记录和影像资料洋细、具体+1分；</w:t>
            </w:r>
          </w:p>
          <w:p>
            <w:pPr>
              <w:numPr>
                <w:ilvl w:val="0"/>
                <w:numId w:val="0"/>
              </w:numPr>
              <w:ind w:firstLine="360" w:firstLineChars="200"/>
              <w:rPr>
                <w:rFonts w:hint="eastAsia" w:ascii="方正仿宋简体" w:eastAsia="方正仿宋简体" w:cs="Times New Roman"/>
                <w:color w:val="auto"/>
                <w:kern w:val="2"/>
                <w:sz w:val="18"/>
                <w:szCs w:val="18"/>
              </w:rPr>
            </w:pPr>
            <w:r>
              <w:rPr>
                <w:rFonts w:hint="eastAsia" w:ascii="方正仿宋简体" w:eastAsia="方正仿宋简体" w:cs="Times New Roman"/>
                <w:color w:val="auto"/>
                <w:kern w:val="2"/>
                <w:sz w:val="18"/>
                <w:szCs w:val="18"/>
                <w:lang w:val="en-US" w:eastAsia="zh-CN"/>
              </w:rPr>
              <w:t>（2）</w:t>
            </w:r>
            <w:r>
              <w:rPr>
                <w:rFonts w:hint="eastAsia" w:ascii="方正仿宋简体" w:eastAsia="方正仿宋简体" w:cs="Times New Roman"/>
                <w:color w:val="auto"/>
                <w:kern w:val="2"/>
                <w:sz w:val="18"/>
                <w:szCs w:val="18"/>
              </w:rPr>
              <w:t>事前不熟悉资料、未准备问题-2分；</w:t>
            </w:r>
          </w:p>
          <w:p>
            <w:pPr>
              <w:numPr>
                <w:ilvl w:val="0"/>
                <w:numId w:val="0"/>
              </w:numPr>
              <w:ind w:firstLine="360" w:firstLineChars="200"/>
              <w:rPr>
                <w:rFonts w:ascii="Calibri" w:eastAsia="宋体" w:cs="Times New Roman"/>
                <w:color w:val="auto"/>
                <w:kern w:val="2"/>
                <w:sz w:val="18"/>
                <w:szCs w:val="18"/>
              </w:rPr>
            </w:pPr>
            <w:r>
              <w:rPr>
                <w:rFonts w:hint="eastAsia" w:ascii="方正仿宋简体" w:eastAsia="方正仿宋简体" w:cs="Times New Roman"/>
                <w:color w:val="auto"/>
                <w:kern w:val="2"/>
                <w:sz w:val="18"/>
                <w:szCs w:val="18"/>
                <w:lang w:val="en-US" w:eastAsia="zh-CN"/>
              </w:rPr>
              <w:t>（3）</w:t>
            </w:r>
            <w:r>
              <w:rPr>
                <w:rFonts w:hint="eastAsia" w:ascii="方正仿宋简体" w:eastAsia="方正仿宋简体" w:cs="Times New Roman"/>
                <w:color w:val="auto"/>
                <w:kern w:val="2"/>
                <w:sz w:val="18"/>
                <w:szCs w:val="18"/>
              </w:rPr>
              <w:t>不采用必要工具辅助勘测，不掌握现场和施工条件、无踏勘记录和影像资料-2分</w:t>
            </w:r>
          </w:p>
        </w:tc>
        <w:tc>
          <w:tcPr>
            <w:tcW w:w="425" w:type="dxa"/>
          </w:tcPr>
          <w:p>
            <w:pPr>
              <w:rPr>
                <w:rFonts w:ascii="Calibri" w:eastAsia="宋体" w:cs="Times New Roman"/>
                <w:color w:val="auto"/>
                <w:kern w:val="2"/>
                <w:sz w:val="21"/>
                <w:szCs w:val="24"/>
              </w:rPr>
            </w:pPr>
          </w:p>
        </w:tc>
        <w:tc>
          <w:tcPr>
            <w:tcW w:w="709" w:type="dxa"/>
          </w:tcPr>
          <w:p>
            <w:pPr>
              <w:rPr>
                <w:rFonts w:ascii="Calibri" w:eastAsia="宋体" w:cs="Times New Roman"/>
                <w:color w:val="auto"/>
                <w:kern w:val="2"/>
                <w:sz w:val="21"/>
                <w:szCs w:val="24"/>
              </w:rPr>
            </w:pPr>
          </w:p>
        </w:tc>
        <w:tc>
          <w:tcPr>
            <w:tcW w:w="425" w:type="dxa"/>
          </w:tcPr>
          <w:p>
            <w:pPr>
              <w:rPr>
                <w:rFonts w:ascii="Calibri" w:eastAsia="宋体" w:cs="Times New Roman"/>
                <w:color w:val="auto"/>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8" w:hRule="atLeast"/>
          <w:jc w:val="center"/>
        </w:trPr>
        <w:tc>
          <w:tcPr>
            <w:tcW w:w="426" w:type="dxa"/>
            <w:vAlign w:val="center"/>
          </w:tcPr>
          <w:p>
            <w:pPr>
              <w:jc w:val="center"/>
              <w:rPr>
                <w:rFonts w:ascii="Calibri" w:eastAsia="宋体" w:cs="Times New Roman"/>
                <w:color w:val="auto"/>
                <w:kern w:val="2"/>
                <w:sz w:val="21"/>
                <w:szCs w:val="24"/>
              </w:rPr>
            </w:pPr>
            <w:r>
              <w:rPr>
                <w:rFonts w:hint="eastAsia" w:ascii="Calibri" w:eastAsia="宋体" w:cs="Times New Roman"/>
                <w:color w:val="auto"/>
                <w:kern w:val="2"/>
                <w:sz w:val="21"/>
                <w:szCs w:val="24"/>
              </w:rPr>
              <w:t>4</w:t>
            </w:r>
          </w:p>
        </w:tc>
        <w:tc>
          <w:tcPr>
            <w:tcW w:w="675" w:type="dxa"/>
            <w:vAlign w:val="center"/>
          </w:tcPr>
          <w:p>
            <w:pPr>
              <w:rPr>
                <w:rFonts w:ascii="Calibri" w:eastAsia="宋体" w:cs="Times New Roman"/>
                <w:color w:val="auto"/>
                <w:kern w:val="2"/>
                <w:sz w:val="20"/>
                <w:szCs w:val="22"/>
              </w:rPr>
            </w:pPr>
            <w:r>
              <w:rPr>
                <w:rFonts w:hint="eastAsia" w:ascii="方正仿宋简体" w:eastAsia="方正仿宋简体" w:cs="Times New Roman"/>
                <w:color w:val="auto"/>
                <w:kern w:val="2"/>
                <w:sz w:val="20"/>
                <w:szCs w:val="20"/>
              </w:rPr>
              <w:t>评审初稿质量（20分）</w:t>
            </w:r>
          </w:p>
        </w:tc>
        <w:tc>
          <w:tcPr>
            <w:tcW w:w="3402" w:type="dxa"/>
          </w:tcPr>
          <w:p>
            <w:pPr>
              <w:ind w:firstLine="360" w:firstLineChars="200"/>
              <w:rPr>
                <w:rFonts w:ascii="方正仿宋简体" w:eastAsia="方正仿宋简体" w:cs="Times New Roman"/>
                <w:color w:val="auto"/>
                <w:kern w:val="2"/>
                <w:sz w:val="18"/>
                <w:szCs w:val="18"/>
              </w:rPr>
            </w:pPr>
            <w:r>
              <w:rPr>
                <w:rFonts w:hint="eastAsia" w:ascii="方正仿宋简体" w:eastAsia="方正仿宋简体" w:cs="Times New Roman"/>
                <w:color w:val="auto"/>
                <w:kern w:val="2"/>
                <w:sz w:val="18"/>
                <w:szCs w:val="18"/>
              </w:rPr>
              <w:t>1、评审内容全面，多项审减漏项补充，评审主要分部分项按概算编规计量计价；</w:t>
            </w:r>
          </w:p>
          <w:p>
            <w:pPr>
              <w:ind w:firstLine="360" w:firstLineChars="200"/>
              <w:rPr>
                <w:rFonts w:ascii="方正仿宋简体" w:eastAsia="方正仿宋简体" w:cs="Times New Roman"/>
                <w:color w:val="auto"/>
                <w:kern w:val="2"/>
                <w:sz w:val="18"/>
                <w:szCs w:val="18"/>
              </w:rPr>
            </w:pPr>
            <w:r>
              <w:rPr>
                <w:rFonts w:hint="eastAsia" w:ascii="方正仿宋简体" w:eastAsia="方正仿宋简体" w:cs="Times New Roman"/>
                <w:color w:val="auto"/>
                <w:kern w:val="2"/>
                <w:sz w:val="18"/>
                <w:szCs w:val="18"/>
              </w:rPr>
              <w:t>2、主要差异项目能说明情况，分析原因；</w:t>
            </w:r>
          </w:p>
          <w:p>
            <w:pPr>
              <w:ind w:firstLine="360" w:firstLineChars="200"/>
              <w:rPr>
                <w:rFonts w:ascii="方正仿宋简体" w:eastAsia="方正仿宋简体" w:cs="Times New Roman"/>
                <w:color w:val="auto"/>
                <w:kern w:val="2"/>
                <w:sz w:val="21"/>
                <w:szCs w:val="21"/>
              </w:rPr>
            </w:pPr>
            <w:r>
              <w:rPr>
                <w:rFonts w:hint="eastAsia" w:ascii="方正仿宋简体" w:eastAsia="方正仿宋简体" w:cs="Times New Roman"/>
                <w:color w:val="auto"/>
                <w:kern w:val="2"/>
                <w:sz w:val="18"/>
                <w:szCs w:val="18"/>
              </w:rPr>
              <w:t>3、能够预判项目分歧争议点且有实质可操作性、合理化意见。</w:t>
            </w:r>
          </w:p>
        </w:tc>
        <w:tc>
          <w:tcPr>
            <w:tcW w:w="567" w:type="dxa"/>
            <w:vAlign w:val="center"/>
          </w:tcPr>
          <w:p>
            <w:pPr>
              <w:jc w:val="center"/>
              <w:rPr>
                <w:rFonts w:ascii="Calibri" w:eastAsia="宋体" w:cs="Times New Roman"/>
                <w:color w:val="auto"/>
                <w:kern w:val="2"/>
                <w:sz w:val="21"/>
                <w:szCs w:val="24"/>
              </w:rPr>
            </w:pPr>
            <w:r>
              <w:rPr>
                <w:rFonts w:hint="eastAsia" w:ascii="Calibri" w:eastAsia="宋体" w:cs="Times New Roman"/>
                <w:color w:val="auto"/>
                <w:kern w:val="2"/>
                <w:sz w:val="21"/>
                <w:szCs w:val="24"/>
              </w:rPr>
              <w:t>15</w:t>
            </w:r>
          </w:p>
        </w:tc>
        <w:tc>
          <w:tcPr>
            <w:tcW w:w="4252" w:type="dxa"/>
          </w:tcPr>
          <w:p>
            <w:pPr>
              <w:ind w:firstLine="360" w:firstLineChars="200"/>
              <w:rPr>
                <w:rFonts w:ascii="方正仿宋简体" w:eastAsia="方正仿宋简体" w:cs="Times New Roman"/>
                <w:color w:val="auto"/>
                <w:kern w:val="2"/>
                <w:sz w:val="21"/>
                <w:szCs w:val="21"/>
              </w:rPr>
            </w:pPr>
            <w:r>
              <w:rPr>
                <w:rFonts w:hint="eastAsia" w:ascii="方正仿宋简体" w:eastAsia="方正仿宋简体" w:cs="Times New Roman"/>
                <w:color w:val="auto"/>
                <w:kern w:val="2"/>
                <w:sz w:val="18"/>
                <w:szCs w:val="18"/>
              </w:rPr>
              <w:t>(1)资料梳理情况回执函未在规定的时限内一次性提交的-2分;(2)评审初稿：评审主要分部分项均按概算编规计量计价+2，经抽查有3处及以上未按概算编规计量计价或有误的,每增加3处-1分,对评审结果有重大影响的错误每处-3分；(3)多项审减漏项补充(查漏补缺)好+1分,差-1分；(4) 未反映核差全额80%以上差异-1分、主要差异未分析原因或分析不明具体-1分；(5)经中心复核不合格的,每错误1处-1分(含电子版)；(6)对预判分歧争议点能形成有效解决预案+2分</w:t>
            </w:r>
          </w:p>
        </w:tc>
        <w:tc>
          <w:tcPr>
            <w:tcW w:w="425" w:type="dxa"/>
          </w:tcPr>
          <w:p>
            <w:pPr>
              <w:rPr>
                <w:rFonts w:ascii="Calibri" w:eastAsia="宋体" w:cs="Times New Roman"/>
                <w:color w:val="auto"/>
                <w:kern w:val="2"/>
                <w:sz w:val="21"/>
                <w:szCs w:val="24"/>
              </w:rPr>
            </w:pPr>
          </w:p>
        </w:tc>
        <w:tc>
          <w:tcPr>
            <w:tcW w:w="709" w:type="dxa"/>
          </w:tcPr>
          <w:p>
            <w:pPr>
              <w:rPr>
                <w:rFonts w:ascii="Calibri" w:eastAsia="宋体" w:cs="Times New Roman"/>
                <w:color w:val="auto"/>
                <w:kern w:val="2"/>
                <w:sz w:val="21"/>
                <w:szCs w:val="24"/>
              </w:rPr>
            </w:pPr>
          </w:p>
        </w:tc>
        <w:tc>
          <w:tcPr>
            <w:tcW w:w="425" w:type="dxa"/>
          </w:tcPr>
          <w:p>
            <w:pPr>
              <w:rPr>
                <w:rFonts w:ascii="Calibri" w:eastAsia="宋体" w:cs="Times New Roman"/>
                <w:color w:val="auto"/>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jc w:val="center"/>
              <w:rPr>
                <w:rFonts w:ascii="Calibri" w:eastAsia="宋体" w:cs="Times New Roman"/>
                <w:color w:val="auto"/>
                <w:kern w:val="2"/>
                <w:sz w:val="21"/>
                <w:szCs w:val="24"/>
              </w:rPr>
            </w:pPr>
            <w:r>
              <w:rPr>
                <w:rFonts w:hint="eastAsia" w:ascii="Calibri" w:eastAsia="宋体" w:cs="Times New Roman"/>
                <w:color w:val="auto"/>
                <w:kern w:val="2"/>
                <w:sz w:val="21"/>
                <w:szCs w:val="24"/>
              </w:rPr>
              <w:t>5</w:t>
            </w:r>
          </w:p>
        </w:tc>
        <w:tc>
          <w:tcPr>
            <w:tcW w:w="675" w:type="dxa"/>
            <w:vAlign w:val="center"/>
          </w:tcPr>
          <w:p>
            <w:pPr>
              <w:rPr>
                <w:rFonts w:ascii="Calibri" w:eastAsia="宋体" w:cs="Times New Roman"/>
                <w:color w:val="auto"/>
                <w:kern w:val="2"/>
                <w:sz w:val="20"/>
                <w:szCs w:val="22"/>
              </w:rPr>
            </w:pPr>
            <w:r>
              <w:rPr>
                <w:rFonts w:hint="eastAsia" w:ascii="方正仿宋简体" w:eastAsia="方正仿宋简体" w:cs="Times New Roman"/>
                <w:color w:val="auto"/>
                <w:kern w:val="2"/>
                <w:sz w:val="20"/>
                <w:szCs w:val="20"/>
              </w:rPr>
              <w:t>评审力度（20分）</w:t>
            </w:r>
          </w:p>
        </w:tc>
        <w:tc>
          <w:tcPr>
            <w:tcW w:w="3402" w:type="dxa"/>
          </w:tcPr>
          <w:p>
            <w:pPr>
              <w:ind w:firstLine="360" w:firstLineChars="200"/>
              <w:rPr>
                <w:rFonts w:ascii="方正仿宋简体" w:eastAsia="方正仿宋简体" w:cs="Times New Roman"/>
                <w:color w:val="auto"/>
                <w:kern w:val="2"/>
                <w:sz w:val="18"/>
                <w:szCs w:val="18"/>
              </w:rPr>
            </w:pPr>
            <w:r>
              <w:rPr>
                <w:rFonts w:hint="eastAsia" w:ascii="方正仿宋简体" w:eastAsia="方正仿宋简体" w:cs="Times New Roman"/>
                <w:color w:val="auto"/>
                <w:kern w:val="2"/>
                <w:sz w:val="18"/>
                <w:szCs w:val="18"/>
              </w:rPr>
              <w:t>1、初稿差异内容均应核对，有设计、措施等优化意见；</w:t>
            </w:r>
          </w:p>
          <w:p>
            <w:pPr>
              <w:ind w:firstLine="360" w:firstLineChars="200"/>
              <w:rPr>
                <w:rFonts w:ascii="方正仿宋简体" w:eastAsia="方正仿宋简体" w:cs="Times New Roman"/>
                <w:color w:val="auto"/>
                <w:kern w:val="2"/>
                <w:sz w:val="18"/>
                <w:szCs w:val="18"/>
              </w:rPr>
            </w:pPr>
            <w:r>
              <w:rPr>
                <w:rFonts w:hint="eastAsia" w:ascii="方正仿宋简体" w:eastAsia="方正仿宋简体" w:cs="Times New Roman"/>
                <w:color w:val="auto"/>
                <w:kern w:val="2"/>
                <w:sz w:val="18"/>
                <w:szCs w:val="18"/>
              </w:rPr>
              <w:t>2、信息价外材料价格应有来源；</w:t>
            </w:r>
          </w:p>
          <w:p>
            <w:pPr>
              <w:ind w:firstLine="360" w:firstLineChars="200"/>
              <w:rPr>
                <w:rFonts w:ascii="Calibri" w:eastAsia="宋体" w:cs="Times New Roman"/>
                <w:color w:val="auto"/>
                <w:kern w:val="2"/>
                <w:sz w:val="18"/>
                <w:szCs w:val="18"/>
              </w:rPr>
            </w:pPr>
            <w:r>
              <w:rPr>
                <w:rFonts w:hint="eastAsia" w:ascii="方正仿宋简体" w:eastAsia="方正仿宋简体" w:cs="Times New Roman"/>
                <w:color w:val="auto"/>
                <w:kern w:val="2"/>
                <w:sz w:val="18"/>
                <w:szCs w:val="18"/>
              </w:rPr>
              <w:t>3、评审分歧问题有独立有效评审意见,且满足评审效率和量要求。</w:t>
            </w:r>
          </w:p>
        </w:tc>
        <w:tc>
          <w:tcPr>
            <w:tcW w:w="567" w:type="dxa"/>
            <w:vAlign w:val="center"/>
          </w:tcPr>
          <w:p>
            <w:pPr>
              <w:jc w:val="center"/>
              <w:rPr>
                <w:rFonts w:ascii="Calibri" w:eastAsia="宋体" w:cs="Times New Roman"/>
                <w:color w:val="auto"/>
                <w:kern w:val="2"/>
                <w:sz w:val="21"/>
                <w:szCs w:val="24"/>
              </w:rPr>
            </w:pPr>
            <w:r>
              <w:rPr>
                <w:rFonts w:hint="eastAsia" w:ascii="Calibri" w:eastAsia="宋体" w:cs="Times New Roman"/>
                <w:color w:val="auto"/>
                <w:kern w:val="2"/>
                <w:sz w:val="21"/>
                <w:szCs w:val="24"/>
              </w:rPr>
              <w:t>15</w:t>
            </w:r>
          </w:p>
        </w:tc>
        <w:tc>
          <w:tcPr>
            <w:tcW w:w="4252" w:type="dxa"/>
          </w:tcPr>
          <w:p>
            <w:pPr>
              <w:rPr>
                <w:rFonts w:ascii="Calibri" w:eastAsia="宋体" w:cs="Times New Roman"/>
                <w:color w:val="auto"/>
                <w:kern w:val="2"/>
                <w:sz w:val="18"/>
                <w:szCs w:val="18"/>
              </w:rPr>
            </w:pPr>
            <w:r>
              <w:rPr>
                <w:rFonts w:hint="eastAsia" w:ascii="方正仿宋简体" w:eastAsia="方正仿宋简体" w:cs="Times New Roman"/>
                <w:color w:val="auto"/>
                <w:kern w:val="2"/>
                <w:sz w:val="18"/>
                <w:szCs w:val="18"/>
              </w:rPr>
              <w:t>（1）价格可靠：新型材料(设备)、影响价值较大的材料(设备)、评审分歧差异较大的材料(设备)无调查依据，每增加3项-1分；(2)核对力度：核对时发现和解决问题能力强+1分，能力差-2分；能充分证明并坚持评审意见+1分、不能坚持-2分；(3) 技术支持：对评审难题能组织外部技术、施工或经营专家辅助评审并有专家意见+2分, 自身能力不足但未寻求外部支持-2分；(4) 有创新评审方法，在提升评审效率和质量有显著效果+3分</w:t>
            </w:r>
          </w:p>
        </w:tc>
        <w:tc>
          <w:tcPr>
            <w:tcW w:w="425" w:type="dxa"/>
          </w:tcPr>
          <w:p>
            <w:pPr>
              <w:rPr>
                <w:rFonts w:ascii="Calibri" w:eastAsia="宋体" w:cs="Times New Roman"/>
                <w:color w:val="auto"/>
                <w:kern w:val="2"/>
                <w:sz w:val="21"/>
                <w:szCs w:val="24"/>
              </w:rPr>
            </w:pPr>
          </w:p>
        </w:tc>
        <w:tc>
          <w:tcPr>
            <w:tcW w:w="709" w:type="dxa"/>
          </w:tcPr>
          <w:p>
            <w:pPr>
              <w:rPr>
                <w:rFonts w:ascii="Calibri" w:eastAsia="宋体" w:cs="Times New Roman"/>
                <w:color w:val="auto"/>
                <w:kern w:val="2"/>
                <w:sz w:val="21"/>
                <w:szCs w:val="24"/>
              </w:rPr>
            </w:pPr>
          </w:p>
        </w:tc>
        <w:tc>
          <w:tcPr>
            <w:tcW w:w="425" w:type="dxa"/>
          </w:tcPr>
          <w:p>
            <w:pPr>
              <w:rPr>
                <w:rFonts w:ascii="Calibri" w:eastAsia="宋体" w:cs="Times New Roman"/>
                <w:color w:val="auto"/>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jc w:val="center"/>
              <w:rPr>
                <w:rFonts w:ascii="Calibri" w:eastAsia="宋体" w:cs="Times New Roman"/>
                <w:color w:val="auto"/>
                <w:kern w:val="2"/>
                <w:sz w:val="21"/>
                <w:szCs w:val="24"/>
              </w:rPr>
            </w:pPr>
            <w:r>
              <w:rPr>
                <w:rFonts w:hint="eastAsia" w:ascii="Calibri" w:eastAsia="宋体" w:cs="Times New Roman"/>
                <w:color w:val="auto"/>
                <w:kern w:val="2"/>
                <w:sz w:val="21"/>
                <w:szCs w:val="24"/>
              </w:rPr>
              <w:t>6</w:t>
            </w:r>
          </w:p>
        </w:tc>
        <w:tc>
          <w:tcPr>
            <w:tcW w:w="675" w:type="dxa"/>
            <w:vAlign w:val="center"/>
          </w:tcPr>
          <w:p>
            <w:pPr>
              <w:rPr>
                <w:rFonts w:ascii="Calibri" w:eastAsia="宋体" w:cs="Times New Roman"/>
                <w:color w:val="auto"/>
                <w:kern w:val="2"/>
                <w:sz w:val="20"/>
                <w:szCs w:val="22"/>
              </w:rPr>
            </w:pPr>
            <w:r>
              <w:rPr>
                <w:rFonts w:hint="eastAsia" w:ascii="方正仿宋简体" w:eastAsia="方正仿宋简体" w:cs="Times New Roman"/>
                <w:color w:val="auto"/>
                <w:kern w:val="2"/>
                <w:sz w:val="20"/>
                <w:szCs w:val="20"/>
              </w:rPr>
              <w:t>技术复核与管理（18分）</w:t>
            </w:r>
          </w:p>
        </w:tc>
        <w:tc>
          <w:tcPr>
            <w:tcW w:w="3402" w:type="dxa"/>
          </w:tcPr>
          <w:p>
            <w:pPr>
              <w:ind w:firstLine="360" w:firstLineChars="200"/>
              <w:rPr>
                <w:rFonts w:ascii="方正仿宋简体" w:eastAsia="方正仿宋简体" w:cs="Times New Roman"/>
                <w:color w:val="auto"/>
                <w:kern w:val="2"/>
                <w:sz w:val="18"/>
                <w:szCs w:val="18"/>
              </w:rPr>
            </w:pPr>
            <w:r>
              <w:rPr>
                <w:rFonts w:hint="eastAsia" w:ascii="方正仿宋简体" w:eastAsia="方正仿宋简体" w:cs="Times New Roman"/>
                <w:color w:val="auto"/>
                <w:kern w:val="2"/>
                <w:sz w:val="18"/>
                <w:szCs w:val="18"/>
              </w:rPr>
              <w:t>1、评审质量控制点检查完整并有自行扩展，各级内控复核效果较好；</w:t>
            </w:r>
          </w:p>
          <w:p>
            <w:pPr>
              <w:ind w:firstLine="360" w:firstLineChars="200"/>
              <w:rPr>
                <w:rFonts w:ascii="方正仿宋简体" w:eastAsia="方正仿宋简体" w:cs="Times New Roman"/>
                <w:color w:val="auto"/>
                <w:kern w:val="2"/>
                <w:sz w:val="18"/>
                <w:szCs w:val="18"/>
              </w:rPr>
            </w:pPr>
            <w:r>
              <w:rPr>
                <w:rFonts w:hint="eastAsia" w:ascii="方正仿宋简体" w:eastAsia="方正仿宋简体" w:cs="Times New Roman"/>
                <w:color w:val="auto"/>
                <w:kern w:val="2"/>
                <w:sz w:val="18"/>
                <w:szCs w:val="18"/>
              </w:rPr>
              <w:t>2、核对定稿后经中心复核偏差应小于2%；</w:t>
            </w:r>
          </w:p>
          <w:p>
            <w:pPr>
              <w:ind w:firstLine="360" w:firstLineChars="200"/>
              <w:rPr>
                <w:rFonts w:ascii="Calibri" w:eastAsia="宋体" w:cs="Times New Roman"/>
                <w:color w:val="auto"/>
                <w:kern w:val="2"/>
                <w:sz w:val="18"/>
                <w:szCs w:val="18"/>
              </w:rPr>
            </w:pPr>
            <w:r>
              <w:rPr>
                <w:rFonts w:hint="eastAsia" w:ascii="方正仿宋简体" w:eastAsia="方正仿宋简体" w:cs="Times New Roman"/>
                <w:color w:val="auto"/>
                <w:kern w:val="2"/>
                <w:sz w:val="18"/>
                <w:szCs w:val="18"/>
              </w:rPr>
              <w:t>3、经抽查应无明显错误。</w:t>
            </w:r>
          </w:p>
        </w:tc>
        <w:tc>
          <w:tcPr>
            <w:tcW w:w="567" w:type="dxa"/>
            <w:vAlign w:val="center"/>
          </w:tcPr>
          <w:p>
            <w:pPr>
              <w:jc w:val="center"/>
              <w:rPr>
                <w:rFonts w:ascii="Calibri" w:eastAsia="宋体" w:cs="Times New Roman"/>
                <w:color w:val="auto"/>
                <w:kern w:val="2"/>
                <w:sz w:val="21"/>
                <w:szCs w:val="24"/>
              </w:rPr>
            </w:pPr>
            <w:r>
              <w:rPr>
                <w:rFonts w:hint="eastAsia" w:ascii="Calibri" w:eastAsia="宋体" w:cs="Times New Roman"/>
                <w:color w:val="auto"/>
                <w:kern w:val="2"/>
                <w:sz w:val="21"/>
                <w:szCs w:val="24"/>
              </w:rPr>
              <w:t>16</w:t>
            </w:r>
          </w:p>
        </w:tc>
        <w:tc>
          <w:tcPr>
            <w:tcW w:w="4252" w:type="dxa"/>
          </w:tcPr>
          <w:p>
            <w:pPr>
              <w:ind w:firstLine="360" w:firstLineChars="200"/>
              <w:rPr>
                <w:rFonts w:ascii="Calibri" w:eastAsia="宋体" w:cs="Times New Roman"/>
                <w:color w:val="auto"/>
                <w:kern w:val="2"/>
                <w:sz w:val="18"/>
                <w:szCs w:val="18"/>
              </w:rPr>
            </w:pPr>
            <w:r>
              <w:rPr>
                <w:rFonts w:hint="eastAsia" w:ascii="方正仿宋简体" w:eastAsia="方正仿宋简体" w:cs="Times New Roman"/>
                <w:color w:val="auto"/>
                <w:kern w:val="2"/>
                <w:sz w:val="18"/>
                <w:szCs w:val="18"/>
              </w:rPr>
              <w:t>（1）无偏差和无错误+1分；(2)评审质量控制点检查效果好+1分；(3)中心复核(初稿、初步成果确认稿、核对定稿)复核偏差率(绝对值)2%以上的，每增加1%的-5分；经抽查有3处及以上错误的，每增加3处-1分；(4)因主观原因导致终稿与初稿差异较大且不能说明原因的-3分</w:t>
            </w:r>
          </w:p>
        </w:tc>
        <w:tc>
          <w:tcPr>
            <w:tcW w:w="425" w:type="dxa"/>
          </w:tcPr>
          <w:p>
            <w:pPr>
              <w:rPr>
                <w:rFonts w:ascii="Calibri" w:eastAsia="宋体" w:cs="Times New Roman"/>
                <w:color w:val="auto"/>
                <w:kern w:val="2"/>
                <w:sz w:val="21"/>
                <w:szCs w:val="24"/>
              </w:rPr>
            </w:pPr>
          </w:p>
        </w:tc>
        <w:tc>
          <w:tcPr>
            <w:tcW w:w="709" w:type="dxa"/>
          </w:tcPr>
          <w:p>
            <w:pPr>
              <w:rPr>
                <w:rFonts w:ascii="Calibri" w:eastAsia="宋体" w:cs="Times New Roman"/>
                <w:color w:val="auto"/>
                <w:kern w:val="2"/>
                <w:sz w:val="21"/>
                <w:szCs w:val="24"/>
              </w:rPr>
            </w:pPr>
          </w:p>
        </w:tc>
        <w:tc>
          <w:tcPr>
            <w:tcW w:w="425" w:type="dxa"/>
          </w:tcPr>
          <w:p>
            <w:pPr>
              <w:rPr>
                <w:rFonts w:ascii="Calibri" w:eastAsia="宋体" w:cs="Times New Roman"/>
                <w:color w:val="auto"/>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jc w:val="center"/>
              <w:rPr>
                <w:rFonts w:ascii="Calibri" w:eastAsia="宋体" w:cs="Times New Roman"/>
                <w:color w:val="auto"/>
                <w:kern w:val="2"/>
                <w:sz w:val="21"/>
                <w:szCs w:val="24"/>
              </w:rPr>
            </w:pPr>
            <w:r>
              <w:rPr>
                <w:rFonts w:hint="eastAsia" w:ascii="Calibri" w:eastAsia="宋体" w:cs="Times New Roman"/>
                <w:color w:val="auto"/>
                <w:kern w:val="2"/>
                <w:sz w:val="21"/>
                <w:szCs w:val="24"/>
              </w:rPr>
              <w:t>7</w:t>
            </w:r>
          </w:p>
        </w:tc>
        <w:tc>
          <w:tcPr>
            <w:tcW w:w="675" w:type="dxa"/>
            <w:vAlign w:val="center"/>
          </w:tcPr>
          <w:p>
            <w:pPr>
              <w:rPr>
                <w:rFonts w:ascii="Calibri" w:eastAsia="宋体" w:cs="Times New Roman"/>
                <w:color w:val="auto"/>
                <w:kern w:val="2"/>
                <w:sz w:val="20"/>
                <w:szCs w:val="22"/>
              </w:rPr>
            </w:pPr>
            <w:r>
              <w:rPr>
                <w:rFonts w:hint="eastAsia" w:ascii="方正仿宋简体" w:eastAsia="方正仿宋简体" w:cs="Times New Roman"/>
                <w:color w:val="auto"/>
                <w:kern w:val="2"/>
                <w:sz w:val="20"/>
                <w:szCs w:val="20"/>
              </w:rPr>
              <w:t>成果文件编制质量及完整度（15分）</w:t>
            </w:r>
          </w:p>
        </w:tc>
        <w:tc>
          <w:tcPr>
            <w:tcW w:w="3402" w:type="dxa"/>
          </w:tcPr>
          <w:p>
            <w:pPr>
              <w:ind w:firstLine="360" w:firstLineChars="200"/>
              <w:rPr>
                <w:rFonts w:ascii="方正仿宋简体" w:eastAsia="方正仿宋简体" w:cs="Times New Roman"/>
                <w:color w:val="auto"/>
                <w:kern w:val="2"/>
                <w:sz w:val="18"/>
                <w:szCs w:val="18"/>
              </w:rPr>
            </w:pPr>
            <w:r>
              <w:rPr>
                <w:rFonts w:hint="eastAsia" w:ascii="方正仿宋简体" w:eastAsia="方正仿宋简体" w:cs="Times New Roman"/>
                <w:color w:val="auto"/>
                <w:kern w:val="2"/>
                <w:sz w:val="18"/>
                <w:szCs w:val="18"/>
              </w:rPr>
              <w:t>1、严格执行评审报告标准文本，报告规范条理清渐且突出重点，附件齐全，工程概况描述全面，评审情况说明详细且有原因分析，对清单说明、合同条件、优化设计等方面提出建议；</w:t>
            </w:r>
          </w:p>
          <w:p>
            <w:pPr>
              <w:ind w:firstLine="360" w:firstLineChars="200"/>
              <w:rPr>
                <w:rFonts w:ascii="Calibri" w:eastAsia="宋体" w:cs="Times New Roman"/>
                <w:color w:val="auto"/>
                <w:kern w:val="2"/>
                <w:sz w:val="18"/>
                <w:szCs w:val="18"/>
              </w:rPr>
            </w:pPr>
            <w:r>
              <w:rPr>
                <w:rFonts w:hint="eastAsia" w:ascii="方正仿宋简体" w:eastAsia="方正仿宋简体" w:cs="Times New Roman"/>
                <w:color w:val="auto"/>
                <w:kern w:val="2"/>
                <w:sz w:val="18"/>
                <w:szCs w:val="18"/>
              </w:rPr>
              <w:t>2、评审报告编制质量合格无修改。</w:t>
            </w:r>
          </w:p>
        </w:tc>
        <w:tc>
          <w:tcPr>
            <w:tcW w:w="567" w:type="dxa"/>
            <w:vAlign w:val="center"/>
          </w:tcPr>
          <w:p>
            <w:pPr>
              <w:jc w:val="center"/>
              <w:rPr>
                <w:rFonts w:ascii="Calibri" w:eastAsia="宋体" w:cs="Times New Roman"/>
                <w:color w:val="auto"/>
                <w:kern w:val="2"/>
                <w:sz w:val="21"/>
                <w:szCs w:val="24"/>
              </w:rPr>
            </w:pPr>
            <w:r>
              <w:rPr>
                <w:rFonts w:hint="eastAsia" w:ascii="Calibri" w:eastAsia="宋体" w:cs="Times New Roman"/>
                <w:color w:val="auto"/>
                <w:kern w:val="2"/>
                <w:sz w:val="21"/>
                <w:szCs w:val="24"/>
              </w:rPr>
              <w:t>12</w:t>
            </w:r>
          </w:p>
        </w:tc>
        <w:tc>
          <w:tcPr>
            <w:tcW w:w="4252" w:type="dxa"/>
          </w:tcPr>
          <w:p>
            <w:pPr>
              <w:ind w:firstLine="360" w:firstLineChars="200"/>
              <w:rPr>
                <w:rFonts w:ascii="Calibri" w:eastAsia="宋体" w:cs="Times New Roman"/>
                <w:color w:val="auto"/>
                <w:kern w:val="2"/>
                <w:sz w:val="18"/>
                <w:szCs w:val="18"/>
              </w:rPr>
            </w:pPr>
            <w:r>
              <w:rPr>
                <w:rFonts w:hint="eastAsia" w:ascii="方正仿宋简体" w:eastAsia="方正仿宋简体" w:cs="Times New Roman"/>
                <w:color w:val="auto"/>
                <w:kern w:val="2"/>
                <w:sz w:val="18"/>
                <w:szCs w:val="18"/>
              </w:rPr>
              <w:t>(1)编制质量：完整执行标准文本、有完整附件,完整反映评审过程中主要评审差异、发现和解的问题，完整反映评审各方面内容+1~3分；未完整执行标准文本、附件不完整-2分，未完整反映评审过程中主要评审差异、发现和解决的问题-2分，未完整反映评审各方面内容-2分；(2)经中心复核不合格的,每修改1次-2分</w:t>
            </w:r>
          </w:p>
        </w:tc>
        <w:tc>
          <w:tcPr>
            <w:tcW w:w="425" w:type="dxa"/>
          </w:tcPr>
          <w:p>
            <w:pPr>
              <w:rPr>
                <w:rFonts w:ascii="Calibri" w:eastAsia="宋体" w:cs="Times New Roman"/>
                <w:color w:val="auto"/>
                <w:kern w:val="2"/>
                <w:sz w:val="21"/>
                <w:szCs w:val="24"/>
              </w:rPr>
            </w:pPr>
          </w:p>
        </w:tc>
        <w:tc>
          <w:tcPr>
            <w:tcW w:w="709" w:type="dxa"/>
          </w:tcPr>
          <w:p>
            <w:pPr>
              <w:rPr>
                <w:rFonts w:ascii="Calibri" w:eastAsia="宋体" w:cs="Times New Roman"/>
                <w:color w:val="auto"/>
                <w:kern w:val="2"/>
                <w:sz w:val="21"/>
                <w:szCs w:val="24"/>
              </w:rPr>
            </w:pPr>
          </w:p>
        </w:tc>
        <w:tc>
          <w:tcPr>
            <w:tcW w:w="425" w:type="dxa"/>
          </w:tcPr>
          <w:p>
            <w:pPr>
              <w:rPr>
                <w:rFonts w:ascii="Calibri" w:eastAsia="宋体" w:cs="Times New Roman"/>
                <w:color w:val="auto"/>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8" w:hRule="atLeast"/>
          <w:jc w:val="center"/>
        </w:trPr>
        <w:tc>
          <w:tcPr>
            <w:tcW w:w="426" w:type="dxa"/>
            <w:vAlign w:val="center"/>
          </w:tcPr>
          <w:p>
            <w:pPr>
              <w:jc w:val="center"/>
              <w:rPr>
                <w:rFonts w:ascii="Calibri" w:eastAsia="宋体" w:cs="Times New Roman"/>
                <w:color w:val="auto"/>
                <w:kern w:val="2"/>
                <w:sz w:val="21"/>
                <w:szCs w:val="24"/>
              </w:rPr>
            </w:pPr>
            <w:r>
              <w:rPr>
                <w:rFonts w:hint="eastAsia" w:ascii="Calibri" w:eastAsia="宋体" w:cs="Times New Roman"/>
                <w:color w:val="auto"/>
                <w:kern w:val="2"/>
                <w:sz w:val="21"/>
                <w:szCs w:val="24"/>
              </w:rPr>
              <w:t>8</w:t>
            </w:r>
          </w:p>
        </w:tc>
        <w:tc>
          <w:tcPr>
            <w:tcW w:w="675" w:type="dxa"/>
            <w:vAlign w:val="center"/>
          </w:tcPr>
          <w:p>
            <w:pPr>
              <w:rPr>
                <w:rFonts w:ascii="Calibri" w:eastAsia="宋体" w:cs="Times New Roman"/>
                <w:color w:val="auto"/>
                <w:kern w:val="2"/>
                <w:sz w:val="20"/>
                <w:szCs w:val="22"/>
              </w:rPr>
            </w:pPr>
            <w:r>
              <w:rPr>
                <w:rFonts w:hint="eastAsia" w:ascii="方正仿宋简体" w:eastAsia="方正仿宋简体" w:cs="Times New Roman"/>
                <w:color w:val="auto"/>
                <w:kern w:val="2"/>
                <w:sz w:val="20"/>
                <w:szCs w:val="20"/>
              </w:rPr>
              <w:t>群体项目考核</w:t>
            </w:r>
          </w:p>
        </w:tc>
        <w:tc>
          <w:tcPr>
            <w:tcW w:w="3402" w:type="dxa"/>
            <w:vAlign w:val="center"/>
          </w:tcPr>
          <w:p>
            <w:pPr>
              <w:ind w:firstLine="360" w:firstLineChars="200"/>
              <w:jc w:val="center"/>
              <w:rPr>
                <w:rFonts w:ascii="方正仿宋简体" w:eastAsia="方正仿宋简体" w:cs="Times New Roman"/>
                <w:color w:val="auto"/>
                <w:kern w:val="2"/>
                <w:sz w:val="18"/>
                <w:szCs w:val="18"/>
              </w:rPr>
            </w:pPr>
            <w:r>
              <w:rPr>
                <w:rFonts w:hint="eastAsia" w:ascii="方正仿宋简体" w:eastAsia="方正仿宋简体" w:cs="Times New Roman"/>
                <w:color w:val="auto"/>
                <w:kern w:val="2"/>
                <w:sz w:val="18"/>
                <w:szCs w:val="18"/>
              </w:rPr>
              <w:t>1、牵头单位汇总成果及过程中的问题：组织各单位讨论确定各项统一处理原则；安排现场踏勘方案、配合会务工作；其他评审中心主办工程师交办的工作。</w:t>
            </w:r>
          </w:p>
          <w:p>
            <w:pPr>
              <w:ind w:firstLine="360" w:firstLineChars="200"/>
              <w:jc w:val="center"/>
              <w:rPr>
                <w:rFonts w:ascii="方正仿宋简体" w:eastAsia="方正仿宋简体" w:cs="Times New Roman"/>
                <w:color w:val="auto"/>
                <w:kern w:val="2"/>
                <w:sz w:val="18"/>
                <w:szCs w:val="18"/>
              </w:rPr>
            </w:pPr>
            <w:r>
              <w:rPr>
                <w:rFonts w:hint="eastAsia" w:ascii="方正仿宋简体" w:eastAsia="方正仿宋简体" w:cs="Times New Roman"/>
                <w:color w:val="auto"/>
                <w:kern w:val="2"/>
                <w:sz w:val="18"/>
                <w:szCs w:val="18"/>
              </w:rPr>
              <w:t>2、配合单位按时间节点及时提交资料(需预留牵头单位汇总时间)，积极参开会、讨论，按制定的統一原则进行评审。</w:t>
            </w:r>
          </w:p>
        </w:tc>
        <w:tc>
          <w:tcPr>
            <w:tcW w:w="567" w:type="dxa"/>
            <w:vAlign w:val="center"/>
          </w:tcPr>
          <w:p>
            <w:pPr>
              <w:jc w:val="center"/>
              <w:rPr>
                <w:rFonts w:ascii="Calibri" w:eastAsia="宋体" w:cs="Times New Roman"/>
                <w:color w:val="auto"/>
                <w:kern w:val="2"/>
                <w:sz w:val="21"/>
                <w:szCs w:val="24"/>
              </w:rPr>
            </w:pPr>
            <w:r>
              <w:rPr>
                <w:rFonts w:hint="eastAsia" w:ascii="Calibri" w:eastAsia="宋体" w:cs="Times New Roman"/>
                <w:color w:val="auto"/>
                <w:kern w:val="2"/>
                <w:sz w:val="21"/>
                <w:szCs w:val="24"/>
              </w:rPr>
              <w:t>0</w:t>
            </w:r>
          </w:p>
        </w:tc>
        <w:tc>
          <w:tcPr>
            <w:tcW w:w="4252" w:type="dxa"/>
          </w:tcPr>
          <w:p>
            <w:pPr>
              <w:ind w:firstLine="360" w:firstLineChars="200"/>
              <w:rPr>
                <w:rFonts w:ascii="方正仿宋简体" w:eastAsia="方正仿宋简体" w:cs="Times New Roman"/>
                <w:color w:val="auto"/>
                <w:kern w:val="2"/>
                <w:sz w:val="18"/>
                <w:szCs w:val="18"/>
              </w:rPr>
            </w:pPr>
            <w:r>
              <w:rPr>
                <w:rFonts w:hint="eastAsia" w:ascii="方正仿宋简体" w:eastAsia="方正仿宋简体" w:cs="Times New Roman"/>
                <w:color w:val="auto"/>
                <w:kern w:val="2"/>
                <w:sz w:val="18"/>
                <w:szCs w:val="18"/>
              </w:rPr>
              <w:t>一、适用于牵头单位</w:t>
            </w:r>
          </w:p>
          <w:p>
            <w:pPr>
              <w:ind w:firstLine="360" w:firstLineChars="200"/>
              <w:rPr>
                <w:rFonts w:ascii="方正仿宋简体" w:eastAsia="方正仿宋简体" w:cs="Times New Roman"/>
                <w:color w:val="auto"/>
                <w:kern w:val="2"/>
                <w:sz w:val="18"/>
                <w:szCs w:val="18"/>
              </w:rPr>
            </w:pPr>
            <w:r>
              <w:rPr>
                <w:rFonts w:hint="eastAsia" w:ascii="方正仿宋简体" w:eastAsia="方正仿宋简体" w:cs="Times New Roman"/>
                <w:color w:val="auto"/>
                <w:kern w:val="2"/>
                <w:sz w:val="18"/>
                <w:szCs w:val="18"/>
              </w:rPr>
              <w:t>(1)牵头单位履行牵头责任：积极且方法得当+2,积极+1、不作为-2</w:t>
            </w:r>
          </w:p>
          <w:p>
            <w:pPr>
              <w:ind w:firstLine="360" w:firstLineChars="200"/>
              <w:rPr>
                <w:rFonts w:ascii="方正仿宋简体" w:eastAsia="方正仿宋简体" w:cs="Times New Roman"/>
                <w:color w:val="auto"/>
                <w:kern w:val="2"/>
                <w:sz w:val="18"/>
                <w:szCs w:val="18"/>
              </w:rPr>
            </w:pPr>
            <w:r>
              <w:rPr>
                <w:rFonts w:hint="eastAsia" w:ascii="方正仿宋简体" w:eastAsia="方正仿宋简体" w:cs="Times New Roman"/>
                <w:color w:val="auto"/>
                <w:kern w:val="2"/>
                <w:sz w:val="18"/>
                <w:szCs w:val="18"/>
              </w:rPr>
              <w:t>(2)牵头单位组织能力：评审思路明确、沟通组织能力强+2，评审思路混乱、沟通组织能力差-2</w:t>
            </w:r>
          </w:p>
          <w:p>
            <w:pPr>
              <w:ind w:firstLine="360" w:firstLineChars="200"/>
              <w:rPr>
                <w:rFonts w:ascii="方正仿宋简体" w:eastAsia="方正仿宋简体" w:cs="Times New Roman"/>
                <w:color w:val="auto"/>
                <w:kern w:val="2"/>
                <w:sz w:val="18"/>
                <w:szCs w:val="18"/>
              </w:rPr>
            </w:pPr>
            <w:r>
              <w:rPr>
                <w:rFonts w:hint="eastAsia" w:ascii="方正仿宋简体" w:eastAsia="方正仿宋简体" w:cs="Times New Roman"/>
                <w:color w:val="auto"/>
                <w:kern w:val="2"/>
                <w:sz w:val="18"/>
                <w:szCs w:val="18"/>
              </w:rPr>
              <w:t>(3)是否按规定编制评审手册：内容详尽、评审方法得当+2；内容敷衔了事-1：不编制评审手册-2</w:t>
            </w:r>
          </w:p>
          <w:p>
            <w:pPr>
              <w:ind w:firstLine="360" w:firstLineChars="200"/>
              <w:rPr>
                <w:rFonts w:ascii="方正仿宋简体" w:eastAsia="方正仿宋简体" w:cs="Times New Roman"/>
                <w:color w:val="auto"/>
                <w:kern w:val="2"/>
                <w:sz w:val="18"/>
                <w:szCs w:val="18"/>
              </w:rPr>
            </w:pPr>
            <w:r>
              <w:rPr>
                <w:rFonts w:hint="eastAsia" w:ascii="方正仿宋简体" w:eastAsia="方正仿宋简体" w:cs="Times New Roman"/>
                <w:color w:val="auto"/>
                <w:kern w:val="2"/>
                <w:sz w:val="18"/>
                <w:szCs w:val="18"/>
              </w:rPr>
              <w:t>(4)是否制定统一原则及督促落实：如统一材料价格、综合单价、措施费处理原则等未制定-2；征求意见稿未检查上述统一原则的-2</w:t>
            </w:r>
          </w:p>
          <w:p>
            <w:pPr>
              <w:ind w:firstLine="360" w:firstLineChars="200"/>
              <w:rPr>
                <w:rFonts w:ascii="方正仿宋简体" w:eastAsia="方正仿宋简体" w:cs="Times New Roman"/>
                <w:color w:val="auto"/>
                <w:kern w:val="2"/>
                <w:sz w:val="18"/>
                <w:szCs w:val="18"/>
              </w:rPr>
            </w:pPr>
            <w:r>
              <w:rPr>
                <w:rFonts w:hint="eastAsia" w:ascii="方正仿宋简体" w:eastAsia="方正仿宋简体" w:cs="Times New Roman"/>
                <w:color w:val="auto"/>
                <w:kern w:val="2"/>
                <w:sz w:val="18"/>
                <w:szCs w:val="18"/>
              </w:rPr>
              <w:t>(5)征求意见稿的检查和确认：有重大错误或原则性错误的-2</w:t>
            </w:r>
          </w:p>
          <w:p>
            <w:pPr>
              <w:ind w:firstLine="360" w:firstLineChars="200"/>
              <w:rPr>
                <w:rFonts w:ascii="方正仿宋简体" w:eastAsia="方正仿宋简体" w:cs="Times New Roman"/>
                <w:color w:val="auto"/>
                <w:kern w:val="2"/>
                <w:sz w:val="18"/>
                <w:szCs w:val="18"/>
              </w:rPr>
            </w:pPr>
            <w:r>
              <w:rPr>
                <w:rFonts w:hint="eastAsia" w:ascii="方正仿宋简体" w:eastAsia="方正仿宋简体" w:cs="Times New Roman"/>
                <w:color w:val="auto"/>
                <w:kern w:val="2"/>
                <w:sz w:val="18"/>
                <w:szCs w:val="18"/>
              </w:rPr>
              <w:t>(6)组织安排现场踏勘方案好+1，组织协调核对会等会务工作好+2</w:t>
            </w:r>
          </w:p>
          <w:p>
            <w:pPr>
              <w:ind w:firstLine="360" w:firstLineChars="200"/>
              <w:rPr>
                <w:rFonts w:ascii="方正仿宋简体" w:eastAsia="方正仿宋简体" w:cs="Times New Roman"/>
                <w:color w:val="auto"/>
                <w:kern w:val="2"/>
                <w:sz w:val="18"/>
                <w:szCs w:val="18"/>
              </w:rPr>
            </w:pPr>
            <w:r>
              <w:rPr>
                <w:rFonts w:hint="eastAsia" w:ascii="方正仿宋简体" w:eastAsia="方正仿宋简体" w:cs="Times New Roman"/>
                <w:color w:val="auto"/>
                <w:kern w:val="2"/>
                <w:sz w:val="18"/>
                <w:szCs w:val="18"/>
              </w:rPr>
              <w:t>二、适用于配合单位</w:t>
            </w:r>
          </w:p>
          <w:p>
            <w:pPr>
              <w:ind w:firstLine="360" w:firstLineChars="200"/>
              <w:rPr>
                <w:rFonts w:ascii="方正仿宋简体" w:eastAsia="方正仿宋简体" w:cs="Times New Roman"/>
                <w:color w:val="auto"/>
                <w:kern w:val="2"/>
                <w:sz w:val="18"/>
                <w:szCs w:val="18"/>
              </w:rPr>
            </w:pPr>
            <w:r>
              <w:rPr>
                <w:rFonts w:hint="eastAsia" w:ascii="方正仿宋简体" w:eastAsia="方正仿宋简体" w:cs="Times New Roman"/>
                <w:color w:val="auto"/>
                <w:kern w:val="2"/>
                <w:sz w:val="18"/>
                <w:szCs w:val="18"/>
              </w:rPr>
              <w:t>(1)是否积极配合牵头单位工作：积极主动+2、不配合-2</w:t>
            </w:r>
          </w:p>
          <w:p>
            <w:pPr>
              <w:ind w:firstLine="360" w:firstLineChars="200"/>
              <w:rPr>
                <w:rFonts w:ascii="方正仿宋简体" w:eastAsia="方正仿宋简体" w:cs="Times New Roman"/>
                <w:color w:val="auto"/>
                <w:kern w:val="2"/>
                <w:sz w:val="18"/>
                <w:szCs w:val="18"/>
              </w:rPr>
            </w:pPr>
            <w:r>
              <w:rPr>
                <w:rFonts w:hint="eastAsia" w:ascii="方正仿宋简体" w:eastAsia="方正仿宋简体" w:cs="Times New Roman"/>
                <w:color w:val="auto"/>
                <w:kern w:val="2"/>
                <w:sz w:val="18"/>
                <w:szCs w:val="18"/>
              </w:rPr>
              <w:t>(2)不参加开会、讨论等，每次-1</w:t>
            </w:r>
          </w:p>
          <w:p>
            <w:pPr>
              <w:ind w:firstLine="360" w:firstLineChars="200"/>
              <w:rPr>
                <w:rFonts w:ascii="方正仿宋简体" w:eastAsia="方正仿宋简体" w:cs="Times New Roman"/>
                <w:color w:val="auto"/>
                <w:kern w:val="2"/>
                <w:sz w:val="18"/>
                <w:szCs w:val="18"/>
              </w:rPr>
            </w:pPr>
            <w:r>
              <w:rPr>
                <w:rFonts w:hint="eastAsia" w:ascii="方正仿宋简体" w:eastAsia="方正仿宋简体" w:cs="Times New Roman"/>
                <w:color w:val="auto"/>
                <w:kern w:val="2"/>
                <w:sz w:val="18"/>
                <w:szCs w:val="18"/>
              </w:rPr>
              <w:t>(3)配合单位对于评审工作提出建设性意见的+2</w:t>
            </w:r>
          </w:p>
          <w:p>
            <w:pPr>
              <w:ind w:firstLine="360" w:firstLineChars="200"/>
              <w:rPr>
                <w:rFonts w:ascii="方正仿宋简体" w:eastAsia="方正仿宋简体" w:cs="Times New Roman"/>
                <w:color w:val="auto"/>
                <w:kern w:val="2"/>
                <w:sz w:val="18"/>
                <w:szCs w:val="18"/>
              </w:rPr>
            </w:pPr>
            <w:r>
              <w:rPr>
                <w:rFonts w:hint="eastAsia" w:ascii="方正仿宋简体" w:eastAsia="方正仿宋简体" w:cs="Times New Roman"/>
                <w:color w:val="auto"/>
                <w:kern w:val="2"/>
                <w:sz w:val="18"/>
                <w:szCs w:val="18"/>
              </w:rPr>
              <w:t>(4)未参与制订评审手册、统一原则等-4，不积极参与(项目经理不参加制定会议或不发言等)的-2；未按整体统一原则落实的每项-2</w:t>
            </w:r>
          </w:p>
          <w:p>
            <w:pPr>
              <w:ind w:firstLine="360" w:firstLineChars="200"/>
              <w:rPr>
                <w:rFonts w:ascii="方正仿宋简体" w:eastAsia="方正仿宋简体" w:cs="Times New Roman"/>
                <w:color w:val="auto"/>
                <w:kern w:val="2"/>
                <w:sz w:val="18"/>
                <w:szCs w:val="18"/>
              </w:rPr>
            </w:pPr>
            <w:r>
              <w:rPr>
                <w:rFonts w:hint="eastAsia" w:ascii="方正仿宋简体" w:eastAsia="方正仿宋简体" w:cs="Times New Roman"/>
                <w:color w:val="auto"/>
                <w:kern w:val="2"/>
                <w:sz w:val="18"/>
                <w:szCs w:val="18"/>
              </w:rPr>
              <w:t>(5)征求意见稿的检查和确认：有重大错误或原则性错误的-2</w:t>
            </w:r>
          </w:p>
          <w:p>
            <w:pPr>
              <w:ind w:firstLine="360" w:firstLineChars="200"/>
              <w:rPr>
                <w:rFonts w:ascii="Calibri" w:eastAsia="宋体" w:cs="Times New Roman"/>
                <w:color w:val="auto"/>
                <w:kern w:val="2"/>
                <w:sz w:val="18"/>
                <w:szCs w:val="18"/>
              </w:rPr>
            </w:pPr>
            <w:r>
              <w:rPr>
                <w:rFonts w:hint="eastAsia" w:ascii="方正仿宋简体" w:eastAsia="方正仿宋简体" w:cs="Times New Roman"/>
                <w:color w:val="auto"/>
                <w:kern w:val="2"/>
                <w:sz w:val="18"/>
                <w:szCs w:val="18"/>
              </w:rPr>
              <w:t>(6)配合协调核对会等会务工作好+1</w:t>
            </w:r>
          </w:p>
        </w:tc>
        <w:tc>
          <w:tcPr>
            <w:tcW w:w="425" w:type="dxa"/>
          </w:tcPr>
          <w:p>
            <w:pPr>
              <w:rPr>
                <w:rFonts w:ascii="Calibri" w:eastAsia="宋体" w:cs="Times New Roman"/>
                <w:color w:val="auto"/>
                <w:kern w:val="2"/>
                <w:sz w:val="21"/>
                <w:szCs w:val="24"/>
              </w:rPr>
            </w:pPr>
          </w:p>
        </w:tc>
        <w:tc>
          <w:tcPr>
            <w:tcW w:w="709" w:type="dxa"/>
            <w:vAlign w:val="center"/>
          </w:tcPr>
          <w:p>
            <w:pPr>
              <w:jc w:val="center"/>
              <w:rPr>
                <w:rFonts w:ascii="Calibri" w:eastAsia="宋体" w:cs="Times New Roman"/>
                <w:color w:val="auto"/>
                <w:kern w:val="2"/>
                <w:sz w:val="21"/>
                <w:szCs w:val="24"/>
              </w:rPr>
            </w:pPr>
            <w:r>
              <w:rPr>
                <w:rFonts w:hint="eastAsia" w:ascii="方正仿宋简体" w:eastAsia="方正仿宋简体" w:cs="Times New Roman"/>
                <w:color w:val="auto"/>
                <w:kern w:val="2"/>
                <w:sz w:val="18"/>
                <w:szCs w:val="18"/>
              </w:rPr>
              <w:t>注：该项无基准分；最高+10、最低-10；分牵头单位与配合单位，参考各自适用条目打分。</w:t>
            </w:r>
          </w:p>
        </w:tc>
        <w:tc>
          <w:tcPr>
            <w:tcW w:w="425" w:type="dxa"/>
          </w:tcPr>
          <w:p>
            <w:pPr>
              <w:rPr>
                <w:rFonts w:ascii="Calibri" w:eastAsia="宋体" w:cs="Times New Roman"/>
                <w:color w:val="auto"/>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gridSpan w:val="2"/>
            <w:vAlign w:val="center"/>
          </w:tcPr>
          <w:p>
            <w:pPr>
              <w:jc w:val="center"/>
              <w:rPr>
                <w:rFonts w:ascii="方正仿宋简体" w:eastAsia="方正仿宋简体" w:cs="Times New Roman"/>
                <w:color w:val="auto"/>
                <w:kern w:val="2"/>
                <w:sz w:val="21"/>
                <w:szCs w:val="21"/>
              </w:rPr>
            </w:pPr>
            <w:r>
              <w:rPr>
                <w:rFonts w:hint="eastAsia" w:ascii="方正仿宋简体" w:eastAsia="方正仿宋简体" w:cs="Times New Roman"/>
                <w:color w:val="auto"/>
                <w:kern w:val="2"/>
                <w:sz w:val="21"/>
                <w:szCs w:val="21"/>
              </w:rPr>
              <w:t>审定</w:t>
            </w:r>
          </w:p>
          <w:p>
            <w:pPr>
              <w:jc w:val="center"/>
              <w:rPr>
                <w:rFonts w:ascii="Calibri" w:eastAsia="宋体" w:cs="Times New Roman"/>
                <w:color w:val="auto"/>
                <w:kern w:val="2"/>
                <w:sz w:val="21"/>
                <w:szCs w:val="24"/>
              </w:rPr>
            </w:pPr>
            <w:r>
              <w:rPr>
                <w:rFonts w:hint="eastAsia" w:ascii="方正仿宋简体" w:eastAsia="方正仿宋简体" w:cs="Times New Roman"/>
                <w:color w:val="auto"/>
                <w:kern w:val="2"/>
                <w:sz w:val="21"/>
                <w:szCs w:val="21"/>
              </w:rPr>
              <w:t>分数</w:t>
            </w:r>
          </w:p>
        </w:tc>
        <w:tc>
          <w:tcPr>
            <w:tcW w:w="9780" w:type="dxa"/>
            <w:gridSpan w:val="6"/>
          </w:tcPr>
          <w:p>
            <w:pPr>
              <w:rPr>
                <w:rFonts w:ascii="Calibri" w:eastAsia="宋体" w:cs="Times New Roman"/>
                <w:color w:val="auto"/>
                <w:kern w:val="2"/>
                <w:sz w:val="21"/>
                <w:szCs w:val="24"/>
              </w:rPr>
            </w:pPr>
          </w:p>
        </w:tc>
      </w:tr>
    </w:tbl>
    <w:p>
      <w:pPr>
        <w:ind w:firstLine="480"/>
        <w:jc w:val="right"/>
        <w:rPr>
          <w:rFonts w:hint="eastAsia" w:ascii="Calibri" w:eastAsia="宋体" w:cs="宋体"/>
          <w:b w:val="0"/>
          <w:bCs/>
          <w:color w:val="auto"/>
          <w:kern w:val="2"/>
          <w:sz w:val="24"/>
          <w:szCs w:val="24"/>
        </w:rPr>
      </w:pPr>
      <w:r>
        <w:rPr>
          <w:rFonts w:hint="eastAsia" w:ascii="方正仿宋简体" w:eastAsia="方正仿宋简体" w:cs="Times New Roman"/>
          <w:color w:val="auto"/>
          <w:kern w:val="2"/>
          <w:sz w:val="21"/>
          <w:szCs w:val="21"/>
        </w:rPr>
        <w:t>咨询机构合格报告递交时间：      年     月    日</w:t>
      </w:r>
    </w:p>
    <w:p>
      <w:pPr>
        <w:ind w:firstLine="480"/>
        <w:jc w:val="center"/>
        <w:rPr>
          <w:rFonts w:hint="eastAsia" w:ascii="Calibri" w:eastAsia="宋体" w:cs="宋体"/>
          <w:b/>
          <w:bCs w:val="0"/>
          <w:color w:val="auto"/>
          <w:kern w:val="2"/>
          <w:sz w:val="28"/>
          <w:szCs w:val="28"/>
        </w:rPr>
      </w:pPr>
    </w:p>
    <w:p>
      <w:pPr>
        <w:ind w:firstLine="480"/>
        <w:jc w:val="center"/>
        <w:rPr>
          <w:rFonts w:hint="eastAsia" w:ascii="Calibri" w:eastAsia="宋体" w:cs="宋体"/>
          <w:b/>
          <w:bCs w:val="0"/>
          <w:color w:val="auto"/>
          <w:kern w:val="2"/>
          <w:sz w:val="28"/>
          <w:szCs w:val="28"/>
        </w:rPr>
      </w:pPr>
      <w:r>
        <w:rPr>
          <w:rFonts w:hint="eastAsia" w:ascii="Calibri" w:eastAsia="宋体" w:cs="宋体"/>
          <w:b/>
          <w:bCs w:val="0"/>
          <w:color w:val="auto"/>
          <w:kern w:val="2"/>
          <w:sz w:val="28"/>
          <w:szCs w:val="28"/>
        </w:rPr>
        <w:t>节能评审项目单项评价表</w:t>
      </w:r>
    </w:p>
    <w:p>
      <w:pPr>
        <w:adjustRightInd w:val="0"/>
        <w:snapToGrid w:val="0"/>
        <w:spacing w:line="360" w:lineRule="auto"/>
        <w:rPr>
          <w:rFonts w:hint="eastAsia" w:ascii="宋体" w:hAnsi="宋体" w:eastAsia="微软雅黑" w:cs="宋体"/>
          <w:bCs/>
          <w:color w:val="auto"/>
          <w:kern w:val="0"/>
          <w:sz w:val="24"/>
          <w:szCs w:val="24"/>
          <w:lang w:val="en-US" w:eastAsia="zh-CN" w:bidi="ar-SA"/>
        </w:rPr>
      </w:pPr>
      <w:r>
        <w:rPr>
          <w:rFonts w:hint="eastAsia" w:ascii="宋体" w:hAnsi="宋体" w:eastAsia="微软雅黑" w:cs="宋体"/>
          <w:bCs/>
          <w:color w:val="auto"/>
          <w:kern w:val="0"/>
          <w:sz w:val="24"/>
          <w:szCs w:val="24"/>
          <w:lang w:val="en-US" w:eastAsia="zh-CN" w:bidi="ar-SA"/>
        </w:rPr>
        <w:t>项目名称：</w:t>
      </w:r>
      <w:bookmarkStart w:id="138" w:name="项目名称"/>
      <w:bookmarkEnd w:id="138"/>
      <w:r>
        <w:rPr>
          <w:rFonts w:hint="eastAsia" w:ascii="宋体" w:hAnsi="宋体" w:eastAsia="微软雅黑" w:cs="宋体"/>
          <w:bCs/>
          <w:color w:val="auto"/>
          <w:kern w:val="0"/>
          <w:sz w:val="24"/>
          <w:szCs w:val="24"/>
          <w:lang w:val="en-US" w:eastAsia="zh-CN" w:bidi="ar-SA"/>
        </w:rPr>
        <w:t xml:space="preserve">                    评审类别：                    评审机构：</w:t>
      </w:r>
      <w:bookmarkStart w:id="139" w:name="评审机构"/>
      <w:bookmarkEnd w:id="139"/>
      <w:r>
        <w:rPr>
          <w:rFonts w:hint="eastAsia" w:ascii="宋体" w:hAnsi="宋体" w:eastAsia="微软雅黑" w:cs="宋体"/>
          <w:bCs/>
          <w:color w:val="auto"/>
          <w:kern w:val="0"/>
          <w:sz w:val="24"/>
          <w:szCs w:val="24"/>
          <w:lang w:val="en-US" w:eastAsia="zh-CN" w:bidi="ar-SA"/>
        </w:rPr>
        <w:t xml:space="preserve">    </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
        <w:gridCol w:w="704"/>
        <w:gridCol w:w="3531"/>
        <w:gridCol w:w="567"/>
        <w:gridCol w:w="3119"/>
        <w:gridCol w:w="425"/>
        <w:gridCol w:w="709"/>
        <w:gridCol w:w="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9" w:type="dxa"/>
            <w:noWrap w:val="0"/>
            <w:vAlign w:val="center"/>
          </w:tcPr>
          <w:p>
            <w:pPr>
              <w:ind w:firstLine="0" w:firstLineChars="0"/>
              <w:jc w:val="center"/>
              <w:textAlignment w:val="center"/>
              <w:rPr>
                <w:rFonts w:hint="eastAsia" w:ascii="Calibri" w:eastAsia="宋体" w:cs="宋体"/>
                <w:b w:val="0"/>
                <w:bCs/>
                <w:color w:val="auto"/>
                <w:kern w:val="2"/>
                <w:sz w:val="24"/>
                <w:szCs w:val="24"/>
              </w:rPr>
            </w:pPr>
          </w:p>
        </w:tc>
        <w:tc>
          <w:tcPr>
            <w:tcW w:w="704" w:type="dxa"/>
            <w:noWrap w:val="0"/>
            <w:vAlign w:val="center"/>
          </w:tcPr>
          <w:p>
            <w:pPr>
              <w:ind w:firstLine="0" w:firstLineChars="0"/>
              <w:jc w:val="center"/>
              <w:textAlignment w:val="center"/>
              <w:rPr>
                <w:rFonts w:hint="eastAsia" w:ascii="Calibri" w:eastAsia="宋体" w:cs="宋体"/>
                <w:b w:val="0"/>
                <w:bCs/>
                <w:color w:val="auto"/>
                <w:kern w:val="2"/>
                <w:sz w:val="24"/>
                <w:szCs w:val="24"/>
              </w:rPr>
            </w:pPr>
          </w:p>
        </w:tc>
        <w:tc>
          <w:tcPr>
            <w:tcW w:w="3531" w:type="dxa"/>
            <w:noWrap w:val="0"/>
            <w:vAlign w:val="center"/>
          </w:tcPr>
          <w:p>
            <w:pPr>
              <w:ind w:firstLine="0" w:firstLineChars="0"/>
              <w:jc w:val="center"/>
              <w:textAlignment w:val="center"/>
              <w:rPr>
                <w:rFonts w:hint="eastAsia" w:ascii="Calibri" w:eastAsia="宋体" w:cs="宋体"/>
                <w:b w:val="0"/>
                <w:bCs/>
                <w:color w:val="auto"/>
                <w:kern w:val="2"/>
                <w:sz w:val="24"/>
                <w:szCs w:val="24"/>
              </w:rPr>
            </w:pPr>
          </w:p>
        </w:tc>
        <w:tc>
          <w:tcPr>
            <w:tcW w:w="567" w:type="dxa"/>
            <w:noWrap w:val="0"/>
            <w:vAlign w:val="center"/>
          </w:tcPr>
          <w:p>
            <w:pPr>
              <w:ind w:firstLine="0" w:firstLineChars="0"/>
              <w:jc w:val="center"/>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基 准 分</w:t>
            </w:r>
          </w:p>
        </w:tc>
        <w:tc>
          <w:tcPr>
            <w:tcW w:w="3119" w:type="dxa"/>
            <w:noWrap w:val="0"/>
            <w:vAlign w:val="center"/>
          </w:tcPr>
          <w:p>
            <w:pPr>
              <w:ind w:firstLine="0" w:firstLineChars="0"/>
              <w:jc w:val="center"/>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评价标准</w:t>
            </w:r>
          </w:p>
        </w:tc>
        <w:tc>
          <w:tcPr>
            <w:tcW w:w="425" w:type="dxa"/>
            <w:noWrap w:val="0"/>
            <w:vAlign w:val="center"/>
          </w:tcPr>
          <w:p>
            <w:pPr>
              <w:ind w:firstLine="0" w:firstLineChars="0"/>
              <w:jc w:val="center"/>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加减分</w:t>
            </w:r>
          </w:p>
        </w:tc>
        <w:tc>
          <w:tcPr>
            <w:tcW w:w="709" w:type="dxa"/>
            <w:noWrap w:val="0"/>
            <w:vAlign w:val="center"/>
          </w:tcPr>
          <w:p>
            <w:pPr>
              <w:ind w:firstLine="0" w:firstLineChars="0"/>
              <w:jc w:val="center"/>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±各小分（说明）</w:t>
            </w:r>
          </w:p>
        </w:tc>
        <w:tc>
          <w:tcPr>
            <w:tcW w:w="425" w:type="dxa"/>
            <w:noWrap w:val="0"/>
            <w:vAlign w:val="center"/>
          </w:tcPr>
          <w:p>
            <w:pPr>
              <w:ind w:firstLine="0" w:firstLineChars="0"/>
              <w:jc w:val="center"/>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小  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jc w:val="center"/>
        </w:trPr>
        <w:tc>
          <w:tcPr>
            <w:tcW w:w="409" w:type="dxa"/>
            <w:vMerge w:val="restart"/>
            <w:noWrap w:val="0"/>
            <w:vAlign w:val="center"/>
          </w:tcPr>
          <w:p>
            <w:pPr>
              <w:ind w:firstLine="0" w:firstLineChars="0"/>
              <w:jc w:val="center"/>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1</w:t>
            </w:r>
          </w:p>
        </w:tc>
        <w:tc>
          <w:tcPr>
            <w:tcW w:w="704" w:type="dxa"/>
            <w:vMerge w:val="restart"/>
            <w:noWrap w:val="0"/>
            <w:vAlign w:val="center"/>
          </w:tcPr>
          <w:p>
            <w:pPr>
              <w:ind w:firstLine="0" w:firstLineChars="0"/>
              <w:jc w:val="center"/>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技术</w:t>
            </w:r>
          </w:p>
          <w:p>
            <w:pPr>
              <w:ind w:firstLine="0" w:firstLineChars="0"/>
              <w:jc w:val="center"/>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力量</w:t>
            </w:r>
          </w:p>
          <w:p>
            <w:pPr>
              <w:ind w:firstLine="0" w:firstLineChars="0"/>
              <w:jc w:val="center"/>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投入</w:t>
            </w:r>
          </w:p>
          <w:p>
            <w:pPr>
              <w:ind w:firstLine="0" w:firstLineChars="0"/>
              <w:jc w:val="center"/>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（20</w:t>
            </w:r>
          </w:p>
          <w:p>
            <w:pPr>
              <w:ind w:firstLine="0" w:firstLineChars="0"/>
              <w:jc w:val="center"/>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分）</w:t>
            </w:r>
          </w:p>
        </w:tc>
        <w:tc>
          <w:tcPr>
            <w:tcW w:w="3531" w:type="dxa"/>
            <w:vMerge w:val="restart"/>
            <w:noWrap w:val="0"/>
            <w:vAlign w:val="center"/>
          </w:tcPr>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评审负责人、项目经理应具备国家执业技术资格。</w:t>
            </w:r>
          </w:p>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项目经理应全过程组织评审工作；</w:t>
            </w:r>
          </w:p>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专业组长为入库申报人员或经中心同意变更人员；专业技术人员配置合理（一般1-2人，具备工程咨询类或造价类相关工作经验）；</w:t>
            </w:r>
          </w:p>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咨询专家专业与相关工作资历满足项目评审要求，专家专业配置合理。</w:t>
            </w:r>
          </w:p>
        </w:tc>
        <w:tc>
          <w:tcPr>
            <w:tcW w:w="567" w:type="dxa"/>
            <w:vMerge w:val="restart"/>
            <w:noWrap w:val="0"/>
            <w:vAlign w:val="center"/>
          </w:tcPr>
          <w:p>
            <w:pPr>
              <w:ind w:firstLine="0" w:firstLineChars="0"/>
              <w:jc w:val="center"/>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16</w:t>
            </w:r>
          </w:p>
        </w:tc>
        <w:tc>
          <w:tcPr>
            <w:tcW w:w="3119" w:type="dxa"/>
            <w:noWrap w:val="0"/>
            <w:vAlign w:val="top"/>
          </w:tcPr>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1、评审人员专业领域与项目涉及专业适应度及胜任评审能力好+1~2分;</w:t>
            </w:r>
          </w:p>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2、在咨询专家专业配置全面的基础上，每增加一名专家+1分。</w:t>
            </w:r>
          </w:p>
        </w:tc>
        <w:tc>
          <w:tcPr>
            <w:tcW w:w="425" w:type="dxa"/>
            <w:vMerge w:val="restart"/>
            <w:noWrap w:val="0"/>
            <w:vAlign w:val="top"/>
          </w:tcPr>
          <w:p>
            <w:pPr>
              <w:ind w:firstLine="0" w:firstLineChars="0"/>
              <w:jc w:val="center"/>
              <w:textAlignment w:val="center"/>
              <w:rPr>
                <w:rFonts w:hint="eastAsia" w:ascii="Calibri" w:eastAsia="宋体" w:cs="宋体"/>
                <w:b w:val="0"/>
                <w:bCs/>
                <w:color w:val="auto"/>
                <w:kern w:val="2"/>
                <w:sz w:val="24"/>
                <w:szCs w:val="24"/>
              </w:rPr>
            </w:pPr>
          </w:p>
        </w:tc>
        <w:tc>
          <w:tcPr>
            <w:tcW w:w="709" w:type="dxa"/>
            <w:vMerge w:val="restart"/>
            <w:noWrap w:val="0"/>
            <w:vAlign w:val="top"/>
          </w:tcPr>
          <w:p>
            <w:pPr>
              <w:ind w:firstLine="0" w:firstLineChars="0"/>
              <w:jc w:val="center"/>
              <w:textAlignment w:val="center"/>
              <w:rPr>
                <w:rFonts w:hint="eastAsia" w:ascii="Calibri" w:eastAsia="宋体" w:cs="宋体"/>
                <w:b w:val="0"/>
                <w:bCs/>
                <w:color w:val="auto"/>
                <w:kern w:val="2"/>
                <w:sz w:val="24"/>
                <w:szCs w:val="24"/>
              </w:rPr>
            </w:pPr>
          </w:p>
        </w:tc>
        <w:tc>
          <w:tcPr>
            <w:tcW w:w="425" w:type="dxa"/>
            <w:vMerge w:val="restart"/>
            <w:noWrap w:val="0"/>
            <w:vAlign w:val="top"/>
          </w:tcPr>
          <w:p>
            <w:pPr>
              <w:ind w:firstLine="0" w:firstLineChars="0"/>
              <w:jc w:val="center"/>
              <w:textAlignment w:val="center"/>
              <w:rPr>
                <w:rFonts w:hint="eastAsia" w:ascii="Calibri" w:eastAsia="宋体" w:cs="宋体"/>
                <w:b w:val="0"/>
                <w:bCs/>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409" w:type="dxa"/>
            <w:vMerge w:val="continue"/>
            <w:noWrap w:val="0"/>
            <w:vAlign w:val="center"/>
          </w:tcPr>
          <w:p>
            <w:pPr>
              <w:ind w:firstLine="0" w:firstLineChars="0"/>
              <w:jc w:val="center"/>
              <w:textAlignment w:val="center"/>
              <w:rPr>
                <w:rFonts w:hint="eastAsia" w:ascii="Calibri" w:eastAsia="宋体" w:cs="宋体"/>
                <w:b w:val="0"/>
                <w:bCs/>
                <w:color w:val="auto"/>
                <w:kern w:val="2"/>
                <w:sz w:val="24"/>
                <w:szCs w:val="24"/>
              </w:rPr>
            </w:pPr>
          </w:p>
        </w:tc>
        <w:tc>
          <w:tcPr>
            <w:tcW w:w="704" w:type="dxa"/>
            <w:vMerge w:val="continue"/>
            <w:noWrap w:val="0"/>
            <w:vAlign w:val="center"/>
          </w:tcPr>
          <w:p>
            <w:pPr>
              <w:ind w:firstLine="0" w:firstLineChars="0"/>
              <w:jc w:val="center"/>
              <w:textAlignment w:val="center"/>
              <w:rPr>
                <w:rFonts w:hint="eastAsia" w:ascii="Calibri" w:eastAsia="宋体" w:cs="宋体"/>
                <w:b w:val="0"/>
                <w:bCs/>
                <w:color w:val="auto"/>
                <w:kern w:val="2"/>
                <w:sz w:val="24"/>
                <w:szCs w:val="24"/>
              </w:rPr>
            </w:pPr>
          </w:p>
        </w:tc>
        <w:tc>
          <w:tcPr>
            <w:tcW w:w="3531" w:type="dxa"/>
            <w:vMerge w:val="continue"/>
            <w:noWrap w:val="0"/>
            <w:vAlign w:val="center"/>
          </w:tcPr>
          <w:p>
            <w:pPr>
              <w:ind w:firstLine="0" w:firstLineChars="0"/>
              <w:jc w:val="left"/>
              <w:textAlignment w:val="center"/>
              <w:rPr>
                <w:rFonts w:hint="eastAsia" w:ascii="Calibri" w:eastAsia="宋体" w:cs="宋体"/>
                <w:b w:val="0"/>
                <w:bCs/>
                <w:color w:val="auto"/>
                <w:kern w:val="2"/>
                <w:sz w:val="24"/>
                <w:szCs w:val="24"/>
              </w:rPr>
            </w:pPr>
          </w:p>
        </w:tc>
        <w:tc>
          <w:tcPr>
            <w:tcW w:w="567" w:type="dxa"/>
            <w:vMerge w:val="continue"/>
            <w:noWrap w:val="0"/>
            <w:vAlign w:val="center"/>
          </w:tcPr>
          <w:p>
            <w:pPr>
              <w:ind w:firstLine="0" w:firstLineChars="0"/>
              <w:jc w:val="center"/>
              <w:textAlignment w:val="center"/>
              <w:rPr>
                <w:rFonts w:hint="eastAsia" w:ascii="Calibri" w:eastAsia="宋体" w:cs="宋体"/>
                <w:b w:val="0"/>
                <w:bCs/>
                <w:color w:val="auto"/>
                <w:kern w:val="2"/>
                <w:sz w:val="24"/>
                <w:szCs w:val="24"/>
              </w:rPr>
            </w:pPr>
          </w:p>
        </w:tc>
        <w:tc>
          <w:tcPr>
            <w:tcW w:w="3119" w:type="dxa"/>
            <w:noWrap w:val="0"/>
            <w:vAlign w:val="top"/>
          </w:tcPr>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3、人员未经中心同意变更</w:t>
            </w:r>
          </w:p>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人员的-1.5分)；</w:t>
            </w:r>
          </w:p>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4、咨询专家专业配置不齐,</w:t>
            </w:r>
          </w:p>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每缺一专业-2分。</w:t>
            </w:r>
          </w:p>
        </w:tc>
        <w:tc>
          <w:tcPr>
            <w:tcW w:w="425" w:type="dxa"/>
            <w:vMerge w:val="continue"/>
            <w:noWrap w:val="0"/>
            <w:vAlign w:val="top"/>
          </w:tcPr>
          <w:p>
            <w:pPr>
              <w:ind w:firstLine="0" w:firstLineChars="0"/>
              <w:jc w:val="center"/>
              <w:textAlignment w:val="center"/>
              <w:rPr>
                <w:rFonts w:hint="eastAsia" w:ascii="Calibri" w:eastAsia="宋体" w:cs="宋体"/>
                <w:b w:val="0"/>
                <w:bCs/>
                <w:color w:val="auto"/>
                <w:kern w:val="2"/>
                <w:sz w:val="24"/>
                <w:szCs w:val="24"/>
              </w:rPr>
            </w:pPr>
          </w:p>
        </w:tc>
        <w:tc>
          <w:tcPr>
            <w:tcW w:w="709" w:type="dxa"/>
            <w:vMerge w:val="continue"/>
            <w:noWrap w:val="0"/>
            <w:vAlign w:val="top"/>
          </w:tcPr>
          <w:p>
            <w:pPr>
              <w:ind w:firstLine="0" w:firstLineChars="0"/>
              <w:jc w:val="center"/>
              <w:textAlignment w:val="center"/>
              <w:rPr>
                <w:rFonts w:hint="eastAsia" w:ascii="Calibri" w:eastAsia="宋体" w:cs="宋体"/>
                <w:b w:val="0"/>
                <w:bCs/>
                <w:color w:val="auto"/>
                <w:kern w:val="2"/>
                <w:sz w:val="24"/>
                <w:szCs w:val="24"/>
              </w:rPr>
            </w:pPr>
          </w:p>
        </w:tc>
        <w:tc>
          <w:tcPr>
            <w:tcW w:w="425" w:type="dxa"/>
            <w:vMerge w:val="continue"/>
            <w:noWrap w:val="0"/>
            <w:vAlign w:val="top"/>
          </w:tcPr>
          <w:p>
            <w:pPr>
              <w:ind w:firstLine="0" w:firstLineChars="0"/>
              <w:jc w:val="center"/>
              <w:textAlignment w:val="center"/>
              <w:rPr>
                <w:rFonts w:hint="eastAsia" w:ascii="Calibri" w:eastAsia="宋体" w:cs="宋体"/>
                <w:b w:val="0"/>
                <w:bCs/>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1" w:hRule="atLeast"/>
          <w:jc w:val="center"/>
        </w:trPr>
        <w:tc>
          <w:tcPr>
            <w:tcW w:w="409" w:type="dxa"/>
            <w:vMerge w:val="restart"/>
            <w:noWrap w:val="0"/>
            <w:vAlign w:val="center"/>
          </w:tcPr>
          <w:p>
            <w:pPr>
              <w:ind w:firstLine="0" w:firstLineChars="0"/>
              <w:jc w:val="center"/>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2</w:t>
            </w:r>
          </w:p>
        </w:tc>
        <w:tc>
          <w:tcPr>
            <w:tcW w:w="704" w:type="dxa"/>
            <w:vMerge w:val="restart"/>
            <w:noWrap w:val="0"/>
            <w:vAlign w:val="center"/>
          </w:tcPr>
          <w:p>
            <w:pPr>
              <w:ind w:firstLine="0" w:firstLineChars="0"/>
              <w:jc w:val="center"/>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技术准备（15分）</w:t>
            </w:r>
          </w:p>
        </w:tc>
        <w:tc>
          <w:tcPr>
            <w:tcW w:w="3531" w:type="dxa"/>
            <w:vMerge w:val="restart"/>
            <w:noWrap w:val="0"/>
            <w:vAlign w:val="center"/>
          </w:tcPr>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1、熟悉项目基本情况，了解项目的建设背景、建设内容、规模等；</w:t>
            </w:r>
          </w:p>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2、按照有关规定提出初审意见提交中心备查；</w:t>
            </w:r>
          </w:p>
          <w:p>
            <w:pPr>
              <w:ind w:firstLine="0" w:firstLineChars="0"/>
              <w:jc w:val="left"/>
              <w:textAlignment w:val="center"/>
              <w:rPr>
                <w:rFonts w:hint="eastAsia" w:ascii="Calibri" w:eastAsia="宋体" w:cs="宋体"/>
                <w:b w:val="0"/>
                <w:bCs/>
                <w:color w:val="auto"/>
                <w:kern w:val="2"/>
                <w:sz w:val="24"/>
                <w:szCs w:val="24"/>
              </w:rPr>
            </w:pPr>
          </w:p>
        </w:tc>
        <w:tc>
          <w:tcPr>
            <w:tcW w:w="567" w:type="dxa"/>
            <w:vMerge w:val="restart"/>
            <w:noWrap w:val="0"/>
            <w:vAlign w:val="center"/>
          </w:tcPr>
          <w:p>
            <w:pPr>
              <w:ind w:firstLine="0" w:firstLineChars="0"/>
              <w:jc w:val="center"/>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12</w:t>
            </w:r>
          </w:p>
        </w:tc>
        <w:tc>
          <w:tcPr>
            <w:tcW w:w="3119" w:type="dxa"/>
            <w:noWrap w:val="0"/>
            <w:vAlign w:val="top"/>
          </w:tcPr>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1、初审意见提出及时、规范，＋1分；</w:t>
            </w:r>
          </w:p>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2、在初审意见中能较好地发现问题并提出切实可行的解决建议或办法的＋1～2分；</w:t>
            </w:r>
          </w:p>
        </w:tc>
        <w:tc>
          <w:tcPr>
            <w:tcW w:w="425" w:type="dxa"/>
            <w:vMerge w:val="restart"/>
            <w:noWrap w:val="0"/>
            <w:vAlign w:val="top"/>
          </w:tcPr>
          <w:p>
            <w:pPr>
              <w:ind w:firstLine="0" w:firstLineChars="0"/>
              <w:jc w:val="center"/>
              <w:textAlignment w:val="center"/>
              <w:rPr>
                <w:rFonts w:hint="eastAsia" w:ascii="Calibri" w:eastAsia="宋体" w:cs="宋体"/>
                <w:b w:val="0"/>
                <w:bCs/>
                <w:color w:val="auto"/>
                <w:kern w:val="2"/>
                <w:sz w:val="24"/>
                <w:szCs w:val="24"/>
              </w:rPr>
            </w:pPr>
          </w:p>
        </w:tc>
        <w:tc>
          <w:tcPr>
            <w:tcW w:w="709" w:type="dxa"/>
            <w:vMerge w:val="restart"/>
            <w:noWrap w:val="0"/>
            <w:vAlign w:val="top"/>
          </w:tcPr>
          <w:p>
            <w:pPr>
              <w:ind w:firstLine="0" w:firstLineChars="0"/>
              <w:jc w:val="center"/>
              <w:textAlignment w:val="center"/>
              <w:rPr>
                <w:rFonts w:hint="eastAsia" w:ascii="Calibri" w:eastAsia="宋体" w:cs="宋体"/>
                <w:b w:val="0"/>
                <w:bCs/>
                <w:color w:val="auto"/>
                <w:kern w:val="2"/>
                <w:sz w:val="24"/>
                <w:szCs w:val="24"/>
              </w:rPr>
            </w:pPr>
          </w:p>
        </w:tc>
        <w:tc>
          <w:tcPr>
            <w:tcW w:w="425" w:type="dxa"/>
            <w:vMerge w:val="restart"/>
            <w:noWrap w:val="0"/>
            <w:vAlign w:val="top"/>
          </w:tcPr>
          <w:p>
            <w:pPr>
              <w:ind w:firstLine="0" w:firstLineChars="0"/>
              <w:jc w:val="center"/>
              <w:textAlignment w:val="center"/>
              <w:rPr>
                <w:rFonts w:hint="eastAsia" w:ascii="Calibri" w:eastAsia="宋体" w:cs="宋体"/>
                <w:b w:val="0"/>
                <w:bCs/>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409" w:type="dxa"/>
            <w:vMerge w:val="continue"/>
            <w:noWrap w:val="0"/>
            <w:vAlign w:val="center"/>
          </w:tcPr>
          <w:p>
            <w:pPr>
              <w:ind w:firstLine="0" w:firstLineChars="0"/>
              <w:jc w:val="center"/>
              <w:textAlignment w:val="center"/>
              <w:rPr>
                <w:rFonts w:hint="eastAsia" w:ascii="Calibri" w:eastAsia="宋体" w:cs="宋体"/>
                <w:b w:val="0"/>
                <w:bCs/>
                <w:color w:val="auto"/>
                <w:kern w:val="2"/>
                <w:sz w:val="24"/>
                <w:szCs w:val="24"/>
              </w:rPr>
            </w:pPr>
          </w:p>
        </w:tc>
        <w:tc>
          <w:tcPr>
            <w:tcW w:w="704" w:type="dxa"/>
            <w:vMerge w:val="continue"/>
            <w:noWrap w:val="0"/>
            <w:vAlign w:val="center"/>
          </w:tcPr>
          <w:p>
            <w:pPr>
              <w:ind w:firstLine="0" w:firstLineChars="0"/>
              <w:jc w:val="center"/>
              <w:textAlignment w:val="center"/>
              <w:rPr>
                <w:rFonts w:hint="eastAsia" w:ascii="Calibri" w:eastAsia="宋体" w:cs="宋体"/>
                <w:b w:val="0"/>
                <w:bCs/>
                <w:color w:val="auto"/>
                <w:kern w:val="2"/>
                <w:sz w:val="24"/>
                <w:szCs w:val="24"/>
              </w:rPr>
            </w:pPr>
          </w:p>
        </w:tc>
        <w:tc>
          <w:tcPr>
            <w:tcW w:w="3531" w:type="dxa"/>
            <w:vMerge w:val="continue"/>
            <w:noWrap w:val="0"/>
            <w:vAlign w:val="center"/>
          </w:tcPr>
          <w:p>
            <w:pPr>
              <w:ind w:firstLine="0" w:firstLineChars="0"/>
              <w:jc w:val="left"/>
              <w:textAlignment w:val="center"/>
              <w:rPr>
                <w:rFonts w:hint="eastAsia" w:ascii="Calibri" w:eastAsia="宋体" w:cs="宋体"/>
                <w:b w:val="0"/>
                <w:bCs/>
                <w:color w:val="auto"/>
                <w:kern w:val="2"/>
                <w:sz w:val="24"/>
                <w:szCs w:val="24"/>
              </w:rPr>
            </w:pPr>
          </w:p>
        </w:tc>
        <w:tc>
          <w:tcPr>
            <w:tcW w:w="567" w:type="dxa"/>
            <w:vMerge w:val="continue"/>
            <w:noWrap w:val="0"/>
            <w:vAlign w:val="center"/>
          </w:tcPr>
          <w:p>
            <w:pPr>
              <w:ind w:firstLine="0" w:firstLineChars="0"/>
              <w:jc w:val="center"/>
              <w:textAlignment w:val="center"/>
              <w:rPr>
                <w:rFonts w:hint="eastAsia" w:ascii="Calibri" w:eastAsia="宋体" w:cs="宋体"/>
                <w:b w:val="0"/>
                <w:bCs/>
                <w:color w:val="auto"/>
                <w:kern w:val="2"/>
                <w:sz w:val="24"/>
                <w:szCs w:val="24"/>
              </w:rPr>
            </w:pPr>
          </w:p>
        </w:tc>
        <w:tc>
          <w:tcPr>
            <w:tcW w:w="3119" w:type="dxa"/>
            <w:noWrap w:val="0"/>
            <w:vAlign w:val="top"/>
          </w:tcPr>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 xml:space="preserve">    3、初审意见提出不及时、不规范，－0.5～1分；</w:t>
            </w:r>
          </w:p>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4、初审意见未能全面准确地发现问题，或提出的问题错误，或未针对问题提出切实可行的解决建议或办法的－1～2分；</w:t>
            </w:r>
          </w:p>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5、工作方案所提交的咨询专家中无故未到现场的，每人次-2分，咨询机构所拟定的项目经理无故未到场的-4分。</w:t>
            </w:r>
          </w:p>
        </w:tc>
        <w:tc>
          <w:tcPr>
            <w:tcW w:w="425" w:type="dxa"/>
            <w:vMerge w:val="continue"/>
            <w:noWrap w:val="0"/>
            <w:vAlign w:val="top"/>
          </w:tcPr>
          <w:p>
            <w:pPr>
              <w:ind w:firstLine="0" w:firstLineChars="0"/>
              <w:jc w:val="center"/>
              <w:textAlignment w:val="center"/>
              <w:rPr>
                <w:rFonts w:hint="eastAsia" w:ascii="Calibri" w:eastAsia="宋体" w:cs="宋体"/>
                <w:b w:val="0"/>
                <w:bCs/>
                <w:color w:val="auto"/>
                <w:kern w:val="2"/>
                <w:sz w:val="24"/>
                <w:szCs w:val="24"/>
              </w:rPr>
            </w:pPr>
          </w:p>
        </w:tc>
        <w:tc>
          <w:tcPr>
            <w:tcW w:w="709" w:type="dxa"/>
            <w:vMerge w:val="continue"/>
            <w:noWrap w:val="0"/>
            <w:vAlign w:val="top"/>
          </w:tcPr>
          <w:p>
            <w:pPr>
              <w:ind w:firstLine="0" w:firstLineChars="0"/>
              <w:jc w:val="center"/>
              <w:textAlignment w:val="center"/>
              <w:rPr>
                <w:rFonts w:hint="eastAsia" w:ascii="Calibri" w:eastAsia="宋体" w:cs="宋体"/>
                <w:b w:val="0"/>
                <w:bCs/>
                <w:color w:val="auto"/>
                <w:kern w:val="2"/>
                <w:sz w:val="24"/>
                <w:szCs w:val="24"/>
              </w:rPr>
            </w:pPr>
          </w:p>
        </w:tc>
        <w:tc>
          <w:tcPr>
            <w:tcW w:w="425" w:type="dxa"/>
            <w:vMerge w:val="continue"/>
            <w:noWrap w:val="0"/>
            <w:vAlign w:val="top"/>
          </w:tcPr>
          <w:p>
            <w:pPr>
              <w:ind w:firstLine="0" w:firstLineChars="0"/>
              <w:jc w:val="center"/>
              <w:textAlignment w:val="center"/>
              <w:rPr>
                <w:rFonts w:hint="eastAsia" w:ascii="Calibri" w:eastAsia="宋体" w:cs="宋体"/>
                <w:b w:val="0"/>
                <w:bCs/>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9" w:type="dxa"/>
            <w:vMerge w:val="restart"/>
            <w:noWrap w:val="0"/>
            <w:vAlign w:val="center"/>
          </w:tcPr>
          <w:p>
            <w:pPr>
              <w:ind w:firstLine="0" w:firstLineChars="0"/>
              <w:jc w:val="center"/>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3</w:t>
            </w:r>
          </w:p>
        </w:tc>
        <w:tc>
          <w:tcPr>
            <w:tcW w:w="704" w:type="dxa"/>
            <w:vMerge w:val="restart"/>
            <w:noWrap w:val="0"/>
            <w:vAlign w:val="center"/>
          </w:tcPr>
          <w:p>
            <w:pPr>
              <w:ind w:firstLine="0" w:firstLineChars="0"/>
              <w:jc w:val="center"/>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评审会议（10分）</w:t>
            </w:r>
          </w:p>
        </w:tc>
        <w:tc>
          <w:tcPr>
            <w:tcW w:w="3531" w:type="dxa"/>
            <w:vMerge w:val="restart"/>
            <w:noWrap w:val="0"/>
            <w:vAlign w:val="center"/>
          </w:tcPr>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会议组织：会场大小、会场</w:t>
            </w:r>
          </w:p>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布置、会议设备满足项目评审需要，会场组织合理；会议程序安排适当；</w:t>
            </w:r>
          </w:p>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2、会议成果：会议对项目进行全方位专业化的评审，指出项目存在的问题和提出合理化建议，形成会议成果，指导下一步修订工作。</w:t>
            </w:r>
          </w:p>
        </w:tc>
        <w:tc>
          <w:tcPr>
            <w:tcW w:w="567" w:type="dxa"/>
            <w:vMerge w:val="restart"/>
            <w:noWrap w:val="0"/>
            <w:vAlign w:val="center"/>
          </w:tcPr>
          <w:p>
            <w:pPr>
              <w:ind w:firstLine="0" w:firstLineChars="0"/>
              <w:jc w:val="center"/>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8</w:t>
            </w:r>
          </w:p>
        </w:tc>
        <w:tc>
          <w:tcPr>
            <w:tcW w:w="3119" w:type="dxa"/>
            <w:noWrap w:val="0"/>
            <w:vAlign w:val="top"/>
          </w:tcPr>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1、会议组织合理，重点突出，会上指出项目存在的重大问题并提出切实可行的建议+1~2分。</w:t>
            </w:r>
          </w:p>
        </w:tc>
        <w:tc>
          <w:tcPr>
            <w:tcW w:w="425" w:type="dxa"/>
            <w:vMerge w:val="restart"/>
            <w:noWrap w:val="0"/>
            <w:vAlign w:val="top"/>
          </w:tcPr>
          <w:p>
            <w:pPr>
              <w:ind w:firstLine="0" w:firstLineChars="0"/>
              <w:jc w:val="center"/>
              <w:textAlignment w:val="center"/>
              <w:rPr>
                <w:rFonts w:hint="eastAsia" w:ascii="Calibri" w:eastAsia="宋体" w:cs="宋体"/>
                <w:b w:val="0"/>
                <w:bCs/>
                <w:color w:val="auto"/>
                <w:kern w:val="2"/>
                <w:sz w:val="24"/>
                <w:szCs w:val="24"/>
              </w:rPr>
            </w:pPr>
          </w:p>
        </w:tc>
        <w:tc>
          <w:tcPr>
            <w:tcW w:w="709" w:type="dxa"/>
            <w:vMerge w:val="restart"/>
            <w:noWrap w:val="0"/>
            <w:vAlign w:val="top"/>
          </w:tcPr>
          <w:p>
            <w:pPr>
              <w:ind w:firstLine="0" w:firstLineChars="0"/>
              <w:jc w:val="center"/>
              <w:textAlignment w:val="center"/>
              <w:rPr>
                <w:rFonts w:hint="eastAsia" w:ascii="Calibri" w:eastAsia="宋体" w:cs="宋体"/>
                <w:b w:val="0"/>
                <w:bCs/>
                <w:color w:val="auto"/>
                <w:kern w:val="2"/>
                <w:sz w:val="24"/>
                <w:szCs w:val="24"/>
              </w:rPr>
            </w:pPr>
          </w:p>
        </w:tc>
        <w:tc>
          <w:tcPr>
            <w:tcW w:w="425" w:type="dxa"/>
            <w:vMerge w:val="restart"/>
            <w:noWrap w:val="0"/>
            <w:vAlign w:val="top"/>
          </w:tcPr>
          <w:p>
            <w:pPr>
              <w:ind w:firstLine="0" w:firstLineChars="0"/>
              <w:jc w:val="center"/>
              <w:textAlignment w:val="center"/>
              <w:rPr>
                <w:rFonts w:hint="eastAsia" w:ascii="Calibri" w:eastAsia="宋体" w:cs="宋体"/>
                <w:b w:val="0"/>
                <w:bCs/>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409" w:type="dxa"/>
            <w:vMerge w:val="continue"/>
            <w:noWrap w:val="0"/>
            <w:vAlign w:val="center"/>
          </w:tcPr>
          <w:p>
            <w:pPr>
              <w:ind w:firstLine="0" w:firstLineChars="0"/>
              <w:jc w:val="center"/>
              <w:textAlignment w:val="center"/>
              <w:rPr>
                <w:rFonts w:hint="eastAsia" w:ascii="Calibri" w:eastAsia="宋体" w:cs="宋体"/>
                <w:b w:val="0"/>
                <w:bCs/>
                <w:color w:val="auto"/>
                <w:kern w:val="2"/>
                <w:sz w:val="24"/>
                <w:szCs w:val="24"/>
              </w:rPr>
            </w:pPr>
          </w:p>
        </w:tc>
        <w:tc>
          <w:tcPr>
            <w:tcW w:w="704" w:type="dxa"/>
            <w:vMerge w:val="continue"/>
            <w:noWrap w:val="0"/>
            <w:vAlign w:val="center"/>
          </w:tcPr>
          <w:p>
            <w:pPr>
              <w:ind w:firstLine="0" w:firstLineChars="0"/>
              <w:jc w:val="center"/>
              <w:textAlignment w:val="center"/>
              <w:rPr>
                <w:rFonts w:hint="eastAsia" w:ascii="Calibri" w:eastAsia="宋体" w:cs="宋体"/>
                <w:b w:val="0"/>
                <w:bCs/>
                <w:color w:val="auto"/>
                <w:kern w:val="2"/>
                <w:sz w:val="24"/>
                <w:szCs w:val="24"/>
              </w:rPr>
            </w:pPr>
          </w:p>
        </w:tc>
        <w:tc>
          <w:tcPr>
            <w:tcW w:w="3531" w:type="dxa"/>
            <w:vMerge w:val="continue"/>
            <w:noWrap w:val="0"/>
            <w:vAlign w:val="center"/>
          </w:tcPr>
          <w:p>
            <w:pPr>
              <w:ind w:firstLine="0" w:firstLineChars="0"/>
              <w:jc w:val="left"/>
              <w:textAlignment w:val="center"/>
              <w:rPr>
                <w:rFonts w:hint="eastAsia" w:ascii="Calibri" w:eastAsia="宋体" w:cs="宋体"/>
                <w:b w:val="0"/>
                <w:bCs/>
                <w:color w:val="auto"/>
                <w:kern w:val="2"/>
                <w:sz w:val="24"/>
                <w:szCs w:val="24"/>
              </w:rPr>
            </w:pPr>
          </w:p>
        </w:tc>
        <w:tc>
          <w:tcPr>
            <w:tcW w:w="567" w:type="dxa"/>
            <w:vMerge w:val="continue"/>
            <w:noWrap w:val="0"/>
            <w:vAlign w:val="center"/>
          </w:tcPr>
          <w:p>
            <w:pPr>
              <w:ind w:firstLine="0" w:firstLineChars="0"/>
              <w:jc w:val="center"/>
              <w:textAlignment w:val="center"/>
              <w:rPr>
                <w:rFonts w:hint="eastAsia" w:ascii="Calibri" w:eastAsia="宋体" w:cs="宋体"/>
                <w:b w:val="0"/>
                <w:bCs/>
                <w:color w:val="auto"/>
                <w:kern w:val="2"/>
                <w:sz w:val="24"/>
                <w:szCs w:val="24"/>
              </w:rPr>
            </w:pPr>
          </w:p>
        </w:tc>
        <w:tc>
          <w:tcPr>
            <w:tcW w:w="3119" w:type="dxa"/>
            <w:noWrap w:val="0"/>
            <w:vAlign w:val="top"/>
          </w:tcPr>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2、会场组织混乱无序的-2分；</w:t>
            </w:r>
          </w:p>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3、会议评审遗漏一般问题的-2分；遗漏重大问题的-4分；</w:t>
            </w:r>
          </w:p>
        </w:tc>
        <w:tc>
          <w:tcPr>
            <w:tcW w:w="425" w:type="dxa"/>
            <w:vMerge w:val="continue"/>
            <w:noWrap w:val="0"/>
            <w:vAlign w:val="top"/>
          </w:tcPr>
          <w:p>
            <w:pPr>
              <w:ind w:firstLine="0" w:firstLineChars="0"/>
              <w:jc w:val="center"/>
              <w:textAlignment w:val="center"/>
              <w:rPr>
                <w:rFonts w:hint="eastAsia" w:ascii="Calibri" w:eastAsia="宋体" w:cs="宋体"/>
                <w:b w:val="0"/>
                <w:bCs/>
                <w:color w:val="auto"/>
                <w:kern w:val="2"/>
                <w:sz w:val="24"/>
                <w:szCs w:val="24"/>
              </w:rPr>
            </w:pPr>
          </w:p>
        </w:tc>
        <w:tc>
          <w:tcPr>
            <w:tcW w:w="709" w:type="dxa"/>
            <w:vMerge w:val="continue"/>
            <w:noWrap w:val="0"/>
            <w:vAlign w:val="top"/>
          </w:tcPr>
          <w:p>
            <w:pPr>
              <w:ind w:firstLine="0" w:firstLineChars="0"/>
              <w:jc w:val="center"/>
              <w:textAlignment w:val="center"/>
              <w:rPr>
                <w:rFonts w:hint="eastAsia" w:ascii="Calibri" w:eastAsia="宋体" w:cs="宋体"/>
                <w:b w:val="0"/>
                <w:bCs/>
                <w:color w:val="auto"/>
                <w:kern w:val="2"/>
                <w:sz w:val="24"/>
                <w:szCs w:val="24"/>
              </w:rPr>
            </w:pPr>
          </w:p>
        </w:tc>
        <w:tc>
          <w:tcPr>
            <w:tcW w:w="425" w:type="dxa"/>
            <w:vMerge w:val="continue"/>
            <w:noWrap w:val="0"/>
            <w:vAlign w:val="top"/>
          </w:tcPr>
          <w:p>
            <w:pPr>
              <w:ind w:firstLine="0" w:firstLineChars="0"/>
              <w:jc w:val="center"/>
              <w:textAlignment w:val="center"/>
              <w:rPr>
                <w:rFonts w:hint="eastAsia" w:ascii="Calibri" w:eastAsia="宋体" w:cs="宋体"/>
                <w:b w:val="0"/>
                <w:bCs/>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jc w:val="center"/>
        </w:trPr>
        <w:tc>
          <w:tcPr>
            <w:tcW w:w="409" w:type="dxa"/>
            <w:vMerge w:val="restart"/>
            <w:noWrap w:val="0"/>
            <w:vAlign w:val="center"/>
          </w:tcPr>
          <w:p>
            <w:pPr>
              <w:ind w:firstLine="0" w:firstLineChars="0"/>
              <w:jc w:val="center"/>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4</w:t>
            </w:r>
          </w:p>
        </w:tc>
        <w:tc>
          <w:tcPr>
            <w:tcW w:w="704" w:type="dxa"/>
            <w:vMerge w:val="restart"/>
            <w:noWrap w:val="0"/>
            <w:vAlign w:val="center"/>
          </w:tcPr>
          <w:p>
            <w:pPr>
              <w:ind w:firstLine="0" w:firstLineChars="0"/>
              <w:jc w:val="center"/>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技术管理与复核</w:t>
            </w:r>
          </w:p>
          <w:p>
            <w:pPr>
              <w:ind w:firstLine="0" w:firstLineChars="0"/>
              <w:jc w:val="center"/>
              <w:textAlignment w:val="center"/>
              <w:rPr>
                <w:rFonts w:hint="eastAsia" w:ascii="Calibri" w:eastAsia="宋体" w:cs="宋体"/>
                <w:b w:val="0"/>
                <w:bCs/>
                <w:color w:val="auto"/>
                <w:kern w:val="2"/>
                <w:sz w:val="24"/>
                <w:szCs w:val="24"/>
              </w:rPr>
            </w:pPr>
          </w:p>
          <w:p>
            <w:pPr>
              <w:ind w:firstLine="0" w:firstLineChars="0"/>
              <w:jc w:val="center"/>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（30分）</w:t>
            </w:r>
          </w:p>
        </w:tc>
        <w:tc>
          <w:tcPr>
            <w:tcW w:w="3531" w:type="dxa"/>
            <w:vMerge w:val="restart"/>
            <w:noWrap w:val="0"/>
            <w:vAlign w:val="center"/>
          </w:tcPr>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 xml:space="preserve">1、评审意见（含初审阶段）应对成果数据全面复核，能耗计算基本准确，计算依据充分，无多项、漏项，无计算偏差； </w:t>
            </w:r>
          </w:p>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2、重要变更要痕迹记录。</w:t>
            </w:r>
          </w:p>
        </w:tc>
        <w:tc>
          <w:tcPr>
            <w:tcW w:w="567" w:type="dxa"/>
            <w:vMerge w:val="restart"/>
            <w:noWrap w:val="0"/>
            <w:vAlign w:val="center"/>
          </w:tcPr>
          <w:p>
            <w:pPr>
              <w:ind w:firstLine="0" w:firstLineChars="0"/>
              <w:jc w:val="center"/>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24</w:t>
            </w:r>
          </w:p>
        </w:tc>
        <w:tc>
          <w:tcPr>
            <w:tcW w:w="3119" w:type="dxa"/>
            <w:noWrap w:val="0"/>
            <w:vAlign w:val="top"/>
          </w:tcPr>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1、对项目建设内容、能耗计算等能准确校对的＋1～3分；</w:t>
            </w:r>
          </w:p>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2、各项依据充分合理，复核成果全面无误，能提供复核记录的＋1～2分。</w:t>
            </w:r>
          </w:p>
        </w:tc>
        <w:tc>
          <w:tcPr>
            <w:tcW w:w="425" w:type="dxa"/>
            <w:vMerge w:val="restart"/>
            <w:noWrap w:val="0"/>
            <w:vAlign w:val="top"/>
          </w:tcPr>
          <w:p>
            <w:pPr>
              <w:ind w:firstLine="0" w:firstLineChars="0"/>
              <w:jc w:val="center"/>
              <w:textAlignment w:val="center"/>
              <w:rPr>
                <w:rFonts w:hint="eastAsia" w:ascii="Calibri" w:eastAsia="宋体" w:cs="宋体"/>
                <w:b w:val="0"/>
                <w:bCs/>
                <w:color w:val="auto"/>
                <w:kern w:val="2"/>
                <w:sz w:val="24"/>
                <w:szCs w:val="24"/>
              </w:rPr>
            </w:pPr>
          </w:p>
        </w:tc>
        <w:tc>
          <w:tcPr>
            <w:tcW w:w="709" w:type="dxa"/>
            <w:vMerge w:val="restart"/>
            <w:noWrap w:val="0"/>
            <w:vAlign w:val="top"/>
          </w:tcPr>
          <w:p>
            <w:pPr>
              <w:ind w:firstLine="0" w:firstLineChars="0"/>
              <w:jc w:val="center"/>
              <w:textAlignment w:val="center"/>
              <w:rPr>
                <w:rFonts w:hint="eastAsia" w:ascii="Calibri" w:eastAsia="宋体" w:cs="宋体"/>
                <w:b w:val="0"/>
                <w:bCs/>
                <w:color w:val="auto"/>
                <w:kern w:val="2"/>
                <w:sz w:val="24"/>
                <w:szCs w:val="24"/>
              </w:rPr>
            </w:pPr>
          </w:p>
        </w:tc>
        <w:tc>
          <w:tcPr>
            <w:tcW w:w="425" w:type="dxa"/>
            <w:vMerge w:val="restart"/>
            <w:noWrap w:val="0"/>
            <w:vAlign w:val="top"/>
          </w:tcPr>
          <w:p>
            <w:pPr>
              <w:ind w:firstLine="0" w:firstLineChars="0"/>
              <w:jc w:val="center"/>
              <w:textAlignment w:val="center"/>
              <w:rPr>
                <w:rFonts w:hint="eastAsia" w:ascii="Calibri" w:eastAsia="宋体" w:cs="宋体"/>
                <w:b w:val="0"/>
                <w:bCs/>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0" w:hRule="atLeast"/>
          <w:jc w:val="center"/>
        </w:trPr>
        <w:tc>
          <w:tcPr>
            <w:tcW w:w="409" w:type="dxa"/>
            <w:vMerge w:val="continue"/>
            <w:noWrap w:val="0"/>
            <w:vAlign w:val="center"/>
          </w:tcPr>
          <w:p>
            <w:pPr>
              <w:ind w:firstLine="0" w:firstLineChars="0"/>
              <w:jc w:val="center"/>
              <w:textAlignment w:val="center"/>
              <w:rPr>
                <w:rFonts w:hint="eastAsia" w:ascii="Calibri" w:eastAsia="宋体" w:cs="宋体"/>
                <w:b w:val="0"/>
                <w:bCs/>
                <w:color w:val="auto"/>
                <w:kern w:val="2"/>
                <w:sz w:val="24"/>
                <w:szCs w:val="24"/>
              </w:rPr>
            </w:pPr>
          </w:p>
        </w:tc>
        <w:tc>
          <w:tcPr>
            <w:tcW w:w="704" w:type="dxa"/>
            <w:vMerge w:val="continue"/>
            <w:noWrap w:val="0"/>
            <w:vAlign w:val="center"/>
          </w:tcPr>
          <w:p>
            <w:pPr>
              <w:ind w:firstLine="0" w:firstLineChars="0"/>
              <w:jc w:val="center"/>
              <w:textAlignment w:val="center"/>
              <w:rPr>
                <w:rFonts w:hint="eastAsia" w:ascii="Calibri" w:eastAsia="宋体" w:cs="宋体"/>
                <w:b w:val="0"/>
                <w:bCs/>
                <w:color w:val="auto"/>
                <w:kern w:val="2"/>
                <w:sz w:val="24"/>
                <w:szCs w:val="24"/>
              </w:rPr>
            </w:pPr>
          </w:p>
        </w:tc>
        <w:tc>
          <w:tcPr>
            <w:tcW w:w="3531" w:type="dxa"/>
            <w:vMerge w:val="continue"/>
            <w:noWrap w:val="0"/>
            <w:vAlign w:val="center"/>
          </w:tcPr>
          <w:p>
            <w:pPr>
              <w:ind w:firstLine="0" w:firstLineChars="0"/>
              <w:jc w:val="left"/>
              <w:textAlignment w:val="center"/>
              <w:rPr>
                <w:rFonts w:hint="eastAsia" w:ascii="Calibri" w:eastAsia="宋体" w:cs="宋体"/>
                <w:b w:val="0"/>
                <w:bCs/>
                <w:color w:val="auto"/>
                <w:kern w:val="2"/>
                <w:sz w:val="24"/>
                <w:szCs w:val="24"/>
              </w:rPr>
            </w:pPr>
          </w:p>
        </w:tc>
        <w:tc>
          <w:tcPr>
            <w:tcW w:w="567" w:type="dxa"/>
            <w:vMerge w:val="continue"/>
            <w:noWrap w:val="0"/>
            <w:vAlign w:val="center"/>
          </w:tcPr>
          <w:p>
            <w:pPr>
              <w:ind w:firstLine="0" w:firstLineChars="0"/>
              <w:jc w:val="center"/>
              <w:textAlignment w:val="center"/>
              <w:rPr>
                <w:rFonts w:hint="eastAsia" w:ascii="Calibri" w:eastAsia="宋体" w:cs="宋体"/>
                <w:b w:val="0"/>
                <w:bCs/>
                <w:color w:val="auto"/>
                <w:kern w:val="2"/>
                <w:sz w:val="24"/>
                <w:szCs w:val="24"/>
              </w:rPr>
            </w:pPr>
          </w:p>
        </w:tc>
        <w:tc>
          <w:tcPr>
            <w:tcW w:w="3119" w:type="dxa"/>
            <w:noWrap w:val="0"/>
            <w:vAlign w:val="top"/>
          </w:tcPr>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3、不了解项目对应的建设标准、技术规范的-4分；</w:t>
            </w:r>
          </w:p>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4、复核后的能耗指标相对经验指标或测算指标等存在一定偏差的每项-2分；</w:t>
            </w:r>
          </w:p>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5、未对评审会提出的问题予以落实的-2分；</w:t>
            </w:r>
          </w:p>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6、复核后的编制文本不符合有关规定，文本、表格等各项数据对应有偏差的-2分；</w:t>
            </w:r>
          </w:p>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7、基本计算有误的-2分；</w:t>
            </w:r>
          </w:p>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8、内部管理失控、无效、未能发挥内部复核作用的-5分。</w:t>
            </w:r>
          </w:p>
        </w:tc>
        <w:tc>
          <w:tcPr>
            <w:tcW w:w="425" w:type="dxa"/>
            <w:vMerge w:val="continue"/>
            <w:noWrap w:val="0"/>
            <w:vAlign w:val="top"/>
          </w:tcPr>
          <w:p>
            <w:pPr>
              <w:ind w:firstLine="0" w:firstLineChars="0"/>
              <w:jc w:val="center"/>
              <w:textAlignment w:val="center"/>
              <w:rPr>
                <w:rFonts w:hint="eastAsia" w:ascii="Calibri" w:eastAsia="宋体" w:cs="宋体"/>
                <w:b w:val="0"/>
                <w:bCs/>
                <w:color w:val="auto"/>
                <w:kern w:val="2"/>
                <w:sz w:val="24"/>
                <w:szCs w:val="24"/>
              </w:rPr>
            </w:pPr>
          </w:p>
        </w:tc>
        <w:tc>
          <w:tcPr>
            <w:tcW w:w="709" w:type="dxa"/>
            <w:vMerge w:val="continue"/>
            <w:noWrap w:val="0"/>
            <w:vAlign w:val="top"/>
          </w:tcPr>
          <w:p>
            <w:pPr>
              <w:ind w:firstLine="0" w:firstLineChars="0"/>
              <w:jc w:val="center"/>
              <w:textAlignment w:val="center"/>
              <w:rPr>
                <w:rFonts w:hint="eastAsia" w:ascii="Calibri" w:eastAsia="宋体" w:cs="宋体"/>
                <w:b w:val="0"/>
                <w:bCs/>
                <w:color w:val="auto"/>
                <w:kern w:val="2"/>
                <w:sz w:val="24"/>
                <w:szCs w:val="24"/>
              </w:rPr>
            </w:pPr>
          </w:p>
        </w:tc>
        <w:tc>
          <w:tcPr>
            <w:tcW w:w="425" w:type="dxa"/>
            <w:vMerge w:val="continue"/>
            <w:noWrap w:val="0"/>
            <w:vAlign w:val="top"/>
          </w:tcPr>
          <w:p>
            <w:pPr>
              <w:ind w:firstLine="0" w:firstLineChars="0"/>
              <w:jc w:val="center"/>
              <w:textAlignment w:val="center"/>
              <w:rPr>
                <w:rFonts w:hint="eastAsia" w:ascii="Calibri" w:eastAsia="宋体" w:cs="宋体"/>
                <w:b w:val="0"/>
                <w:bCs/>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409" w:type="dxa"/>
            <w:vMerge w:val="restart"/>
            <w:noWrap w:val="0"/>
            <w:vAlign w:val="center"/>
          </w:tcPr>
          <w:p>
            <w:pPr>
              <w:ind w:firstLine="0" w:firstLineChars="0"/>
              <w:jc w:val="center"/>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5</w:t>
            </w:r>
          </w:p>
        </w:tc>
        <w:tc>
          <w:tcPr>
            <w:tcW w:w="704" w:type="dxa"/>
            <w:vMerge w:val="restart"/>
            <w:noWrap w:val="0"/>
            <w:vAlign w:val="center"/>
          </w:tcPr>
          <w:p>
            <w:pPr>
              <w:ind w:firstLine="0" w:firstLineChars="0"/>
              <w:jc w:val="center"/>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成果文件编制质量（10分）</w:t>
            </w:r>
          </w:p>
        </w:tc>
        <w:tc>
          <w:tcPr>
            <w:tcW w:w="3531" w:type="dxa"/>
            <w:vMerge w:val="restart"/>
            <w:noWrap w:val="0"/>
            <w:vAlign w:val="center"/>
          </w:tcPr>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报告编制符合规范，符合标准文本相关要求，反映内容完整，附件齐全，装订工整、规范，无错别字等非技术性错误。</w:t>
            </w:r>
          </w:p>
        </w:tc>
        <w:tc>
          <w:tcPr>
            <w:tcW w:w="567" w:type="dxa"/>
            <w:vMerge w:val="restart"/>
            <w:noWrap w:val="0"/>
            <w:vAlign w:val="center"/>
          </w:tcPr>
          <w:p>
            <w:pPr>
              <w:ind w:firstLine="0" w:firstLineChars="0"/>
              <w:jc w:val="center"/>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8</w:t>
            </w:r>
          </w:p>
        </w:tc>
        <w:tc>
          <w:tcPr>
            <w:tcW w:w="3119" w:type="dxa"/>
            <w:noWrap w:val="0"/>
            <w:vAlign w:val="top"/>
          </w:tcPr>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1、报告编制符合规范，符合标准文本相关要求，反映内容完整，附件齐全，装订工整、规范，无错别字等非技术性错误+1~2分。</w:t>
            </w:r>
          </w:p>
        </w:tc>
        <w:tc>
          <w:tcPr>
            <w:tcW w:w="425" w:type="dxa"/>
            <w:vMerge w:val="restart"/>
            <w:noWrap w:val="0"/>
            <w:vAlign w:val="top"/>
          </w:tcPr>
          <w:p>
            <w:pPr>
              <w:ind w:firstLine="0" w:firstLineChars="0"/>
              <w:jc w:val="center"/>
              <w:textAlignment w:val="center"/>
              <w:rPr>
                <w:rFonts w:hint="eastAsia" w:ascii="Calibri" w:eastAsia="宋体" w:cs="宋体"/>
                <w:b w:val="0"/>
                <w:bCs/>
                <w:color w:val="auto"/>
                <w:kern w:val="2"/>
                <w:sz w:val="24"/>
                <w:szCs w:val="24"/>
              </w:rPr>
            </w:pPr>
          </w:p>
        </w:tc>
        <w:tc>
          <w:tcPr>
            <w:tcW w:w="709" w:type="dxa"/>
            <w:vMerge w:val="restart"/>
            <w:noWrap w:val="0"/>
            <w:vAlign w:val="top"/>
          </w:tcPr>
          <w:p>
            <w:pPr>
              <w:ind w:firstLine="0" w:firstLineChars="0"/>
              <w:jc w:val="center"/>
              <w:textAlignment w:val="center"/>
              <w:rPr>
                <w:rFonts w:hint="eastAsia" w:ascii="Calibri" w:eastAsia="宋体" w:cs="宋体"/>
                <w:b w:val="0"/>
                <w:bCs/>
                <w:color w:val="auto"/>
                <w:kern w:val="2"/>
                <w:sz w:val="24"/>
                <w:szCs w:val="24"/>
              </w:rPr>
            </w:pPr>
          </w:p>
        </w:tc>
        <w:tc>
          <w:tcPr>
            <w:tcW w:w="425" w:type="dxa"/>
            <w:vMerge w:val="restart"/>
            <w:noWrap w:val="0"/>
            <w:vAlign w:val="top"/>
          </w:tcPr>
          <w:p>
            <w:pPr>
              <w:ind w:firstLine="0" w:firstLineChars="0"/>
              <w:jc w:val="center"/>
              <w:textAlignment w:val="center"/>
              <w:rPr>
                <w:rFonts w:hint="eastAsia" w:ascii="Calibri" w:eastAsia="宋体" w:cs="宋体"/>
                <w:b w:val="0"/>
                <w:bCs/>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jc w:val="center"/>
        </w:trPr>
        <w:tc>
          <w:tcPr>
            <w:tcW w:w="409" w:type="dxa"/>
            <w:vMerge w:val="continue"/>
            <w:noWrap w:val="0"/>
            <w:vAlign w:val="center"/>
          </w:tcPr>
          <w:p>
            <w:pPr>
              <w:ind w:firstLine="0" w:firstLineChars="0"/>
              <w:jc w:val="center"/>
              <w:textAlignment w:val="center"/>
              <w:rPr>
                <w:rFonts w:hint="eastAsia" w:ascii="Calibri" w:eastAsia="宋体" w:cs="宋体"/>
                <w:b w:val="0"/>
                <w:bCs/>
                <w:color w:val="auto"/>
                <w:kern w:val="2"/>
                <w:sz w:val="24"/>
                <w:szCs w:val="24"/>
              </w:rPr>
            </w:pPr>
          </w:p>
        </w:tc>
        <w:tc>
          <w:tcPr>
            <w:tcW w:w="704" w:type="dxa"/>
            <w:vMerge w:val="continue"/>
            <w:noWrap w:val="0"/>
            <w:vAlign w:val="center"/>
          </w:tcPr>
          <w:p>
            <w:pPr>
              <w:ind w:firstLine="0" w:firstLineChars="0"/>
              <w:jc w:val="center"/>
              <w:textAlignment w:val="center"/>
              <w:rPr>
                <w:rFonts w:hint="eastAsia" w:ascii="Calibri" w:eastAsia="宋体" w:cs="宋体"/>
                <w:b w:val="0"/>
                <w:bCs/>
                <w:color w:val="auto"/>
                <w:kern w:val="2"/>
                <w:sz w:val="24"/>
                <w:szCs w:val="24"/>
              </w:rPr>
            </w:pPr>
          </w:p>
        </w:tc>
        <w:tc>
          <w:tcPr>
            <w:tcW w:w="3531" w:type="dxa"/>
            <w:vMerge w:val="continue"/>
            <w:noWrap w:val="0"/>
            <w:vAlign w:val="center"/>
          </w:tcPr>
          <w:p>
            <w:pPr>
              <w:ind w:firstLine="0" w:firstLineChars="0"/>
              <w:jc w:val="left"/>
              <w:textAlignment w:val="center"/>
              <w:rPr>
                <w:rFonts w:hint="eastAsia" w:ascii="Calibri" w:eastAsia="宋体" w:cs="宋体"/>
                <w:b w:val="0"/>
                <w:bCs/>
                <w:color w:val="auto"/>
                <w:kern w:val="2"/>
                <w:sz w:val="24"/>
                <w:szCs w:val="24"/>
              </w:rPr>
            </w:pPr>
          </w:p>
        </w:tc>
        <w:tc>
          <w:tcPr>
            <w:tcW w:w="567" w:type="dxa"/>
            <w:vMerge w:val="continue"/>
            <w:noWrap w:val="0"/>
            <w:vAlign w:val="center"/>
          </w:tcPr>
          <w:p>
            <w:pPr>
              <w:ind w:firstLine="0" w:firstLineChars="0"/>
              <w:jc w:val="center"/>
              <w:textAlignment w:val="center"/>
              <w:rPr>
                <w:rFonts w:hint="eastAsia" w:ascii="Calibri" w:eastAsia="宋体" w:cs="宋体"/>
                <w:b w:val="0"/>
                <w:bCs/>
                <w:color w:val="auto"/>
                <w:kern w:val="2"/>
                <w:sz w:val="24"/>
                <w:szCs w:val="24"/>
              </w:rPr>
            </w:pPr>
          </w:p>
        </w:tc>
        <w:tc>
          <w:tcPr>
            <w:tcW w:w="3119" w:type="dxa"/>
            <w:noWrap w:val="0"/>
            <w:vAlign w:val="top"/>
          </w:tcPr>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2、报告编制不符合标准文本格式要求的-2分;</w:t>
            </w:r>
          </w:p>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3、反映内容不全，遗漏一般问题的-2分；遗漏重大问题的-4分；</w:t>
            </w:r>
          </w:p>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4、附件不齐的-2分；</w:t>
            </w:r>
          </w:p>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5、装订不规范的-2分；</w:t>
            </w:r>
          </w:p>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6、有非技术性错误的-1分。</w:t>
            </w:r>
          </w:p>
        </w:tc>
        <w:tc>
          <w:tcPr>
            <w:tcW w:w="425" w:type="dxa"/>
            <w:vMerge w:val="continue"/>
            <w:noWrap w:val="0"/>
            <w:vAlign w:val="top"/>
          </w:tcPr>
          <w:p>
            <w:pPr>
              <w:ind w:firstLine="0" w:firstLineChars="0"/>
              <w:jc w:val="center"/>
              <w:textAlignment w:val="center"/>
              <w:rPr>
                <w:rFonts w:hint="eastAsia" w:ascii="Calibri" w:eastAsia="宋体" w:cs="宋体"/>
                <w:b w:val="0"/>
                <w:bCs/>
                <w:color w:val="auto"/>
                <w:kern w:val="2"/>
                <w:sz w:val="24"/>
                <w:szCs w:val="24"/>
              </w:rPr>
            </w:pPr>
          </w:p>
        </w:tc>
        <w:tc>
          <w:tcPr>
            <w:tcW w:w="709" w:type="dxa"/>
            <w:vMerge w:val="continue"/>
            <w:noWrap w:val="0"/>
            <w:vAlign w:val="top"/>
          </w:tcPr>
          <w:p>
            <w:pPr>
              <w:ind w:firstLine="0" w:firstLineChars="0"/>
              <w:jc w:val="center"/>
              <w:textAlignment w:val="center"/>
              <w:rPr>
                <w:rFonts w:hint="eastAsia" w:ascii="Calibri" w:eastAsia="宋体" w:cs="宋体"/>
                <w:b w:val="0"/>
                <w:bCs/>
                <w:color w:val="auto"/>
                <w:kern w:val="2"/>
                <w:sz w:val="24"/>
                <w:szCs w:val="24"/>
              </w:rPr>
            </w:pPr>
          </w:p>
        </w:tc>
        <w:tc>
          <w:tcPr>
            <w:tcW w:w="425" w:type="dxa"/>
            <w:vMerge w:val="continue"/>
            <w:noWrap w:val="0"/>
            <w:vAlign w:val="top"/>
          </w:tcPr>
          <w:p>
            <w:pPr>
              <w:ind w:firstLine="0" w:firstLineChars="0"/>
              <w:jc w:val="center"/>
              <w:textAlignment w:val="center"/>
              <w:rPr>
                <w:rFonts w:hint="eastAsia" w:ascii="Calibri" w:eastAsia="宋体" w:cs="宋体"/>
                <w:b w:val="0"/>
                <w:bCs/>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09" w:type="dxa"/>
            <w:vMerge w:val="restart"/>
            <w:noWrap w:val="0"/>
            <w:vAlign w:val="center"/>
          </w:tcPr>
          <w:p>
            <w:pPr>
              <w:ind w:firstLine="0" w:firstLineChars="0"/>
              <w:jc w:val="center"/>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6</w:t>
            </w:r>
          </w:p>
        </w:tc>
        <w:tc>
          <w:tcPr>
            <w:tcW w:w="704" w:type="dxa"/>
            <w:vMerge w:val="restart"/>
            <w:noWrap w:val="0"/>
            <w:vAlign w:val="center"/>
          </w:tcPr>
          <w:p>
            <w:pPr>
              <w:ind w:firstLine="0" w:firstLineChars="0"/>
              <w:jc w:val="center"/>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工作效能</w:t>
            </w:r>
          </w:p>
          <w:p>
            <w:pPr>
              <w:ind w:firstLine="0" w:firstLineChars="0"/>
              <w:jc w:val="center"/>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（15分）</w:t>
            </w:r>
          </w:p>
        </w:tc>
        <w:tc>
          <w:tcPr>
            <w:tcW w:w="3531" w:type="dxa"/>
            <w:vMerge w:val="restart"/>
            <w:noWrap w:val="0"/>
            <w:vAlign w:val="center"/>
          </w:tcPr>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1、评审会议结束后在中心要求的评审时限内应提交符合要求的正式评审报告(因故不能完成的可与中心及时联系或书面通知)；</w:t>
            </w:r>
          </w:p>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2、工作过程中积极主动，组织协调具有一定成效，能通过多方沟通解决项目中的问题或提出切实意见。</w:t>
            </w:r>
          </w:p>
        </w:tc>
        <w:tc>
          <w:tcPr>
            <w:tcW w:w="567" w:type="dxa"/>
            <w:vMerge w:val="restart"/>
            <w:noWrap w:val="0"/>
            <w:vAlign w:val="center"/>
          </w:tcPr>
          <w:p>
            <w:pPr>
              <w:ind w:firstLine="0" w:firstLineChars="0"/>
              <w:jc w:val="center"/>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12</w:t>
            </w:r>
          </w:p>
        </w:tc>
        <w:tc>
          <w:tcPr>
            <w:tcW w:w="3119" w:type="dxa"/>
            <w:noWrap w:val="0"/>
            <w:vAlign w:val="bottom"/>
          </w:tcPr>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1、评审会议结束后提交较为完善的会议纪要草案的+1分；</w:t>
            </w:r>
          </w:p>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2、能通过多方沟通解决项目中的重大问题或提出提高评审效率的有效意见和建议+2~3分。</w:t>
            </w:r>
          </w:p>
        </w:tc>
        <w:tc>
          <w:tcPr>
            <w:tcW w:w="425" w:type="dxa"/>
            <w:vMerge w:val="restart"/>
            <w:noWrap w:val="0"/>
            <w:vAlign w:val="top"/>
          </w:tcPr>
          <w:p>
            <w:pPr>
              <w:ind w:firstLine="0" w:firstLineChars="0"/>
              <w:jc w:val="center"/>
              <w:textAlignment w:val="center"/>
              <w:rPr>
                <w:rFonts w:hint="eastAsia" w:ascii="Calibri" w:eastAsia="宋体" w:cs="宋体"/>
                <w:b w:val="0"/>
                <w:bCs/>
                <w:color w:val="auto"/>
                <w:kern w:val="2"/>
                <w:sz w:val="24"/>
                <w:szCs w:val="24"/>
              </w:rPr>
            </w:pPr>
          </w:p>
        </w:tc>
        <w:tc>
          <w:tcPr>
            <w:tcW w:w="709" w:type="dxa"/>
            <w:vMerge w:val="restart"/>
            <w:noWrap w:val="0"/>
            <w:vAlign w:val="top"/>
          </w:tcPr>
          <w:p>
            <w:pPr>
              <w:ind w:firstLine="0" w:firstLineChars="0"/>
              <w:jc w:val="center"/>
              <w:textAlignment w:val="center"/>
              <w:rPr>
                <w:rFonts w:hint="eastAsia" w:ascii="Calibri" w:eastAsia="宋体" w:cs="宋体"/>
                <w:b w:val="0"/>
                <w:bCs/>
                <w:color w:val="auto"/>
                <w:kern w:val="2"/>
                <w:sz w:val="24"/>
                <w:szCs w:val="24"/>
              </w:rPr>
            </w:pPr>
          </w:p>
        </w:tc>
        <w:tc>
          <w:tcPr>
            <w:tcW w:w="425" w:type="dxa"/>
            <w:vMerge w:val="restart"/>
            <w:noWrap w:val="0"/>
            <w:vAlign w:val="top"/>
          </w:tcPr>
          <w:p>
            <w:pPr>
              <w:ind w:firstLine="0" w:firstLineChars="0"/>
              <w:jc w:val="center"/>
              <w:textAlignment w:val="center"/>
              <w:rPr>
                <w:rFonts w:hint="eastAsia" w:ascii="Calibri" w:eastAsia="宋体" w:cs="宋体"/>
                <w:b w:val="0"/>
                <w:bCs/>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409" w:type="dxa"/>
            <w:vMerge w:val="continue"/>
            <w:noWrap w:val="0"/>
            <w:vAlign w:val="center"/>
          </w:tcPr>
          <w:p>
            <w:pPr>
              <w:ind w:firstLine="0" w:firstLineChars="0"/>
              <w:jc w:val="center"/>
              <w:textAlignment w:val="center"/>
              <w:rPr>
                <w:rFonts w:hint="eastAsia" w:ascii="Calibri" w:eastAsia="宋体" w:cs="宋体"/>
                <w:b w:val="0"/>
                <w:bCs/>
                <w:color w:val="auto"/>
                <w:kern w:val="2"/>
                <w:sz w:val="24"/>
                <w:szCs w:val="24"/>
              </w:rPr>
            </w:pPr>
          </w:p>
        </w:tc>
        <w:tc>
          <w:tcPr>
            <w:tcW w:w="704" w:type="dxa"/>
            <w:vMerge w:val="continue"/>
            <w:noWrap w:val="0"/>
            <w:vAlign w:val="center"/>
          </w:tcPr>
          <w:p>
            <w:pPr>
              <w:ind w:firstLine="0" w:firstLineChars="0"/>
              <w:jc w:val="center"/>
              <w:textAlignment w:val="center"/>
              <w:rPr>
                <w:rFonts w:hint="eastAsia" w:ascii="Calibri" w:eastAsia="宋体" w:cs="宋体"/>
                <w:b w:val="0"/>
                <w:bCs/>
                <w:color w:val="auto"/>
                <w:kern w:val="2"/>
                <w:sz w:val="24"/>
                <w:szCs w:val="24"/>
              </w:rPr>
            </w:pPr>
          </w:p>
        </w:tc>
        <w:tc>
          <w:tcPr>
            <w:tcW w:w="3531" w:type="dxa"/>
            <w:vMerge w:val="continue"/>
            <w:noWrap w:val="0"/>
            <w:vAlign w:val="center"/>
          </w:tcPr>
          <w:p>
            <w:pPr>
              <w:ind w:firstLine="0" w:firstLineChars="0"/>
              <w:jc w:val="left"/>
              <w:textAlignment w:val="center"/>
              <w:rPr>
                <w:rFonts w:hint="eastAsia" w:ascii="Calibri" w:eastAsia="宋体" w:cs="宋体"/>
                <w:b w:val="0"/>
                <w:bCs/>
                <w:color w:val="auto"/>
                <w:kern w:val="2"/>
                <w:sz w:val="24"/>
                <w:szCs w:val="24"/>
              </w:rPr>
            </w:pPr>
          </w:p>
        </w:tc>
        <w:tc>
          <w:tcPr>
            <w:tcW w:w="567" w:type="dxa"/>
            <w:vMerge w:val="continue"/>
            <w:noWrap w:val="0"/>
            <w:vAlign w:val="center"/>
          </w:tcPr>
          <w:p>
            <w:pPr>
              <w:ind w:firstLine="0" w:firstLineChars="0"/>
              <w:jc w:val="left"/>
              <w:textAlignment w:val="center"/>
              <w:rPr>
                <w:rFonts w:hint="eastAsia" w:ascii="Calibri" w:eastAsia="宋体" w:cs="宋体"/>
                <w:b w:val="0"/>
                <w:bCs/>
                <w:color w:val="auto"/>
                <w:kern w:val="2"/>
                <w:sz w:val="24"/>
                <w:szCs w:val="24"/>
              </w:rPr>
            </w:pPr>
          </w:p>
        </w:tc>
        <w:tc>
          <w:tcPr>
            <w:tcW w:w="3119" w:type="dxa"/>
            <w:noWrap w:val="0"/>
            <w:vAlign w:val="bottom"/>
          </w:tcPr>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3、在中心要求的评审时限后每延天-4分；</w:t>
            </w:r>
          </w:p>
          <w:p>
            <w:pPr>
              <w:ind w:firstLine="0" w:firstLineChars="0"/>
              <w:jc w:val="left"/>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4、工作不主动、不积极、不负责-4分。</w:t>
            </w:r>
          </w:p>
        </w:tc>
        <w:tc>
          <w:tcPr>
            <w:tcW w:w="425" w:type="dxa"/>
            <w:vMerge w:val="continue"/>
            <w:noWrap w:val="0"/>
            <w:vAlign w:val="top"/>
          </w:tcPr>
          <w:p>
            <w:pPr>
              <w:ind w:firstLine="0" w:firstLineChars="0"/>
              <w:jc w:val="center"/>
              <w:textAlignment w:val="center"/>
              <w:rPr>
                <w:rFonts w:hint="eastAsia" w:ascii="Calibri" w:eastAsia="宋体" w:cs="宋体"/>
                <w:b w:val="0"/>
                <w:bCs/>
                <w:color w:val="auto"/>
                <w:kern w:val="2"/>
                <w:sz w:val="24"/>
                <w:szCs w:val="24"/>
              </w:rPr>
            </w:pPr>
          </w:p>
        </w:tc>
        <w:tc>
          <w:tcPr>
            <w:tcW w:w="709" w:type="dxa"/>
            <w:vMerge w:val="continue"/>
            <w:noWrap w:val="0"/>
            <w:vAlign w:val="top"/>
          </w:tcPr>
          <w:p>
            <w:pPr>
              <w:ind w:firstLine="0" w:firstLineChars="0"/>
              <w:jc w:val="center"/>
              <w:textAlignment w:val="center"/>
              <w:rPr>
                <w:rFonts w:hint="eastAsia" w:ascii="Calibri" w:eastAsia="宋体" w:cs="宋体"/>
                <w:b w:val="0"/>
                <w:bCs/>
                <w:color w:val="auto"/>
                <w:kern w:val="2"/>
                <w:sz w:val="24"/>
                <w:szCs w:val="24"/>
              </w:rPr>
            </w:pPr>
          </w:p>
        </w:tc>
        <w:tc>
          <w:tcPr>
            <w:tcW w:w="425" w:type="dxa"/>
            <w:vMerge w:val="continue"/>
            <w:noWrap w:val="0"/>
            <w:vAlign w:val="top"/>
          </w:tcPr>
          <w:p>
            <w:pPr>
              <w:ind w:firstLine="0" w:firstLineChars="0"/>
              <w:jc w:val="center"/>
              <w:textAlignment w:val="center"/>
              <w:rPr>
                <w:rFonts w:hint="eastAsia" w:ascii="Calibri" w:eastAsia="宋体" w:cs="宋体"/>
                <w:b w:val="0"/>
                <w:bCs/>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3" w:type="dxa"/>
            <w:gridSpan w:val="2"/>
            <w:noWrap w:val="0"/>
            <w:vAlign w:val="center"/>
          </w:tcPr>
          <w:p>
            <w:pPr>
              <w:ind w:firstLine="0" w:firstLineChars="0"/>
              <w:jc w:val="center"/>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审定</w:t>
            </w:r>
          </w:p>
          <w:p>
            <w:pPr>
              <w:ind w:firstLine="0" w:firstLineChars="0"/>
              <w:jc w:val="center"/>
              <w:textAlignment w:val="center"/>
              <w:rPr>
                <w:rFonts w:hint="eastAsia" w:ascii="Calibri" w:eastAsia="宋体" w:cs="宋体"/>
                <w:b w:val="0"/>
                <w:bCs/>
                <w:color w:val="auto"/>
                <w:kern w:val="2"/>
                <w:sz w:val="24"/>
                <w:szCs w:val="24"/>
              </w:rPr>
            </w:pPr>
            <w:r>
              <w:rPr>
                <w:rFonts w:hint="eastAsia" w:ascii="Calibri" w:eastAsia="宋体" w:cs="宋体"/>
                <w:b w:val="0"/>
                <w:bCs/>
                <w:color w:val="auto"/>
                <w:kern w:val="2"/>
                <w:sz w:val="24"/>
                <w:szCs w:val="24"/>
              </w:rPr>
              <w:t>分数</w:t>
            </w:r>
          </w:p>
        </w:tc>
        <w:tc>
          <w:tcPr>
            <w:tcW w:w="8776" w:type="dxa"/>
            <w:gridSpan w:val="6"/>
            <w:noWrap w:val="0"/>
            <w:vAlign w:val="top"/>
          </w:tcPr>
          <w:p>
            <w:pPr>
              <w:ind w:firstLine="0" w:firstLineChars="0"/>
              <w:jc w:val="center"/>
              <w:textAlignment w:val="center"/>
              <w:rPr>
                <w:rFonts w:hint="eastAsia" w:ascii="Calibri" w:eastAsia="宋体" w:cs="宋体"/>
                <w:b w:val="0"/>
                <w:bCs/>
                <w:color w:val="auto"/>
                <w:kern w:val="2"/>
                <w:sz w:val="24"/>
                <w:szCs w:val="24"/>
              </w:rPr>
            </w:pPr>
          </w:p>
          <w:p>
            <w:pPr>
              <w:ind w:firstLine="0" w:firstLineChars="0"/>
              <w:jc w:val="center"/>
              <w:textAlignment w:val="center"/>
              <w:rPr>
                <w:rFonts w:hint="eastAsia" w:ascii="Calibri" w:eastAsia="宋体" w:cs="宋体"/>
                <w:b w:val="0"/>
                <w:bCs/>
                <w:color w:val="auto"/>
                <w:kern w:val="2"/>
                <w:sz w:val="24"/>
                <w:szCs w:val="24"/>
              </w:rPr>
            </w:pPr>
          </w:p>
          <w:p>
            <w:pPr>
              <w:ind w:firstLine="0" w:firstLineChars="0"/>
              <w:jc w:val="center"/>
              <w:textAlignment w:val="center"/>
              <w:rPr>
                <w:rFonts w:hint="eastAsia" w:ascii="Calibri" w:eastAsia="宋体" w:cs="宋体"/>
                <w:b w:val="0"/>
                <w:bCs/>
                <w:color w:val="auto"/>
                <w:kern w:val="2"/>
                <w:sz w:val="24"/>
                <w:szCs w:val="24"/>
              </w:rPr>
            </w:pPr>
          </w:p>
        </w:tc>
      </w:tr>
    </w:tbl>
    <w:p>
      <w:pPr>
        <w:ind w:firstLine="480"/>
        <w:jc w:val="right"/>
        <w:rPr>
          <w:rFonts w:hint="eastAsia" w:ascii="方正仿宋简体" w:eastAsia="方正仿宋简体" w:cs="Times New Roman"/>
          <w:color w:val="auto"/>
          <w:kern w:val="2"/>
          <w:sz w:val="21"/>
          <w:szCs w:val="21"/>
        </w:rPr>
      </w:pPr>
      <w:r>
        <w:rPr>
          <w:rFonts w:hint="eastAsia" w:ascii="方正仿宋简体" w:eastAsia="方正仿宋简体" w:cs="Times New Roman"/>
          <w:color w:val="auto"/>
          <w:kern w:val="2"/>
          <w:sz w:val="21"/>
          <w:szCs w:val="21"/>
        </w:rPr>
        <w:t>咨询机构合格报告递交时间：      年     月    日</w:t>
      </w:r>
    </w:p>
    <w:p>
      <w:pPr>
        <w:rPr>
          <w:rFonts w:hint="eastAsia" w:ascii="方正仿宋简体" w:eastAsia="方正仿宋简体"/>
          <w:color w:val="auto"/>
          <w:szCs w:val="21"/>
        </w:rPr>
      </w:pPr>
      <w:r>
        <w:rPr>
          <w:rFonts w:hint="eastAsia" w:ascii="方正仿宋简体" w:eastAsia="方正仿宋简体"/>
          <w:color w:val="auto"/>
          <w:szCs w:val="21"/>
        </w:rPr>
        <w:br w:type="page"/>
      </w:r>
    </w:p>
    <w:p>
      <w:pPr>
        <w:keepNext w:val="0"/>
        <w:keepLines w:val="0"/>
        <w:pageBreakBefore w:val="0"/>
        <w:widowControl w:val="0"/>
        <w:numPr>
          <w:ilvl w:val="0"/>
          <w:numId w:val="0"/>
        </w:numPr>
        <w:kinsoku/>
        <w:wordWrap/>
        <w:overflowPunct/>
        <w:topLinePunct w:val="0"/>
        <w:autoSpaceDE/>
        <w:autoSpaceDN/>
        <w:bidi w:val="0"/>
        <w:adjustRightInd/>
        <w:snapToGrid/>
        <w:spacing w:before="469" w:beforeLines="150" w:line="360" w:lineRule="auto"/>
        <w:ind w:left="0" w:leftChars="0" w:firstLine="422" w:firstLineChars="175"/>
        <w:textAlignment w:val="auto"/>
        <w:rPr>
          <w:rFonts w:hint="eastAsia"/>
          <w:b/>
          <w:bCs/>
          <w:color w:val="auto"/>
          <w:sz w:val="28"/>
          <w:szCs w:val="28"/>
          <w:lang w:val="en-US" w:eastAsia="zh-CN"/>
        </w:rPr>
      </w:pPr>
      <w:r>
        <w:rPr>
          <w:rFonts w:hint="eastAsia"/>
          <w:b/>
          <w:bCs/>
          <w:color w:val="auto"/>
          <w:sz w:val="24"/>
          <w:szCs w:val="24"/>
          <w:lang w:val="en-US" w:eastAsia="zh-CN"/>
        </w:rPr>
        <w:t xml:space="preserve">附件3                  </w:t>
      </w:r>
      <w:r>
        <w:rPr>
          <w:rFonts w:hint="eastAsia"/>
          <w:b/>
          <w:bCs/>
          <w:color w:val="auto"/>
          <w:sz w:val="32"/>
          <w:szCs w:val="32"/>
          <w:lang w:val="en-US" w:eastAsia="zh-CN"/>
        </w:rPr>
        <w:t>咨询机构费用管理</w:t>
      </w:r>
    </w:p>
    <w:p>
      <w:pPr>
        <w:keepNext w:val="0"/>
        <w:keepLines w:val="0"/>
        <w:pageBreakBefore w:val="0"/>
        <w:suppressAutoHyphens/>
        <w:kinsoku/>
        <w:overflowPunct/>
        <w:topLinePunct w:val="0"/>
        <w:autoSpaceDE/>
        <w:autoSpaceDN/>
        <w:bidi w:val="0"/>
        <w:spacing w:line="360" w:lineRule="auto"/>
        <w:ind w:firstLine="480"/>
        <w:rPr>
          <w:rFonts w:hint="default" w:asciiTheme="minorEastAsia" w:hAnsiTheme="minorEastAsia" w:eastAsiaTheme="minorEastAsia" w:cstheme="minorEastAsia"/>
          <w:b w:val="0"/>
          <w:bCs/>
          <w:color w:val="auto"/>
          <w:sz w:val="24"/>
          <w:szCs w:val="24"/>
          <w:lang w:val="en-US"/>
        </w:rPr>
      </w:pPr>
      <w:r>
        <w:rPr>
          <w:rFonts w:hint="eastAsia" w:asciiTheme="minorEastAsia" w:hAnsiTheme="minorEastAsia" w:eastAsiaTheme="minorEastAsia" w:cstheme="minorEastAsia"/>
          <w:b w:val="0"/>
          <w:bCs/>
          <w:color w:val="auto"/>
          <w:sz w:val="24"/>
          <w:szCs w:val="24"/>
        </w:rPr>
        <w:t>（一）</w:t>
      </w:r>
      <w:r>
        <w:rPr>
          <w:rFonts w:hint="eastAsia" w:asciiTheme="minorEastAsia" w:hAnsiTheme="minorEastAsia" w:cstheme="minorEastAsia"/>
          <w:b w:val="0"/>
          <w:bCs/>
          <w:color w:val="auto"/>
          <w:sz w:val="24"/>
          <w:szCs w:val="24"/>
          <w:lang w:val="en-US" w:eastAsia="zh-CN"/>
        </w:rPr>
        <w:t>项目建议书、可行性研究报告评审费用核算</w:t>
      </w:r>
    </w:p>
    <w:p>
      <w:pPr>
        <w:keepNext w:val="0"/>
        <w:keepLines w:val="0"/>
        <w:pageBreakBefore w:val="0"/>
        <w:suppressAutoHyphens/>
        <w:kinsoku/>
        <w:overflowPunct/>
        <w:topLinePunct w:val="0"/>
        <w:autoSpaceDE/>
        <w:autoSpaceDN/>
        <w:bidi w:val="0"/>
        <w:spacing w:line="360" w:lineRule="auto"/>
        <w:ind w:firstLine="480"/>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1．计费依据：参考《成都市政府投资项目评审中心（</w:t>
      </w:r>
      <w:r>
        <w:rPr>
          <w:rFonts w:hint="eastAsia" w:asciiTheme="minorEastAsia" w:hAnsiTheme="minorEastAsia" w:cstheme="minorEastAsia"/>
          <w:b w:val="0"/>
          <w:bCs/>
          <w:color w:val="auto"/>
          <w:sz w:val="24"/>
          <w:szCs w:val="24"/>
          <w:lang w:val="en-US" w:eastAsia="zh-CN"/>
        </w:rPr>
        <w:t>市</w:t>
      </w:r>
      <w:r>
        <w:rPr>
          <w:rFonts w:hint="eastAsia" w:asciiTheme="minorEastAsia" w:hAnsiTheme="minorEastAsia" w:eastAsiaTheme="minorEastAsia" w:cstheme="minorEastAsia"/>
          <w:b w:val="0"/>
          <w:bCs/>
          <w:color w:val="auto"/>
          <w:sz w:val="24"/>
          <w:szCs w:val="24"/>
        </w:rPr>
        <w:t>PPP中心）</w:t>
      </w:r>
      <w:r>
        <w:rPr>
          <w:rFonts w:hint="eastAsia" w:asciiTheme="minorEastAsia" w:hAnsiTheme="minorEastAsia" w:cstheme="minorEastAsia"/>
          <w:b w:val="0"/>
          <w:bCs/>
          <w:color w:val="auto"/>
          <w:sz w:val="24"/>
          <w:szCs w:val="24"/>
          <w:lang w:val="en-US" w:eastAsia="zh-CN"/>
        </w:rPr>
        <w:t>项目评审费用核算及支付管理办法</w:t>
      </w:r>
      <w:r>
        <w:rPr>
          <w:rFonts w:hint="eastAsia" w:asciiTheme="minorEastAsia" w:hAnsiTheme="minorEastAsia" w:eastAsiaTheme="minorEastAsia" w:cstheme="minorEastAsia"/>
          <w:b w:val="0"/>
          <w:bCs/>
          <w:color w:val="auto"/>
          <w:sz w:val="24"/>
          <w:szCs w:val="24"/>
        </w:rPr>
        <w:t>》（成评审〔201</w:t>
      </w:r>
      <w:r>
        <w:rPr>
          <w:rFonts w:hint="eastAsia" w:asciiTheme="minorEastAsia" w:hAnsiTheme="minorEastAsia" w:cstheme="minorEastAsia"/>
          <w:b w:val="0"/>
          <w:bCs/>
          <w:color w:val="auto"/>
          <w:sz w:val="24"/>
          <w:szCs w:val="24"/>
          <w:lang w:val="en-US" w:eastAsia="zh-CN"/>
        </w:rPr>
        <w:t>9</w:t>
      </w:r>
      <w:r>
        <w:rPr>
          <w:rFonts w:hint="eastAsia" w:asciiTheme="minorEastAsia" w:hAnsiTheme="minorEastAsia" w:eastAsiaTheme="minorEastAsia" w:cstheme="minorEastAsia"/>
          <w:b w:val="0"/>
          <w:bCs/>
          <w:color w:val="auto"/>
          <w:sz w:val="24"/>
          <w:szCs w:val="24"/>
        </w:rPr>
        <w:t>〕2号）</w:t>
      </w:r>
      <w:r>
        <w:rPr>
          <w:rFonts w:hint="eastAsia" w:asciiTheme="minorEastAsia" w:hAnsiTheme="minorEastAsia" w:cstheme="minorEastAsia"/>
          <w:b w:val="0"/>
          <w:bCs/>
          <w:color w:val="auto"/>
          <w:sz w:val="24"/>
          <w:szCs w:val="24"/>
          <w:lang w:eastAsia="zh-CN"/>
        </w:rPr>
        <w:t>，</w:t>
      </w:r>
      <w:r>
        <w:rPr>
          <w:rFonts w:hint="eastAsia" w:asciiTheme="minorEastAsia" w:hAnsiTheme="minorEastAsia" w:cstheme="minorEastAsia"/>
          <w:b w:val="0"/>
          <w:bCs/>
          <w:color w:val="auto"/>
          <w:sz w:val="24"/>
          <w:szCs w:val="24"/>
          <w:lang w:val="en-US" w:eastAsia="zh-CN"/>
        </w:rPr>
        <w:t>并结合我区政府投资项目实际进行计算</w:t>
      </w:r>
      <w:r>
        <w:rPr>
          <w:rFonts w:hint="eastAsia" w:asciiTheme="minorEastAsia" w:hAnsiTheme="minorEastAsia" w:eastAsiaTheme="minorEastAsia" w:cstheme="minorEastAsia"/>
          <w:b w:val="0"/>
          <w:bCs/>
          <w:color w:val="auto"/>
          <w:sz w:val="24"/>
          <w:szCs w:val="24"/>
        </w:rPr>
        <w:t>。</w:t>
      </w:r>
    </w:p>
    <w:p>
      <w:pPr>
        <w:keepNext w:val="0"/>
        <w:keepLines w:val="0"/>
        <w:pageBreakBefore w:val="0"/>
        <w:suppressAutoHyphens/>
        <w:kinsoku/>
        <w:overflowPunct/>
        <w:topLinePunct w:val="0"/>
        <w:autoSpaceDE/>
        <w:autoSpaceDN/>
        <w:bidi w:val="0"/>
        <w:spacing w:line="360" w:lineRule="auto"/>
        <w:ind w:firstLine="480"/>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2．</w:t>
      </w:r>
      <w:r>
        <w:rPr>
          <w:rFonts w:hint="eastAsia" w:asciiTheme="minorEastAsia" w:hAnsiTheme="minorEastAsia" w:cstheme="minorEastAsia"/>
          <w:b w:val="0"/>
          <w:bCs/>
          <w:color w:val="auto"/>
          <w:sz w:val="24"/>
          <w:szCs w:val="24"/>
          <w:lang w:val="en-US" w:eastAsia="zh-CN"/>
        </w:rPr>
        <w:t>项目建议书、可行性研究报告评审费用</w:t>
      </w:r>
    </w:p>
    <w:p>
      <w:pPr>
        <w:keepNext w:val="0"/>
        <w:keepLines w:val="0"/>
        <w:pageBreakBefore w:val="0"/>
        <w:suppressAutoHyphens/>
        <w:kinsoku/>
        <w:overflowPunct/>
        <w:topLinePunct w:val="0"/>
        <w:autoSpaceDE/>
        <w:autoSpaceDN/>
        <w:bidi w:val="0"/>
        <w:spacing w:line="360" w:lineRule="auto"/>
        <w:ind w:firstLine="480"/>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评审费用=费用基准价×行业调整系数×投资规模系数</w:t>
      </w:r>
    </w:p>
    <w:p>
      <w:pPr>
        <w:pStyle w:val="2"/>
        <w:ind w:firstLine="480" w:firstLineChars="200"/>
        <w:rPr>
          <w:rFonts w:hint="default" w:eastAsiaTheme="minorEastAsia"/>
          <w:color w:val="auto"/>
          <w:lang w:val="en-US" w:eastAsia="zh-CN"/>
        </w:rPr>
      </w:pPr>
      <w:r>
        <w:rPr>
          <w:rFonts w:hint="eastAsia" w:asciiTheme="minorEastAsia" w:hAnsiTheme="minorEastAsia" w:eastAsiaTheme="minorEastAsia" w:cstheme="minorEastAsia"/>
          <w:b w:val="0"/>
          <w:bCs/>
          <w:color w:val="auto"/>
          <w:sz w:val="24"/>
          <w:szCs w:val="24"/>
          <w:lang w:eastAsia="zh-CN"/>
        </w:rPr>
        <w:t>（</w:t>
      </w:r>
      <w:r>
        <w:rPr>
          <w:rFonts w:hint="eastAsia" w:asciiTheme="minorEastAsia" w:hAnsiTheme="minorEastAsia" w:eastAsiaTheme="minorEastAsia" w:cstheme="minorEastAsia"/>
          <w:b w:val="0"/>
          <w:bCs/>
          <w:color w:val="auto"/>
          <w:sz w:val="24"/>
          <w:szCs w:val="24"/>
          <w:lang w:val="en-US" w:eastAsia="zh-CN"/>
        </w:rPr>
        <w:t>1</w:t>
      </w:r>
      <w:r>
        <w:rPr>
          <w:rFonts w:hint="eastAsia" w:asciiTheme="minorEastAsia" w:hAnsiTheme="minorEastAsia" w:eastAsiaTheme="minorEastAsia" w:cstheme="minorEastAsia"/>
          <w:b w:val="0"/>
          <w:bCs/>
          <w:color w:val="auto"/>
          <w:sz w:val="24"/>
          <w:szCs w:val="24"/>
          <w:lang w:eastAsia="zh-CN"/>
        </w:rPr>
        <w:t>）</w:t>
      </w:r>
      <w:r>
        <w:rPr>
          <w:rFonts w:hint="eastAsia" w:asciiTheme="minorEastAsia" w:hAnsiTheme="minorEastAsia" w:eastAsiaTheme="minorEastAsia" w:cstheme="minorEastAsia"/>
          <w:b w:val="0"/>
          <w:bCs/>
          <w:color w:val="auto"/>
          <w:sz w:val="24"/>
          <w:szCs w:val="24"/>
          <w:lang w:val="en-US" w:eastAsia="zh-CN"/>
        </w:rPr>
        <w:t>费用基准价：以项目投资额（=送审投资总额-土地费用等非评审工作范围内容）</w:t>
      </w:r>
    </w:p>
    <w:p>
      <w:pPr>
        <w:pStyle w:val="506"/>
        <w:keepNext w:val="0"/>
        <w:keepLines w:val="0"/>
        <w:pageBreakBefore w:val="0"/>
        <w:kinsoku/>
        <w:wordWrap w:val="0"/>
        <w:overflowPunct/>
        <w:topLinePunct w:val="0"/>
        <w:autoSpaceDE/>
        <w:autoSpaceDN/>
        <w:bidi w:val="0"/>
        <w:spacing w:line="360" w:lineRule="auto"/>
        <w:jc w:val="righ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 w:val="0"/>
          <w:bCs/>
          <w:color w:val="auto"/>
          <w:sz w:val="24"/>
          <w:szCs w:val="24"/>
          <w:lang w:val="en-US" w:eastAsia="zh-CN"/>
        </w:rPr>
        <w:t xml:space="preserve">按下表分档收费插入法计算确定                          </w:t>
      </w:r>
      <w:r>
        <w:rPr>
          <w:rFonts w:hint="eastAsia" w:asciiTheme="minorEastAsia" w:hAnsiTheme="minorEastAsia" w:eastAsiaTheme="minorEastAsia" w:cstheme="minorEastAsia"/>
          <w:bCs/>
          <w:color w:val="auto"/>
          <w:kern w:val="0"/>
          <w:sz w:val="24"/>
          <w:szCs w:val="24"/>
        </w:rPr>
        <w:t xml:space="preserve">单位：万元    </w:t>
      </w:r>
    </w:p>
    <w:tbl>
      <w:tblPr>
        <w:tblStyle w:val="46"/>
        <w:tblW w:w="96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17"/>
        <w:gridCol w:w="1096"/>
        <w:gridCol w:w="1068"/>
        <w:gridCol w:w="1038"/>
        <w:gridCol w:w="1039"/>
        <w:gridCol w:w="1067"/>
        <w:gridCol w:w="1139"/>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017" w:type="dxa"/>
            <w:tcBorders>
              <w:top w:val="single" w:color="auto" w:sz="4" w:space="0"/>
              <w:left w:val="single" w:color="auto" w:sz="4" w:space="0"/>
              <w:bottom w:val="single" w:color="auto" w:sz="4" w:space="0"/>
              <w:right w:val="single" w:color="auto" w:sz="4" w:space="0"/>
              <w:tl2br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 xml:space="preserve">    </w:t>
            </w:r>
            <w:r>
              <w:rPr>
                <w:rFonts w:hint="eastAsia" w:asciiTheme="minorEastAsia" w:hAnsiTheme="minorEastAsia" w:cstheme="minorEastAsia"/>
                <w:b w:val="0"/>
                <w:bCs/>
                <w:color w:val="auto"/>
                <w:sz w:val="24"/>
                <w:szCs w:val="24"/>
                <w:lang w:val="en-US" w:eastAsia="zh-CN"/>
              </w:rPr>
              <w:t xml:space="preserve">  </w:t>
            </w:r>
            <w:r>
              <w:rPr>
                <w:rFonts w:hint="eastAsia" w:asciiTheme="minorEastAsia" w:hAnsiTheme="minorEastAsia" w:eastAsiaTheme="minorEastAsia" w:cstheme="minorEastAsia"/>
                <w:b w:val="0"/>
                <w:bCs/>
                <w:color w:val="auto"/>
                <w:sz w:val="24"/>
                <w:szCs w:val="24"/>
              </w:rPr>
              <w:t>估算投资额</w:t>
            </w:r>
          </w:p>
          <w:p>
            <w:pPr>
              <w:keepNext w:val="0"/>
              <w:keepLines w:val="0"/>
              <w:pageBreakBefore w:val="0"/>
              <w:kinsoku/>
              <w:overflowPunct/>
              <w:topLinePunct w:val="0"/>
              <w:autoSpaceDE/>
              <w:autoSpaceDN/>
              <w:bidi w:val="0"/>
              <w:spacing w:line="360" w:lineRule="auto"/>
              <w:jc w:val="both"/>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咨询项目</w:t>
            </w:r>
          </w:p>
        </w:tc>
        <w:tc>
          <w:tcPr>
            <w:tcW w:w="10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cstheme="minorEastAsia"/>
                <w:b w:val="0"/>
                <w:bCs/>
                <w:color w:val="auto"/>
                <w:sz w:val="24"/>
                <w:szCs w:val="24"/>
                <w:lang w:val="en-US" w:eastAsia="zh-CN"/>
              </w:rPr>
              <w:t>V≤</w:t>
            </w:r>
            <w:r>
              <w:rPr>
                <w:rFonts w:hint="eastAsia" w:asciiTheme="minorEastAsia" w:hAnsiTheme="minorEastAsia" w:eastAsiaTheme="minorEastAsia" w:cstheme="minorEastAsia"/>
                <w:b w:val="0"/>
                <w:bCs/>
                <w:color w:val="auto"/>
                <w:sz w:val="24"/>
                <w:szCs w:val="24"/>
              </w:rPr>
              <w:t>1000</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1000</w:t>
            </w:r>
            <w:r>
              <w:rPr>
                <w:rFonts w:hint="eastAsia" w:asciiTheme="minorEastAsia" w:hAnsiTheme="minorEastAsia" w:cstheme="minorEastAsia"/>
                <w:b w:val="0"/>
                <w:bCs/>
                <w:color w:val="auto"/>
                <w:sz w:val="24"/>
                <w:szCs w:val="24"/>
                <w:lang w:val="en-US" w:eastAsia="zh-CN"/>
              </w:rPr>
              <w:t>＜V≤</w:t>
            </w:r>
            <w:r>
              <w:rPr>
                <w:rFonts w:hint="eastAsia" w:asciiTheme="minorEastAsia" w:hAnsiTheme="minorEastAsia" w:eastAsiaTheme="minorEastAsia" w:cstheme="minorEastAsia"/>
                <w:b w:val="0"/>
                <w:bCs/>
                <w:color w:val="auto"/>
                <w:sz w:val="24"/>
                <w:szCs w:val="24"/>
              </w:rPr>
              <w:t>3000</w:t>
            </w:r>
          </w:p>
        </w:tc>
        <w:tc>
          <w:tcPr>
            <w:tcW w:w="10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cstheme="minorEastAsia"/>
                <w:b w:val="0"/>
                <w:bCs/>
                <w:color w:val="auto"/>
                <w:sz w:val="24"/>
                <w:szCs w:val="24"/>
                <w:lang w:val="en-US" w:eastAsia="zh-CN"/>
              </w:rPr>
              <w:t>3</w:t>
            </w:r>
            <w:r>
              <w:rPr>
                <w:rFonts w:hint="eastAsia" w:asciiTheme="minorEastAsia" w:hAnsiTheme="minorEastAsia" w:eastAsiaTheme="minorEastAsia" w:cstheme="minorEastAsia"/>
                <w:b w:val="0"/>
                <w:bCs/>
                <w:color w:val="auto"/>
                <w:sz w:val="24"/>
                <w:szCs w:val="24"/>
              </w:rPr>
              <w:t>000</w:t>
            </w:r>
            <w:r>
              <w:rPr>
                <w:rFonts w:hint="eastAsia" w:asciiTheme="minorEastAsia" w:hAnsiTheme="minorEastAsia" w:cstheme="minorEastAsia"/>
                <w:b w:val="0"/>
                <w:bCs/>
                <w:color w:val="auto"/>
                <w:sz w:val="24"/>
                <w:szCs w:val="24"/>
                <w:lang w:val="en-US" w:eastAsia="zh-CN"/>
              </w:rPr>
              <w:t>＜V≤10</w:t>
            </w:r>
            <w:r>
              <w:rPr>
                <w:rFonts w:hint="eastAsia" w:asciiTheme="minorEastAsia" w:hAnsiTheme="minorEastAsia" w:eastAsiaTheme="minorEastAsia" w:cstheme="minorEastAsia"/>
                <w:b w:val="0"/>
                <w:bCs/>
                <w:color w:val="auto"/>
                <w:sz w:val="24"/>
                <w:szCs w:val="24"/>
              </w:rPr>
              <w:t>000</w:t>
            </w:r>
          </w:p>
        </w:tc>
        <w:tc>
          <w:tcPr>
            <w:tcW w:w="10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cstheme="minorEastAsia"/>
                <w:b w:val="0"/>
                <w:bCs/>
                <w:color w:val="auto"/>
                <w:sz w:val="24"/>
                <w:szCs w:val="24"/>
                <w:lang w:val="en-US" w:eastAsia="zh-CN"/>
              </w:rPr>
              <w:t>10</w:t>
            </w:r>
            <w:r>
              <w:rPr>
                <w:rFonts w:hint="eastAsia" w:asciiTheme="minorEastAsia" w:hAnsiTheme="minorEastAsia" w:eastAsiaTheme="minorEastAsia" w:cstheme="minorEastAsia"/>
                <w:b w:val="0"/>
                <w:bCs/>
                <w:color w:val="auto"/>
                <w:sz w:val="24"/>
                <w:szCs w:val="24"/>
              </w:rPr>
              <w:t>000</w:t>
            </w:r>
            <w:r>
              <w:rPr>
                <w:rFonts w:hint="eastAsia" w:asciiTheme="minorEastAsia" w:hAnsiTheme="minorEastAsia" w:cstheme="minorEastAsia"/>
                <w:b w:val="0"/>
                <w:bCs/>
                <w:color w:val="auto"/>
                <w:sz w:val="24"/>
                <w:szCs w:val="24"/>
                <w:lang w:val="en-US" w:eastAsia="zh-CN"/>
              </w:rPr>
              <w:t>＜V≤50</w:t>
            </w:r>
            <w:r>
              <w:rPr>
                <w:rFonts w:hint="eastAsia" w:asciiTheme="minorEastAsia" w:hAnsiTheme="minorEastAsia" w:eastAsiaTheme="minorEastAsia" w:cstheme="minorEastAsia"/>
                <w:b w:val="0"/>
                <w:bCs/>
                <w:color w:val="auto"/>
                <w:sz w:val="24"/>
                <w:szCs w:val="24"/>
              </w:rPr>
              <w:t>000</w:t>
            </w:r>
          </w:p>
        </w:tc>
        <w:tc>
          <w:tcPr>
            <w:tcW w:w="10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cstheme="minorEastAsia"/>
                <w:b w:val="0"/>
                <w:bCs/>
                <w:color w:val="auto"/>
                <w:sz w:val="24"/>
                <w:szCs w:val="24"/>
                <w:lang w:val="en-US" w:eastAsia="zh-CN"/>
              </w:rPr>
              <w:t>50</w:t>
            </w:r>
            <w:r>
              <w:rPr>
                <w:rFonts w:hint="eastAsia" w:asciiTheme="minorEastAsia" w:hAnsiTheme="minorEastAsia" w:eastAsiaTheme="minorEastAsia" w:cstheme="minorEastAsia"/>
                <w:b w:val="0"/>
                <w:bCs/>
                <w:color w:val="auto"/>
                <w:sz w:val="24"/>
                <w:szCs w:val="24"/>
              </w:rPr>
              <w:t>000</w:t>
            </w:r>
            <w:r>
              <w:rPr>
                <w:rFonts w:hint="eastAsia" w:asciiTheme="minorEastAsia" w:hAnsiTheme="minorEastAsia" w:cstheme="minorEastAsia"/>
                <w:b w:val="0"/>
                <w:bCs/>
                <w:color w:val="auto"/>
                <w:sz w:val="24"/>
                <w:szCs w:val="24"/>
                <w:lang w:val="en-US" w:eastAsia="zh-CN"/>
              </w:rPr>
              <w:t>＜V≤100</w:t>
            </w:r>
            <w:r>
              <w:rPr>
                <w:rFonts w:hint="eastAsia" w:asciiTheme="minorEastAsia" w:hAnsiTheme="minorEastAsia" w:eastAsiaTheme="minorEastAsia" w:cstheme="minorEastAsia"/>
                <w:b w:val="0"/>
                <w:bCs/>
                <w:color w:val="auto"/>
                <w:sz w:val="24"/>
                <w:szCs w:val="24"/>
              </w:rPr>
              <w:t>000</w:t>
            </w:r>
          </w:p>
        </w:tc>
        <w:tc>
          <w:tcPr>
            <w:tcW w:w="11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cstheme="minorEastAsia"/>
                <w:b w:val="0"/>
                <w:bCs/>
                <w:color w:val="auto"/>
                <w:sz w:val="24"/>
                <w:szCs w:val="24"/>
                <w:lang w:val="en-US" w:eastAsia="zh-CN"/>
              </w:rPr>
            </w:pPr>
            <w:r>
              <w:rPr>
                <w:rFonts w:hint="eastAsia" w:asciiTheme="minorEastAsia" w:hAnsiTheme="minorEastAsia" w:cstheme="minorEastAsia"/>
                <w:b w:val="0"/>
                <w:bCs/>
                <w:color w:val="auto"/>
                <w:sz w:val="24"/>
                <w:szCs w:val="24"/>
                <w:lang w:val="en-US" w:eastAsia="zh-CN"/>
              </w:rPr>
              <w:t>100</w:t>
            </w:r>
            <w:r>
              <w:rPr>
                <w:rFonts w:hint="eastAsia" w:asciiTheme="minorEastAsia" w:hAnsiTheme="minorEastAsia" w:eastAsiaTheme="minorEastAsia" w:cstheme="minorEastAsia"/>
                <w:b w:val="0"/>
                <w:bCs/>
                <w:color w:val="auto"/>
                <w:sz w:val="24"/>
                <w:szCs w:val="24"/>
              </w:rPr>
              <w:t>000</w:t>
            </w:r>
            <w:r>
              <w:rPr>
                <w:rFonts w:hint="eastAsia" w:asciiTheme="minorEastAsia" w:hAnsiTheme="minorEastAsia" w:cstheme="minorEastAsia"/>
                <w:b w:val="0"/>
                <w:bCs/>
                <w:color w:val="auto"/>
                <w:sz w:val="24"/>
                <w:szCs w:val="24"/>
                <w:lang w:val="en-US" w:eastAsia="zh-CN"/>
              </w:rPr>
              <w:t>＜V≤500</w:t>
            </w:r>
            <w:r>
              <w:rPr>
                <w:rFonts w:hint="eastAsia" w:asciiTheme="minorEastAsia" w:hAnsiTheme="minorEastAsia" w:eastAsiaTheme="minorEastAsia" w:cstheme="minorEastAsia"/>
                <w:b w:val="0"/>
                <w:bCs/>
                <w:color w:val="auto"/>
                <w:sz w:val="24"/>
                <w:szCs w:val="24"/>
              </w:rPr>
              <w:t>000</w:t>
            </w:r>
          </w:p>
        </w:tc>
        <w:tc>
          <w:tcPr>
            <w:tcW w:w="11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cstheme="minorEastAsia"/>
                <w:b w:val="0"/>
                <w:bCs/>
                <w:color w:val="auto"/>
                <w:sz w:val="24"/>
                <w:szCs w:val="24"/>
                <w:lang w:val="en-US" w:eastAsia="zh-CN"/>
              </w:rPr>
            </w:pPr>
            <w:r>
              <w:rPr>
                <w:rFonts w:hint="eastAsia" w:asciiTheme="minorEastAsia" w:hAnsiTheme="minorEastAsia" w:cstheme="minorEastAsia"/>
                <w:b w:val="0"/>
                <w:bCs/>
                <w:color w:val="auto"/>
                <w:sz w:val="24"/>
                <w:szCs w:val="24"/>
                <w:lang w:val="en-US" w:eastAsia="zh-CN"/>
              </w:rPr>
              <w:t>500</w:t>
            </w:r>
            <w:r>
              <w:rPr>
                <w:rFonts w:hint="eastAsia" w:asciiTheme="minorEastAsia" w:hAnsiTheme="minorEastAsia" w:eastAsiaTheme="minorEastAsia" w:cstheme="minorEastAsia"/>
                <w:b w:val="0"/>
                <w:bCs/>
                <w:color w:val="auto"/>
                <w:sz w:val="24"/>
                <w:szCs w:val="24"/>
              </w:rPr>
              <w:t>000</w:t>
            </w:r>
            <w:r>
              <w:rPr>
                <w:rFonts w:hint="eastAsia" w:asciiTheme="minorEastAsia" w:hAnsiTheme="minorEastAsia" w:cstheme="minorEastAsia"/>
                <w:b w:val="0"/>
                <w:bCs/>
                <w:color w:val="auto"/>
                <w:sz w:val="24"/>
                <w:szCs w:val="24"/>
                <w:lang w:val="en-US" w:eastAsia="zh-CN"/>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0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left"/>
              <w:textAlignment w:val="center"/>
              <w:rPr>
                <w:rFonts w:hint="default"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color w:val="auto"/>
                <w:sz w:val="24"/>
                <w:szCs w:val="24"/>
              </w:rPr>
              <w:t>项目建议书</w:t>
            </w:r>
            <w:r>
              <w:rPr>
                <w:rFonts w:hint="eastAsia" w:asciiTheme="minorEastAsia" w:hAnsiTheme="minorEastAsia" w:cstheme="minorEastAsia"/>
                <w:b w:val="0"/>
                <w:bCs/>
                <w:color w:val="auto"/>
                <w:sz w:val="24"/>
                <w:szCs w:val="24"/>
                <w:lang w:val="en-US" w:eastAsia="zh-CN"/>
              </w:rPr>
              <w:t>评审费用基准</w:t>
            </w:r>
          </w:p>
        </w:tc>
        <w:tc>
          <w:tcPr>
            <w:tcW w:w="10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0.8-1.5</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1.5-3</w:t>
            </w:r>
          </w:p>
        </w:tc>
        <w:tc>
          <w:tcPr>
            <w:tcW w:w="10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default" w:asciiTheme="minorEastAsia" w:hAnsiTheme="minorEastAsia" w:eastAsiaTheme="minorEastAsia" w:cstheme="minorEastAsia"/>
                <w:b w:val="0"/>
                <w:bCs/>
                <w:color w:val="auto"/>
                <w:sz w:val="24"/>
                <w:szCs w:val="24"/>
                <w:lang w:val="en-US" w:eastAsia="zh-CN"/>
              </w:rPr>
            </w:pPr>
            <w:r>
              <w:rPr>
                <w:rFonts w:hint="eastAsia" w:asciiTheme="minorEastAsia" w:hAnsiTheme="minorEastAsia" w:cstheme="minorEastAsia"/>
                <w:b w:val="0"/>
                <w:bCs/>
                <w:color w:val="auto"/>
                <w:sz w:val="24"/>
                <w:szCs w:val="24"/>
                <w:lang w:val="en-US" w:eastAsia="zh-CN"/>
              </w:rPr>
              <w:t>4-8</w:t>
            </w:r>
          </w:p>
        </w:tc>
        <w:tc>
          <w:tcPr>
            <w:tcW w:w="10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default" w:asciiTheme="minorEastAsia" w:hAnsiTheme="minorEastAsia" w:eastAsiaTheme="minorEastAsia" w:cstheme="minorEastAsia"/>
                <w:b w:val="0"/>
                <w:bCs/>
                <w:color w:val="auto"/>
                <w:sz w:val="24"/>
                <w:szCs w:val="24"/>
                <w:lang w:val="en-US" w:eastAsia="zh-CN"/>
              </w:rPr>
            </w:pPr>
            <w:r>
              <w:rPr>
                <w:rFonts w:hint="eastAsia" w:asciiTheme="minorEastAsia" w:hAnsiTheme="minorEastAsia" w:cstheme="minorEastAsia"/>
                <w:b w:val="0"/>
                <w:bCs/>
                <w:color w:val="auto"/>
                <w:sz w:val="24"/>
                <w:szCs w:val="24"/>
                <w:lang w:val="en-US" w:eastAsia="zh-CN"/>
              </w:rPr>
              <w:t>8-12</w:t>
            </w:r>
          </w:p>
        </w:tc>
        <w:tc>
          <w:tcPr>
            <w:tcW w:w="10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default" w:asciiTheme="minorEastAsia" w:hAnsiTheme="minorEastAsia" w:eastAsiaTheme="minorEastAsia" w:cstheme="minorEastAsia"/>
                <w:b w:val="0"/>
                <w:bCs/>
                <w:color w:val="auto"/>
                <w:sz w:val="24"/>
                <w:szCs w:val="24"/>
                <w:lang w:val="en-US" w:eastAsia="zh-CN"/>
              </w:rPr>
            </w:pPr>
            <w:r>
              <w:rPr>
                <w:rFonts w:hint="eastAsia" w:asciiTheme="minorEastAsia" w:hAnsiTheme="minorEastAsia" w:cstheme="minorEastAsia"/>
                <w:b w:val="0"/>
                <w:bCs/>
                <w:color w:val="auto"/>
                <w:sz w:val="24"/>
                <w:szCs w:val="24"/>
                <w:lang w:val="en-US" w:eastAsia="zh-CN"/>
              </w:rPr>
              <w:t>12-15</w:t>
            </w:r>
          </w:p>
        </w:tc>
        <w:tc>
          <w:tcPr>
            <w:tcW w:w="11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default" w:asciiTheme="minorEastAsia" w:hAnsiTheme="minorEastAsia" w:eastAsiaTheme="minorEastAsia" w:cstheme="minorEastAsia"/>
                <w:b w:val="0"/>
                <w:bCs/>
                <w:color w:val="auto"/>
                <w:sz w:val="24"/>
                <w:szCs w:val="24"/>
                <w:lang w:val="en-US" w:eastAsia="zh-CN"/>
              </w:rPr>
            </w:pPr>
            <w:r>
              <w:rPr>
                <w:rFonts w:hint="eastAsia" w:asciiTheme="minorEastAsia" w:hAnsiTheme="minorEastAsia" w:cstheme="minorEastAsia"/>
                <w:b w:val="0"/>
                <w:bCs/>
                <w:color w:val="auto"/>
                <w:sz w:val="24"/>
                <w:szCs w:val="24"/>
                <w:lang w:val="en-US" w:eastAsia="zh-CN"/>
              </w:rPr>
              <w:t>15-17</w:t>
            </w:r>
          </w:p>
        </w:tc>
        <w:tc>
          <w:tcPr>
            <w:tcW w:w="11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default" w:asciiTheme="minorEastAsia" w:hAnsiTheme="minorEastAsia" w:cstheme="minorEastAsia"/>
                <w:b w:val="0"/>
                <w:bCs/>
                <w:color w:val="auto"/>
                <w:sz w:val="24"/>
                <w:szCs w:val="24"/>
                <w:lang w:val="en-US" w:eastAsia="zh-CN"/>
              </w:rPr>
            </w:pPr>
            <w:r>
              <w:rPr>
                <w:rFonts w:hint="eastAsia" w:asciiTheme="minorEastAsia" w:hAnsiTheme="minorEastAsia" w:cstheme="minorEastAsia"/>
                <w:b w:val="0"/>
                <w:bCs/>
                <w:color w:val="auto"/>
                <w:sz w:val="24"/>
                <w:szCs w:val="24"/>
                <w:lang w:val="en-US" w:eastAsia="zh-CN"/>
              </w:rPr>
              <w:t>17-20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0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both"/>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可行性研究报告</w:t>
            </w:r>
            <w:r>
              <w:rPr>
                <w:rFonts w:hint="eastAsia" w:asciiTheme="minorEastAsia" w:hAnsiTheme="minorEastAsia" w:cstheme="minorEastAsia"/>
                <w:b w:val="0"/>
                <w:bCs/>
                <w:color w:val="auto"/>
                <w:sz w:val="24"/>
                <w:szCs w:val="24"/>
                <w:lang w:val="en-US" w:eastAsia="zh-CN"/>
              </w:rPr>
              <w:t>审费用基准</w:t>
            </w:r>
          </w:p>
        </w:tc>
        <w:tc>
          <w:tcPr>
            <w:tcW w:w="10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l-2</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2-4</w:t>
            </w:r>
          </w:p>
        </w:tc>
        <w:tc>
          <w:tcPr>
            <w:tcW w:w="10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default" w:asciiTheme="minorEastAsia" w:hAnsiTheme="minorEastAsia" w:eastAsiaTheme="minorEastAsia" w:cstheme="minorEastAsia"/>
                <w:b w:val="0"/>
                <w:bCs/>
                <w:color w:val="auto"/>
                <w:sz w:val="24"/>
                <w:szCs w:val="24"/>
                <w:lang w:val="en-US" w:eastAsia="zh-CN"/>
              </w:rPr>
            </w:pPr>
            <w:r>
              <w:rPr>
                <w:rFonts w:hint="eastAsia" w:asciiTheme="minorEastAsia" w:hAnsiTheme="minorEastAsia" w:cstheme="minorEastAsia"/>
                <w:b w:val="0"/>
                <w:bCs/>
                <w:color w:val="auto"/>
                <w:sz w:val="24"/>
                <w:szCs w:val="24"/>
                <w:lang w:val="en-US" w:eastAsia="zh-CN"/>
              </w:rPr>
              <w:t>5-10</w:t>
            </w:r>
          </w:p>
        </w:tc>
        <w:tc>
          <w:tcPr>
            <w:tcW w:w="10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default" w:asciiTheme="minorEastAsia" w:hAnsiTheme="minorEastAsia" w:eastAsiaTheme="minorEastAsia" w:cstheme="minorEastAsia"/>
                <w:b w:val="0"/>
                <w:bCs/>
                <w:color w:val="auto"/>
                <w:sz w:val="24"/>
                <w:szCs w:val="24"/>
                <w:lang w:val="en-US" w:eastAsia="zh-CN"/>
              </w:rPr>
            </w:pPr>
            <w:r>
              <w:rPr>
                <w:rFonts w:hint="eastAsia" w:asciiTheme="minorEastAsia" w:hAnsiTheme="minorEastAsia" w:cstheme="minorEastAsia"/>
                <w:b w:val="0"/>
                <w:bCs/>
                <w:color w:val="auto"/>
                <w:sz w:val="24"/>
                <w:szCs w:val="24"/>
                <w:lang w:val="en-US" w:eastAsia="zh-CN"/>
              </w:rPr>
              <w:t>10-15</w:t>
            </w:r>
          </w:p>
        </w:tc>
        <w:tc>
          <w:tcPr>
            <w:tcW w:w="10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default" w:asciiTheme="minorEastAsia" w:hAnsiTheme="minorEastAsia" w:eastAsiaTheme="minorEastAsia" w:cstheme="minorEastAsia"/>
                <w:b w:val="0"/>
                <w:bCs/>
                <w:color w:val="auto"/>
                <w:sz w:val="24"/>
                <w:szCs w:val="24"/>
                <w:lang w:val="en-US" w:eastAsia="zh-CN"/>
              </w:rPr>
            </w:pPr>
            <w:r>
              <w:rPr>
                <w:rFonts w:hint="eastAsia" w:asciiTheme="minorEastAsia" w:hAnsiTheme="minorEastAsia" w:cstheme="minorEastAsia"/>
                <w:b w:val="0"/>
                <w:bCs/>
                <w:color w:val="auto"/>
                <w:sz w:val="24"/>
                <w:szCs w:val="24"/>
                <w:lang w:val="en-US" w:eastAsia="zh-CN"/>
              </w:rPr>
              <w:t>15-20</w:t>
            </w:r>
          </w:p>
        </w:tc>
        <w:tc>
          <w:tcPr>
            <w:tcW w:w="11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default" w:asciiTheme="minorEastAsia" w:hAnsiTheme="minorEastAsia" w:eastAsiaTheme="minorEastAsia" w:cstheme="minorEastAsia"/>
                <w:b w:val="0"/>
                <w:bCs/>
                <w:color w:val="auto"/>
                <w:sz w:val="24"/>
                <w:szCs w:val="24"/>
                <w:lang w:val="en-US" w:eastAsia="zh-CN"/>
              </w:rPr>
            </w:pPr>
            <w:r>
              <w:rPr>
                <w:rFonts w:hint="eastAsia" w:asciiTheme="minorEastAsia" w:hAnsiTheme="minorEastAsia" w:cstheme="minorEastAsia"/>
                <w:b w:val="0"/>
                <w:bCs/>
                <w:color w:val="auto"/>
                <w:sz w:val="24"/>
                <w:szCs w:val="24"/>
                <w:lang w:val="en-US" w:eastAsia="zh-CN"/>
              </w:rPr>
              <w:t>20-25</w:t>
            </w:r>
          </w:p>
        </w:tc>
        <w:tc>
          <w:tcPr>
            <w:tcW w:w="11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default" w:asciiTheme="minorEastAsia" w:hAnsiTheme="minorEastAsia" w:cstheme="minorEastAsia"/>
                <w:b w:val="0"/>
                <w:bCs/>
                <w:color w:val="auto"/>
                <w:sz w:val="24"/>
                <w:szCs w:val="24"/>
                <w:lang w:val="en-US" w:eastAsia="zh-CN"/>
              </w:rPr>
            </w:pPr>
            <w:r>
              <w:rPr>
                <w:rFonts w:hint="eastAsia" w:asciiTheme="minorEastAsia" w:hAnsiTheme="minorEastAsia" w:cstheme="minorEastAsia"/>
                <w:b w:val="0"/>
                <w:bCs/>
                <w:color w:val="auto"/>
                <w:sz w:val="24"/>
                <w:szCs w:val="24"/>
                <w:lang w:val="en-US" w:eastAsia="zh-CN"/>
              </w:rPr>
              <w:t>25-35</w:t>
            </w:r>
          </w:p>
        </w:tc>
      </w:tr>
    </w:tbl>
    <w:p>
      <w:pPr>
        <w:keepNext w:val="0"/>
        <w:keepLines w:val="0"/>
        <w:pageBreakBefore w:val="0"/>
        <w:suppressAutoHyphens/>
        <w:kinsoku/>
        <w:overflowPunct/>
        <w:topLinePunct w:val="0"/>
        <w:autoSpaceDE/>
        <w:autoSpaceDN/>
        <w:bidi w:val="0"/>
        <w:spacing w:line="360" w:lineRule="auto"/>
        <w:ind w:firstLine="480" w:firstLineChars="200"/>
        <w:rPr>
          <w:rFonts w:hint="default" w:asciiTheme="minorEastAsia" w:hAnsiTheme="minorEastAsia" w:eastAsiaTheme="minorEastAsia" w:cstheme="minorEastAsia"/>
          <w:b w:val="0"/>
          <w:bCs/>
          <w:color w:val="auto"/>
          <w:sz w:val="24"/>
          <w:szCs w:val="24"/>
          <w:lang w:val="en-US" w:eastAsia="zh-CN"/>
        </w:rPr>
      </w:pPr>
      <w:r>
        <w:rPr>
          <w:rFonts w:hint="eastAsia" w:asciiTheme="minorEastAsia" w:hAnsiTheme="minorEastAsia" w:cstheme="minorEastAsia"/>
          <w:b w:val="0"/>
          <w:bCs/>
          <w:color w:val="auto"/>
          <w:sz w:val="24"/>
          <w:szCs w:val="24"/>
          <w:lang w:eastAsia="zh-CN"/>
        </w:rPr>
        <w:t>（</w:t>
      </w:r>
      <w:r>
        <w:rPr>
          <w:rFonts w:hint="eastAsia" w:asciiTheme="minorEastAsia" w:hAnsiTheme="minorEastAsia" w:cstheme="minorEastAsia"/>
          <w:b w:val="0"/>
          <w:bCs/>
          <w:color w:val="auto"/>
          <w:sz w:val="24"/>
          <w:szCs w:val="24"/>
          <w:lang w:val="en-US" w:eastAsia="zh-CN"/>
        </w:rPr>
        <w:t>2</w:t>
      </w:r>
      <w:r>
        <w:rPr>
          <w:rFonts w:hint="eastAsia" w:asciiTheme="minorEastAsia" w:hAnsiTheme="minorEastAsia" w:cstheme="minorEastAsia"/>
          <w:b w:val="0"/>
          <w:bCs/>
          <w:color w:val="auto"/>
          <w:sz w:val="24"/>
          <w:szCs w:val="24"/>
          <w:lang w:eastAsia="zh-CN"/>
        </w:rPr>
        <w:t>）</w:t>
      </w:r>
      <w:r>
        <w:rPr>
          <w:rFonts w:hint="eastAsia" w:asciiTheme="minorEastAsia" w:hAnsiTheme="minorEastAsia" w:eastAsiaTheme="minorEastAsia" w:cstheme="minorEastAsia"/>
          <w:b w:val="0"/>
          <w:bCs/>
          <w:color w:val="auto"/>
          <w:sz w:val="24"/>
          <w:szCs w:val="24"/>
        </w:rPr>
        <w:t>行业调整系数</w:t>
      </w:r>
      <w:r>
        <w:rPr>
          <w:rFonts w:hint="eastAsia" w:asciiTheme="minorEastAsia" w:hAnsiTheme="minorEastAsia" w:cstheme="minorEastAsia"/>
          <w:b w:val="0"/>
          <w:bCs/>
          <w:color w:val="auto"/>
          <w:sz w:val="24"/>
          <w:szCs w:val="24"/>
          <w:lang w:eastAsia="zh-CN"/>
        </w:rPr>
        <w:t>：</w:t>
      </w:r>
      <w:r>
        <w:rPr>
          <w:rFonts w:hint="eastAsia" w:asciiTheme="minorEastAsia" w:hAnsiTheme="minorEastAsia" w:cstheme="minorEastAsia"/>
          <w:b w:val="0"/>
          <w:bCs/>
          <w:color w:val="auto"/>
          <w:sz w:val="24"/>
          <w:szCs w:val="24"/>
          <w:lang w:val="en-US" w:eastAsia="zh-CN"/>
        </w:rPr>
        <w:t>对不同行业工程按以下系数进行调整。</w:t>
      </w:r>
    </w:p>
    <w:tbl>
      <w:tblPr>
        <w:tblStyle w:val="46"/>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9"/>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1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行业</w:t>
            </w:r>
          </w:p>
        </w:tc>
        <w:tc>
          <w:tcPr>
            <w:tcW w:w="230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调整系数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left"/>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1．石化、化工、钢铁</w:t>
            </w:r>
          </w:p>
        </w:tc>
        <w:tc>
          <w:tcPr>
            <w:tcW w:w="23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left"/>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2．石油、天然气、水利、水电、交通（水运）、化纤</w:t>
            </w:r>
          </w:p>
        </w:tc>
        <w:tc>
          <w:tcPr>
            <w:tcW w:w="23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left"/>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3．有色、黄金、纺织、轻工、邮电、广播电视、医药、煤炭、火电（含核电）、机械（含船舶、航空、航天、兵器）</w:t>
            </w:r>
          </w:p>
        </w:tc>
        <w:tc>
          <w:tcPr>
            <w:tcW w:w="23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left"/>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4．林业、商业、粮食、建筑</w:t>
            </w:r>
          </w:p>
        </w:tc>
        <w:tc>
          <w:tcPr>
            <w:tcW w:w="23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left"/>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5．建材、交通（公路）、铁道、市政公用工程</w:t>
            </w:r>
          </w:p>
        </w:tc>
        <w:tc>
          <w:tcPr>
            <w:tcW w:w="23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0.7</w:t>
            </w:r>
          </w:p>
        </w:tc>
      </w:tr>
    </w:tbl>
    <w:p>
      <w:pPr>
        <w:keepNext w:val="0"/>
        <w:keepLines w:val="0"/>
        <w:pageBreakBefore w:val="0"/>
        <w:suppressAutoHyphens/>
        <w:kinsoku/>
        <w:overflowPunct/>
        <w:topLinePunct w:val="0"/>
        <w:autoSpaceDE/>
        <w:autoSpaceDN/>
        <w:bidi w:val="0"/>
        <w:spacing w:line="360" w:lineRule="auto"/>
        <w:ind w:firstLine="480" w:firstLineChars="200"/>
        <w:rPr>
          <w:rFonts w:hint="default" w:asciiTheme="minorEastAsia" w:hAnsiTheme="minorEastAsia" w:eastAsiaTheme="minorEastAsia" w:cstheme="minorEastAsia"/>
          <w:b w:val="0"/>
          <w:bCs/>
          <w:color w:val="auto"/>
          <w:sz w:val="24"/>
          <w:szCs w:val="24"/>
          <w:lang w:val="en-US" w:eastAsia="zh-CN"/>
        </w:rPr>
      </w:pPr>
      <w:r>
        <w:rPr>
          <w:rFonts w:hint="eastAsia" w:asciiTheme="minorEastAsia" w:hAnsiTheme="minorEastAsia" w:cstheme="minorEastAsia"/>
          <w:b w:val="0"/>
          <w:bCs/>
          <w:color w:val="auto"/>
          <w:sz w:val="24"/>
          <w:szCs w:val="24"/>
          <w:lang w:eastAsia="zh-CN"/>
        </w:rPr>
        <w:t>（</w:t>
      </w:r>
      <w:r>
        <w:rPr>
          <w:rFonts w:hint="eastAsia" w:asciiTheme="minorEastAsia" w:hAnsiTheme="minorEastAsia" w:cstheme="minorEastAsia"/>
          <w:b w:val="0"/>
          <w:bCs/>
          <w:color w:val="auto"/>
          <w:sz w:val="24"/>
          <w:szCs w:val="24"/>
          <w:lang w:val="en-US" w:eastAsia="zh-CN"/>
        </w:rPr>
        <w:t>3</w:t>
      </w:r>
      <w:r>
        <w:rPr>
          <w:rFonts w:hint="eastAsia" w:asciiTheme="minorEastAsia" w:hAnsiTheme="minorEastAsia" w:cstheme="minorEastAsia"/>
          <w:b w:val="0"/>
          <w:bCs/>
          <w:color w:val="auto"/>
          <w:sz w:val="24"/>
          <w:szCs w:val="24"/>
          <w:lang w:eastAsia="zh-CN"/>
        </w:rPr>
        <w:t>）</w:t>
      </w:r>
      <w:r>
        <w:rPr>
          <w:rFonts w:hint="eastAsia" w:asciiTheme="minorEastAsia" w:hAnsiTheme="minorEastAsia" w:eastAsiaTheme="minorEastAsia" w:cstheme="minorEastAsia"/>
          <w:b w:val="0"/>
          <w:bCs/>
          <w:color w:val="auto"/>
          <w:sz w:val="24"/>
          <w:szCs w:val="24"/>
        </w:rPr>
        <w:t>投资规模系数：按投资规模分区间设置</w:t>
      </w:r>
      <w:r>
        <w:rPr>
          <w:rFonts w:hint="eastAsia" w:asciiTheme="minorEastAsia" w:hAnsiTheme="minorEastAsia" w:cstheme="minorEastAsia"/>
          <w:b w:val="0"/>
          <w:bCs/>
          <w:color w:val="auto"/>
          <w:sz w:val="24"/>
          <w:szCs w:val="24"/>
          <w:lang w:eastAsia="zh-CN"/>
        </w:rPr>
        <w:t>，</w:t>
      </w:r>
      <w:r>
        <w:rPr>
          <w:rFonts w:hint="eastAsia" w:asciiTheme="minorEastAsia" w:hAnsiTheme="minorEastAsia" w:cstheme="minorEastAsia"/>
          <w:b w:val="0"/>
          <w:bCs/>
          <w:color w:val="auto"/>
          <w:sz w:val="24"/>
          <w:szCs w:val="24"/>
          <w:lang w:val="en-US" w:eastAsia="zh-CN"/>
        </w:rPr>
        <w:t>依据下表按插入法确定。</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146"/>
        <w:gridCol w:w="4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14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投资规模V（万元）区间</w:t>
            </w:r>
          </w:p>
        </w:tc>
        <w:tc>
          <w:tcPr>
            <w:tcW w:w="417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投资规模系数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14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V≤3000</w:t>
            </w:r>
          </w:p>
        </w:tc>
        <w:tc>
          <w:tcPr>
            <w:tcW w:w="417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14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3000&lt;V≤10000</w:t>
            </w:r>
          </w:p>
        </w:tc>
        <w:tc>
          <w:tcPr>
            <w:tcW w:w="417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cstheme="minorEastAsia"/>
                <w:b w:val="0"/>
                <w:bCs/>
                <w:color w:val="auto"/>
                <w:sz w:val="24"/>
                <w:szCs w:val="24"/>
                <w:lang w:val="en-US" w:eastAsia="zh-CN"/>
              </w:rPr>
              <w:t>10</w:t>
            </w:r>
            <w:r>
              <w:rPr>
                <w:rFonts w:hint="eastAsia" w:asciiTheme="minorEastAsia" w:hAnsiTheme="minorEastAsia" w:eastAsiaTheme="minorEastAsia" w:cstheme="minorEastAsia"/>
                <w:b w:val="0"/>
                <w:bCs/>
                <w:color w:val="auto"/>
                <w:sz w:val="24"/>
                <w:szCs w:val="24"/>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14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10000&lt;V≤50000</w:t>
            </w:r>
          </w:p>
        </w:tc>
        <w:tc>
          <w:tcPr>
            <w:tcW w:w="417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80％~70％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14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50000&lt;V≤100000</w:t>
            </w:r>
          </w:p>
        </w:tc>
        <w:tc>
          <w:tcPr>
            <w:tcW w:w="417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70％~60％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14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100000&lt;V≤500000</w:t>
            </w:r>
          </w:p>
        </w:tc>
        <w:tc>
          <w:tcPr>
            <w:tcW w:w="417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60％~5</w:t>
            </w:r>
            <w:r>
              <w:rPr>
                <w:rFonts w:hint="eastAsia" w:asciiTheme="minorEastAsia" w:hAnsiTheme="minorEastAsia" w:cstheme="minorEastAsia"/>
                <w:b w:val="0"/>
                <w:bCs/>
                <w:color w:val="auto"/>
                <w:sz w:val="24"/>
                <w:szCs w:val="24"/>
                <w:lang w:val="en-US" w:eastAsia="zh-CN"/>
              </w:rPr>
              <w:t>5</w:t>
            </w:r>
            <w:r>
              <w:rPr>
                <w:rFonts w:hint="eastAsia" w:asciiTheme="minorEastAsia" w:hAnsiTheme="minorEastAsia" w:eastAsiaTheme="minorEastAsia" w:cstheme="minorEastAsia"/>
                <w:b w:val="0"/>
                <w:bCs/>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14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500000&lt;V</w:t>
            </w:r>
          </w:p>
        </w:tc>
        <w:tc>
          <w:tcPr>
            <w:tcW w:w="417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5</w:t>
            </w:r>
            <w:r>
              <w:rPr>
                <w:rFonts w:hint="eastAsia" w:asciiTheme="minorEastAsia" w:hAnsiTheme="minorEastAsia" w:cstheme="minorEastAsia"/>
                <w:b w:val="0"/>
                <w:bCs/>
                <w:color w:val="auto"/>
                <w:sz w:val="24"/>
                <w:szCs w:val="24"/>
                <w:lang w:val="en-US" w:eastAsia="zh-CN"/>
              </w:rPr>
              <w:t>5</w:t>
            </w:r>
            <w:r>
              <w:rPr>
                <w:rFonts w:hint="eastAsia" w:asciiTheme="minorEastAsia" w:hAnsiTheme="minorEastAsia" w:eastAsiaTheme="minorEastAsia" w:cstheme="minorEastAsia"/>
                <w:b w:val="0"/>
                <w:bCs/>
                <w:color w:val="auto"/>
                <w:sz w:val="24"/>
                <w:szCs w:val="24"/>
              </w:rPr>
              <w:t>％</w:t>
            </w:r>
          </w:p>
        </w:tc>
      </w:tr>
    </w:tbl>
    <w:p>
      <w:pPr>
        <w:keepNext w:val="0"/>
        <w:keepLines w:val="0"/>
        <w:pageBreakBefore w:val="0"/>
        <w:numPr>
          <w:ilvl w:val="0"/>
          <w:numId w:val="21"/>
        </w:numPr>
        <w:kinsoku/>
        <w:overflowPunct/>
        <w:topLinePunct w:val="0"/>
        <w:autoSpaceDE/>
        <w:autoSpaceDN/>
        <w:bidi w:val="0"/>
        <w:spacing w:line="360" w:lineRule="auto"/>
        <w:ind w:firstLine="480"/>
        <w:rPr>
          <w:rFonts w:hint="eastAsia" w:asciiTheme="minorEastAsia" w:hAnsiTheme="minorEastAsia" w:cstheme="minorEastAsia"/>
          <w:b w:val="0"/>
          <w:bCs/>
          <w:color w:val="auto"/>
          <w:sz w:val="24"/>
          <w:szCs w:val="24"/>
          <w:lang w:val="en-US" w:eastAsia="zh-CN"/>
        </w:rPr>
      </w:pPr>
      <w:r>
        <w:rPr>
          <w:rFonts w:hint="eastAsia" w:asciiTheme="minorEastAsia" w:hAnsiTheme="minorEastAsia" w:cstheme="minorEastAsia"/>
          <w:b w:val="0"/>
          <w:bCs/>
          <w:color w:val="auto"/>
          <w:sz w:val="24"/>
          <w:szCs w:val="24"/>
          <w:lang w:val="en-US" w:eastAsia="zh-CN"/>
        </w:rPr>
        <w:t>关联项目评审费用（不含退件、绿色通道项目）</w:t>
      </w:r>
    </w:p>
    <w:p>
      <w:pPr>
        <w:keepNext w:val="0"/>
        <w:keepLines w:val="0"/>
        <w:pageBreakBefore w:val="0"/>
        <w:numPr>
          <w:ilvl w:val="0"/>
          <w:numId w:val="0"/>
        </w:numPr>
        <w:kinsoku/>
        <w:overflowPunct/>
        <w:topLinePunct w:val="0"/>
        <w:autoSpaceDE/>
        <w:autoSpaceDN/>
        <w:bidi w:val="0"/>
        <w:spacing w:line="360" w:lineRule="auto"/>
        <w:ind w:firstLine="480" w:firstLineChars="200"/>
        <w:rPr>
          <w:rFonts w:hint="eastAsia" w:asciiTheme="minorEastAsia" w:hAnsiTheme="minorEastAsia" w:cstheme="minorEastAsia"/>
          <w:b w:val="0"/>
          <w:bCs/>
          <w:color w:val="auto"/>
          <w:sz w:val="24"/>
          <w:szCs w:val="24"/>
          <w:lang w:val="en-US" w:eastAsia="zh-CN"/>
        </w:rPr>
      </w:pPr>
      <w:r>
        <w:rPr>
          <w:rFonts w:hint="eastAsia" w:asciiTheme="minorEastAsia" w:hAnsiTheme="minorEastAsia" w:cstheme="minorEastAsia"/>
          <w:b w:val="0"/>
          <w:bCs/>
          <w:color w:val="auto"/>
          <w:sz w:val="24"/>
          <w:szCs w:val="24"/>
          <w:lang w:val="en-US" w:eastAsia="zh-CN"/>
        </w:rPr>
        <w:t>与原评审项目有关的后续评审事项统称为关联项目，按以下步骤核算评审费用：</w:t>
      </w:r>
    </w:p>
    <w:p>
      <w:pPr>
        <w:pStyle w:val="2"/>
        <w:ind w:firstLine="480" w:firstLineChars="200"/>
        <w:rPr>
          <w:rFonts w:hint="default"/>
          <w:color w:val="auto"/>
          <w:lang w:val="en-US" w:eastAsia="zh-CN"/>
        </w:rPr>
      </w:pPr>
      <w:r>
        <w:rPr>
          <w:rFonts w:hint="eastAsia" w:asciiTheme="minorEastAsia" w:hAnsiTheme="minorEastAsia" w:cstheme="minorEastAsia"/>
          <w:b w:val="0"/>
          <w:bCs/>
          <w:color w:val="auto"/>
          <w:sz w:val="24"/>
          <w:szCs w:val="24"/>
          <w:lang w:val="en-US" w:eastAsia="zh-CN"/>
        </w:rPr>
        <w:t>项目评审</w:t>
      </w:r>
    </w:p>
    <w:p>
      <w:pPr>
        <w:keepNext w:val="0"/>
        <w:keepLines w:val="0"/>
        <w:pageBreakBefore w:val="0"/>
        <w:kinsoku/>
        <w:overflowPunct/>
        <w:topLinePunct w:val="0"/>
        <w:autoSpaceDE/>
        <w:autoSpaceDN/>
        <w:bidi w:val="0"/>
        <w:spacing w:line="360" w:lineRule="auto"/>
        <w:ind w:firstLine="480"/>
        <w:rPr>
          <w:rFonts w:hint="default"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color w:val="auto"/>
          <w:sz w:val="24"/>
          <w:szCs w:val="24"/>
        </w:rPr>
        <w:t>（二）</w:t>
      </w:r>
      <w:r>
        <w:rPr>
          <w:rFonts w:hint="eastAsia" w:asciiTheme="minorEastAsia" w:hAnsiTheme="minorEastAsia" w:cstheme="minorEastAsia"/>
          <w:b w:val="0"/>
          <w:bCs/>
          <w:color w:val="auto"/>
          <w:sz w:val="24"/>
          <w:szCs w:val="24"/>
          <w:lang w:val="en-US" w:eastAsia="zh-CN"/>
        </w:rPr>
        <w:t>投资概算等工程造价类项目评审费用核算</w:t>
      </w:r>
    </w:p>
    <w:p>
      <w:pPr>
        <w:keepNext w:val="0"/>
        <w:keepLines w:val="0"/>
        <w:pageBreakBefore w:val="0"/>
        <w:suppressAutoHyphens/>
        <w:kinsoku/>
        <w:overflowPunct/>
        <w:topLinePunct w:val="0"/>
        <w:autoSpaceDE/>
        <w:autoSpaceDN/>
        <w:bidi w:val="0"/>
        <w:spacing w:line="360" w:lineRule="auto"/>
        <w:ind w:firstLine="480"/>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1．计费依据：参考《成都市政府投资项目评审中心（</w:t>
      </w:r>
      <w:r>
        <w:rPr>
          <w:rFonts w:hint="eastAsia" w:asciiTheme="minorEastAsia" w:hAnsiTheme="minorEastAsia" w:cstheme="minorEastAsia"/>
          <w:b w:val="0"/>
          <w:bCs/>
          <w:color w:val="auto"/>
          <w:sz w:val="24"/>
          <w:szCs w:val="24"/>
          <w:lang w:val="en-US" w:eastAsia="zh-CN"/>
        </w:rPr>
        <w:t>市</w:t>
      </w:r>
      <w:r>
        <w:rPr>
          <w:rFonts w:hint="eastAsia" w:asciiTheme="minorEastAsia" w:hAnsiTheme="minorEastAsia" w:eastAsiaTheme="minorEastAsia" w:cstheme="minorEastAsia"/>
          <w:b w:val="0"/>
          <w:bCs/>
          <w:color w:val="auto"/>
          <w:sz w:val="24"/>
          <w:szCs w:val="24"/>
        </w:rPr>
        <w:t>PPP中心）</w:t>
      </w:r>
      <w:r>
        <w:rPr>
          <w:rFonts w:hint="eastAsia" w:asciiTheme="minorEastAsia" w:hAnsiTheme="minorEastAsia" w:cstheme="minorEastAsia"/>
          <w:b w:val="0"/>
          <w:bCs/>
          <w:color w:val="auto"/>
          <w:sz w:val="24"/>
          <w:szCs w:val="24"/>
          <w:lang w:val="en-US" w:eastAsia="zh-CN"/>
        </w:rPr>
        <w:t>项目评审费用核算及支付管理办法</w:t>
      </w:r>
      <w:r>
        <w:rPr>
          <w:rFonts w:hint="eastAsia" w:asciiTheme="minorEastAsia" w:hAnsiTheme="minorEastAsia" w:eastAsiaTheme="minorEastAsia" w:cstheme="minorEastAsia"/>
          <w:b w:val="0"/>
          <w:bCs/>
          <w:color w:val="auto"/>
          <w:sz w:val="24"/>
          <w:szCs w:val="24"/>
        </w:rPr>
        <w:t>》（成评审〔201</w:t>
      </w:r>
      <w:r>
        <w:rPr>
          <w:rFonts w:hint="eastAsia" w:asciiTheme="minorEastAsia" w:hAnsiTheme="minorEastAsia" w:cstheme="minorEastAsia"/>
          <w:b w:val="0"/>
          <w:bCs/>
          <w:color w:val="auto"/>
          <w:sz w:val="24"/>
          <w:szCs w:val="24"/>
          <w:lang w:val="en-US" w:eastAsia="zh-CN"/>
        </w:rPr>
        <w:t>9</w:t>
      </w:r>
      <w:r>
        <w:rPr>
          <w:rFonts w:hint="eastAsia" w:asciiTheme="minorEastAsia" w:hAnsiTheme="minorEastAsia" w:eastAsiaTheme="minorEastAsia" w:cstheme="minorEastAsia"/>
          <w:b w:val="0"/>
          <w:bCs/>
          <w:color w:val="auto"/>
          <w:sz w:val="24"/>
          <w:szCs w:val="24"/>
        </w:rPr>
        <w:t>〕2号）</w:t>
      </w:r>
      <w:r>
        <w:rPr>
          <w:rFonts w:hint="eastAsia" w:asciiTheme="minorEastAsia" w:hAnsiTheme="minorEastAsia" w:cstheme="minorEastAsia"/>
          <w:b w:val="0"/>
          <w:bCs/>
          <w:color w:val="auto"/>
          <w:sz w:val="24"/>
          <w:szCs w:val="24"/>
          <w:lang w:eastAsia="zh-CN"/>
        </w:rPr>
        <w:t>，</w:t>
      </w:r>
      <w:r>
        <w:rPr>
          <w:rFonts w:hint="eastAsia" w:asciiTheme="minorEastAsia" w:hAnsiTheme="minorEastAsia" w:cstheme="minorEastAsia"/>
          <w:b w:val="0"/>
          <w:bCs/>
          <w:color w:val="auto"/>
          <w:sz w:val="24"/>
          <w:szCs w:val="24"/>
          <w:lang w:val="en-US" w:eastAsia="zh-CN"/>
        </w:rPr>
        <w:t>并结合我区政府投资项目实际进行计算</w:t>
      </w:r>
      <w:r>
        <w:rPr>
          <w:rFonts w:hint="eastAsia" w:asciiTheme="minorEastAsia" w:hAnsiTheme="minorEastAsia" w:eastAsiaTheme="minorEastAsia" w:cstheme="minorEastAsia"/>
          <w:b w:val="0"/>
          <w:bCs/>
          <w:color w:val="auto"/>
          <w:sz w:val="24"/>
          <w:szCs w:val="24"/>
        </w:rPr>
        <w:t>。</w:t>
      </w:r>
    </w:p>
    <w:p>
      <w:pPr>
        <w:keepNext w:val="0"/>
        <w:keepLines w:val="0"/>
        <w:pageBreakBefore w:val="0"/>
        <w:suppressAutoHyphens/>
        <w:kinsoku/>
        <w:overflowPunct/>
        <w:topLinePunct w:val="0"/>
        <w:autoSpaceDE/>
        <w:autoSpaceDN/>
        <w:bidi w:val="0"/>
        <w:spacing w:line="360" w:lineRule="auto"/>
        <w:ind w:firstLine="480"/>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2．</w:t>
      </w:r>
      <w:r>
        <w:rPr>
          <w:rFonts w:hint="eastAsia" w:asciiTheme="minorEastAsia" w:hAnsiTheme="minorEastAsia" w:cstheme="minorEastAsia"/>
          <w:b w:val="0"/>
          <w:bCs/>
          <w:color w:val="auto"/>
          <w:sz w:val="24"/>
          <w:szCs w:val="24"/>
          <w:lang w:val="en-US" w:eastAsia="zh-CN"/>
        </w:rPr>
        <w:t>投资概算等工程造价类项目评审费用</w:t>
      </w:r>
    </w:p>
    <w:p>
      <w:pPr>
        <w:keepNext w:val="0"/>
        <w:keepLines w:val="0"/>
        <w:pageBreakBefore w:val="0"/>
        <w:suppressAutoHyphens/>
        <w:kinsoku/>
        <w:overflowPunct/>
        <w:topLinePunct w:val="0"/>
        <w:autoSpaceDE/>
        <w:autoSpaceDN/>
        <w:bidi w:val="0"/>
        <w:spacing w:line="360" w:lineRule="auto"/>
        <w:ind w:firstLine="480"/>
        <w:rPr>
          <w:rFonts w:hint="default"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color w:val="auto"/>
          <w:sz w:val="24"/>
          <w:szCs w:val="24"/>
        </w:rPr>
        <w:t>评审费用=费用基准价×专业调整系数×</w:t>
      </w:r>
      <w:r>
        <w:rPr>
          <w:rFonts w:hint="eastAsia" w:asciiTheme="minorEastAsia" w:hAnsiTheme="minorEastAsia" w:cstheme="minorEastAsia"/>
          <w:b w:val="0"/>
          <w:bCs/>
          <w:color w:val="auto"/>
          <w:sz w:val="24"/>
          <w:szCs w:val="24"/>
          <w:lang w:val="en-US" w:eastAsia="zh-CN"/>
        </w:rPr>
        <w:t>投资规模系数</w:t>
      </w:r>
    </w:p>
    <w:p>
      <w:pPr>
        <w:keepNext w:val="0"/>
        <w:keepLines w:val="0"/>
        <w:pageBreakBefore w:val="0"/>
        <w:suppressAutoHyphens/>
        <w:kinsoku/>
        <w:overflowPunct/>
        <w:topLinePunct w:val="0"/>
        <w:autoSpaceDE/>
        <w:autoSpaceDN/>
        <w:bidi w:val="0"/>
        <w:spacing w:line="360" w:lineRule="auto"/>
        <w:ind w:firstLine="480"/>
        <w:rPr>
          <w:rFonts w:hint="eastAsia" w:asciiTheme="minorEastAsia" w:hAnsiTheme="minorEastAsia" w:eastAsiaTheme="minorEastAsia" w:cstheme="minorEastAsia"/>
          <w:b w:val="0"/>
          <w:bCs/>
          <w:color w:val="auto"/>
          <w:sz w:val="24"/>
          <w:szCs w:val="24"/>
          <w:lang w:eastAsia="zh-CN"/>
        </w:rPr>
      </w:pPr>
      <w:bookmarkStart w:id="140" w:name="_Toc408402489"/>
      <w:r>
        <w:rPr>
          <w:rFonts w:hint="eastAsia" w:asciiTheme="minorEastAsia" w:hAnsiTheme="minorEastAsia" w:eastAsiaTheme="minorEastAsia" w:cstheme="minorEastAsia"/>
          <w:b w:val="0"/>
          <w:bCs/>
          <w:color w:val="auto"/>
          <w:sz w:val="24"/>
          <w:szCs w:val="24"/>
        </w:rPr>
        <w:t>（1）费用基准价</w:t>
      </w:r>
      <w:r>
        <w:rPr>
          <w:rFonts w:hint="eastAsia" w:asciiTheme="minorEastAsia" w:hAnsiTheme="minorEastAsia" w:cstheme="minorEastAsia"/>
          <w:b w:val="0"/>
          <w:bCs/>
          <w:color w:val="auto"/>
          <w:sz w:val="24"/>
          <w:szCs w:val="24"/>
          <w:lang w:eastAsia="zh-CN"/>
        </w:rPr>
        <w:t>：</w:t>
      </w:r>
      <w:r>
        <w:rPr>
          <w:rFonts w:hint="eastAsia" w:asciiTheme="minorEastAsia" w:hAnsiTheme="minorEastAsia" w:cstheme="minorEastAsia"/>
          <w:b w:val="0"/>
          <w:bCs/>
          <w:color w:val="auto"/>
          <w:sz w:val="24"/>
          <w:szCs w:val="24"/>
          <w:lang w:val="en-US" w:eastAsia="zh-CN"/>
        </w:rPr>
        <w:t>以项目投资额（=送审投资额-土地费用或暂列金或风险金等非评审工作范围内容）</w:t>
      </w:r>
      <w:r>
        <w:rPr>
          <w:rFonts w:hint="eastAsia" w:asciiTheme="minorEastAsia" w:hAnsiTheme="minorEastAsia" w:eastAsiaTheme="minorEastAsia" w:cstheme="minorEastAsia"/>
          <w:b w:val="0"/>
          <w:bCs/>
          <w:color w:val="auto"/>
          <w:sz w:val="24"/>
          <w:szCs w:val="24"/>
        </w:rPr>
        <w:t>按</w:t>
      </w:r>
      <w:r>
        <w:rPr>
          <w:rFonts w:hint="eastAsia" w:asciiTheme="minorEastAsia" w:hAnsiTheme="minorEastAsia" w:cstheme="minorEastAsia"/>
          <w:b w:val="0"/>
          <w:bCs/>
          <w:color w:val="auto"/>
          <w:sz w:val="24"/>
          <w:szCs w:val="24"/>
          <w:lang w:val="en-US" w:eastAsia="zh-CN"/>
        </w:rPr>
        <w:t>下表</w:t>
      </w:r>
      <w:r>
        <w:rPr>
          <w:rFonts w:hint="eastAsia" w:asciiTheme="minorEastAsia" w:hAnsiTheme="minorEastAsia" w:eastAsiaTheme="minorEastAsia" w:cstheme="minorEastAsia"/>
          <w:b w:val="0"/>
          <w:bCs/>
          <w:color w:val="auto"/>
          <w:sz w:val="24"/>
          <w:szCs w:val="24"/>
        </w:rPr>
        <w:t>差额定率累进法计算</w:t>
      </w:r>
      <w:bookmarkEnd w:id="140"/>
      <w:r>
        <w:rPr>
          <w:rFonts w:hint="eastAsia" w:asciiTheme="minorEastAsia" w:hAnsiTheme="minorEastAsia" w:cstheme="minorEastAsia"/>
          <w:b w:val="0"/>
          <w:bCs/>
          <w:color w:val="auto"/>
          <w:sz w:val="24"/>
          <w:szCs w:val="24"/>
          <w:lang w:val="en-US" w:eastAsia="zh-CN"/>
        </w:rPr>
        <w:t>确定。</w:t>
      </w:r>
    </w:p>
    <w:tbl>
      <w:tblPr>
        <w:tblStyle w:val="46"/>
        <w:tblW w:w="82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32"/>
        <w:gridCol w:w="608"/>
        <w:gridCol w:w="1468"/>
        <w:gridCol w:w="881"/>
        <w:gridCol w:w="917"/>
        <w:gridCol w:w="924"/>
        <w:gridCol w:w="923"/>
        <w:gridCol w:w="1067"/>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532"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序号</w:t>
            </w:r>
          </w:p>
        </w:tc>
        <w:tc>
          <w:tcPr>
            <w:tcW w:w="608"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评审类别</w:t>
            </w:r>
          </w:p>
        </w:tc>
        <w:tc>
          <w:tcPr>
            <w:tcW w:w="1468"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计费基数</w:t>
            </w:r>
          </w:p>
        </w:tc>
        <w:tc>
          <w:tcPr>
            <w:tcW w:w="5641" w:type="dxa"/>
            <w:gridSpan w:val="6"/>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计费基数金额（V：万元）区间费率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53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60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146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8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V≤100</w:t>
            </w:r>
          </w:p>
        </w:tc>
        <w:tc>
          <w:tcPr>
            <w:tcW w:w="9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100&lt;</w:t>
            </w:r>
          </w:p>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V≤500</w:t>
            </w:r>
          </w:p>
        </w:tc>
        <w:tc>
          <w:tcPr>
            <w:tcW w:w="9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500&lt;</w:t>
            </w:r>
          </w:p>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V≤1000</w:t>
            </w:r>
          </w:p>
        </w:tc>
        <w:tc>
          <w:tcPr>
            <w:tcW w:w="9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1000&lt;</w:t>
            </w:r>
          </w:p>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V≤5000</w:t>
            </w:r>
          </w:p>
        </w:tc>
        <w:tc>
          <w:tcPr>
            <w:tcW w:w="10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5000&lt;</w:t>
            </w:r>
          </w:p>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V≤10000</w:t>
            </w:r>
          </w:p>
        </w:tc>
        <w:tc>
          <w:tcPr>
            <w:tcW w:w="9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10000&lt;V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bookmarkStart w:id="141" w:name="OLE_LINK3"/>
            <w:r>
              <w:rPr>
                <w:rFonts w:hint="eastAsia" w:asciiTheme="minorEastAsia" w:hAnsiTheme="minorEastAsia" w:eastAsiaTheme="minorEastAsia" w:cstheme="minorEastAsia"/>
                <w:b w:val="0"/>
                <w:bCs/>
                <w:color w:val="auto"/>
                <w:sz w:val="24"/>
                <w:szCs w:val="24"/>
              </w:rPr>
              <w:t>1</w:t>
            </w:r>
          </w:p>
        </w:tc>
        <w:tc>
          <w:tcPr>
            <w:tcW w:w="6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cstheme="minorEastAsia"/>
                <w:b w:val="0"/>
                <w:bCs/>
                <w:color w:val="auto"/>
                <w:sz w:val="24"/>
                <w:szCs w:val="24"/>
                <w:lang w:val="en-US" w:eastAsia="zh-CN"/>
              </w:rPr>
              <w:t>投资</w:t>
            </w:r>
            <w:r>
              <w:rPr>
                <w:rFonts w:hint="eastAsia" w:asciiTheme="minorEastAsia" w:hAnsiTheme="minorEastAsia" w:eastAsiaTheme="minorEastAsia" w:cstheme="minorEastAsia"/>
                <w:b w:val="0"/>
                <w:bCs/>
                <w:color w:val="auto"/>
                <w:sz w:val="24"/>
                <w:szCs w:val="24"/>
              </w:rPr>
              <w:t>概算</w:t>
            </w:r>
          </w:p>
        </w:tc>
        <w:tc>
          <w:tcPr>
            <w:tcW w:w="14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default" w:asciiTheme="minorEastAsia" w:hAnsiTheme="minorEastAsia" w:eastAsiaTheme="minorEastAsia" w:cstheme="minorEastAsia"/>
                <w:b w:val="0"/>
                <w:bCs/>
                <w:color w:val="auto"/>
                <w:sz w:val="24"/>
                <w:szCs w:val="24"/>
                <w:lang w:val="en-US"/>
              </w:rPr>
            </w:pPr>
            <w:r>
              <w:rPr>
                <w:rFonts w:hint="eastAsia" w:asciiTheme="minorEastAsia" w:hAnsiTheme="minorEastAsia" w:cstheme="minorEastAsia"/>
                <w:b w:val="0"/>
                <w:bCs/>
                <w:color w:val="auto"/>
                <w:sz w:val="24"/>
                <w:szCs w:val="24"/>
                <w:lang w:val="en-US" w:eastAsia="zh-CN"/>
              </w:rPr>
              <w:t>送审投资-土地等非评审工作范围内容</w:t>
            </w:r>
          </w:p>
        </w:tc>
        <w:tc>
          <w:tcPr>
            <w:tcW w:w="8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0.16％</w:t>
            </w:r>
          </w:p>
        </w:tc>
        <w:tc>
          <w:tcPr>
            <w:tcW w:w="9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0.14％</w:t>
            </w:r>
          </w:p>
        </w:tc>
        <w:tc>
          <w:tcPr>
            <w:tcW w:w="9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0.13％</w:t>
            </w:r>
          </w:p>
        </w:tc>
        <w:tc>
          <w:tcPr>
            <w:tcW w:w="9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0.11％</w:t>
            </w:r>
          </w:p>
        </w:tc>
        <w:tc>
          <w:tcPr>
            <w:tcW w:w="10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0.09％</w:t>
            </w:r>
          </w:p>
        </w:tc>
        <w:tc>
          <w:tcPr>
            <w:tcW w:w="9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cstheme="minorEastAsia"/>
                <w:b w:val="0"/>
                <w:bCs/>
                <w:color w:val="auto"/>
                <w:sz w:val="24"/>
                <w:szCs w:val="24"/>
                <w:lang w:val="en-US" w:eastAsia="zh-CN"/>
              </w:rPr>
              <w:t>2</w:t>
            </w:r>
          </w:p>
        </w:tc>
        <w:tc>
          <w:tcPr>
            <w:tcW w:w="6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default" w:asciiTheme="minorEastAsia" w:hAnsiTheme="minorEastAsia" w:cstheme="minorEastAsia"/>
                <w:b w:val="0"/>
                <w:bCs/>
                <w:color w:val="auto"/>
                <w:sz w:val="24"/>
                <w:szCs w:val="24"/>
                <w:lang w:val="en-US" w:eastAsia="zh-CN"/>
              </w:rPr>
            </w:pPr>
            <w:r>
              <w:rPr>
                <w:rFonts w:hint="eastAsia" w:asciiTheme="minorEastAsia" w:hAnsiTheme="minorEastAsia" w:cstheme="minorEastAsia"/>
                <w:b w:val="0"/>
                <w:bCs/>
                <w:color w:val="auto"/>
                <w:sz w:val="24"/>
                <w:szCs w:val="24"/>
                <w:lang w:val="en-US" w:eastAsia="zh-CN"/>
              </w:rPr>
              <w:t>工程预算</w:t>
            </w:r>
          </w:p>
        </w:tc>
        <w:tc>
          <w:tcPr>
            <w:tcW w:w="14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cstheme="minorEastAsia"/>
                <w:b w:val="0"/>
                <w:bCs/>
                <w:color w:val="auto"/>
                <w:sz w:val="24"/>
                <w:szCs w:val="24"/>
                <w:lang w:val="en-US" w:eastAsia="zh-CN"/>
              </w:rPr>
            </w:pPr>
            <w:r>
              <w:rPr>
                <w:rFonts w:hint="eastAsia" w:asciiTheme="minorEastAsia" w:hAnsiTheme="minorEastAsia" w:cstheme="minorEastAsia"/>
                <w:b w:val="0"/>
                <w:bCs/>
                <w:color w:val="auto"/>
                <w:sz w:val="24"/>
                <w:szCs w:val="24"/>
                <w:lang w:val="en-US" w:eastAsia="zh-CN"/>
              </w:rPr>
              <w:t>送审投资-暂列金或风险金等非评审工作范围内容</w:t>
            </w:r>
          </w:p>
        </w:tc>
        <w:tc>
          <w:tcPr>
            <w:tcW w:w="8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default" w:asciiTheme="minorEastAsia" w:hAnsiTheme="minorEastAsia" w:eastAsiaTheme="minorEastAsia" w:cstheme="minorEastAsia"/>
                <w:b w:val="0"/>
                <w:bCs/>
                <w:color w:val="auto"/>
                <w:sz w:val="24"/>
                <w:szCs w:val="24"/>
                <w:lang w:val="en-US" w:eastAsia="zh-CN"/>
              </w:rPr>
            </w:pPr>
            <w:r>
              <w:rPr>
                <w:rFonts w:hint="eastAsia" w:asciiTheme="minorEastAsia" w:hAnsiTheme="minorEastAsia" w:cstheme="minorEastAsia"/>
                <w:b w:val="0"/>
                <w:bCs/>
                <w:color w:val="auto"/>
                <w:sz w:val="24"/>
                <w:szCs w:val="24"/>
                <w:lang w:val="en-US" w:eastAsia="zh-CN"/>
              </w:rPr>
              <w:t>0.36</w:t>
            </w:r>
            <w:r>
              <w:rPr>
                <w:rFonts w:hint="eastAsia" w:asciiTheme="minorEastAsia" w:hAnsiTheme="minorEastAsia" w:eastAsiaTheme="minorEastAsia" w:cstheme="minorEastAsia"/>
                <w:b w:val="0"/>
                <w:bCs/>
                <w:color w:val="auto"/>
                <w:sz w:val="24"/>
                <w:szCs w:val="24"/>
              </w:rPr>
              <w:t>％</w:t>
            </w:r>
          </w:p>
        </w:tc>
        <w:tc>
          <w:tcPr>
            <w:tcW w:w="9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default" w:asciiTheme="minorEastAsia" w:hAnsiTheme="minorEastAsia" w:eastAsiaTheme="minorEastAsia" w:cstheme="minorEastAsia"/>
                <w:b w:val="0"/>
                <w:bCs/>
                <w:color w:val="auto"/>
                <w:sz w:val="24"/>
                <w:szCs w:val="24"/>
                <w:lang w:val="en-US" w:eastAsia="zh-CN"/>
              </w:rPr>
            </w:pPr>
            <w:r>
              <w:rPr>
                <w:rFonts w:hint="eastAsia" w:asciiTheme="minorEastAsia" w:hAnsiTheme="minorEastAsia" w:cstheme="minorEastAsia"/>
                <w:b w:val="0"/>
                <w:bCs/>
                <w:color w:val="auto"/>
                <w:sz w:val="24"/>
                <w:szCs w:val="24"/>
                <w:lang w:val="en-US" w:eastAsia="zh-CN"/>
              </w:rPr>
              <w:t>0.34</w:t>
            </w:r>
            <w:r>
              <w:rPr>
                <w:rFonts w:hint="eastAsia" w:asciiTheme="minorEastAsia" w:hAnsiTheme="minorEastAsia" w:eastAsiaTheme="minorEastAsia" w:cstheme="minorEastAsia"/>
                <w:b w:val="0"/>
                <w:bCs/>
                <w:color w:val="auto"/>
                <w:sz w:val="24"/>
                <w:szCs w:val="24"/>
              </w:rPr>
              <w:t>％</w:t>
            </w:r>
          </w:p>
        </w:tc>
        <w:tc>
          <w:tcPr>
            <w:tcW w:w="9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default" w:asciiTheme="minorEastAsia" w:hAnsiTheme="minorEastAsia" w:eastAsiaTheme="minorEastAsia" w:cstheme="minorEastAsia"/>
                <w:b w:val="0"/>
                <w:bCs/>
                <w:color w:val="auto"/>
                <w:sz w:val="24"/>
                <w:szCs w:val="24"/>
                <w:lang w:val="en-US" w:eastAsia="zh-CN"/>
              </w:rPr>
            </w:pPr>
            <w:r>
              <w:rPr>
                <w:rFonts w:hint="eastAsia" w:asciiTheme="minorEastAsia" w:hAnsiTheme="minorEastAsia" w:cstheme="minorEastAsia"/>
                <w:b w:val="0"/>
                <w:bCs/>
                <w:color w:val="auto"/>
                <w:sz w:val="24"/>
                <w:szCs w:val="24"/>
                <w:lang w:val="en-US" w:eastAsia="zh-CN"/>
              </w:rPr>
              <w:t>0.32</w:t>
            </w:r>
            <w:r>
              <w:rPr>
                <w:rFonts w:hint="eastAsia" w:asciiTheme="minorEastAsia" w:hAnsiTheme="minorEastAsia" w:eastAsiaTheme="minorEastAsia" w:cstheme="minorEastAsia"/>
                <w:b w:val="0"/>
                <w:bCs/>
                <w:color w:val="auto"/>
                <w:sz w:val="24"/>
                <w:szCs w:val="24"/>
              </w:rPr>
              <w:t>％</w:t>
            </w:r>
          </w:p>
        </w:tc>
        <w:tc>
          <w:tcPr>
            <w:tcW w:w="9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default" w:asciiTheme="minorEastAsia" w:hAnsiTheme="minorEastAsia" w:eastAsiaTheme="minorEastAsia" w:cstheme="minorEastAsia"/>
                <w:b w:val="0"/>
                <w:bCs/>
                <w:color w:val="auto"/>
                <w:sz w:val="24"/>
                <w:szCs w:val="24"/>
                <w:lang w:val="en-US" w:eastAsia="zh-CN"/>
              </w:rPr>
            </w:pPr>
            <w:r>
              <w:rPr>
                <w:rFonts w:hint="eastAsia" w:asciiTheme="minorEastAsia" w:hAnsiTheme="minorEastAsia" w:cstheme="minorEastAsia"/>
                <w:b w:val="0"/>
                <w:bCs/>
                <w:color w:val="auto"/>
                <w:sz w:val="24"/>
                <w:szCs w:val="24"/>
                <w:lang w:val="en-US" w:eastAsia="zh-CN"/>
              </w:rPr>
              <w:t>0.30</w:t>
            </w:r>
            <w:r>
              <w:rPr>
                <w:rFonts w:hint="eastAsia" w:asciiTheme="minorEastAsia" w:hAnsiTheme="minorEastAsia" w:eastAsiaTheme="minorEastAsia" w:cstheme="minorEastAsia"/>
                <w:b w:val="0"/>
                <w:bCs/>
                <w:color w:val="auto"/>
                <w:sz w:val="24"/>
                <w:szCs w:val="24"/>
              </w:rPr>
              <w:t>％</w:t>
            </w:r>
          </w:p>
        </w:tc>
        <w:tc>
          <w:tcPr>
            <w:tcW w:w="10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default" w:asciiTheme="minorEastAsia" w:hAnsiTheme="minorEastAsia" w:eastAsiaTheme="minorEastAsia" w:cstheme="minorEastAsia"/>
                <w:b w:val="0"/>
                <w:bCs/>
                <w:color w:val="auto"/>
                <w:sz w:val="24"/>
                <w:szCs w:val="24"/>
                <w:lang w:val="en-US" w:eastAsia="zh-CN"/>
              </w:rPr>
            </w:pPr>
            <w:r>
              <w:rPr>
                <w:rFonts w:hint="eastAsia" w:asciiTheme="minorEastAsia" w:hAnsiTheme="minorEastAsia" w:cstheme="minorEastAsia"/>
                <w:b w:val="0"/>
                <w:bCs/>
                <w:color w:val="auto"/>
                <w:sz w:val="24"/>
                <w:szCs w:val="24"/>
                <w:lang w:val="en-US" w:eastAsia="zh-CN"/>
              </w:rPr>
              <w:t>0.28</w:t>
            </w:r>
            <w:r>
              <w:rPr>
                <w:rFonts w:hint="eastAsia" w:asciiTheme="minorEastAsia" w:hAnsiTheme="minorEastAsia" w:eastAsiaTheme="minorEastAsia" w:cstheme="minorEastAsia"/>
                <w:b w:val="0"/>
                <w:bCs/>
                <w:color w:val="auto"/>
                <w:sz w:val="24"/>
                <w:szCs w:val="24"/>
              </w:rPr>
              <w:t>％</w:t>
            </w:r>
          </w:p>
        </w:tc>
        <w:tc>
          <w:tcPr>
            <w:tcW w:w="9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default" w:asciiTheme="minorEastAsia" w:hAnsiTheme="minorEastAsia" w:eastAsiaTheme="minorEastAsia" w:cstheme="minorEastAsia"/>
                <w:b w:val="0"/>
                <w:bCs/>
                <w:color w:val="auto"/>
                <w:sz w:val="24"/>
                <w:szCs w:val="24"/>
                <w:lang w:val="en-US" w:eastAsia="zh-CN"/>
              </w:rPr>
            </w:pPr>
            <w:r>
              <w:rPr>
                <w:rFonts w:hint="eastAsia" w:asciiTheme="minorEastAsia" w:hAnsiTheme="minorEastAsia" w:cstheme="minorEastAsia"/>
                <w:b w:val="0"/>
                <w:bCs/>
                <w:color w:val="auto"/>
                <w:sz w:val="24"/>
                <w:szCs w:val="24"/>
                <w:lang w:val="en-US" w:eastAsia="zh-CN"/>
              </w:rPr>
              <w:t>0.26</w:t>
            </w:r>
            <w:r>
              <w:rPr>
                <w:rFonts w:hint="eastAsia" w:asciiTheme="minorEastAsia" w:hAnsiTheme="minorEastAsia" w:eastAsiaTheme="minorEastAsia" w:cstheme="minorEastAsia"/>
                <w:b w:val="0"/>
                <w:bCs/>
                <w:color w:val="auto"/>
                <w:sz w:val="24"/>
                <w:szCs w:val="24"/>
              </w:rPr>
              <w:t>％</w:t>
            </w:r>
          </w:p>
        </w:tc>
      </w:tr>
      <w:bookmarkEnd w:id="141"/>
    </w:tbl>
    <w:p>
      <w:pPr>
        <w:keepNext w:val="0"/>
        <w:keepLines w:val="0"/>
        <w:pageBreakBefore w:val="0"/>
        <w:suppressAutoHyphens/>
        <w:kinsoku/>
        <w:overflowPunct/>
        <w:topLinePunct w:val="0"/>
        <w:autoSpaceDE/>
        <w:autoSpaceDN/>
        <w:bidi w:val="0"/>
        <w:spacing w:line="360" w:lineRule="auto"/>
        <w:ind w:firstLine="480"/>
        <w:rPr>
          <w:rFonts w:hint="eastAsia" w:asciiTheme="minorEastAsia" w:hAnsiTheme="minorEastAsia" w:eastAsiaTheme="minorEastAsia" w:cstheme="minorEastAsia"/>
          <w:b w:val="0"/>
          <w:bCs/>
          <w:color w:val="auto"/>
          <w:sz w:val="24"/>
          <w:szCs w:val="24"/>
        </w:rPr>
      </w:pPr>
      <w:bookmarkStart w:id="142" w:name="_Toc408402490"/>
      <w:r>
        <w:rPr>
          <w:rFonts w:hint="eastAsia" w:asciiTheme="minorEastAsia" w:hAnsiTheme="minorEastAsia" w:eastAsiaTheme="minorEastAsia" w:cstheme="minorEastAsia"/>
          <w:b w:val="0"/>
          <w:bCs/>
          <w:color w:val="auto"/>
          <w:sz w:val="24"/>
          <w:szCs w:val="24"/>
        </w:rPr>
        <w:t>（2）专业调整系数</w:t>
      </w:r>
      <w:r>
        <w:rPr>
          <w:rFonts w:hint="eastAsia" w:asciiTheme="minorEastAsia" w:hAnsiTheme="minorEastAsia" w:cstheme="minorEastAsia"/>
          <w:b w:val="0"/>
          <w:bCs/>
          <w:color w:val="auto"/>
          <w:sz w:val="24"/>
          <w:szCs w:val="24"/>
          <w:lang w:eastAsia="zh-CN"/>
        </w:rPr>
        <w:t>：</w:t>
      </w:r>
      <w:r>
        <w:rPr>
          <w:rFonts w:hint="eastAsia" w:asciiTheme="minorEastAsia" w:hAnsiTheme="minorEastAsia" w:eastAsiaTheme="minorEastAsia" w:cstheme="minorEastAsia"/>
          <w:b w:val="0"/>
          <w:bCs/>
          <w:color w:val="auto"/>
          <w:sz w:val="24"/>
          <w:szCs w:val="24"/>
        </w:rPr>
        <w:t>对不同专业工程</w:t>
      </w:r>
      <w:bookmarkEnd w:id="142"/>
      <w:r>
        <w:rPr>
          <w:rFonts w:hint="eastAsia" w:asciiTheme="minorEastAsia" w:hAnsiTheme="minorEastAsia" w:cstheme="minorEastAsia"/>
          <w:b w:val="0"/>
          <w:bCs/>
          <w:color w:val="auto"/>
          <w:sz w:val="24"/>
          <w:szCs w:val="24"/>
          <w:lang w:val="en-US" w:eastAsia="zh-CN"/>
        </w:rPr>
        <w:t>按以</w:t>
      </w:r>
      <w:r>
        <w:rPr>
          <w:rFonts w:hint="eastAsia" w:asciiTheme="minorEastAsia" w:hAnsiTheme="minorEastAsia" w:eastAsiaTheme="minorEastAsia" w:cstheme="minorEastAsia"/>
          <w:b w:val="0"/>
          <w:bCs/>
          <w:color w:val="auto"/>
          <w:sz w:val="24"/>
          <w:szCs w:val="24"/>
        </w:rPr>
        <w:t>下表</w:t>
      </w:r>
      <w:r>
        <w:rPr>
          <w:rFonts w:hint="eastAsia" w:asciiTheme="minorEastAsia" w:hAnsiTheme="minorEastAsia" w:cstheme="minorEastAsia"/>
          <w:b w:val="0"/>
          <w:bCs/>
          <w:color w:val="auto"/>
          <w:sz w:val="24"/>
          <w:szCs w:val="24"/>
          <w:lang w:val="en-US" w:eastAsia="zh-CN"/>
        </w:rPr>
        <w:t>系数进行调整</w:t>
      </w:r>
      <w:r>
        <w:rPr>
          <w:rFonts w:hint="eastAsia" w:asciiTheme="minorEastAsia" w:hAnsiTheme="minorEastAsia" w:eastAsiaTheme="minorEastAsia" w:cstheme="minorEastAsia"/>
          <w:b w:val="0"/>
          <w:bCs/>
          <w:color w:val="auto"/>
          <w:sz w:val="24"/>
          <w:szCs w:val="24"/>
        </w:rPr>
        <w:t>。</w:t>
      </w:r>
    </w:p>
    <w:tbl>
      <w:tblPr>
        <w:tblStyle w:val="46"/>
        <w:tblW w:w="85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0"/>
        <w:gridCol w:w="1790"/>
        <w:gridCol w:w="5328"/>
        <w:gridCol w:w="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4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cstheme="minorEastAsia"/>
                <w:b w:val="0"/>
                <w:bCs/>
                <w:color w:val="auto"/>
                <w:sz w:val="24"/>
                <w:szCs w:val="24"/>
                <w:lang w:val="en-US" w:eastAsia="zh-CN"/>
              </w:rPr>
              <w:t>序号</w:t>
            </w:r>
          </w:p>
        </w:tc>
        <w:tc>
          <w:tcPr>
            <w:tcW w:w="17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项目类型</w:t>
            </w:r>
          </w:p>
        </w:tc>
        <w:tc>
          <w:tcPr>
            <w:tcW w:w="53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专业描述</w:t>
            </w:r>
          </w:p>
        </w:tc>
        <w:tc>
          <w:tcPr>
            <w:tcW w:w="9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调整系数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4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cstheme="minorEastAsia"/>
                <w:b w:val="0"/>
                <w:bCs/>
                <w:color w:val="auto"/>
                <w:sz w:val="24"/>
                <w:szCs w:val="24"/>
                <w:lang w:val="en-US" w:eastAsia="zh-CN"/>
              </w:rPr>
              <w:t>1</w:t>
            </w:r>
          </w:p>
        </w:tc>
        <w:tc>
          <w:tcPr>
            <w:tcW w:w="179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房屋建筑工程</w:t>
            </w:r>
          </w:p>
        </w:tc>
        <w:tc>
          <w:tcPr>
            <w:tcW w:w="53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综合多专业房屋建筑项目（含安装）</w:t>
            </w:r>
          </w:p>
        </w:tc>
        <w:tc>
          <w:tcPr>
            <w:tcW w:w="9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40" w:type="dxa"/>
            <w:vMerge w:val="continue"/>
            <w:tcBorders>
              <w:left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179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53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维修改造</w:t>
            </w:r>
          </w:p>
        </w:tc>
        <w:tc>
          <w:tcPr>
            <w:tcW w:w="9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40" w:type="dxa"/>
            <w:vMerge w:val="continue"/>
            <w:tcBorders>
              <w:left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179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53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土石方</w:t>
            </w:r>
          </w:p>
        </w:tc>
        <w:tc>
          <w:tcPr>
            <w:tcW w:w="9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40" w:type="dxa"/>
            <w:vMerge w:val="continue"/>
            <w:tcBorders>
              <w:left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179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53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土建多分部，基础，基坑支护，总平</w:t>
            </w:r>
          </w:p>
        </w:tc>
        <w:tc>
          <w:tcPr>
            <w:tcW w:w="9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40" w:type="dxa"/>
            <w:vMerge w:val="continue"/>
            <w:tcBorders>
              <w:left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179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53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装饰（精装），钢结构，人防</w:t>
            </w:r>
          </w:p>
        </w:tc>
        <w:tc>
          <w:tcPr>
            <w:tcW w:w="9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4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179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53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抗震加固</w:t>
            </w:r>
          </w:p>
        </w:tc>
        <w:tc>
          <w:tcPr>
            <w:tcW w:w="9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cstheme="minorEastAsia"/>
                <w:b w:val="0"/>
                <w:bCs/>
                <w:color w:val="auto"/>
                <w:sz w:val="24"/>
                <w:szCs w:val="24"/>
                <w:lang w:val="en-US" w:eastAsia="zh-CN"/>
              </w:rPr>
              <w:t>2</w:t>
            </w:r>
          </w:p>
        </w:tc>
        <w:tc>
          <w:tcPr>
            <w:tcW w:w="179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安装工程</w:t>
            </w:r>
          </w:p>
        </w:tc>
        <w:tc>
          <w:tcPr>
            <w:tcW w:w="53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综合多专业安装项目</w:t>
            </w:r>
          </w:p>
        </w:tc>
        <w:tc>
          <w:tcPr>
            <w:tcW w:w="9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4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cstheme="minorEastAsia"/>
                <w:b w:val="0"/>
                <w:bCs/>
                <w:color w:val="auto"/>
                <w:sz w:val="24"/>
                <w:szCs w:val="24"/>
                <w:lang w:val="en-US" w:eastAsia="zh-CN"/>
              </w:rPr>
              <w:t>2</w:t>
            </w:r>
          </w:p>
        </w:tc>
        <w:tc>
          <w:tcPr>
            <w:tcW w:w="179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53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电气设备安装，消防，给排水、采暖、燃气，通信设备及线路，建筑智能化系统设备安装、信息化</w:t>
            </w:r>
          </w:p>
        </w:tc>
        <w:tc>
          <w:tcPr>
            <w:tcW w:w="9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4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179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53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机械设备安装，热力设备安装，通风空调，长距离输送管道，电力通道，变配电安装</w:t>
            </w:r>
          </w:p>
        </w:tc>
        <w:tc>
          <w:tcPr>
            <w:tcW w:w="9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4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cstheme="minorEastAsia"/>
                <w:b w:val="0"/>
                <w:bCs/>
                <w:color w:val="auto"/>
                <w:sz w:val="24"/>
                <w:szCs w:val="24"/>
                <w:lang w:val="en-US" w:eastAsia="zh-CN"/>
              </w:rPr>
              <w:t>3</w:t>
            </w:r>
          </w:p>
        </w:tc>
        <w:tc>
          <w:tcPr>
            <w:tcW w:w="179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仿古建筑及景观园林工程</w:t>
            </w:r>
          </w:p>
        </w:tc>
        <w:tc>
          <w:tcPr>
            <w:tcW w:w="53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综合多专业景观园林项目</w:t>
            </w:r>
          </w:p>
        </w:tc>
        <w:tc>
          <w:tcPr>
            <w:tcW w:w="9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40" w:type="dxa"/>
            <w:vMerge w:val="continue"/>
            <w:tcBorders>
              <w:left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179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53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园林绿化</w:t>
            </w:r>
          </w:p>
        </w:tc>
        <w:tc>
          <w:tcPr>
            <w:tcW w:w="9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40" w:type="dxa"/>
            <w:vMerge w:val="continue"/>
            <w:tcBorders>
              <w:left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179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53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硬质景观</w:t>
            </w:r>
          </w:p>
        </w:tc>
        <w:tc>
          <w:tcPr>
            <w:tcW w:w="9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6" w:hRule="atLeast"/>
          <w:jc w:val="center"/>
        </w:trPr>
        <w:tc>
          <w:tcPr>
            <w:tcW w:w="44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179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53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仿古建筑</w:t>
            </w:r>
          </w:p>
        </w:tc>
        <w:tc>
          <w:tcPr>
            <w:tcW w:w="9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4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cstheme="minorEastAsia"/>
                <w:b w:val="0"/>
                <w:bCs/>
                <w:color w:val="auto"/>
                <w:sz w:val="24"/>
                <w:szCs w:val="24"/>
                <w:lang w:val="en-US" w:eastAsia="zh-CN"/>
              </w:rPr>
              <w:t>4</w:t>
            </w:r>
          </w:p>
        </w:tc>
        <w:tc>
          <w:tcPr>
            <w:tcW w:w="179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市政基础设施工程</w:t>
            </w:r>
          </w:p>
        </w:tc>
        <w:tc>
          <w:tcPr>
            <w:tcW w:w="53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综合多专业市政道桥项目</w:t>
            </w:r>
          </w:p>
        </w:tc>
        <w:tc>
          <w:tcPr>
            <w:tcW w:w="9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40" w:type="dxa"/>
            <w:vMerge w:val="continue"/>
            <w:tcBorders>
              <w:left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179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53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改扩建道桥，人行天桥</w:t>
            </w:r>
          </w:p>
        </w:tc>
        <w:tc>
          <w:tcPr>
            <w:tcW w:w="9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40" w:type="dxa"/>
            <w:vMerge w:val="continue"/>
            <w:tcBorders>
              <w:left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179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53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土石方</w:t>
            </w:r>
          </w:p>
        </w:tc>
        <w:tc>
          <w:tcPr>
            <w:tcW w:w="9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40" w:type="dxa"/>
            <w:vMerge w:val="continue"/>
            <w:tcBorders>
              <w:left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179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53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道路</w:t>
            </w:r>
          </w:p>
        </w:tc>
        <w:tc>
          <w:tcPr>
            <w:tcW w:w="9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40" w:type="dxa"/>
            <w:vMerge w:val="continue"/>
            <w:tcBorders>
              <w:left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179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53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桥涵护岸</w:t>
            </w:r>
          </w:p>
        </w:tc>
        <w:tc>
          <w:tcPr>
            <w:tcW w:w="9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40" w:type="dxa"/>
            <w:vMerge w:val="continue"/>
            <w:tcBorders>
              <w:left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179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53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市政管网，路灯、交通</w:t>
            </w:r>
          </w:p>
        </w:tc>
        <w:tc>
          <w:tcPr>
            <w:tcW w:w="9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40" w:type="dxa"/>
            <w:vMerge w:val="continue"/>
            <w:tcBorders>
              <w:left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179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53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管线下地</w:t>
            </w:r>
          </w:p>
        </w:tc>
        <w:tc>
          <w:tcPr>
            <w:tcW w:w="9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4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179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53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综合多专业自来水、污水厂项目</w:t>
            </w:r>
          </w:p>
        </w:tc>
        <w:tc>
          <w:tcPr>
            <w:tcW w:w="9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4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cstheme="minorEastAsia"/>
                <w:b w:val="0"/>
                <w:bCs/>
                <w:color w:val="auto"/>
                <w:sz w:val="24"/>
                <w:szCs w:val="24"/>
                <w:lang w:val="en-US" w:eastAsia="zh-CN"/>
              </w:rPr>
              <w:t>5</w:t>
            </w:r>
          </w:p>
        </w:tc>
        <w:tc>
          <w:tcPr>
            <w:tcW w:w="179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交通运输工程</w:t>
            </w:r>
          </w:p>
        </w:tc>
        <w:tc>
          <w:tcPr>
            <w:tcW w:w="53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综合多专业公路项目</w:t>
            </w:r>
          </w:p>
        </w:tc>
        <w:tc>
          <w:tcPr>
            <w:tcW w:w="9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40" w:type="dxa"/>
            <w:vMerge w:val="continue"/>
            <w:tcBorders>
              <w:left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179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53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路基，路面，防护，机场场道</w:t>
            </w:r>
          </w:p>
        </w:tc>
        <w:tc>
          <w:tcPr>
            <w:tcW w:w="9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40" w:type="dxa"/>
            <w:vMerge w:val="continue"/>
            <w:tcBorders>
              <w:left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179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53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水工，铁路</w:t>
            </w:r>
          </w:p>
        </w:tc>
        <w:tc>
          <w:tcPr>
            <w:tcW w:w="9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40" w:type="dxa"/>
            <w:vMerge w:val="continue"/>
            <w:tcBorders>
              <w:left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179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53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桥涵，沿线设施，轻轨</w:t>
            </w:r>
          </w:p>
        </w:tc>
        <w:tc>
          <w:tcPr>
            <w:tcW w:w="9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4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179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53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隧道，地铁区间，索道</w:t>
            </w:r>
          </w:p>
        </w:tc>
        <w:tc>
          <w:tcPr>
            <w:tcW w:w="9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4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cstheme="minorEastAsia"/>
                <w:b w:val="0"/>
                <w:bCs/>
                <w:color w:val="auto"/>
                <w:sz w:val="24"/>
                <w:szCs w:val="24"/>
                <w:lang w:val="en-US" w:eastAsia="zh-CN"/>
              </w:rPr>
              <w:t>6</w:t>
            </w:r>
          </w:p>
        </w:tc>
        <w:tc>
          <w:tcPr>
            <w:tcW w:w="179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水利电力工程</w:t>
            </w:r>
          </w:p>
        </w:tc>
        <w:tc>
          <w:tcPr>
            <w:tcW w:w="53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水利，水库，火电</w:t>
            </w:r>
          </w:p>
        </w:tc>
        <w:tc>
          <w:tcPr>
            <w:tcW w:w="9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4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179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53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水电，送配电</w:t>
            </w:r>
          </w:p>
        </w:tc>
        <w:tc>
          <w:tcPr>
            <w:tcW w:w="9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cstheme="minorEastAsia"/>
                <w:b w:val="0"/>
                <w:bCs/>
                <w:color w:val="auto"/>
                <w:sz w:val="24"/>
                <w:szCs w:val="24"/>
                <w:lang w:val="en-US" w:eastAsia="zh-CN"/>
              </w:rPr>
              <w:t>7</w:t>
            </w:r>
          </w:p>
        </w:tc>
        <w:tc>
          <w:tcPr>
            <w:tcW w:w="17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土地整理工程</w:t>
            </w:r>
          </w:p>
        </w:tc>
        <w:tc>
          <w:tcPr>
            <w:tcW w:w="53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p>
        </w:tc>
        <w:tc>
          <w:tcPr>
            <w:tcW w:w="9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cstheme="minorEastAsia"/>
                <w:b w:val="0"/>
                <w:bCs/>
                <w:color w:val="auto"/>
                <w:sz w:val="24"/>
                <w:szCs w:val="24"/>
                <w:lang w:val="en-US" w:eastAsia="zh-CN"/>
              </w:rPr>
              <w:t>8</w:t>
            </w:r>
          </w:p>
        </w:tc>
        <w:tc>
          <w:tcPr>
            <w:tcW w:w="17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石油化工工程</w:t>
            </w:r>
          </w:p>
        </w:tc>
        <w:tc>
          <w:tcPr>
            <w:tcW w:w="53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石油、化工、石化、化纤、医药</w:t>
            </w:r>
          </w:p>
        </w:tc>
        <w:tc>
          <w:tcPr>
            <w:tcW w:w="9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1.0</w:t>
            </w:r>
          </w:p>
        </w:tc>
      </w:tr>
    </w:tbl>
    <w:p>
      <w:pPr>
        <w:keepNext w:val="0"/>
        <w:keepLines w:val="0"/>
        <w:pageBreakBefore w:val="0"/>
        <w:suppressAutoHyphens/>
        <w:kinsoku/>
        <w:overflowPunct/>
        <w:topLinePunct w:val="0"/>
        <w:autoSpaceDE/>
        <w:autoSpaceDN/>
        <w:bidi w:val="0"/>
        <w:spacing w:line="360" w:lineRule="auto"/>
        <w:ind w:firstLine="480"/>
        <w:rPr>
          <w:rFonts w:hint="eastAsia" w:asciiTheme="minorEastAsia" w:hAnsiTheme="minorEastAsia" w:eastAsiaTheme="minorEastAsia" w:cstheme="minorEastAsia"/>
          <w:b w:val="0"/>
          <w:bCs/>
          <w:color w:val="auto"/>
          <w:sz w:val="24"/>
          <w:szCs w:val="24"/>
        </w:rPr>
      </w:pPr>
      <w:bookmarkStart w:id="143" w:name="_Toc408402492"/>
      <w:r>
        <w:rPr>
          <w:rFonts w:hint="eastAsia" w:asciiTheme="minorEastAsia" w:hAnsiTheme="minorEastAsia" w:eastAsiaTheme="minorEastAsia" w:cstheme="minorEastAsia"/>
          <w:b w:val="0"/>
          <w:bCs/>
          <w:color w:val="auto"/>
          <w:sz w:val="24"/>
          <w:szCs w:val="24"/>
        </w:rPr>
        <w:t>（</w:t>
      </w:r>
      <w:r>
        <w:rPr>
          <w:rFonts w:hint="eastAsia" w:asciiTheme="minorEastAsia" w:hAnsiTheme="minorEastAsia" w:cstheme="minorEastAsia"/>
          <w:b w:val="0"/>
          <w:bCs/>
          <w:color w:val="auto"/>
          <w:sz w:val="24"/>
          <w:szCs w:val="24"/>
          <w:lang w:val="en-US" w:eastAsia="zh-CN"/>
        </w:rPr>
        <w:t>3</w:t>
      </w:r>
      <w:r>
        <w:rPr>
          <w:rFonts w:hint="eastAsia" w:asciiTheme="minorEastAsia" w:hAnsiTheme="minorEastAsia" w:eastAsiaTheme="minorEastAsia" w:cstheme="minorEastAsia"/>
          <w:b w:val="0"/>
          <w:bCs/>
          <w:color w:val="auto"/>
          <w:sz w:val="24"/>
          <w:szCs w:val="24"/>
        </w:rPr>
        <w:t>）</w:t>
      </w:r>
      <w:bookmarkEnd w:id="143"/>
      <w:r>
        <w:rPr>
          <w:rFonts w:hint="eastAsia" w:asciiTheme="minorEastAsia" w:hAnsiTheme="minorEastAsia" w:cstheme="minorEastAsia"/>
          <w:b w:val="0"/>
          <w:bCs/>
          <w:color w:val="auto"/>
          <w:sz w:val="24"/>
          <w:szCs w:val="24"/>
          <w:lang w:val="en-US" w:eastAsia="zh-CN"/>
        </w:rPr>
        <w:t>投资规模系数：按投资规模分区间设置，依据下表按插入法确定</w:t>
      </w:r>
      <w:r>
        <w:rPr>
          <w:rFonts w:hint="eastAsia" w:asciiTheme="minorEastAsia" w:hAnsiTheme="minorEastAsia" w:eastAsiaTheme="minorEastAsia" w:cstheme="minorEastAsia"/>
          <w:b w:val="0"/>
          <w:bCs/>
          <w:color w:val="auto"/>
          <w:sz w:val="24"/>
          <w:szCs w:val="24"/>
        </w:rPr>
        <w:t>。</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86"/>
        <w:gridCol w:w="3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36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投资规模V（万元）区间</w:t>
            </w:r>
          </w:p>
        </w:tc>
        <w:tc>
          <w:tcPr>
            <w:tcW w:w="35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定价比率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6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V≤5000</w:t>
            </w:r>
          </w:p>
        </w:tc>
        <w:tc>
          <w:tcPr>
            <w:tcW w:w="35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6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5000&lt;V≤10000</w:t>
            </w:r>
          </w:p>
        </w:tc>
        <w:tc>
          <w:tcPr>
            <w:tcW w:w="35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100％~9</w:t>
            </w:r>
            <w:r>
              <w:rPr>
                <w:rFonts w:hint="eastAsia" w:asciiTheme="minorEastAsia" w:hAnsiTheme="minorEastAsia" w:cstheme="minorEastAsia"/>
                <w:b w:val="0"/>
                <w:bCs/>
                <w:color w:val="auto"/>
                <w:sz w:val="24"/>
                <w:szCs w:val="24"/>
                <w:lang w:val="en-US" w:eastAsia="zh-CN"/>
              </w:rPr>
              <w:t>5</w:t>
            </w:r>
            <w:r>
              <w:rPr>
                <w:rFonts w:hint="eastAsia" w:asciiTheme="minorEastAsia" w:hAnsiTheme="minorEastAsia" w:eastAsiaTheme="minorEastAsia" w:cstheme="minorEastAsia"/>
                <w:b w:val="0"/>
                <w:bCs/>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6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10000&lt;V≤50000</w:t>
            </w:r>
          </w:p>
        </w:tc>
        <w:tc>
          <w:tcPr>
            <w:tcW w:w="35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9</w:t>
            </w:r>
            <w:r>
              <w:rPr>
                <w:rFonts w:hint="eastAsia" w:asciiTheme="minorEastAsia" w:hAnsiTheme="minorEastAsia" w:cstheme="minorEastAsia"/>
                <w:b w:val="0"/>
                <w:bCs/>
                <w:color w:val="auto"/>
                <w:sz w:val="24"/>
                <w:szCs w:val="24"/>
                <w:lang w:val="en-US" w:eastAsia="zh-CN"/>
              </w:rPr>
              <w:t>5</w:t>
            </w:r>
            <w:r>
              <w:rPr>
                <w:rFonts w:hint="eastAsia" w:asciiTheme="minorEastAsia" w:hAnsiTheme="minorEastAsia" w:eastAsiaTheme="minorEastAsia" w:cstheme="minorEastAsia"/>
                <w:b w:val="0"/>
                <w:bCs/>
                <w:color w:val="auto"/>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36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50000&lt;V≤100000</w:t>
            </w:r>
          </w:p>
        </w:tc>
        <w:tc>
          <w:tcPr>
            <w:tcW w:w="35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50％~40％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6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cstheme="minorEastAsia"/>
                <w:b w:val="0"/>
                <w:bCs/>
                <w:color w:val="auto"/>
                <w:sz w:val="24"/>
                <w:szCs w:val="24"/>
                <w:lang w:val="en-US" w:eastAsia="zh-CN"/>
              </w:rPr>
              <w:t>10</w:t>
            </w:r>
            <w:r>
              <w:rPr>
                <w:rFonts w:hint="eastAsia" w:asciiTheme="minorEastAsia" w:hAnsiTheme="minorEastAsia" w:eastAsiaTheme="minorEastAsia" w:cstheme="minorEastAsia"/>
                <w:b w:val="0"/>
                <w:bCs/>
                <w:color w:val="auto"/>
                <w:sz w:val="24"/>
                <w:szCs w:val="24"/>
              </w:rPr>
              <w:t>0000&lt;V≤</w:t>
            </w:r>
            <w:r>
              <w:rPr>
                <w:rFonts w:hint="eastAsia" w:asciiTheme="minorEastAsia" w:hAnsiTheme="minorEastAsia" w:cstheme="minorEastAsia"/>
                <w:b w:val="0"/>
                <w:bCs/>
                <w:color w:val="auto"/>
                <w:sz w:val="24"/>
                <w:szCs w:val="24"/>
                <w:lang w:val="en-US" w:eastAsia="zh-CN"/>
              </w:rPr>
              <w:t>10</w:t>
            </w:r>
            <w:r>
              <w:rPr>
                <w:rFonts w:hint="eastAsia" w:asciiTheme="minorEastAsia" w:hAnsiTheme="minorEastAsia" w:eastAsiaTheme="minorEastAsia" w:cstheme="minorEastAsia"/>
                <w:b w:val="0"/>
                <w:bCs/>
                <w:color w:val="auto"/>
                <w:sz w:val="24"/>
                <w:szCs w:val="24"/>
              </w:rPr>
              <w:t>00000</w:t>
            </w:r>
          </w:p>
        </w:tc>
        <w:tc>
          <w:tcPr>
            <w:tcW w:w="35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40％~</w:t>
            </w:r>
            <w:r>
              <w:rPr>
                <w:rFonts w:hint="eastAsia" w:asciiTheme="minorEastAsia" w:hAnsiTheme="minorEastAsia" w:cstheme="minorEastAsia"/>
                <w:b w:val="0"/>
                <w:bCs/>
                <w:color w:val="auto"/>
                <w:sz w:val="24"/>
                <w:szCs w:val="24"/>
                <w:lang w:val="en-US" w:eastAsia="zh-CN"/>
              </w:rPr>
              <w:t>32</w:t>
            </w:r>
            <w:r>
              <w:rPr>
                <w:rFonts w:hint="eastAsia" w:asciiTheme="minorEastAsia" w:hAnsiTheme="minorEastAsia" w:eastAsiaTheme="minorEastAsia" w:cstheme="minorEastAsia"/>
                <w:b w:val="0"/>
                <w:bCs/>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6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cstheme="minorEastAsia"/>
                <w:b w:val="0"/>
                <w:bCs/>
                <w:color w:val="auto"/>
                <w:sz w:val="24"/>
                <w:szCs w:val="24"/>
                <w:lang w:val="en-US" w:eastAsia="zh-CN"/>
              </w:rPr>
            </w:pPr>
            <w:bookmarkStart w:id="144" w:name="_Toc408402493"/>
            <w:r>
              <w:rPr>
                <w:rFonts w:hint="eastAsia" w:asciiTheme="minorEastAsia" w:hAnsiTheme="minorEastAsia" w:cstheme="minorEastAsia"/>
                <w:b w:val="0"/>
                <w:bCs/>
                <w:color w:val="auto"/>
                <w:sz w:val="24"/>
                <w:szCs w:val="24"/>
                <w:lang w:val="en-US" w:eastAsia="zh-CN"/>
              </w:rPr>
              <w:t>100</w:t>
            </w:r>
            <w:r>
              <w:rPr>
                <w:rFonts w:hint="eastAsia" w:asciiTheme="minorEastAsia" w:hAnsiTheme="minorEastAsia" w:eastAsiaTheme="minorEastAsia" w:cstheme="minorEastAsia"/>
                <w:b w:val="0"/>
                <w:bCs/>
                <w:color w:val="auto"/>
                <w:sz w:val="24"/>
                <w:szCs w:val="24"/>
              </w:rPr>
              <w:t>0000&lt;V</w:t>
            </w:r>
          </w:p>
        </w:tc>
        <w:tc>
          <w:tcPr>
            <w:tcW w:w="35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spacing w:line="360" w:lineRule="auto"/>
              <w:ind w:firstLine="0" w:firstLineChars="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cstheme="minorEastAsia"/>
                <w:b w:val="0"/>
                <w:bCs/>
                <w:color w:val="auto"/>
                <w:sz w:val="24"/>
                <w:szCs w:val="24"/>
                <w:lang w:val="en-US" w:eastAsia="zh-CN"/>
              </w:rPr>
              <w:t>32</w:t>
            </w:r>
            <w:r>
              <w:rPr>
                <w:rFonts w:hint="eastAsia" w:asciiTheme="minorEastAsia" w:hAnsiTheme="minorEastAsia" w:eastAsiaTheme="minorEastAsia" w:cstheme="minorEastAsia"/>
                <w:b w:val="0"/>
                <w:bCs/>
                <w:color w:val="auto"/>
                <w:sz w:val="24"/>
                <w:szCs w:val="24"/>
              </w:rPr>
              <w:t>％</w:t>
            </w:r>
          </w:p>
        </w:tc>
      </w:tr>
      <w:bookmarkEnd w:id="144"/>
    </w:tbl>
    <w:p>
      <w:pPr>
        <w:pStyle w:val="2"/>
        <w:keepNext w:val="0"/>
        <w:keepLines w:val="0"/>
        <w:pageBreakBefore w:val="0"/>
        <w:widowControl w:val="0"/>
        <w:numPr>
          <w:ilvl w:val="0"/>
          <w:numId w:val="0"/>
        </w:numPr>
        <w:kinsoku/>
        <w:wordWrap/>
        <w:overflowPunct/>
        <w:topLinePunct w:val="0"/>
        <w:autoSpaceDE/>
        <w:autoSpaceDN/>
        <w:bidi w:val="0"/>
        <w:adjustRightInd/>
        <w:snapToGrid/>
        <w:spacing w:line="336" w:lineRule="auto"/>
        <w:ind w:firstLine="480" w:firstLineChars="200"/>
        <w:textAlignment w:val="auto"/>
        <w:rPr>
          <w:rFonts w:hint="eastAsia" w:asciiTheme="minorEastAsia" w:hAnsiTheme="minorEastAsia" w:eastAsiaTheme="minorEastAsia" w:cstheme="minorEastAsia"/>
          <w:b w:val="0"/>
          <w:bCs/>
          <w:color w:val="auto"/>
          <w:sz w:val="24"/>
          <w:szCs w:val="24"/>
          <w:lang w:val="en-US" w:eastAsia="zh-CN"/>
        </w:rPr>
      </w:pPr>
      <w:bookmarkStart w:id="145" w:name="_Toc408402494"/>
      <w:r>
        <w:rPr>
          <w:rFonts w:hint="eastAsia" w:asciiTheme="minorEastAsia" w:hAnsiTheme="minorEastAsia" w:cstheme="minorEastAsia"/>
          <w:b w:val="0"/>
          <w:bCs/>
          <w:color w:val="auto"/>
          <w:sz w:val="24"/>
          <w:szCs w:val="24"/>
          <w:lang w:val="en-US" w:eastAsia="zh-CN"/>
        </w:rPr>
        <w:t>（4）若项目由两家及以上咨询机构联合评审时，评审费用总额的计算方式同上。各咨</w:t>
      </w:r>
      <w:r>
        <w:rPr>
          <w:rFonts w:hint="eastAsia" w:asciiTheme="minorEastAsia" w:hAnsiTheme="minorEastAsia" w:eastAsiaTheme="minorEastAsia" w:cstheme="minorEastAsia"/>
          <w:b w:val="0"/>
          <w:bCs/>
          <w:color w:val="auto"/>
          <w:sz w:val="24"/>
          <w:szCs w:val="24"/>
          <w:lang w:val="en-US" w:eastAsia="zh-CN"/>
        </w:rPr>
        <w:t>询机构评审费用按其评审内容对应送审金额进行分摊核算。即：</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36" w:lineRule="auto"/>
        <w:ind w:firstLine="480" w:firstLineChars="200"/>
        <w:textAlignment w:val="auto"/>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color w:val="auto"/>
          <w:sz w:val="24"/>
          <w:szCs w:val="24"/>
          <w:lang w:val="en-US" w:eastAsia="zh-CN"/>
        </w:rPr>
        <w:t>机构评审费用=（机构评审内容对应送审投资金额/总送审投资额）×评审费用总额±评审协调工作费</w:t>
      </w:r>
    </w:p>
    <w:p>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default"/>
          <w:color w:val="auto"/>
          <w:lang w:val="en-US" w:eastAsia="zh-CN"/>
        </w:rPr>
      </w:pPr>
      <w:r>
        <w:rPr>
          <w:rFonts w:hint="eastAsia" w:asciiTheme="minorEastAsia" w:hAnsiTheme="minorEastAsia" w:cstheme="minorEastAsia"/>
          <w:b w:val="0"/>
          <w:bCs/>
          <w:color w:val="auto"/>
          <w:sz w:val="24"/>
          <w:szCs w:val="24"/>
          <w:lang w:val="en-US" w:eastAsia="zh-CN"/>
        </w:rPr>
        <w:t>评审协调工作费是指评审项目由两家或者两家以上咨询机构共同承担时，由参评的几家咨询机构共同推荐选取一家咨询机构负责汇总评审内容及组织协调管理评审工作而产生的费用，如：组织制定评审方案和几家模板、汇总评审内容、组织现场踏勘和评审会议等。</w:t>
      </w:r>
    </w:p>
    <w:bookmarkEnd w:id="145"/>
    <w:p>
      <w:pPr>
        <w:keepNext w:val="0"/>
        <w:keepLines w:val="0"/>
        <w:pageBreakBefore w:val="0"/>
        <w:widowControl w:val="0"/>
        <w:suppressAutoHyphens/>
        <w:kinsoku/>
        <w:wordWrap/>
        <w:overflowPunct/>
        <w:topLinePunct w:val="0"/>
        <w:autoSpaceDE/>
        <w:autoSpaceDN/>
        <w:bidi w:val="0"/>
        <w:adjustRightInd/>
        <w:snapToGrid/>
        <w:spacing w:line="336" w:lineRule="auto"/>
        <w:ind w:firstLine="480"/>
        <w:textAlignment w:val="auto"/>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（三）节能咨询类项目评审咨询费用支付标准</w:t>
      </w:r>
    </w:p>
    <w:p>
      <w:pPr>
        <w:keepNext w:val="0"/>
        <w:keepLines w:val="0"/>
        <w:pageBreakBefore w:val="0"/>
        <w:widowControl w:val="0"/>
        <w:suppressAutoHyphens/>
        <w:kinsoku/>
        <w:wordWrap/>
        <w:overflowPunct/>
        <w:topLinePunct w:val="0"/>
        <w:autoSpaceDE/>
        <w:autoSpaceDN/>
        <w:bidi w:val="0"/>
        <w:adjustRightInd/>
        <w:snapToGrid/>
        <w:spacing w:line="336" w:lineRule="auto"/>
        <w:ind w:firstLine="480" w:firstLineChars="200"/>
        <w:textAlignment w:val="auto"/>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1．计费依据：参考成都市发改委、成都市财政局《关于市本级固定固定资产投资项目（除技术改造项目外）节能评审费用支付标准的批复》（成发改环资〔2017〕624号）</w:t>
      </w:r>
      <w:r>
        <w:rPr>
          <w:rFonts w:hint="eastAsia" w:asciiTheme="minorEastAsia" w:hAnsiTheme="minorEastAsia" w:cstheme="minorEastAsia"/>
          <w:b w:val="0"/>
          <w:bCs/>
          <w:color w:val="auto"/>
          <w:sz w:val="24"/>
          <w:szCs w:val="24"/>
          <w:lang w:eastAsia="zh-CN"/>
        </w:rPr>
        <w:t>，</w:t>
      </w:r>
      <w:r>
        <w:rPr>
          <w:rFonts w:hint="eastAsia" w:asciiTheme="minorEastAsia" w:hAnsiTheme="minorEastAsia" w:cstheme="minorEastAsia"/>
          <w:b w:val="0"/>
          <w:bCs/>
          <w:color w:val="auto"/>
          <w:sz w:val="24"/>
          <w:szCs w:val="24"/>
          <w:lang w:val="en-US" w:eastAsia="zh-CN"/>
        </w:rPr>
        <w:t>并结合我区实际进行计算</w:t>
      </w:r>
      <w:r>
        <w:rPr>
          <w:rFonts w:hint="eastAsia" w:asciiTheme="minorEastAsia" w:hAnsiTheme="minorEastAsia" w:eastAsiaTheme="minorEastAsia" w:cstheme="minorEastAsia"/>
          <w:b w:val="0"/>
          <w:bCs/>
          <w:color w:val="auto"/>
          <w:sz w:val="24"/>
          <w:szCs w:val="24"/>
        </w:rPr>
        <w:t>。</w:t>
      </w:r>
    </w:p>
    <w:p>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2、</w:t>
      </w:r>
      <w:r>
        <w:rPr>
          <w:rFonts w:hint="eastAsia" w:asciiTheme="minorEastAsia" w:hAnsiTheme="minorEastAsia" w:cstheme="minorEastAsia"/>
          <w:b w:val="0"/>
          <w:bCs/>
          <w:color w:val="auto"/>
          <w:sz w:val="24"/>
          <w:szCs w:val="24"/>
          <w:lang w:val="en-US" w:eastAsia="zh-CN"/>
        </w:rPr>
        <w:t>评审费用</w:t>
      </w:r>
      <w:r>
        <w:rPr>
          <w:rFonts w:hint="eastAsia" w:asciiTheme="minorEastAsia" w:hAnsiTheme="minorEastAsia" w:eastAsiaTheme="minorEastAsia" w:cstheme="minorEastAsia"/>
          <w:b w:val="0"/>
          <w:bCs/>
          <w:color w:val="auto"/>
          <w:sz w:val="24"/>
          <w:szCs w:val="24"/>
        </w:rPr>
        <w:t>：</w:t>
      </w:r>
    </w:p>
    <w:p>
      <w:pPr>
        <w:keepNext w:val="0"/>
        <w:keepLines w:val="0"/>
        <w:pageBreakBefore w:val="0"/>
        <w:widowControl w:val="0"/>
        <w:kinsoku/>
        <w:wordWrap/>
        <w:overflowPunct/>
        <w:topLinePunct w:val="0"/>
        <w:autoSpaceDE/>
        <w:autoSpaceDN/>
        <w:bidi w:val="0"/>
        <w:adjustRightInd/>
        <w:snapToGrid/>
        <w:spacing w:line="336" w:lineRule="auto"/>
        <w:ind w:firstLine="535" w:firstLineChars="223"/>
        <w:textAlignment w:val="auto"/>
        <w:rPr>
          <w:rFonts w:hint="eastAsia" w:asciiTheme="minorEastAsia" w:hAnsiTheme="minorEastAsia" w:cstheme="minorEastAsia"/>
          <w:b w:val="0"/>
          <w:bCs/>
          <w:color w:val="auto"/>
          <w:sz w:val="24"/>
          <w:szCs w:val="24"/>
          <w:lang w:val="en-US" w:eastAsia="zh-CN"/>
        </w:rPr>
      </w:pPr>
      <w:r>
        <w:rPr>
          <w:rFonts w:hint="eastAsia" w:asciiTheme="minorEastAsia" w:hAnsiTheme="minorEastAsia" w:cstheme="minorEastAsia"/>
          <w:b w:val="0"/>
          <w:bCs/>
          <w:color w:val="auto"/>
          <w:sz w:val="24"/>
          <w:szCs w:val="24"/>
          <w:lang w:eastAsia="zh-CN"/>
        </w:rPr>
        <w:t>（</w:t>
      </w:r>
      <w:r>
        <w:rPr>
          <w:rFonts w:hint="eastAsia" w:asciiTheme="minorEastAsia" w:hAnsiTheme="minorEastAsia" w:cstheme="minorEastAsia"/>
          <w:b w:val="0"/>
          <w:bCs/>
          <w:color w:val="auto"/>
          <w:sz w:val="24"/>
          <w:szCs w:val="24"/>
          <w:lang w:val="en-US" w:eastAsia="zh-CN"/>
        </w:rPr>
        <w:t>1</w:t>
      </w:r>
      <w:r>
        <w:rPr>
          <w:rFonts w:hint="eastAsia" w:asciiTheme="minorEastAsia" w:hAnsiTheme="minorEastAsia" w:cstheme="minorEastAsia"/>
          <w:b w:val="0"/>
          <w:bCs/>
          <w:color w:val="auto"/>
          <w:sz w:val="24"/>
          <w:szCs w:val="24"/>
          <w:lang w:eastAsia="zh-CN"/>
        </w:rPr>
        <w:t>）</w:t>
      </w:r>
      <w:r>
        <w:rPr>
          <w:rFonts w:hint="eastAsia" w:asciiTheme="minorEastAsia" w:hAnsiTheme="minorEastAsia" w:cstheme="minorEastAsia"/>
          <w:b w:val="0"/>
          <w:bCs/>
          <w:color w:val="auto"/>
          <w:sz w:val="24"/>
          <w:szCs w:val="24"/>
          <w:lang w:val="en-US" w:eastAsia="zh-CN"/>
        </w:rPr>
        <w:t>年综合能源消费量1000-5000吨标准煤（当量值）非生产性项目的节能评审基准费用为2-5万元，具体项目的评审费用依据项目年综合能源消费量在以上费用区间内采用插入法计算确定；</w:t>
      </w:r>
    </w:p>
    <w:p>
      <w:pPr>
        <w:pStyle w:val="2"/>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asciiTheme="minorEastAsia" w:hAnsiTheme="minorEastAsia" w:cstheme="minorEastAsia"/>
          <w:b w:val="0"/>
          <w:bCs/>
          <w:color w:val="auto"/>
          <w:sz w:val="24"/>
          <w:szCs w:val="24"/>
          <w:lang w:val="en-US" w:eastAsia="zh-CN"/>
        </w:rPr>
      </w:pPr>
      <w:r>
        <w:rPr>
          <w:rFonts w:hint="eastAsia" w:asciiTheme="minorEastAsia" w:hAnsiTheme="minorEastAsia" w:cstheme="minorEastAsia"/>
          <w:b w:val="0"/>
          <w:bCs/>
          <w:color w:val="auto"/>
          <w:sz w:val="24"/>
          <w:szCs w:val="24"/>
          <w:lang w:val="en-US" w:eastAsia="zh-CN"/>
        </w:rPr>
        <w:t>（2）年综合能源消费量＜1000吨（当量值），但年耗电≥500万度非生产性项目的节能评审基准费用为2万元；</w:t>
      </w:r>
    </w:p>
    <w:p>
      <w:pPr>
        <w:keepNext w:val="0"/>
        <w:keepLines w:val="0"/>
        <w:pageBreakBefore w:val="0"/>
        <w:widowControl w:val="0"/>
        <w:suppressAutoHyphens/>
        <w:kinsoku/>
        <w:wordWrap/>
        <w:overflowPunct/>
        <w:topLinePunct w:val="0"/>
        <w:autoSpaceDE/>
        <w:autoSpaceDN/>
        <w:bidi w:val="0"/>
        <w:adjustRightInd/>
        <w:snapToGrid/>
        <w:spacing w:line="336" w:lineRule="auto"/>
        <w:ind w:left="0" w:leftChars="0" w:firstLine="0" w:firstLineChars="0"/>
        <w:textAlignment w:val="auto"/>
        <w:rPr>
          <w:rFonts w:hint="default" w:asciiTheme="minorEastAsia" w:hAnsiTheme="minorEastAsia" w:cstheme="minorEastAsia"/>
          <w:b/>
          <w:bCs w:val="0"/>
          <w:color w:val="auto"/>
          <w:sz w:val="28"/>
          <w:szCs w:val="28"/>
          <w:lang w:val="en-US" w:eastAsia="zh-CN"/>
        </w:rPr>
      </w:pPr>
      <w:r>
        <w:rPr>
          <w:rFonts w:hint="eastAsia" w:asciiTheme="minorEastAsia" w:hAnsiTheme="minorEastAsia" w:cstheme="minorEastAsia"/>
          <w:b w:val="0"/>
          <w:bCs/>
          <w:color w:val="auto"/>
          <w:sz w:val="24"/>
          <w:szCs w:val="24"/>
          <w:lang w:val="en-US" w:eastAsia="zh-CN"/>
        </w:rPr>
        <w:t>（3）调整系数：生产性项目的评审费用按非生产性项目的1.2倍调整。</w:t>
      </w:r>
    </w:p>
    <w:p>
      <w:pPr>
        <w:keepNext w:val="0"/>
        <w:keepLines w:val="0"/>
        <w:pageBreakBefore w:val="0"/>
        <w:kinsoku/>
        <w:overflowPunct/>
        <w:topLinePunct w:val="0"/>
        <w:autoSpaceDE/>
        <w:autoSpaceDN/>
        <w:bidi w:val="0"/>
        <w:spacing w:line="360" w:lineRule="auto"/>
        <w:ind w:firstLine="600" w:firstLineChars="250"/>
        <w:rPr>
          <w:rFonts w:hint="eastAsia" w:asciiTheme="minorEastAsia" w:hAnsiTheme="minorEastAsia" w:eastAsiaTheme="minorEastAsia" w:cstheme="minorEastAsia"/>
          <w:b w:val="0"/>
          <w:bCs/>
          <w:color w:val="auto"/>
          <w:sz w:val="24"/>
          <w:szCs w:val="24"/>
        </w:rPr>
      </w:pPr>
    </w:p>
    <w:p>
      <w:pPr>
        <w:pStyle w:val="42"/>
        <w:jc w:val="center"/>
        <w:rPr>
          <w:rFonts w:hint="eastAsia" w:asciiTheme="minorEastAsia" w:hAnsiTheme="minorEastAsia" w:eastAsiaTheme="minorEastAsia" w:cstheme="minorEastAsia"/>
          <w:color w:val="auto"/>
        </w:rPr>
      </w:pPr>
      <w:bookmarkStart w:id="146" w:name="_Toc23492"/>
      <w:bookmarkStart w:id="147" w:name="_Toc29840"/>
      <w:bookmarkStart w:id="148" w:name="_Toc21232"/>
      <w:r>
        <w:rPr>
          <w:rFonts w:hint="eastAsia" w:asciiTheme="minorEastAsia" w:hAnsiTheme="minorEastAsia" w:eastAsiaTheme="minorEastAsia" w:cstheme="minorEastAsia"/>
          <w:color w:val="auto"/>
        </w:rPr>
        <w:t>第</w:t>
      </w:r>
      <w:r>
        <w:rPr>
          <w:rFonts w:hint="eastAsia" w:asciiTheme="minorEastAsia" w:hAnsiTheme="minorEastAsia" w:eastAsiaTheme="minorEastAsia" w:cstheme="minorEastAsia"/>
          <w:color w:val="auto"/>
          <w:lang w:eastAsia="zh-CN"/>
        </w:rPr>
        <w:t>七</w:t>
      </w:r>
      <w:r>
        <w:rPr>
          <w:rFonts w:hint="eastAsia" w:asciiTheme="minorEastAsia" w:hAnsiTheme="minorEastAsia" w:eastAsiaTheme="minorEastAsia" w:cstheme="minorEastAsia"/>
          <w:color w:val="auto"/>
        </w:rPr>
        <w:t>章  评标办法</w:t>
      </w:r>
      <w:bookmarkEnd w:id="146"/>
      <w:bookmarkEnd w:id="147"/>
      <w:bookmarkEnd w:id="148"/>
      <w:bookmarkStart w:id="149" w:name="_Hlt101846155"/>
      <w:bookmarkEnd w:id="149"/>
      <w:bookmarkStart w:id="150" w:name="_Toc183682415"/>
      <w:bookmarkStart w:id="151" w:name="_Toc183582280"/>
      <w:bookmarkStart w:id="152" w:name="_Toc208849007"/>
      <w:bookmarkStart w:id="153" w:name="_Toc217446097"/>
    </w:p>
    <w:bookmarkEnd w:id="150"/>
    <w:bookmarkEnd w:id="151"/>
    <w:bookmarkEnd w:id="152"/>
    <w:bookmarkEnd w:id="153"/>
    <w:p>
      <w:pPr>
        <w:pStyle w:val="4"/>
        <w:spacing w:before="120" w:beforeLines="50" w:after="120" w:afterLines="50" w:line="400" w:lineRule="exact"/>
        <w:rPr>
          <w:rFonts w:hint="eastAsia" w:asciiTheme="minorEastAsia" w:hAnsiTheme="minorEastAsia" w:eastAsiaTheme="minorEastAsia" w:cstheme="minorEastAsia"/>
          <w:color w:val="auto"/>
          <w:sz w:val="24"/>
          <w:szCs w:val="24"/>
        </w:rPr>
      </w:pPr>
      <w:bookmarkStart w:id="154" w:name="_Toc217446103"/>
      <w:r>
        <w:rPr>
          <w:rFonts w:hint="eastAsia" w:asciiTheme="minorEastAsia" w:hAnsiTheme="minorEastAsia" w:eastAsiaTheme="minorEastAsia" w:cstheme="minorEastAsia"/>
          <w:color w:val="auto"/>
          <w:sz w:val="24"/>
          <w:szCs w:val="24"/>
        </w:rPr>
        <w:t>1. 总则</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rPr>
        <w:t>1.1 根据《中华人民共和国政府采购法》、《中华人民共和国政府采购法实施条例》、《政府采购货物和服务招标投标管理办法》等法律制度，结合采购项目特点制定本评标办法。</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1.2 公开招标采购项目开标结束后，采购人或者采购代理机构应当依法对投标人的资格进行审查。依据法律法规和本招标文件的规定，对投标文件是否按照规定要求提供资格性证明材料，以确定投标供应商是否具备投标资格。</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合格投标人不足三家的，不得评标。</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评标工作由采购代理机构负责组织，具体评标事务由采购代理机构依法组建的评标委员会负责。评标委员会由采购人代表和有关技术、经济、法律等方面的专家组成。</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1.3 评标工作应遵循公平、公正、科学及择优的原则，并以相同的评标程序和标准对待所有的投标人。</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1.4 评标委员会按照招标文件规定的评标方法和标准进行评标，并独立履行下列职责：</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bookmarkStart w:id="155" w:name="_Toc217446098"/>
      <w:r>
        <w:rPr>
          <w:rFonts w:hint="eastAsia" w:asciiTheme="minorEastAsia" w:hAnsiTheme="minorEastAsia" w:eastAsiaTheme="minorEastAsia" w:cstheme="minorEastAsia"/>
          <w:color w:val="auto"/>
          <w:sz w:val="24"/>
        </w:rPr>
        <w:t>（一）熟悉和理解招标文件；</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（二）审查供应商（已通过资格审查）的投标文件是否满足招标文件要求，并作出评价；</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（三）根据需要要求招标采购单位对招标文件作出解释；根据需要要求供应商对投标文件有关事项作出澄清、说明或者更正；</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（四）推荐中标候选供应商，或者受采购人委托确定中标供应商；</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（五）起草评标报告并进行签署；</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（六）向招标采购单位、财政部门或者其他监督部门报告非法干预评标工作的行为；</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（七）法律、法规和规章规定的其他职责。</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1.5 评标过程独立、保密。投标人非法干预评标过程的行为将导致其投标文件作为无效处理。</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1.6 评标委员会评价投标文件的响应性，对于投标人而言，除评标委员会要求其澄清、说明或者更正而提供的资料外，仅依据投标文件本身的内容，不寻求其他外部证据。</w:t>
      </w:r>
    </w:p>
    <w:p>
      <w:pPr>
        <w:pStyle w:val="4"/>
        <w:spacing w:before="120" w:beforeLines="50" w:after="120" w:afterLines="50"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2、评标</w:t>
      </w:r>
      <w:bookmarkEnd w:id="155"/>
      <w:r>
        <w:rPr>
          <w:rFonts w:hint="eastAsia" w:asciiTheme="minorEastAsia" w:hAnsiTheme="minorEastAsia" w:eastAsiaTheme="minorEastAsia" w:cstheme="minorEastAsia"/>
          <w:color w:val="auto"/>
          <w:sz w:val="24"/>
          <w:szCs w:val="24"/>
        </w:rPr>
        <w:t>方法</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rPr>
        <w:t>2.1本项目评标方法为：</w:t>
      </w:r>
      <w:r>
        <w:rPr>
          <w:rFonts w:hint="eastAsia" w:asciiTheme="minorEastAsia" w:hAnsiTheme="minorEastAsia" w:eastAsiaTheme="minorEastAsia" w:cstheme="minorEastAsia"/>
          <w:b/>
          <w:bCs/>
          <w:color w:val="auto"/>
          <w:sz w:val="24"/>
        </w:rPr>
        <w:t>综合评分法</w:t>
      </w:r>
      <w:r>
        <w:rPr>
          <w:rFonts w:hint="eastAsia" w:asciiTheme="minorEastAsia" w:hAnsiTheme="minorEastAsia" w:eastAsiaTheme="minorEastAsia" w:cstheme="minorEastAsia"/>
          <w:color w:val="auto"/>
          <w:sz w:val="24"/>
        </w:rPr>
        <w:t>。</w:t>
      </w:r>
    </w:p>
    <w:p>
      <w:pPr>
        <w:pStyle w:val="4"/>
        <w:spacing w:before="120" w:beforeLines="50" w:after="120" w:afterLines="50"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3、评标程序</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rPr>
        <w:t>3.1熟悉和理解招标文件和停止评标。</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3.1.2评标委员会熟悉和理解招标文件以及评标过程中，发现本招标文件有下列情形之一的，评标委员会应当停止评标：</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（1）招标文件的规定存在歧义、重大缺陷的；</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（2）招标文件明显以不合理条件对供应商实行差别待遇或者歧视待遇的；</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（3）采购项目属于国家规定的优先、强制采购范围，但是招标文件未依法体现优先、强制采购相关规定的；</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（4）采购项目属于政府采购促进中小企业发展的范围，但是招标文件未依法体现促进中小企业发展相关规定的；</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（5）招标文件规定的评标方法是综合评分法、最低评标价法之外的评标方法，或者虽然名称为综合评分法、最低评标价法，但实际上不符合国家规定；</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（6）招标文件将投标人的资格条件列为评分因素的；</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（7）招标文件有违反国家其他有关强制性规定的情形。</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3.1.3出现本条3.1.2规定应当停止评标情形的，评标委员会成员应当向招标采购单位书面说明情况。除本条规定和评标委员会无法依法组建的情形外，评标委员会成员不得以任何方式和理由停止评标。</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3.2符合性检查。</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szCs w:val="22"/>
        </w:rPr>
      </w:pPr>
      <w:r>
        <w:rPr>
          <w:rFonts w:hint="eastAsia" w:asciiTheme="minorEastAsia" w:hAnsiTheme="minorEastAsia" w:eastAsiaTheme="minorEastAsia" w:cstheme="minorEastAsia"/>
          <w:color w:val="auto"/>
          <w:sz w:val="24"/>
          <w:szCs w:val="22"/>
        </w:rPr>
        <w:t>3.2.2投标文件有下列情形的，本项目不作为实质性要求进行规定，即不作为符合性审查事项，不得作为无效投标处理：</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（一）存在个别地方（不超过2个）没有法定代表人/单位负责人签字，但有法定代表人/单位负责人的个人名章或者有效代理人签字的；</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color w:val="auto"/>
          <w:sz w:val="24"/>
          <w:lang w:eastAsia="zh-CN"/>
        </w:rPr>
        <w:t>二</w:t>
      </w:r>
      <w:r>
        <w:rPr>
          <w:rFonts w:hint="eastAsia" w:asciiTheme="minorEastAsia" w:hAnsiTheme="minorEastAsia" w:eastAsiaTheme="minorEastAsia" w:cstheme="minorEastAsia"/>
          <w:color w:val="auto"/>
          <w:sz w:val="24"/>
        </w:rPr>
        <w:t>）除招标文件明确要求加盖单位(法人)公章</w:t>
      </w:r>
      <w:r>
        <w:rPr>
          <w:rFonts w:hint="eastAsia" w:hAnsi="宋体" w:cs="宋体"/>
          <w:color w:val="auto"/>
          <w:sz w:val="24"/>
          <w:szCs w:val="22"/>
          <w:highlight w:val="none"/>
        </w:rPr>
        <w:t>或电子签章</w:t>
      </w:r>
      <w:r>
        <w:rPr>
          <w:rFonts w:hint="eastAsia" w:asciiTheme="minorEastAsia" w:hAnsiTheme="minorEastAsia" w:eastAsiaTheme="minorEastAsia" w:cstheme="minorEastAsia"/>
          <w:color w:val="auto"/>
          <w:sz w:val="24"/>
        </w:rPr>
        <w:t>以外，其他地方以相关专用章加盖的；</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color w:val="auto"/>
          <w:sz w:val="24"/>
          <w:lang w:eastAsia="zh-CN"/>
        </w:rPr>
        <w:t>三</w:t>
      </w:r>
      <w:r>
        <w:rPr>
          <w:rFonts w:hint="eastAsia" w:asciiTheme="minorEastAsia" w:hAnsiTheme="minorEastAsia" w:eastAsiaTheme="minorEastAsia" w:cstheme="minorEastAsia"/>
          <w:color w:val="auto"/>
          <w:sz w:val="24"/>
        </w:rPr>
        <w:t>）其他不影响采购项目实质性要求的情形。</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3.2.3除政府采购法律制度规定的情形外，本项目投标人或者其投标文件有下列情形之一的，作为无效投标处理：</w:t>
      </w:r>
    </w:p>
    <w:p>
      <w:pPr>
        <w:spacing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（一）投标文件组成明显不符合招标文件的规定要求，影响评标委员会评判的；</w:t>
      </w:r>
    </w:p>
    <w:p>
      <w:pPr>
        <w:spacing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color w:val="auto"/>
          <w:sz w:val="24"/>
          <w:lang w:eastAsia="zh-CN"/>
        </w:rPr>
        <w:t>二</w:t>
      </w:r>
      <w:r>
        <w:rPr>
          <w:rFonts w:hint="eastAsia" w:asciiTheme="minorEastAsia" w:hAnsiTheme="minorEastAsia" w:eastAsiaTheme="minorEastAsia" w:cstheme="minorEastAsia"/>
          <w:color w:val="auto"/>
          <w:sz w:val="24"/>
        </w:rPr>
        <w:t>）投标文件的计量单位、报价货币、知识产权、投标有效期等不符合招标文件的规定，影响评标委员会评判的；</w:t>
      </w:r>
    </w:p>
    <w:p>
      <w:pPr>
        <w:spacing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color w:val="auto"/>
          <w:sz w:val="24"/>
          <w:lang w:eastAsia="zh-CN"/>
        </w:rPr>
        <w:t>三</w:t>
      </w:r>
      <w:r>
        <w:rPr>
          <w:rFonts w:hint="eastAsia" w:asciiTheme="minorEastAsia" w:hAnsiTheme="minorEastAsia" w:eastAsiaTheme="minorEastAsia" w:cstheme="minorEastAsia"/>
          <w:color w:val="auto"/>
          <w:sz w:val="24"/>
        </w:rPr>
        <w:t>）投标文件未按招标文件要求签署、盖章的（本章3.2.2规定的例外情形除外）；</w:t>
      </w:r>
    </w:p>
    <w:p>
      <w:pPr>
        <w:spacing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color w:val="auto"/>
          <w:sz w:val="24"/>
          <w:lang w:eastAsia="zh-CN"/>
        </w:rPr>
        <w:t>四</w:t>
      </w:r>
      <w:r>
        <w:rPr>
          <w:rFonts w:hint="eastAsia" w:asciiTheme="minorEastAsia" w:hAnsiTheme="minorEastAsia" w:eastAsiaTheme="minorEastAsia" w:cstheme="minorEastAsia"/>
          <w:color w:val="auto"/>
          <w:sz w:val="24"/>
        </w:rPr>
        <w:t>）投标报价不符合招标文件规定的采购预算或限价或其他报价规定的；</w:t>
      </w:r>
    </w:p>
    <w:p>
      <w:pPr>
        <w:spacing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color w:val="auto"/>
          <w:sz w:val="24"/>
          <w:lang w:eastAsia="zh-CN"/>
        </w:rPr>
        <w:t>五</w:t>
      </w:r>
      <w:r>
        <w:rPr>
          <w:rFonts w:hint="eastAsia" w:asciiTheme="minorEastAsia" w:hAnsiTheme="minorEastAsia" w:eastAsiaTheme="minorEastAsia" w:cstheme="minorEastAsia"/>
          <w:color w:val="auto"/>
          <w:sz w:val="24"/>
        </w:rPr>
        <w:t>）投标应答内容没有完全响应招标文件的实质性要求的；</w:t>
      </w:r>
    </w:p>
    <w:p>
      <w:pPr>
        <w:spacing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color w:val="auto"/>
          <w:sz w:val="24"/>
          <w:lang w:eastAsia="zh-CN"/>
        </w:rPr>
        <w:t>六</w:t>
      </w:r>
      <w:r>
        <w:rPr>
          <w:rFonts w:hint="eastAsia" w:asciiTheme="minorEastAsia" w:hAnsiTheme="minorEastAsia" w:eastAsiaTheme="minorEastAsia" w:cstheme="minorEastAsia"/>
          <w:color w:val="auto"/>
          <w:sz w:val="24"/>
        </w:rPr>
        <w:t>）招标文件规定的其它投标无效情形。</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3.3比较与评价。按招标文件中规定的评标方法和标准，对未作无效投标处理的投标文件进行技术、服务、商务等方面评估，综合比较与评价。</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3.4复核。评分汇总结束后，评标委员会应当进行复核，特别要对拟推荐为中标候选供应商的、报价最低的、投标文件被认定为无效的进行重点复核。</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3.5推荐中标候选供应商。中标候选供应商应当排序。采用最低评标价法的，评标结果按投标报价由低到高顺序排列。投标报价相同的并列。投标文件满足招标文件全部实质性要求且投标报价最低的投标人为排名第一的中标候选人。报价相同且满足招标文件全部实质性要求的并列，由采购人自主采取随机抽取的方式选择中标供应商。采用综合评分法的，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排名并列的由采购人自主采取随机抽取的方式选择中标供应商。（注：</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为不发达地区和少数民族地区，评审得分且技术指标分项得分均相同的，</w:t>
      </w:r>
      <w:r>
        <w:rPr>
          <w:rFonts w:hint="eastAsia" w:asciiTheme="minorEastAsia" w:hAnsiTheme="minorEastAsia" w:eastAsiaTheme="minorEastAsia" w:cstheme="minorEastAsia"/>
          <w:color w:val="auto"/>
          <w:sz w:val="24"/>
          <w:lang w:eastAsia="zh-CN"/>
        </w:rPr>
        <w:t>评标委员会</w:t>
      </w:r>
      <w:r>
        <w:rPr>
          <w:rFonts w:hint="eastAsia" w:asciiTheme="minorEastAsia" w:hAnsiTheme="minorEastAsia" w:eastAsiaTheme="minorEastAsia" w:cstheme="minorEastAsia"/>
          <w:color w:val="auto"/>
          <w:sz w:val="24"/>
        </w:rPr>
        <w:t>优先推荐企业注册地在不发达地区和少数民族地区的</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3.6出具评标报告。评标委员会推荐中标候选</w:t>
      </w:r>
      <w:r>
        <w:rPr>
          <w:rFonts w:hint="eastAsia" w:asciiTheme="minorEastAsia" w:hAnsiTheme="minorEastAsia" w:eastAsiaTheme="minorEastAsia" w:cstheme="minorEastAsia"/>
          <w:color w:val="auto"/>
          <w:sz w:val="24"/>
          <w:lang w:eastAsia="zh-CN"/>
        </w:rPr>
        <w:t>人</w:t>
      </w:r>
      <w:r>
        <w:rPr>
          <w:rFonts w:hint="eastAsia" w:asciiTheme="minorEastAsia" w:hAnsiTheme="minorEastAsia" w:eastAsiaTheme="minorEastAsia" w:cstheme="minorEastAsia"/>
          <w:color w:val="auto"/>
          <w:sz w:val="24"/>
        </w:rPr>
        <w:t>后，应当向招标采购单位出具评标报告。评标报告应当包括下列内容：</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（一）招标公告刊登的媒体名称、开标日期和地点；</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（二）获取招标文件的投标人名单和评标委员会成员名单；</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（三）评标方法和标准；</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（四）开标记录和评标情况及说明，包括无效投标人名单及原因；</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（五）评标结果和中标候选供应商排序表；</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（六）评标委员会授标建议；</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（七）报价最高的投标人为中标候选人的，评标委员会应当对其报价的合理性予以特别说明。</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3.8</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应当书面澄清、说明或者更正。</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3.8.1在评标过程中，</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投标文件实质性符合招标文件要求的前提下，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3.8.2</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应当书面澄清、说明或者更正，并加盖公章</w:t>
      </w:r>
      <w:r>
        <w:rPr>
          <w:rFonts w:hint="eastAsia" w:asciiTheme="minorEastAsia" w:hAnsiTheme="minorEastAsia" w:eastAsiaTheme="minorEastAsia" w:cstheme="minorEastAsia"/>
          <w:color w:val="auto"/>
          <w:sz w:val="24"/>
          <w:lang w:eastAsia="zh-CN"/>
        </w:rPr>
        <w:t>或加盖电子签章</w:t>
      </w:r>
      <w:r>
        <w:rPr>
          <w:rFonts w:hint="eastAsia" w:asciiTheme="minorEastAsia" w:hAnsiTheme="minorEastAsia" w:eastAsiaTheme="minorEastAsia" w:cstheme="minorEastAsia"/>
          <w:color w:val="auto"/>
          <w:sz w:val="24"/>
        </w:rPr>
        <w:t>或签字确认（</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为法人的，应当由其法定代表人/单位负责人或者代理人签字确认；</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为其他组织的，应当由其主要负责人或者代理人签字确认；</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为自然人的，应当由其本人或者代理人签字确认），否则无效。澄清、说明或者更正不影响投标文件的效力，有效的澄清、说明或者更正材料，是投标文件的组成部分。</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3.8.3评标委员会要求</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澄清、说明或者更正，不得超出招标文件的范围，不得以此让</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实质改变投标文件的内容，不得影响供应商公平竞争。本项目下列内容不得澄清：</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（一）按财政部规定应当在评标时不予承认的投标文件内容事项；</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（二）投标文件中已经明确的内容事项；</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3.8.4 本项目采购过程中，投标文件报价出现前后不一致的，按照下列规定修正：</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（一）投标文件中开标一览表（报价表）内容与投标文件中相应内容不一致的，以开标一览表（报价表）为准；</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（二）大写金额和小写金额不一致的，以大写金额为准；</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（三）单价金额小数点或者百分比有明显错位的，以开标一览表的总价为准，并修改单价；</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（四）总价金额与按单价汇总金额不一致的，以单价金额计算结果为准。</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同时出现两种以上不一致的，按照前款规定的顺序修正。修正后的报价按照本章3.8.1-3.8.3的规定经投标人确认后产生约束力，投标人不确认的，其投标无效。</w:t>
      </w:r>
    </w:p>
    <w:p>
      <w:pPr>
        <w:spacing w:before="120" w:beforeLines="50" w:after="120" w:afterLines="50" w:line="400" w:lineRule="exact"/>
        <w:ind w:firstLine="482" w:firstLineChars="200"/>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注：评标委员会当积极履行澄清、说明或者更正的职责，不得滥用权力。供应商的投标文件应当要求澄清、说明或者更正的，不得未经澄清、说明或者更正而直接作无效投标处理。</w:t>
      </w:r>
    </w:p>
    <w:p>
      <w:pPr>
        <w:pStyle w:val="394"/>
        <w:spacing w:before="120" w:beforeLines="50" w:after="120" w:afterLines="50" w:line="400" w:lineRule="exact"/>
        <w:ind w:firstLine="480" w:firstLineChars="2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394"/>
        <w:spacing w:before="120" w:beforeLines="50" w:after="120" w:afterLines="50" w:line="400" w:lineRule="exact"/>
        <w:ind w:firstLine="480" w:firstLineChars="2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3.10招标采购单位现场复核评标结果。</w:t>
      </w:r>
    </w:p>
    <w:p>
      <w:pPr>
        <w:pStyle w:val="394"/>
        <w:spacing w:before="120" w:beforeLines="50" w:after="120" w:afterLines="50" w:line="400" w:lineRule="exact"/>
        <w:ind w:firstLine="480" w:firstLineChars="2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394"/>
        <w:spacing w:before="120" w:beforeLines="50" w:after="120" w:afterLines="50" w:line="400" w:lineRule="exact"/>
        <w:ind w:firstLine="480" w:firstLineChars="2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（一）分值汇总计算错误的；</w:t>
      </w:r>
    </w:p>
    <w:p>
      <w:pPr>
        <w:pStyle w:val="394"/>
        <w:spacing w:before="120" w:beforeLines="50" w:after="120" w:afterLines="50" w:line="400" w:lineRule="exact"/>
        <w:ind w:firstLine="480" w:firstLineChars="2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（二）分项评分超出评分标准范围的；</w:t>
      </w:r>
    </w:p>
    <w:p>
      <w:pPr>
        <w:pStyle w:val="394"/>
        <w:spacing w:before="120" w:beforeLines="50" w:after="120" w:afterLines="50" w:line="400" w:lineRule="exact"/>
        <w:ind w:firstLine="480" w:firstLineChars="2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（三）客观评分不一致的；</w:t>
      </w:r>
    </w:p>
    <w:p>
      <w:pPr>
        <w:pStyle w:val="394"/>
        <w:spacing w:before="120" w:beforeLines="50" w:after="120" w:afterLines="50" w:line="400" w:lineRule="exact"/>
        <w:ind w:firstLine="480" w:firstLineChars="2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（四）经评标委员会认定评分畸高畸低的。</w:t>
      </w:r>
    </w:p>
    <w:p>
      <w:pPr>
        <w:pStyle w:val="394"/>
        <w:spacing w:before="120" w:beforeLines="50" w:after="120" w:afterLines="50" w:line="400" w:lineRule="exact"/>
        <w:ind w:firstLine="480" w:firstLineChars="2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394"/>
        <w:spacing w:before="120" w:beforeLines="50" w:after="120" w:afterLines="50" w:line="400" w:lineRule="exact"/>
        <w:ind w:firstLine="480" w:firstLineChars="2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3.10.2有下列情形之一的，不得修改评标结果或者重新评审：</w:t>
      </w:r>
    </w:p>
    <w:p>
      <w:pPr>
        <w:pStyle w:val="394"/>
        <w:spacing w:before="120" w:beforeLines="50" w:after="120" w:afterLines="50" w:line="400" w:lineRule="exact"/>
        <w:ind w:firstLine="480" w:firstLineChars="2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（一）招标采购单位现场复核时，复核工作人员数量不足的；</w:t>
      </w:r>
    </w:p>
    <w:p>
      <w:pPr>
        <w:pStyle w:val="394"/>
        <w:spacing w:before="120" w:beforeLines="50" w:after="120" w:afterLines="50" w:line="400" w:lineRule="exact"/>
        <w:ind w:firstLine="480" w:firstLineChars="2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（二）招标采购单位现场复核时，没有采购监督人员现场监督的；</w:t>
      </w:r>
    </w:p>
    <w:p>
      <w:pPr>
        <w:pStyle w:val="394"/>
        <w:spacing w:before="120" w:beforeLines="50" w:after="120" w:afterLines="50" w:line="400" w:lineRule="exact"/>
        <w:ind w:firstLine="480" w:firstLineChars="2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（三）招标采购单位现场复核内容超出规定范围的；</w:t>
      </w:r>
    </w:p>
    <w:p>
      <w:pPr>
        <w:pStyle w:val="394"/>
        <w:spacing w:before="120" w:beforeLines="50" w:after="120" w:afterLines="50" w:line="400" w:lineRule="exact"/>
        <w:ind w:firstLine="480" w:firstLineChars="2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（四）招标采购单位未提供书面建议的。</w:t>
      </w:r>
    </w:p>
    <w:p>
      <w:pPr>
        <w:pStyle w:val="4"/>
        <w:spacing w:before="120" w:beforeLines="50" w:after="120" w:afterLines="50"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 评标细则及标准</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rPr>
        <w:t>4.1本项目采用综合评分法，评分因素详见综合评分明细表。</w:t>
      </w:r>
    </w:p>
    <w:p>
      <w:pPr>
        <w:pStyle w:val="394"/>
        <w:spacing w:before="120" w:beforeLines="50" w:after="120" w:afterLines="50" w:line="400" w:lineRule="exact"/>
        <w:ind w:firstLine="480" w:firstLineChars="2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20"/>
        <w:tabs>
          <w:tab w:val="left" w:pos="600"/>
        </w:tabs>
        <w:spacing w:before="120" w:beforeLines="50" w:after="120" w:afterLines="50"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4.3综合评分明细表</w:t>
      </w:r>
    </w:p>
    <w:p>
      <w:pPr>
        <w:widowControl/>
        <w:spacing w:before="120" w:beforeLines="50" w:after="120" w:afterLines="50" w:line="40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rPr>
        <w:t>4.3.1 综合评分明细表按须知表中的相关要求进行价格调整，再参与价格分评审。</w:t>
      </w:r>
    </w:p>
    <w:p>
      <w:pPr>
        <w:pStyle w:val="20"/>
        <w:tabs>
          <w:tab w:val="left" w:pos="600"/>
        </w:tabs>
        <w:spacing w:before="120" w:beforeLines="50" w:after="120" w:afterLines="50"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4.3.2综合评分明细表</w:t>
      </w:r>
      <w:bookmarkStart w:id="156" w:name="PO_评分明细表格_1"/>
      <w:bookmarkEnd w:id="156"/>
    </w:p>
    <w:p>
      <w:pPr>
        <w:spacing w:line="360" w:lineRule="auto"/>
        <w:rPr>
          <w:rFonts w:hint="default" w:ascii="Calibri" w:eastAsia="宋体" w:cs="宋体"/>
          <w:color w:val="auto"/>
          <w:kern w:val="2"/>
          <w:sz w:val="24"/>
          <w:szCs w:val="24"/>
          <w:lang w:val="en-US" w:eastAsia="zh-CN"/>
        </w:rPr>
      </w:pPr>
      <w:r>
        <w:rPr>
          <w:rFonts w:hint="eastAsia" w:ascii="宋体" w:hAnsi="宋体" w:eastAsia="宋体" w:cs="宋体"/>
          <w:b/>
          <w:bCs/>
          <w:color w:val="auto"/>
          <w:kern w:val="2"/>
          <w:sz w:val="24"/>
          <w:szCs w:val="24"/>
          <w:lang w:eastAsia="zh-CN"/>
        </w:rPr>
        <w:t>第</w:t>
      </w:r>
      <w:r>
        <w:rPr>
          <w:rFonts w:hint="eastAsia" w:ascii="宋体" w:hAnsi="宋体" w:eastAsia="宋体" w:cs="宋体"/>
          <w:b/>
          <w:bCs/>
          <w:color w:val="auto"/>
          <w:kern w:val="2"/>
          <w:sz w:val="24"/>
          <w:szCs w:val="24"/>
          <w:lang w:val="en-US" w:eastAsia="zh-CN"/>
        </w:rPr>
        <w:t>1包：</w:t>
      </w:r>
      <w:r>
        <w:rPr>
          <w:rFonts w:hint="eastAsia" w:ascii="Calibri" w:eastAsia="宋体" w:cs="Times New Roman"/>
          <w:b/>
          <w:bCs/>
          <w:color w:val="auto"/>
          <w:kern w:val="2"/>
          <w:sz w:val="24"/>
          <w:szCs w:val="24"/>
          <w:lang w:val="en-US" w:eastAsia="zh-CN"/>
        </w:rPr>
        <w:t>造价咨询服务</w:t>
      </w:r>
    </w:p>
    <w:tbl>
      <w:tblPr>
        <w:tblStyle w:val="507"/>
        <w:tblW w:w="1017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1"/>
        <w:gridCol w:w="1029"/>
        <w:gridCol w:w="630"/>
        <w:gridCol w:w="5187"/>
        <w:gridCol w:w="1522"/>
        <w:gridCol w:w="11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56" w:hRule="atLeast"/>
          <w:jc w:val="center"/>
        </w:trPr>
        <w:tc>
          <w:tcPr>
            <w:tcW w:w="691" w:type="dxa"/>
            <w:noWrap w:val="0"/>
            <w:textDirection w:val="tbRlV"/>
            <w:vAlign w:val="center"/>
          </w:tcPr>
          <w:p>
            <w:pPr>
              <w:spacing w:before="116" w:line="180" w:lineRule="auto"/>
              <w:ind w:left="0" w:leftChars="0" w:firstLine="0" w:firstLineChars="0"/>
              <w:jc w:val="center"/>
              <w:rPr>
                <w:rFonts w:hint="eastAsia" w:ascii="宋体" w:hAnsi="宋体" w:eastAsia="宋体" w:cs="宋体"/>
                <w:b w:val="0"/>
                <w:bCs/>
                <w:color w:val="auto"/>
                <w:kern w:val="2"/>
                <w:sz w:val="24"/>
                <w:szCs w:val="24"/>
                <w:lang w:eastAsia="zh-CN"/>
              </w:rPr>
            </w:pPr>
            <w:r>
              <w:rPr>
                <w:rFonts w:hint="eastAsia" w:ascii="宋体" w:hAnsi="宋体" w:eastAsia="宋体" w:cs="宋体"/>
                <w:b w:val="0"/>
                <w:bCs/>
                <w:color w:val="auto"/>
                <w:kern w:val="2"/>
                <w:sz w:val="24"/>
                <w:szCs w:val="24"/>
                <w:lang w:eastAsia="zh-CN"/>
              </w:rPr>
              <w:t>序号</w:t>
            </w:r>
          </w:p>
        </w:tc>
        <w:tc>
          <w:tcPr>
            <w:tcW w:w="1029" w:type="dxa"/>
            <w:noWrap w:val="0"/>
            <w:vAlign w:val="center"/>
          </w:tcPr>
          <w:p>
            <w:pPr>
              <w:spacing w:before="52" w:line="271" w:lineRule="auto"/>
              <w:ind w:left="0" w:leftChars="0" w:right="92" w:firstLine="0" w:firstLineChars="0"/>
              <w:jc w:val="center"/>
              <w:rPr>
                <w:rFonts w:hint="eastAsia" w:ascii="宋体" w:hAnsi="宋体" w:eastAsia="宋体" w:cs="宋体"/>
                <w:b w:val="0"/>
                <w:bCs/>
                <w:color w:val="auto"/>
                <w:kern w:val="2"/>
                <w:sz w:val="24"/>
                <w:szCs w:val="24"/>
              </w:rPr>
            </w:pPr>
            <w:r>
              <w:rPr>
                <w:rFonts w:hint="eastAsia" w:ascii="宋体" w:hAnsi="宋体" w:eastAsia="宋体" w:cs="宋体"/>
                <w:b w:val="0"/>
                <w:bCs/>
                <w:color w:val="auto"/>
                <w:spacing w:val="-2"/>
                <w:kern w:val="2"/>
                <w:sz w:val="24"/>
                <w:szCs w:val="24"/>
              </w:rPr>
              <w:t>评分因素及权重</w:t>
            </w:r>
          </w:p>
        </w:tc>
        <w:tc>
          <w:tcPr>
            <w:tcW w:w="630" w:type="dxa"/>
            <w:noWrap w:val="0"/>
            <w:vAlign w:val="center"/>
          </w:tcPr>
          <w:p>
            <w:pPr>
              <w:spacing w:before="255" w:line="184" w:lineRule="auto"/>
              <w:ind w:left="0" w:leftChars="0" w:firstLine="0" w:firstLineChars="0"/>
              <w:jc w:val="center"/>
              <w:rPr>
                <w:rFonts w:hint="eastAsia" w:ascii="宋体" w:hAnsi="宋体" w:eastAsia="宋体" w:cs="宋体"/>
                <w:b w:val="0"/>
                <w:bCs/>
                <w:color w:val="auto"/>
                <w:kern w:val="2"/>
                <w:sz w:val="24"/>
                <w:szCs w:val="24"/>
              </w:rPr>
            </w:pPr>
            <w:r>
              <w:rPr>
                <w:rFonts w:hint="eastAsia" w:ascii="宋体" w:hAnsi="宋体" w:eastAsia="宋体" w:cs="宋体"/>
                <w:b w:val="0"/>
                <w:bCs/>
                <w:color w:val="auto"/>
                <w:spacing w:val="-6"/>
                <w:kern w:val="2"/>
                <w:sz w:val="24"/>
                <w:szCs w:val="24"/>
              </w:rPr>
              <w:t>分值</w:t>
            </w:r>
          </w:p>
        </w:tc>
        <w:tc>
          <w:tcPr>
            <w:tcW w:w="5187" w:type="dxa"/>
            <w:noWrap w:val="0"/>
            <w:vAlign w:val="center"/>
          </w:tcPr>
          <w:p>
            <w:pPr>
              <w:spacing w:before="255" w:line="184" w:lineRule="auto"/>
              <w:ind w:left="0" w:leftChars="0" w:firstLine="0" w:firstLineChars="0"/>
              <w:jc w:val="center"/>
              <w:rPr>
                <w:rFonts w:hint="eastAsia" w:ascii="宋体" w:hAnsi="宋体" w:eastAsia="宋体" w:cs="宋体"/>
                <w:b w:val="0"/>
                <w:bCs/>
                <w:color w:val="auto"/>
                <w:kern w:val="2"/>
                <w:sz w:val="24"/>
                <w:szCs w:val="24"/>
              </w:rPr>
            </w:pPr>
            <w:r>
              <w:rPr>
                <w:rFonts w:hint="eastAsia" w:ascii="宋体" w:hAnsi="宋体" w:eastAsia="宋体" w:cs="宋体"/>
                <w:b w:val="0"/>
                <w:bCs/>
                <w:color w:val="auto"/>
                <w:spacing w:val="-2"/>
                <w:kern w:val="2"/>
                <w:sz w:val="24"/>
                <w:szCs w:val="24"/>
              </w:rPr>
              <w:t>评分标准</w:t>
            </w:r>
          </w:p>
        </w:tc>
        <w:tc>
          <w:tcPr>
            <w:tcW w:w="1522" w:type="dxa"/>
            <w:noWrap w:val="0"/>
            <w:vAlign w:val="center"/>
          </w:tcPr>
          <w:p>
            <w:pPr>
              <w:keepNext w:val="0"/>
              <w:keepLines w:val="0"/>
              <w:pageBreakBefore w:val="0"/>
              <w:widowControl w:val="0"/>
              <w:kinsoku/>
              <w:wordWrap/>
              <w:overflowPunct/>
              <w:topLinePunct w:val="0"/>
              <w:autoSpaceDE/>
              <w:autoSpaceDN/>
              <w:bidi w:val="0"/>
              <w:adjustRightInd/>
              <w:snapToGrid/>
              <w:spacing w:before="255" w:line="184" w:lineRule="auto"/>
              <w:ind w:firstLine="0"/>
              <w:jc w:val="center"/>
              <w:textAlignment w:val="auto"/>
              <w:rPr>
                <w:rFonts w:hint="eastAsia" w:ascii="宋体" w:hAnsi="宋体" w:eastAsia="宋体" w:cs="宋体"/>
                <w:b w:val="0"/>
                <w:bCs/>
                <w:color w:val="auto"/>
                <w:kern w:val="2"/>
                <w:sz w:val="24"/>
                <w:szCs w:val="24"/>
              </w:rPr>
            </w:pPr>
            <w:r>
              <w:rPr>
                <w:rFonts w:hint="eastAsia" w:ascii="宋体" w:hAnsi="宋体" w:eastAsia="宋体" w:cs="宋体"/>
                <w:b w:val="0"/>
                <w:bCs/>
                <w:color w:val="auto"/>
                <w:spacing w:val="-6"/>
                <w:kern w:val="2"/>
                <w:sz w:val="24"/>
                <w:szCs w:val="24"/>
              </w:rPr>
              <w:t>说明</w:t>
            </w:r>
          </w:p>
        </w:tc>
        <w:tc>
          <w:tcPr>
            <w:tcW w:w="1118" w:type="dxa"/>
            <w:noWrap w:val="0"/>
            <w:vAlign w:val="center"/>
          </w:tcPr>
          <w:p>
            <w:pPr>
              <w:keepNext w:val="0"/>
              <w:keepLines w:val="0"/>
              <w:pageBreakBefore w:val="0"/>
              <w:widowControl w:val="0"/>
              <w:kinsoku/>
              <w:wordWrap/>
              <w:overflowPunct/>
              <w:topLinePunct w:val="0"/>
              <w:autoSpaceDE/>
              <w:autoSpaceDN/>
              <w:bidi w:val="0"/>
              <w:adjustRightInd/>
              <w:snapToGrid/>
              <w:spacing w:before="255" w:line="184" w:lineRule="auto"/>
              <w:ind w:firstLine="0"/>
              <w:jc w:val="center"/>
              <w:textAlignment w:val="auto"/>
              <w:rPr>
                <w:rFonts w:hint="eastAsia" w:ascii="宋体" w:hAnsi="宋体" w:eastAsia="宋体" w:cs="宋体"/>
                <w:b w:val="0"/>
                <w:bCs/>
                <w:color w:val="auto"/>
                <w:kern w:val="2"/>
                <w:sz w:val="24"/>
                <w:szCs w:val="24"/>
              </w:rPr>
            </w:pPr>
            <w:r>
              <w:rPr>
                <w:rFonts w:hint="eastAsia" w:ascii="宋体" w:hAnsi="宋体" w:eastAsia="宋体" w:cs="宋体"/>
                <w:b w:val="0"/>
                <w:bCs/>
                <w:color w:val="auto"/>
                <w:spacing w:val="-6"/>
                <w:kern w:val="2"/>
                <w:sz w:val="24"/>
                <w:szCs w:val="24"/>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1" w:hRule="atLeast"/>
          <w:jc w:val="center"/>
        </w:trPr>
        <w:tc>
          <w:tcPr>
            <w:tcW w:w="691" w:type="dxa"/>
            <w:noWrap w:val="0"/>
            <w:vAlign w:val="center"/>
          </w:tcPr>
          <w:p>
            <w:pPr>
              <w:spacing w:before="69" w:line="180" w:lineRule="auto"/>
              <w:ind w:left="0" w:leftChars="0" w:firstLine="0" w:firstLineChars="0"/>
              <w:jc w:val="center"/>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rPr>
              <w:t>1</w:t>
            </w:r>
          </w:p>
        </w:tc>
        <w:tc>
          <w:tcPr>
            <w:tcW w:w="1029" w:type="dxa"/>
            <w:noWrap w:val="0"/>
            <w:vAlign w:val="center"/>
          </w:tcPr>
          <w:p>
            <w:pPr>
              <w:spacing w:line="247" w:lineRule="auto"/>
              <w:ind w:left="0" w:leftChars="0" w:firstLine="0" w:firstLineChars="0"/>
              <w:jc w:val="center"/>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lang w:eastAsia="zh-CN"/>
              </w:rPr>
              <w:t>项目负责人</w:t>
            </w:r>
            <w:r>
              <w:rPr>
                <w:rFonts w:hint="eastAsia" w:ascii="宋体" w:hAnsi="宋体" w:eastAsia="宋体" w:cs="宋体"/>
                <w:b w:val="0"/>
                <w:bCs/>
                <w:color w:val="auto"/>
                <w:kern w:val="2"/>
                <w:sz w:val="24"/>
                <w:szCs w:val="24"/>
                <w:lang w:val="en-US" w:eastAsia="zh-CN"/>
              </w:rPr>
              <w:t>7%</w:t>
            </w:r>
          </w:p>
        </w:tc>
        <w:tc>
          <w:tcPr>
            <w:tcW w:w="630" w:type="dxa"/>
            <w:noWrap w:val="0"/>
            <w:vAlign w:val="center"/>
          </w:tcPr>
          <w:p>
            <w:pPr>
              <w:spacing w:line="283" w:lineRule="auto"/>
              <w:jc w:val="center"/>
              <w:rPr>
                <w:rFonts w:hint="eastAsia" w:ascii="宋体" w:hAnsi="宋体" w:eastAsia="宋体" w:cs="宋体"/>
                <w:b w:val="0"/>
                <w:bCs/>
                <w:color w:val="auto"/>
                <w:kern w:val="2"/>
                <w:sz w:val="24"/>
                <w:szCs w:val="24"/>
              </w:rPr>
            </w:pPr>
          </w:p>
          <w:p>
            <w:pPr>
              <w:spacing w:line="283" w:lineRule="auto"/>
              <w:jc w:val="center"/>
              <w:rPr>
                <w:rFonts w:hint="eastAsia" w:ascii="宋体" w:hAnsi="宋体" w:eastAsia="宋体" w:cs="宋体"/>
                <w:b w:val="0"/>
                <w:bCs/>
                <w:color w:val="auto"/>
                <w:kern w:val="2"/>
                <w:sz w:val="24"/>
                <w:szCs w:val="24"/>
              </w:rPr>
            </w:pPr>
          </w:p>
          <w:p>
            <w:pPr>
              <w:spacing w:line="283" w:lineRule="auto"/>
              <w:jc w:val="center"/>
              <w:rPr>
                <w:rFonts w:hint="eastAsia" w:ascii="宋体" w:hAnsi="宋体" w:eastAsia="宋体" w:cs="宋体"/>
                <w:b w:val="0"/>
                <w:bCs/>
                <w:color w:val="auto"/>
                <w:kern w:val="2"/>
                <w:sz w:val="24"/>
                <w:szCs w:val="24"/>
              </w:rPr>
            </w:pPr>
          </w:p>
          <w:p>
            <w:pPr>
              <w:spacing w:line="283" w:lineRule="auto"/>
              <w:ind w:left="0" w:leftChars="0" w:firstLine="0" w:firstLineChars="0"/>
              <w:jc w:val="center"/>
              <w:rPr>
                <w:rFonts w:hint="eastAsia" w:ascii="宋体" w:hAnsi="宋体" w:eastAsia="宋体" w:cs="宋体"/>
                <w:b w:val="0"/>
                <w:bCs/>
                <w:color w:val="auto"/>
                <w:kern w:val="2"/>
                <w:sz w:val="24"/>
                <w:szCs w:val="24"/>
                <w:lang w:val="en-US" w:eastAsia="zh-CN"/>
              </w:rPr>
            </w:pPr>
            <w:r>
              <w:rPr>
                <w:rFonts w:hint="eastAsia" w:ascii="宋体" w:hAnsi="宋体" w:eastAsia="宋体" w:cs="宋体"/>
                <w:b w:val="0"/>
                <w:bCs/>
                <w:color w:val="auto"/>
                <w:kern w:val="2"/>
                <w:sz w:val="24"/>
                <w:szCs w:val="24"/>
                <w:lang w:val="en-US" w:eastAsia="zh-CN"/>
              </w:rPr>
              <w:t>7分</w:t>
            </w:r>
          </w:p>
          <w:p>
            <w:pPr>
              <w:spacing w:line="284" w:lineRule="auto"/>
              <w:jc w:val="center"/>
              <w:rPr>
                <w:rFonts w:hint="eastAsia" w:ascii="宋体" w:hAnsi="宋体" w:eastAsia="宋体" w:cs="宋体"/>
                <w:b w:val="0"/>
                <w:bCs/>
                <w:color w:val="auto"/>
                <w:kern w:val="2"/>
                <w:sz w:val="24"/>
                <w:szCs w:val="24"/>
              </w:rPr>
            </w:pPr>
          </w:p>
          <w:p>
            <w:pPr>
              <w:spacing w:before="68" w:line="184" w:lineRule="auto"/>
              <w:ind w:firstLine="135"/>
              <w:jc w:val="center"/>
              <w:rPr>
                <w:rFonts w:hint="eastAsia" w:ascii="宋体" w:hAnsi="宋体" w:eastAsia="宋体" w:cs="宋体"/>
                <w:b w:val="0"/>
                <w:bCs/>
                <w:color w:val="auto"/>
                <w:kern w:val="2"/>
                <w:sz w:val="24"/>
                <w:szCs w:val="24"/>
              </w:rPr>
            </w:pPr>
          </w:p>
        </w:tc>
        <w:tc>
          <w:tcPr>
            <w:tcW w:w="5187" w:type="dxa"/>
            <w:noWrap w:val="0"/>
            <w:vAlign w:val="center"/>
          </w:tcPr>
          <w:p>
            <w:pPr>
              <w:spacing w:before="196" w:line="301" w:lineRule="auto"/>
              <w:ind w:left="0" w:leftChars="0" w:right="12" w:firstLine="0" w:firstLineChars="0"/>
              <w:jc w:val="both"/>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lang w:val="en-US" w:eastAsia="zh-CN"/>
              </w:rPr>
              <w:t>具备一级造价工程师（全国注册造价工程师）且同时具备高级及以上技术职称得 3 分，具备一级建造师资格的加 2分，具备咨询工程师资格的加2分，本项最多得7分。</w:t>
            </w:r>
          </w:p>
        </w:tc>
        <w:tc>
          <w:tcPr>
            <w:tcW w:w="152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4" w:lineRule="auto"/>
              <w:ind w:firstLine="0"/>
              <w:jc w:val="center"/>
              <w:textAlignment w:val="auto"/>
              <w:rPr>
                <w:rFonts w:hint="eastAsia" w:ascii="宋体" w:hAnsi="宋体" w:eastAsia="宋体" w:cs="宋体"/>
                <w:b w:val="0"/>
                <w:bCs/>
                <w:color w:val="auto"/>
                <w:kern w:val="2"/>
                <w:sz w:val="24"/>
                <w:szCs w:val="24"/>
              </w:rPr>
            </w:pPr>
          </w:p>
          <w:p>
            <w:pPr>
              <w:keepNext w:val="0"/>
              <w:keepLines w:val="0"/>
              <w:pageBreakBefore w:val="0"/>
              <w:widowControl w:val="0"/>
              <w:kinsoku/>
              <w:wordWrap/>
              <w:overflowPunct/>
              <w:topLinePunct w:val="0"/>
              <w:autoSpaceDE/>
              <w:autoSpaceDN/>
              <w:bidi w:val="0"/>
              <w:adjustRightInd/>
              <w:snapToGrid/>
              <w:spacing w:line="285" w:lineRule="auto"/>
              <w:ind w:firstLine="0"/>
              <w:jc w:val="center"/>
              <w:textAlignment w:val="auto"/>
              <w:rPr>
                <w:rFonts w:hint="eastAsia" w:ascii="宋体" w:hAnsi="宋体" w:eastAsia="宋体" w:cs="宋体"/>
                <w:b w:val="0"/>
                <w:bCs/>
                <w:color w:val="auto"/>
                <w:kern w:val="2"/>
                <w:sz w:val="24"/>
                <w:szCs w:val="24"/>
              </w:rPr>
            </w:pPr>
          </w:p>
          <w:p>
            <w:pPr>
              <w:keepNext w:val="0"/>
              <w:keepLines w:val="0"/>
              <w:pageBreakBefore w:val="0"/>
              <w:widowControl w:val="0"/>
              <w:kinsoku/>
              <w:wordWrap/>
              <w:overflowPunct/>
              <w:topLinePunct w:val="0"/>
              <w:autoSpaceDE/>
              <w:autoSpaceDN/>
              <w:bidi w:val="0"/>
              <w:adjustRightInd/>
              <w:snapToGrid/>
              <w:spacing w:before="68" w:line="360" w:lineRule="auto"/>
              <w:ind w:left="0" w:leftChars="0" w:firstLine="0" w:firstLineChars="0"/>
              <w:jc w:val="center"/>
              <w:textAlignment w:val="auto"/>
              <w:rPr>
                <w:rFonts w:hint="eastAsia" w:ascii="宋体" w:hAnsi="宋体" w:eastAsia="宋体" w:cs="宋体"/>
                <w:b w:val="0"/>
                <w:bCs/>
                <w:color w:val="auto"/>
                <w:spacing w:val="-5"/>
                <w:kern w:val="2"/>
                <w:sz w:val="24"/>
                <w:szCs w:val="24"/>
              </w:rPr>
            </w:pPr>
            <w:r>
              <w:rPr>
                <w:rFonts w:hint="eastAsia" w:ascii="宋体" w:hAnsi="宋体" w:eastAsia="宋体" w:cs="宋体"/>
                <w:b w:val="0"/>
                <w:bCs/>
                <w:color w:val="auto"/>
                <w:spacing w:val="-5"/>
                <w:kern w:val="2"/>
                <w:sz w:val="24"/>
                <w:szCs w:val="24"/>
              </w:rPr>
              <w:t>以投标文件为准</w:t>
            </w:r>
          </w:p>
          <w:p>
            <w:pPr>
              <w:keepNext w:val="0"/>
              <w:keepLines w:val="0"/>
              <w:pageBreakBefore w:val="0"/>
              <w:widowControl w:val="0"/>
              <w:kinsoku/>
              <w:wordWrap/>
              <w:overflowPunct/>
              <w:topLinePunct w:val="0"/>
              <w:autoSpaceDE/>
              <w:autoSpaceDN/>
              <w:bidi w:val="0"/>
              <w:adjustRightInd/>
              <w:snapToGrid/>
              <w:spacing w:before="68" w:line="360" w:lineRule="auto"/>
              <w:ind w:left="0" w:leftChars="0" w:firstLine="0" w:firstLineChars="0"/>
              <w:jc w:val="center"/>
              <w:textAlignment w:val="auto"/>
              <w:rPr>
                <w:rFonts w:hint="eastAsia" w:ascii="宋体" w:hAnsi="宋体" w:eastAsia="宋体" w:cs="宋体"/>
                <w:b w:val="0"/>
                <w:bCs/>
                <w:color w:val="auto"/>
                <w:kern w:val="2"/>
                <w:sz w:val="24"/>
                <w:szCs w:val="24"/>
                <w:lang w:val="zh-CN" w:eastAsia="zh-CN" w:bidi="ar-SA"/>
              </w:rPr>
            </w:pPr>
            <w:r>
              <w:rPr>
                <w:rFonts w:hint="eastAsia" w:ascii="宋体" w:hAnsi="宋体" w:eastAsia="宋体" w:cs="宋体"/>
                <w:b w:val="0"/>
                <w:bCs/>
                <w:color w:val="auto"/>
                <w:kern w:val="2"/>
                <w:sz w:val="24"/>
                <w:szCs w:val="24"/>
                <w:lang w:val="en-US" w:eastAsia="zh-CN"/>
              </w:rPr>
              <w:t>注：（1）提供相关人员证书复印件并加盖单位公章；（2）提供在投标人单位工作的相关证明材料（退休人员提供退休证明）；（3）</w:t>
            </w:r>
            <w:r>
              <w:rPr>
                <w:rFonts w:hint="eastAsia" w:ascii="宋体" w:hAnsi="宋体" w:eastAsia="宋体" w:cs="宋体"/>
                <w:b w:val="0"/>
                <w:bCs/>
                <w:color w:val="auto"/>
                <w:kern w:val="2"/>
                <w:sz w:val="24"/>
                <w:szCs w:val="24"/>
                <w:lang w:eastAsia="zh-CN"/>
              </w:rPr>
              <w:t>项目负责人、</w:t>
            </w:r>
            <w:r>
              <w:rPr>
                <w:rFonts w:hint="eastAsia" w:ascii="宋体" w:hAnsi="宋体" w:eastAsia="宋体" w:cs="宋体"/>
                <w:b w:val="0"/>
                <w:bCs/>
                <w:color w:val="auto"/>
                <w:kern w:val="0"/>
                <w:sz w:val="24"/>
                <w:szCs w:val="24"/>
                <w:lang w:val="en-US" w:eastAsia="zh-CN" w:bidi="ar"/>
              </w:rPr>
              <w:t>专业负责人、团队其他人员</w:t>
            </w:r>
            <w:r>
              <w:rPr>
                <w:rFonts w:hint="eastAsia" w:ascii="宋体" w:hAnsi="宋体" w:eastAsia="宋体" w:cs="宋体"/>
                <w:b w:val="0"/>
                <w:bCs/>
                <w:color w:val="auto"/>
                <w:kern w:val="2"/>
                <w:sz w:val="24"/>
                <w:szCs w:val="24"/>
                <w:lang w:val="en-US" w:eastAsia="zh-CN"/>
              </w:rPr>
              <w:t>均不重复计算。（4）提供的人员及执业资格均需注册(或登记)在投标单位。（5）若为联合体投标，项目总负责人须由牵头人提供。</w:t>
            </w:r>
          </w:p>
        </w:tc>
        <w:tc>
          <w:tcPr>
            <w:tcW w:w="1118" w:type="dxa"/>
            <w:noWrap w:val="0"/>
            <w:vAlign w:val="center"/>
          </w:tcPr>
          <w:p>
            <w:pPr>
              <w:keepNext w:val="0"/>
              <w:keepLines w:val="0"/>
              <w:pageBreakBefore w:val="0"/>
              <w:widowControl w:val="0"/>
              <w:kinsoku/>
              <w:wordWrap/>
              <w:overflowPunct/>
              <w:topLinePunct w:val="0"/>
              <w:autoSpaceDE/>
              <w:autoSpaceDN/>
              <w:bidi w:val="0"/>
              <w:adjustRightInd/>
              <w:snapToGrid/>
              <w:spacing w:line="247" w:lineRule="auto"/>
              <w:ind w:firstLine="0"/>
              <w:jc w:val="center"/>
              <w:textAlignment w:val="auto"/>
              <w:rPr>
                <w:rFonts w:hint="eastAsia" w:ascii="宋体" w:hAnsi="宋体" w:eastAsia="宋体" w:cs="宋体"/>
                <w:b w:val="0"/>
                <w:bCs/>
                <w:color w:val="auto"/>
                <w:kern w:val="2"/>
                <w:sz w:val="24"/>
                <w:szCs w:val="24"/>
              </w:rPr>
            </w:pPr>
          </w:p>
          <w:p>
            <w:pPr>
              <w:keepNext w:val="0"/>
              <w:keepLines w:val="0"/>
              <w:pageBreakBefore w:val="0"/>
              <w:widowControl w:val="0"/>
              <w:kinsoku/>
              <w:wordWrap/>
              <w:overflowPunct/>
              <w:topLinePunct w:val="0"/>
              <w:autoSpaceDE/>
              <w:autoSpaceDN/>
              <w:bidi w:val="0"/>
              <w:adjustRightInd/>
              <w:snapToGrid/>
              <w:spacing w:line="247" w:lineRule="auto"/>
              <w:ind w:firstLine="0"/>
              <w:jc w:val="center"/>
              <w:textAlignment w:val="auto"/>
              <w:rPr>
                <w:rFonts w:hint="eastAsia" w:ascii="宋体" w:hAnsi="宋体" w:eastAsia="宋体" w:cs="宋体"/>
                <w:b w:val="0"/>
                <w:bCs/>
                <w:color w:val="auto"/>
                <w:kern w:val="2"/>
                <w:sz w:val="24"/>
                <w:szCs w:val="24"/>
              </w:rPr>
            </w:pPr>
          </w:p>
          <w:p>
            <w:pPr>
              <w:keepNext w:val="0"/>
              <w:keepLines w:val="0"/>
              <w:pageBreakBefore w:val="0"/>
              <w:widowControl w:val="0"/>
              <w:kinsoku/>
              <w:wordWrap/>
              <w:overflowPunct/>
              <w:topLinePunct w:val="0"/>
              <w:autoSpaceDE/>
              <w:autoSpaceDN/>
              <w:bidi w:val="0"/>
              <w:adjustRightInd/>
              <w:snapToGrid/>
              <w:spacing w:before="69" w:line="359" w:lineRule="auto"/>
              <w:ind w:left="0" w:leftChars="0" w:right="31" w:firstLine="0" w:firstLineChars="0"/>
              <w:jc w:val="center"/>
              <w:textAlignment w:val="auto"/>
              <w:rPr>
                <w:rFonts w:hint="eastAsia" w:ascii="宋体" w:hAnsi="宋体" w:eastAsia="宋体" w:cs="宋体"/>
                <w:b w:val="0"/>
                <w:bCs/>
                <w:color w:val="auto"/>
                <w:kern w:val="2"/>
                <w:sz w:val="24"/>
                <w:szCs w:val="24"/>
              </w:rPr>
            </w:pPr>
            <w:r>
              <w:rPr>
                <w:rFonts w:hint="eastAsia" w:ascii="宋体" w:hAnsi="宋体" w:eastAsia="宋体" w:cs="宋体"/>
                <w:b w:val="0"/>
                <w:bCs/>
                <w:color w:val="auto"/>
                <w:spacing w:val="-2"/>
                <w:kern w:val="2"/>
                <w:sz w:val="24"/>
                <w:szCs w:val="24"/>
              </w:rPr>
              <w:t>共同评分因</w:t>
            </w:r>
            <w:r>
              <w:rPr>
                <w:rFonts w:hint="eastAsia" w:ascii="宋体" w:hAnsi="宋体" w:eastAsia="宋体" w:cs="宋体"/>
                <w:b w:val="0"/>
                <w:bCs/>
                <w:color w:val="auto"/>
                <w:spacing w:val="1"/>
                <w:kern w:val="2"/>
                <w:sz w:val="24"/>
                <w:szCs w:val="24"/>
              </w:rPr>
              <w:t xml:space="preserve"> </w:t>
            </w:r>
            <w:r>
              <w:rPr>
                <w:rFonts w:hint="eastAsia" w:ascii="宋体" w:hAnsi="宋体" w:eastAsia="宋体" w:cs="宋体"/>
                <w:b w:val="0"/>
                <w:bCs/>
                <w:color w:val="auto"/>
                <w:kern w:val="2"/>
                <w:sz w:val="24"/>
                <w:szCs w:val="24"/>
              </w:rPr>
              <w:t>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56" w:hRule="atLeast"/>
          <w:jc w:val="center"/>
        </w:trPr>
        <w:tc>
          <w:tcPr>
            <w:tcW w:w="691" w:type="dxa"/>
            <w:noWrap w:val="0"/>
            <w:vAlign w:val="center"/>
          </w:tcPr>
          <w:p>
            <w:pPr>
              <w:spacing w:line="255" w:lineRule="auto"/>
              <w:jc w:val="center"/>
              <w:rPr>
                <w:rFonts w:hint="eastAsia" w:ascii="宋体" w:hAnsi="宋体" w:eastAsia="宋体" w:cs="宋体"/>
                <w:b w:val="0"/>
                <w:bCs/>
                <w:color w:val="auto"/>
                <w:kern w:val="2"/>
                <w:sz w:val="24"/>
                <w:szCs w:val="24"/>
              </w:rPr>
            </w:pPr>
          </w:p>
          <w:p>
            <w:pPr>
              <w:spacing w:before="68" w:line="180" w:lineRule="auto"/>
              <w:ind w:left="0" w:leftChars="0" w:firstLine="0" w:firstLineChars="0"/>
              <w:jc w:val="center"/>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rPr>
              <w:t>2</w:t>
            </w:r>
          </w:p>
        </w:tc>
        <w:tc>
          <w:tcPr>
            <w:tcW w:w="1029" w:type="dxa"/>
            <w:noWrap w:val="0"/>
            <w:vAlign w:val="center"/>
          </w:tcPr>
          <w:p>
            <w:pPr>
              <w:spacing w:before="68" w:line="359" w:lineRule="auto"/>
              <w:ind w:left="0" w:leftChars="0" w:right="97" w:firstLine="0" w:firstLineChars="0"/>
              <w:jc w:val="center"/>
              <w:rPr>
                <w:rFonts w:hint="eastAsia" w:ascii="宋体" w:hAnsi="宋体" w:eastAsia="宋体" w:cs="宋体"/>
                <w:b w:val="0"/>
                <w:bCs/>
                <w:color w:val="auto"/>
                <w:kern w:val="2"/>
                <w:sz w:val="24"/>
                <w:szCs w:val="24"/>
                <w:lang w:val="en-US"/>
              </w:rPr>
            </w:pPr>
            <w:r>
              <w:rPr>
                <w:rFonts w:hint="eastAsia" w:ascii="宋体" w:hAnsi="宋体" w:eastAsia="宋体" w:cs="宋体"/>
                <w:b w:val="0"/>
                <w:bCs/>
                <w:color w:val="auto"/>
                <w:kern w:val="0"/>
                <w:sz w:val="24"/>
                <w:szCs w:val="24"/>
                <w:lang w:val="en-US" w:eastAsia="zh-CN" w:bidi="ar"/>
              </w:rPr>
              <w:t>专业负责人6%</w:t>
            </w:r>
          </w:p>
        </w:tc>
        <w:tc>
          <w:tcPr>
            <w:tcW w:w="630" w:type="dxa"/>
            <w:noWrap w:val="0"/>
            <w:vAlign w:val="center"/>
          </w:tcPr>
          <w:p>
            <w:pPr>
              <w:spacing w:before="69" w:line="184" w:lineRule="auto"/>
              <w:ind w:left="0" w:leftChars="0" w:firstLine="0" w:firstLineChars="0"/>
              <w:jc w:val="center"/>
              <w:rPr>
                <w:rFonts w:hint="eastAsia" w:ascii="宋体" w:hAnsi="宋体" w:eastAsia="宋体" w:cs="宋体"/>
                <w:b w:val="0"/>
                <w:bCs/>
                <w:color w:val="auto"/>
                <w:kern w:val="2"/>
                <w:sz w:val="24"/>
                <w:szCs w:val="24"/>
                <w:lang w:val="en-US" w:eastAsia="zh-CN"/>
              </w:rPr>
            </w:pPr>
            <w:r>
              <w:rPr>
                <w:rFonts w:hint="eastAsia" w:ascii="宋体" w:hAnsi="宋体" w:eastAsia="宋体" w:cs="宋体"/>
                <w:b w:val="0"/>
                <w:bCs/>
                <w:color w:val="auto"/>
                <w:kern w:val="2"/>
                <w:sz w:val="24"/>
                <w:szCs w:val="24"/>
                <w:lang w:val="en-US" w:eastAsia="zh-CN"/>
              </w:rPr>
              <w:t>6分</w:t>
            </w:r>
          </w:p>
        </w:tc>
        <w:tc>
          <w:tcPr>
            <w:tcW w:w="518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11" w:firstLine="0" w:firstLineChars="0"/>
              <w:jc w:val="both"/>
              <w:textAlignment w:val="auto"/>
              <w:rPr>
                <w:rFonts w:hint="eastAsia" w:ascii="宋体" w:hAnsi="宋体" w:eastAsia="宋体" w:cs="宋体"/>
                <w:b w:val="0"/>
                <w:bCs/>
                <w:color w:val="auto"/>
                <w:kern w:val="2"/>
                <w:sz w:val="24"/>
                <w:szCs w:val="24"/>
                <w:lang w:val="en-US" w:eastAsia="zh-CN"/>
              </w:rPr>
            </w:pPr>
            <w:r>
              <w:rPr>
                <w:rFonts w:hint="eastAsia" w:ascii="宋体" w:hAnsi="宋体" w:eastAsia="宋体" w:cs="宋体"/>
                <w:b w:val="0"/>
                <w:bCs/>
                <w:color w:val="auto"/>
                <w:kern w:val="2"/>
                <w:sz w:val="24"/>
                <w:szCs w:val="24"/>
                <w:lang w:val="en-US" w:eastAsia="zh-CN"/>
              </w:rPr>
              <w:t>（1）土建专业负责人具有一级造价工程师（全国注册造价工程师）（土建专业）的得 1 分，同时具备一级建造师资格的加 2分，最多得 3 分。</w:t>
            </w:r>
          </w:p>
          <w:p>
            <w:pPr>
              <w:keepNext w:val="0"/>
              <w:keepLines w:val="0"/>
              <w:pageBreakBefore w:val="0"/>
              <w:widowControl w:val="0"/>
              <w:kinsoku/>
              <w:wordWrap/>
              <w:overflowPunct/>
              <w:topLinePunct w:val="0"/>
              <w:autoSpaceDE/>
              <w:autoSpaceDN/>
              <w:bidi w:val="0"/>
              <w:adjustRightInd/>
              <w:snapToGrid/>
              <w:spacing w:line="360" w:lineRule="auto"/>
              <w:ind w:left="0" w:leftChars="0" w:right="11" w:firstLine="0" w:firstLineChars="0"/>
              <w:jc w:val="both"/>
              <w:textAlignment w:val="auto"/>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lang w:val="en-US" w:eastAsia="zh-CN"/>
              </w:rPr>
              <w:t>（2）安装专业负责人具有一级造价工程师（全国注册造价工程师）（安装专业）的得 1 分，同时具备一级建造师资格的加 2分，最多得 3 分。</w:t>
            </w:r>
          </w:p>
        </w:tc>
        <w:tc>
          <w:tcPr>
            <w:tcW w:w="152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68" w:line="184" w:lineRule="auto"/>
              <w:ind w:left="0" w:leftChars="0" w:firstLine="0" w:firstLineChars="0"/>
              <w:jc w:val="center"/>
              <w:textAlignment w:val="auto"/>
              <w:rPr>
                <w:rFonts w:hint="eastAsia" w:ascii="宋体" w:hAnsi="宋体" w:eastAsia="宋体" w:cs="宋体"/>
                <w:b w:val="0"/>
                <w:bCs/>
                <w:color w:val="auto"/>
                <w:kern w:val="2"/>
                <w:sz w:val="24"/>
                <w:szCs w:val="24"/>
              </w:rPr>
            </w:pPr>
          </w:p>
        </w:tc>
        <w:tc>
          <w:tcPr>
            <w:tcW w:w="1118" w:type="dxa"/>
            <w:noWrap w:val="0"/>
            <w:vAlign w:val="center"/>
          </w:tcPr>
          <w:p>
            <w:pPr>
              <w:keepNext w:val="0"/>
              <w:keepLines w:val="0"/>
              <w:pageBreakBefore w:val="0"/>
              <w:widowControl w:val="0"/>
              <w:kinsoku/>
              <w:wordWrap/>
              <w:overflowPunct/>
              <w:topLinePunct w:val="0"/>
              <w:autoSpaceDE/>
              <w:autoSpaceDN/>
              <w:bidi w:val="0"/>
              <w:adjustRightInd/>
              <w:snapToGrid/>
              <w:spacing w:line="247" w:lineRule="auto"/>
              <w:ind w:firstLine="0"/>
              <w:jc w:val="center"/>
              <w:textAlignment w:val="auto"/>
              <w:rPr>
                <w:rFonts w:hint="eastAsia" w:ascii="宋体" w:hAnsi="宋体" w:eastAsia="宋体" w:cs="宋体"/>
                <w:b w:val="0"/>
                <w:bCs/>
                <w:color w:val="auto"/>
                <w:kern w:val="2"/>
                <w:sz w:val="24"/>
                <w:szCs w:val="24"/>
              </w:rPr>
            </w:pPr>
          </w:p>
          <w:p>
            <w:pPr>
              <w:keepNext w:val="0"/>
              <w:keepLines w:val="0"/>
              <w:pageBreakBefore w:val="0"/>
              <w:widowControl w:val="0"/>
              <w:kinsoku/>
              <w:wordWrap/>
              <w:overflowPunct/>
              <w:topLinePunct w:val="0"/>
              <w:autoSpaceDE/>
              <w:autoSpaceDN/>
              <w:bidi w:val="0"/>
              <w:adjustRightInd/>
              <w:snapToGrid/>
              <w:spacing w:line="247" w:lineRule="auto"/>
              <w:ind w:firstLine="0"/>
              <w:jc w:val="center"/>
              <w:textAlignment w:val="auto"/>
              <w:rPr>
                <w:rFonts w:hint="eastAsia" w:ascii="宋体" w:hAnsi="宋体" w:eastAsia="宋体" w:cs="宋体"/>
                <w:b w:val="0"/>
                <w:bCs/>
                <w:color w:val="auto"/>
                <w:kern w:val="2"/>
                <w:sz w:val="24"/>
                <w:szCs w:val="24"/>
              </w:rPr>
            </w:pPr>
          </w:p>
          <w:p>
            <w:pPr>
              <w:keepNext w:val="0"/>
              <w:keepLines w:val="0"/>
              <w:pageBreakBefore w:val="0"/>
              <w:widowControl w:val="0"/>
              <w:kinsoku/>
              <w:wordWrap/>
              <w:overflowPunct/>
              <w:topLinePunct w:val="0"/>
              <w:autoSpaceDE/>
              <w:autoSpaceDN/>
              <w:bidi w:val="0"/>
              <w:adjustRightInd/>
              <w:snapToGrid/>
              <w:spacing w:before="69" w:line="359" w:lineRule="auto"/>
              <w:ind w:left="0" w:leftChars="0" w:right="31" w:rightChars="0" w:firstLine="0" w:firstLineChars="0"/>
              <w:jc w:val="center"/>
              <w:textAlignment w:val="auto"/>
              <w:rPr>
                <w:rFonts w:hint="eastAsia" w:ascii="宋体" w:hAnsi="宋体" w:eastAsia="宋体" w:cs="宋体"/>
                <w:b w:val="0"/>
                <w:bCs/>
                <w:color w:val="auto"/>
                <w:kern w:val="2"/>
                <w:sz w:val="24"/>
                <w:szCs w:val="24"/>
              </w:rPr>
            </w:pPr>
            <w:r>
              <w:rPr>
                <w:rFonts w:hint="eastAsia" w:ascii="宋体" w:hAnsi="宋体" w:eastAsia="宋体" w:cs="宋体"/>
                <w:b w:val="0"/>
                <w:bCs/>
                <w:color w:val="auto"/>
                <w:spacing w:val="-2"/>
                <w:kern w:val="2"/>
                <w:sz w:val="24"/>
                <w:szCs w:val="24"/>
              </w:rPr>
              <w:t>共同评分因</w:t>
            </w:r>
            <w:r>
              <w:rPr>
                <w:rFonts w:hint="eastAsia" w:ascii="宋体" w:hAnsi="宋体" w:eastAsia="宋体" w:cs="宋体"/>
                <w:b w:val="0"/>
                <w:bCs/>
                <w:color w:val="auto"/>
                <w:spacing w:val="1"/>
                <w:kern w:val="2"/>
                <w:sz w:val="24"/>
                <w:szCs w:val="24"/>
              </w:rPr>
              <w:t xml:space="preserve"> </w:t>
            </w:r>
            <w:r>
              <w:rPr>
                <w:rFonts w:hint="eastAsia" w:ascii="宋体" w:hAnsi="宋体" w:eastAsia="宋体" w:cs="宋体"/>
                <w:b w:val="0"/>
                <w:bCs/>
                <w:color w:val="auto"/>
                <w:kern w:val="2"/>
                <w:sz w:val="24"/>
                <w:szCs w:val="24"/>
              </w:rPr>
              <w:t>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4" w:hRule="atLeast"/>
          <w:jc w:val="center"/>
        </w:trPr>
        <w:tc>
          <w:tcPr>
            <w:tcW w:w="691" w:type="dxa"/>
            <w:noWrap w:val="0"/>
            <w:vAlign w:val="center"/>
          </w:tcPr>
          <w:p>
            <w:pPr>
              <w:spacing w:before="68" w:line="180" w:lineRule="auto"/>
              <w:ind w:left="0" w:leftChars="0" w:firstLine="0" w:firstLineChars="0"/>
              <w:jc w:val="center"/>
              <w:rPr>
                <w:rFonts w:hint="eastAsia" w:ascii="宋体" w:hAnsi="宋体" w:eastAsia="宋体" w:cs="宋体"/>
                <w:b w:val="0"/>
                <w:bCs/>
                <w:color w:val="auto"/>
                <w:kern w:val="2"/>
                <w:sz w:val="24"/>
                <w:szCs w:val="24"/>
                <w:lang w:val="en-US" w:eastAsia="zh-CN"/>
              </w:rPr>
            </w:pPr>
            <w:r>
              <w:rPr>
                <w:rFonts w:hint="eastAsia" w:ascii="宋体" w:hAnsi="宋体" w:eastAsia="宋体" w:cs="宋体"/>
                <w:b w:val="0"/>
                <w:bCs/>
                <w:color w:val="auto"/>
                <w:kern w:val="2"/>
                <w:sz w:val="24"/>
                <w:szCs w:val="24"/>
                <w:lang w:val="en-US" w:eastAsia="zh-CN"/>
              </w:rPr>
              <w:t>3</w:t>
            </w:r>
          </w:p>
        </w:tc>
        <w:tc>
          <w:tcPr>
            <w:tcW w:w="1029" w:type="dxa"/>
            <w:noWrap w:val="0"/>
            <w:vAlign w:val="center"/>
          </w:tcPr>
          <w:p>
            <w:pPr>
              <w:spacing w:before="68" w:line="359" w:lineRule="auto"/>
              <w:ind w:left="0" w:leftChars="0" w:right="97" w:firstLine="0" w:firstLineChars="0"/>
              <w:jc w:val="center"/>
              <w:rPr>
                <w:rFonts w:hint="eastAsia" w:ascii="宋体" w:hAnsi="宋体" w:eastAsia="宋体" w:cs="宋体"/>
                <w:b w:val="0"/>
                <w:bCs/>
                <w:color w:val="auto"/>
                <w:kern w:val="0"/>
                <w:sz w:val="24"/>
                <w:szCs w:val="24"/>
                <w:lang w:val="en-US" w:eastAsia="zh-CN" w:bidi="ar"/>
              </w:rPr>
            </w:pPr>
            <w:r>
              <w:rPr>
                <w:rFonts w:hint="eastAsia" w:ascii="宋体" w:hAnsi="宋体" w:eastAsia="宋体" w:cs="宋体"/>
                <w:b w:val="0"/>
                <w:bCs/>
                <w:color w:val="auto"/>
                <w:kern w:val="0"/>
                <w:sz w:val="24"/>
                <w:szCs w:val="24"/>
                <w:lang w:val="en-US" w:eastAsia="zh-CN" w:bidi="ar"/>
              </w:rPr>
              <w:t>团队其他人员30%</w:t>
            </w:r>
          </w:p>
        </w:tc>
        <w:tc>
          <w:tcPr>
            <w:tcW w:w="630" w:type="dxa"/>
            <w:noWrap w:val="0"/>
            <w:vAlign w:val="center"/>
          </w:tcPr>
          <w:p>
            <w:pPr>
              <w:spacing w:before="69" w:line="184" w:lineRule="auto"/>
              <w:ind w:left="0" w:leftChars="0" w:firstLine="0" w:firstLineChars="0"/>
              <w:jc w:val="center"/>
              <w:rPr>
                <w:rFonts w:hint="eastAsia" w:ascii="宋体" w:hAnsi="宋体" w:eastAsia="宋体" w:cs="宋体"/>
                <w:b w:val="0"/>
                <w:bCs/>
                <w:color w:val="auto"/>
                <w:kern w:val="2"/>
                <w:sz w:val="24"/>
                <w:szCs w:val="24"/>
                <w:lang w:val="en-US" w:eastAsia="zh-CN"/>
              </w:rPr>
            </w:pPr>
            <w:r>
              <w:rPr>
                <w:rFonts w:hint="eastAsia" w:ascii="宋体" w:hAnsi="宋体" w:eastAsia="宋体" w:cs="宋体"/>
                <w:b w:val="0"/>
                <w:bCs/>
                <w:color w:val="auto"/>
                <w:kern w:val="2"/>
                <w:sz w:val="24"/>
                <w:szCs w:val="24"/>
                <w:lang w:val="en-US" w:eastAsia="zh-CN"/>
              </w:rPr>
              <w:t>30分</w:t>
            </w:r>
          </w:p>
        </w:tc>
        <w:tc>
          <w:tcPr>
            <w:tcW w:w="518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11" w:firstLine="0" w:firstLineChars="0"/>
              <w:jc w:val="both"/>
              <w:textAlignment w:val="auto"/>
              <w:rPr>
                <w:rFonts w:hint="default" w:ascii="宋体" w:hAnsi="宋体" w:eastAsia="宋体" w:cs="宋体"/>
                <w:b w:val="0"/>
                <w:bCs/>
                <w:color w:val="auto"/>
                <w:kern w:val="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11" w:firstLine="0" w:firstLineChars="0"/>
              <w:jc w:val="both"/>
              <w:textAlignment w:val="auto"/>
              <w:rPr>
                <w:rFonts w:hint="eastAsia" w:ascii="宋体" w:hAnsi="宋体" w:eastAsia="宋体" w:cs="宋体"/>
                <w:b w:val="0"/>
                <w:bCs/>
                <w:color w:val="auto"/>
                <w:kern w:val="2"/>
                <w:sz w:val="24"/>
                <w:szCs w:val="24"/>
                <w:lang w:val="en-US" w:eastAsia="zh-CN"/>
              </w:rPr>
            </w:pPr>
            <w:r>
              <w:rPr>
                <w:rFonts w:hint="eastAsia" w:ascii="宋体" w:hAnsi="宋体" w:eastAsia="宋体" w:cs="宋体"/>
                <w:b w:val="0"/>
                <w:bCs/>
                <w:color w:val="auto"/>
                <w:kern w:val="2"/>
                <w:sz w:val="24"/>
                <w:szCs w:val="24"/>
                <w:lang w:val="en-US" w:eastAsia="zh-CN"/>
              </w:rPr>
              <w:t>（1）每</w:t>
            </w:r>
            <w:r>
              <w:rPr>
                <w:rFonts w:hint="eastAsia" w:hAnsi="宋体" w:cs="宋体"/>
                <w:b w:val="0"/>
                <w:bCs/>
                <w:color w:val="auto"/>
                <w:kern w:val="2"/>
                <w:sz w:val="24"/>
                <w:szCs w:val="24"/>
                <w:lang w:val="en-US" w:eastAsia="zh-CN"/>
              </w:rPr>
              <w:t>提供</w:t>
            </w:r>
            <w:r>
              <w:rPr>
                <w:rFonts w:hint="eastAsia" w:ascii="宋体" w:hAnsi="宋体" w:eastAsia="宋体" w:cs="宋体"/>
                <w:b w:val="0"/>
                <w:bCs/>
                <w:color w:val="auto"/>
                <w:kern w:val="2"/>
                <w:sz w:val="24"/>
                <w:szCs w:val="24"/>
                <w:lang w:val="en-US" w:eastAsia="zh-CN"/>
              </w:rPr>
              <w:t>一名一级造价工程师（全国注册造价工程师）得0.</w:t>
            </w:r>
            <w:r>
              <w:rPr>
                <w:rFonts w:hint="eastAsia" w:hAnsi="宋体" w:cs="宋体"/>
                <w:b w:val="0"/>
                <w:bCs/>
                <w:color w:val="auto"/>
                <w:kern w:val="2"/>
                <w:sz w:val="24"/>
                <w:szCs w:val="24"/>
                <w:lang w:val="en-US" w:eastAsia="zh-CN"/>
              </w:rPr>
              <w:t>2</w:t>
            </w:r>
            <w:r>
              <w:rPr>
                <w:rFonts w:hint="eastAsia" w:ascii="宋体" w:hAnsi="宋体" w:eastAsia="宋体" w:cs="宋体"/>
                <w:b w:val="0"/>
                <w:bCs/>
                <w:color w:val="auto"/>
                <w:kern w:val="2"/>
                <w:sz w:val="24"/>
                <w:szCs w:val="24"/>
                <w:lang w:val="en-US" w:eastAsia="zh-CN"/>
              </w:rPr>
              <w:t>分，最多得10分；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11" w:rightChars="0"/>
              <w:jc w:val="both"/>
              <w:textAlignment w:val="auto"/>
              <w:rPr>
                <w:rFonts w:hint="eastAsia" w:ascii="宋体" w:hAnsi="宋体" w:eastAsia="宋体" w:cs="宋体"/>
                <w:b w:val="0"/>
                <w:bCs/>
                <w:color w:val="auto"/>
                <w:kern w:val="2"/>
                <w:sz w:val="24"/>
                <w:szCs w:val="24"/>
                <w:lang w:val="en-US" w:eastAsia="zh-CN"/>
              </w:rPr>
            </w:pPr>
            <w:r>
              <w:rPr>
                <w:rFonts w:hint="eastAsia" w:ascii="宋体" w:hAnsi="宋体" w:eastAsia="宋体" w:cs="宋体"/>
                <w:b w:val="0"/>
                <w:bCs/>
                <w:color w:val="auto"/>
                <w:kern w:val="2"/>
                <w:sz w:val="24"/>
                <w:szCs w:val="24"/>
                <w:lang w:val="en-US" w:eastAsia="zh-CN"/>
              </w:rPr>
              <w:t>（2）每</w:t>
            </w:r>
            <w:r>
              <w:rPr>
                <w:rFonts w:hint="eastAsia" w:hAnsi="宋体" w:cs="宋体"/>
                <w:b w:val="0"/>
                <w:bCs/>
                <w:color w:val="auto"/>
                <w:kern w:val="2"/>
                <w:sz w:val="24"/>
                <w:szCs w:val="24"/>
                <w:lang w:val="en-US" w:eastAsia="zh-CN"/>
              </w:rPr>
              <w:t>提供</w:t>
            </w:r>
            <w:r>
              <w:rPr>
                <w:rFonts w:hint="eastAsia" w:ascii="宋体" w:hAnsi="宋体" w:eastAsia="宋体" w:cs="宋体"/>
                <w:b w:val="0"/>
                <w:bCs/>
                <w:color w:val="auto"/>
                <w:kern w:val="2"/>
                <w:sz w:val="24"/>
                <w:szCs w:val="24"/>
                <w:lang w:val="en-US" w:eastAsia="zh-CN"/>
              </w:rPr>
              <w:t>一名水利工程造价工程师得 1 分，最多得10分</w:t>
            </w:r>
            <w:r>
              <w:rPr>
                <w:rFonts w:hint="eastAsia" w:hAnsi="宋体" w:cs="宋体"/>
                <w:b w:val="0"/>
                <w:bCs/>
                <w:color w:val="auto"/>
                <w:kern w:val="2"/>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11" w:rightChars="0"/>
              <w:jc w:val="both"/>
              <w:textAlignment w:val="auto"/>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lang w:val="en-US" w:eastAsia="zh-CN"/>
              </w:rPr>
              <w:t>（3）每</w:t>
            </w:r>
            <w:r>
              <w:rPr>
                <w:rFonts w:hint="eastAsia" w:hAnsi="宋体" w:cs="宋体"/>
                <w:b w:val="0"/>
                <w:bCs/>
                <w:color w:val="auto"/>
                <w:kern w:val="2"/>
                <w:sz w:val="24"/>
                <w:szCs w:val="24"/>
                <w:lang w:val="en-US" w:eastAsia="zh-CN"/>
              </w:rPr>
              <w:t>提供</w:t>
            </w:r>
            <w:r>
              <w:rPr>
                <w:rFonts w:hint="eastAsia" w:ascii="宋体" w:hAnsi="宋体" w:eastAsia="宋体" w:cs="宋体"/>
                <w:b w:val="0"/>
                <w:bCs/>
                <w:color w:val="auto"/>
                <w:kern w:val="2"/>
                <w:sz w:val="24"/>
                <w:szCs w:val="24"/>
                <w:lang w:val="en-US" w:eastAsia="zh-CN"/>
              </w:rPr>
              <w:t>一名交通（公路）工程造价甲级工程师得 1 分，最多得10分。</w:t>
            </w:r>
          </w:p>
        </w:tc>
        <w:tc>
          <w:tcPr>
            <w:tcW w:w="152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68" w:line="184" w:lineRule="auto"/>
              <w:ind w:left="0" w:leftChars="0" w:firstLine="0" w:firstLineChars="0"/>
              <w:jc w:val="center"/>
              <w:textAlignment w:val="auto"/>
              <w:rPr>
                <w:rFonts w:hint="eastAsia" w:ascii="宋体" w:hAnsi="宋体" w:eastAsia="宋体" w:cs="宋体"/>
                <w:b w:val="0"/>
                <w:bCs/>
                <w:color w:val="auto"/>
                <w:kern w:val="2"/>
                <w:sz w:val="24"/>
                <w:szCs w:val="24"/>
                <w:lang w:val="zh-CN" w:eastAsia="zh-CN" w:bidi="ar-SA"/>
              </w:rPr>
            </w:pPr>
          </w:p>
        </w:tc>
        <w:tc>
          <w:tcPr>
            <w:tcW w:w="1118" w:type="dxa"/>
            <w:noWrap w:val="0"/>
            <w:vAlign w:val="center"/>
          </w:tcPr>
          <w:p>
            <w:pPr>
              <w:keepNext w:val="0"/>
              <w:keepLines w:val="0"/>
              <w:pageBreakBefore w:val="0"/>
              <w:widowControl w:val="0"/>
              <w:kinsoku/>
              <w:wordWrap/>
              <w:overflowPunct/>
              <w:topLinePunct w:val="0"/>
              <w:autoSpaceDE/>
              <w:autoSpaceDN/>
              <w:bidi w:val="0"/>
              <w:adjustRightInd/>
              <w:snapToGrid/>
              <w:spacing w:line="247" w:lineRule="auto"/>
              <w:ind w:firstLine="0"/>
              <w:jc w:val="center"/>
              <w:textAlignment w:val="auto"/>
              <w:rPr>
                <w:rFonts w:hint="eastAsia" w:ascii="宋体" w:hAnsi="宋体" w:eastAsia="宋体" w:cs="宋体"/>
                <w:b w:val="0"/>
                <w:bCs/>
                <w:color w:val="auto"/>
                <w:kern w:val="2"/>
                <w:sz w:val="24"/>
                <w:szCs w:val="24"/>
              </w:rPr>
            </w:pPr>
          </w:p>
          <w:p>
            <w:pPr>
              <w:keepNext w:val="0"/>
              <w:keepLines w:val="0"/>
              <w:pageBreakBefore w:val="0"/>
              <w:widowControl w:val="0"/>
              <w:kinsoku/>
              <w:wordWrap/>
              <w:overflowPunct/>
              <w:topLinePunct w:val="0"/>
              <w:autoSpaceDE/>
              <w:autoSpaceDN/>
              <w:bidi w:val="0"/>
              <w:adjustRightInd/>
              <w:snapToGrid/>
              <w:spacing w:line="247" w:lineRule="auto"/>
              <w:ind w:firstLine="0"/>
              <w:jc w:val="center"/>
              <w:textAlignment w:val="auto"/>
              <w:rPr>
                <w:rFonts w:hint="eastAsia" w:ascii="宋体" w:hAnsi="宋体" w:eastAsia="宋体" w:cs="宋体"/>
                <w:b w:val="0"/>
                <w:bCs/>
                <w:color w:val="auto"/>
                <w:kern w:val="2"/>
                <w:sz w:val="24"/>
                <w:szCs w:val="24"/>
              </w:rPr>
            </w:pPr>
          </w:p>
          <w:p>
            <w:pPr>
              <w:keepNext w:val="0"/>
              <w:keepLines w:val="0"/>
              <w:pageBreakBefore w:val="0"/>
              <w:widowControl w:val="0"/>
              <w:kinsoku/>
              <w:wordWrap/>
              <w:overflowPunct/>
              <w:topLinePunct w:val="0"/>
              <w:autoSpaceDE/>
              <w:autoSpaceDN/>
              <w:bidi w:val="0"/>
              <w:adjustRightInd/>
              <w:snapToGrid/>
              <w:spacing w:before="69" w:line="359" w:lineRule="auto"/>
              <w:ind w:left="0" w:leftChars="0" w:right="31" w:rightChars="0" w:firstLine="0" w:firstLineChars="0"/>
              <w:jc w:val="center"/>
              <w:textAlignment w:val="auto"/>
              <w:rPr>
                <w:rFonts w:hint="eastAsia" w:ascii="宋体" w:hAnsi="宋体" w:eastAsia="宋体" w:cs="宋体"/>
                <w:b w:val="0"/>
                <w:bCs/>
                <w:color w:val="auto"/>
                <w:kern w:val="2"/>
                <w:sz w:val="24"/>
                <w:szCs w:val="24"/>
                <w:lang w:val="zh-CN" w:eastAsia="zh-CN" w:bidi="ar-SA"/>
              </w:rPr>
            </w:pPr>
            <w:r>
              <w:rPr>
                <w:rFonts w:hint="eastAsia" w:ascii="宋体" w:hAnsi="宋体" w:eastAsia="宋体" w:cs="宋体"/>
                <w:b w:val="0"/>
                <w:bCs/>
                <w:color w:val="auto"/>
                <w:spacing w:val="-2"/>
                <w:kern w:val="2"/>
                <w:sz w:val="24"/>
                <w:szCs w:val="24"/>
              </w:rPr>
              <w:t>共同评分因</w:t>
            </w:r>
            <w:r>
              <w:rPr>
                <w:rFonts w:hint="eastAsia" w:ascii="宋体" w:hAnsi="宋体" w:eastAsia="宋体" w:cs="宋体"/>
                <w:b w:val="0"/>
                <w:bCs/>
                <w:color w:val="auto"/>
                <w:spacing w:val="1"/>
                <w:kern w:val="2"/>
                <w:sz w:val="24"/>
                <w:szCs w:val="24"/>
              </w:rPr>
              <w:t xml:space="preserve"> </w:t>
            </w:r>
            <w:r>
              <w:rPr>
                <w:rFonts w:hint="eastAsia" w:ascii="宋体" w:hAnsi="宋体" w:eastAsia="宋体" w:cs="宋体"/>
                <w:b w:val="0"/>
                <w:bCs/>
                <w:color w:val="auto"/>
                <w:kern w:val="2"/>
                <w:sz w:val="24"/>
                <w:szCs w:val="24"/>
              </w:rPr>
              <w:t>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6" w:hRule="atLeast"/>
          <w:jc w:val="center"/>
        </w:trPr>
        <w:tc>
          <w:tcPr>
            <w:tcW w:w="691" w:type="dxa"/>
            <w:noWrap w:val="0"/>
            <w:vAlign w:val="center"/>
          </w:tcPr>
          <w:p>
            <w:pPr>
              <w:spacing w:before="68" w:line="180" w:lineRule="auto"/>
              <w:ind w:left="0" w:leftChars="0" w:firstLine="0" w:firstLineChars="0"/>
              <w:jc w:val="center"/>
              <w:rPr>
                <w:rFonts w:hint="eastAsia" w:ascii="宋体" w:hAnsi="宋体" w:eastAsia="宋体" w:cs="宋体"/>
                <w:b w:val="0"/>
                <w:bCs/>
                <w:color w:val="auto"/>
                <w:kern w:val="2"/>
                <w:sz w:val="24"/>
                <w:szCs w:val="24"/>
                <w:lang w:val="en-US" w:eastAsia="zh-CN"/>
              </w:rPr>
            </w:pPr>
            <w:r>
              <w:rPr>
                <w:rFonts w:hint="eastAsia" w:ascii="宋体" w:hAnsi="宋体" w:eastAsia="宋体" w:cs="宋体"/>
                <w:b w:val="0"/>
                <w:bCs/>
                <w:color w:val="auto"/>
                <w:kern w:val="2"/>
                <w:sz w:val="24"/>
                <w:szCs w:val="24"/>
                <w:lang w:val="en-US" w:eastAsia="zh-CN"/>
              </w:rPr>
              <w:t>4</w:t>
            </w:r>
          </w:p>
        </w:tc>
        <w:tc>
          <w:tcPr>
            <w:tcW w:w="1029" w:type="dxa"/>
            <w:noWrap w:val="0"/>
            <w:vAlign w:val="center"/>
          </w:tcPr>
          <w:p>
            <w:pPr>
              <w:spacing w:before="68" w:line="359" w:lineRule="auto"/>
              <w:ind w:left="0" w:leftChars="0" w:right="97" w:firstLine="0" w:firstLineChars="0"/>
              <w:jc w:val="center"/>
              <w:rPr>
                <w:rFonts w:hint="eastAsia" w:ascii="宋体" w:hAnsi="宋体" w:eastAsia="宋体" w:cs="宋体"/>
                <w:b w:val="0"/>
                <w:bCs/>
                <w:color w:val="auto"/>
                <w:kern w:val="0"/>
                <w:sz w:val="24"/>
                <w:szCs w:val="24"/>
                <w:lang w:val="en-US" w:eastAsia="zh-CN" w:bidi="ar"/>
              </w:rPr>
            </w:pPr>
            <w:r>
              <w:rPr>
                <w:rFonts w:hint="eastAsia" w:ascii="宋体" w:hAnsi="宋体" w:eastAsia="宋体" w:cs="宋体"/>
                <w:b w:val="0"/>
                <w:bCs/>
                <w:color w:val="auto"/>
                <w:kern w:val="0"/>
                <w:sz w:val="24"/>
                <w:szCs w:val="24"/>
                <w:lang w:val="en-US" w:eastAsia="zh-CN" w:bidi="ar"/>
              </w:rPr>
              <w:t>实施方案50%</w:t>
            </w:r>
          </w:p>
        </w:tc>
        <w:tc>
          <w:tcPr>
            <w:tcW w:w="630" w:type="dxa"/>
            <w:noWrap w:val="0"/>
            <w:vAlign w:val="center"/>
          </w:tcPr>
          <w:p>
            <w:pPr>
              <w:spacing w:before="69" w:line="184" w:lineRule="auto"/>
              <w:ind w:left="0" w:leftChars="0" w:firstLine="0" w:firstLineChars="0"/>
              <w:jc w:val="center"/>
              <w:rPr>
                <w:rFonts w:hint="eastAsia" w:ascii="宋体" w:hAnsi="宋体" w:eastAsia="宋体" w:cs="宋体"/>
                <w:b w:val="0"/>
                <w:bCs/>
                <w:color w:val="auto"/>
                <w:kern w:val="2"/>
                <w:sz w:val="24"/>
                <w:szCs w:val="24"/>
                <w:lang w:val="en-US" w:eastAsia="zh-CN"/>
              </w:rPr>
            </w:pPr>
            <w:r>
              <w:rPr>
                <w:rFonts w:hint="eastAsia" w:ascii="宋体" w:hAnsi="宋体" w:eastAsia="宋体" w:cs="宋体"/>
                <w:b w:val="0"/>
                <w:bCs/>
                <w:color w:val="auto"/>
                <w:kern w:val="2"/>
                <w:sz w:val="24"/>
                <w:szCs w:val="24"/>
                <w:lang w:val="en-US" w:eastAsia="zh-CN"/>
              </w:rPr>
              <w:t>50分</w:t>
            </w:r>
          </w:p>
        </w:tc>
        <w:tc>
          <w:tcPr>
            <w:tcW w:w="518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11" w:firstLine="0" w:firstLineChars="0"/>
              <w:jc w:val="both"/>
              <w:textAlignment w:val="auto"/>
              <w:rPr>
                <w:rFonts w:hint="eastAsia" w:ascii="宋体" w:hAnsi="宋体" w:eastAsia="宋体" w:cs="宋体"/>
                <w:b w:val="0"/>
                <w:bCs/>
                <w:color w:val="auto"/>
                <w:kern w:val="2"/>
                <w:sz w:val="24"/>
                <w:szCs w:val="24"/>
                <w:lang w:val="en-US" w:eastAsia="zh-CN"/>
              </w:rPr>
            </w:pPr>
            <w:r>
              <w:rPr>
                <w:rFonts w:hint="eastAsia" w:ascii="宋体" w:hAnsi="宋体" w:eastAsia="宋体" w:cs="宋体"/>
                <w:b w:val="0"/>
                <w:bCs/>
                <w:color w:val="auto"/>
                <w:kern w:val="2"/>
                <w:sz w:val="24"/>
                <w:szCs w:val="24"/>
                <w:lang w:val="en-US" w:eastAsia="zh-CN"/>
              </w:rPr>
              <w:t>（1）根据投标人提供的项目评审方案进行综合评审。</w:t>
            </w:r>
          </w:p>
          <w:p>
            <w:pPr>
              <w:keepNext w:val="0"/>
              <w:keepLines w:val="0"/>
              <w:pageBreakBefore w:val="0"/>
              <w:widowControl w:val="0"/>
              <w:kinsoku/>
              <w:wordWrap/>
              <w:overflowPunct/>
              <w:topLinePunct w:val="0"/>
              <w:autoSpaceDE/>
              <w:autoSpaceDN/>
              <w:bidi w:val="0"/>
              <w:adjustRightInd/>
              <w:snapToGrid/>
              <w:spacing w:line="360" w:lineRule="auto"/>
              <w:ind w:left="0" w:leftChars="0" w:right="11" w:firstLine="0" w:firstLineChars="0"/>
              <w:jc w:val="both"/>
              <w:textAlignment w:val="auto"/>
              <w:rPr>
                <w:rFonts w:hint="eastAsia" w:ascii="宋体" w:hAnsi="宋体" w:eastAsia="宋体" w:cs="宋体"/>
                <w:b w:val="0"/>
                <w:bCs/>
                <w:color w:val="auto"/>
                <w:kern w:val="2"/>
                <w:sz w:val="24"/>
                <w:szCs w:val="24"/>
                <w:lang w:val="en-US" w:eastAsia="zh-CN"/>
              </w:rPr>
            </w:pPr>
            <w:r>
              <w:rPr>
                <w:rFonts w:hint="eastAsia" w:hAnsi="宋体" w:cs="宋体"/>
                <w:b w:val="0"/>
                <w:bCs/>
                <w:color w:val="auto"/>
                <w:kern w:val="2"/>
                <w:sz w:val="24"/>
                <w:szCs w:val="24"/>
                <w:lang w:val="en-US" w:eastAsia="zh-CN"/>
              </w:rPr>
              <w:t>评审</w:t>
            </w:r>
            <w:r>
              <w:rPr>
                <w:rFonts w:hint="eastAsia" w:ascii="宋体" w:hAnsi="宋体" w:eastAsia="宋体" w:cs="宋体"/>
                <w:b w:val="0"/>
                <w:bCs/>
                <w:color w:val="auto"/>
                <w:kern w:val="2"/>
                <w:sz w:val="24"/>
                <w:szCs w:val="24"/>
                <w:lang w:val="en-US" w:eastAsia="zh-CN"/>
              </w:rPr>
              <w:t>方案应包含①评审目标、原则及内容分析、②项目组织机构设置、③评审流程及方法、④评审实施保障措施、⑤评审风险防控措施、⑥评审工作重点分析及应对措施、⑦进度保障措施、⑧质量保障措施、⑨履约保障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11" w:firstLine="0" w:firstLineChars="0"/>
              <w:jc w:val="both"/>
              <w:textAlignment w:val="auto"/>
              <w:rPr>
                <w:rFonts w:hint="eastAsia" w:ascii="宋体" w:hAnsi="宋体" w:eastAsia="宋体" w:cs="宋体"/>
                <w:b w:val="0"/>
                <w:bCs/>
                <w:color w:val="auto"/>
                <w:kern w:val="2"/>
                <w:sz w:val="24"/>
                <w:szCs w:val="24"/>
                <w:lang w:val="en-US" w:eastAsia="zh-CN"/>
              </w:rPr>
            </w:pPr>
            <w:r>
              <w:rPr>
                <w:rFonts w:hint="eastAsia" w:ascii="宋体" w:hAnsi="宋体" w:eastAsia="宋体" w:cs="宋体"/>
                <w:b w:val="0"/>
                <w:bCs/>
                <w:color w:val="auto"/>
                <w:kern w:val="2"/>
                <w:sz w:val="24"/>
                <w:szCs w:val="24"/>
                <w:lang w:val="en-US" w:eastAsia="zh-CN"/>
              </w:rPr>
              <w:t>评审方案完全满足招标文件要求的得36分；评审方案中缺少以上任何一项的扣4分，每有一项内容不完善或缺陷或不切实际扣2分，扣完为止。</w:t>
            </w:r>
          </w:p>
          <w:p>
            <w:pPr>
              <w:keepNext w:val="0"/>
              <w:keepLines w:val="0"/>
              <w:pageBreakBefore w:val="0"/>
              <w:widowControl w:val="0"/>
              <w:kinsoku/>
              <w:wordWrap/>
              <w:overflowPunct/>
              <w:topLinePunct w:val="0"/>
              <w:autoSpaceDE/>
              <w:autoSpaceDN/>
              <w:bidi w:val="0"/>
              <w:adjustRightInd/>
              <w:snapToGrid/>
              <w:spacing w:line="360" w:lineRule="auto"/>
              <w:ind w:left="0" w:leftChars="0" w:right="11" w:firstLine="0" w:firstLineChars="0"/>
              <w:jc w:val="both"/>
              <w:textAlignment w:val="auto"/>
              <w:rPr>
                <w:rFonts w:hint="eastAsia" w:ascii="宋体" w:hAnsi="宋体" w:eastAsia="宋体" w:cs="宋体"/>
                <w:b w:val="0"/>
                <w:bCs/>
                <w:color w:val="auto"/>
                <w:kern w:val="2"/>
                <w:sz w:val="24"/>
                <w:szCs w:val="24"/>
                <w:lang w:val="en-US" w:eastAsia="zh-CN"/>
              </w:rPr>
            </w:pPr>
            <w:r>
              <w:rPr>
                <w:rFonts w:hint="eastAsia" w:ascii="宋体" w:hAnsi="宋体" w:eastAsia="宋体" w:cs="宋体"/>
                <w:b w:val="0"/>
                <w:bCs/>
                <w:color w:val="auto"/>
                <w:kern w:val="2"/>
                <w:sz w:val="24"/>
                <w:szCs w:val="24"/>
                <w:lang w:val="en-US" w:eastAsia="zh-CN"/>
              </w:rPr>
              <w:t>（2）根据投标人提供的项目管理方案进行综合评审。</w:t>
            </w:r>
          </w:p>
          <w:p>
            <w:pPr>
              <w:keepNext w:val="0"/>
              <w:keepLines w:val="0"/>
              <w:pageBreakBefore w:val="0"/>
              <w:widowControl w:val="0"/>
              <w:kinsoku/>
              <w:wordWrap/>
              <w:overflowPunct/>
              <w:topLinePunct w:val="0"/>
              <w:autoSpaceDE/>
              <w:autoSpaceDN/>
              <w:bidi w:val="0"/>
              <w:adjustRightInd/>
              <w:snapToGrid/>
              <w:spacing w:line="360" w:lineRule="auto"/>
              <w:ind w:left="0" w:leftChars="0" w:right="11" w:firstLine="0" w:firstLineChars="0"/>
              <w:jc w:val="both"/>
              <w:textAlignment w:val="auto"/>
              <w:rPr>
                <w:rFonts w:hint="eastAsia" w:ascii="宋体" w:hAnsi="宋体" w:eastAsia="宋体" w:cs="宋体"/>
                <w:b w:val="0"/>
                <w:bCs/>
                <w:color w:val="auto"/>
                <w:kern w:val="2"/>
                <w:sz w:val="24"/>
                <w:szCs w:val="24"/>
                <w:lang w:val="en-US" w:eastAsia="zh-CN"/>
              </w:rPr>
            </w:pPr>
            <w:r>
              <w:rPr>
                <w:rFonts w:hint="eastAsia" w:ascii="宋体" w:hAnsi="宋体" w:eastAsia="宋体" w:cs="宋体"/>
                <w:b w:val="0"/>
                <w:bCs/>
                <w:color w:val="auto"/>
                <w:kern w:val="2"/>
                <w:sz w:val="24"/>
                <w:szCs w:val="24"/>
                <w:lang w:val="en-US" w:eastAsia="zh-CN"/>
              </w:rPr>
              <w:t>管理方案应包含：①内部控制管理制度②服务质量保证措施③廉政风险控制措施、④岗位人员配置及工作职责⑤工作效率保证措施⑥造价控制服务纪律保证措施⑦保密措施。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11" w:firstLine="0" w:firstLineChars="0"/>
              <w:jc w:val="both"/>
              <w:textAlignment w:val="auto"/>
              <w:rPr>
                <w:rFonts w:hint="eastAsia" w:ascii="宋体" w:hAnsi="宋体" w:eastAsia="宋体" w:cs="宋体"/>
                <w:b w:val="0"/>
                <w:bCs/>
                <w:color w:val="auto"/>
                <w:kern w:val="2"/>
                <w:sz w:val="24"/>
                <w:szCs w:val="24"/>
                <w:lang w:val="en-US" w:eastAsia="zh-CN"/>
              </w:rPr>
            </w:pPr>
            <w:r>
              <w:rPr>
                <w:rFonts w:hint="eastAsia" w:ascii="宋体" w:hAnsi="宋体" w:eastAsia="宋体" w:cs="宋体"/>
                <w:b w:val="0"/>
                <w:bCs/>
                <w:color w:val="auto"/>
                <w:kern w:val="2"/>
                <w:sz w:val="24"/>
                <w:szCs w:val="24"/>
                <w:lang w:val="en-US" w:eastAsia="zh-CN"/>
              </w:rPr>
              <w:t>管理方案完全满足招标文件要求的得14分；管理方案中缺少以上任何一项的扣2分，每有一项内容不完善或缺陷或不切实际扣1分，扣完为止。</w:t>
            </w:r>
          </w:p>
        </w:tc>
        <w:tc>
          <w:tcPr>
            <w:tcW w:w="1522" w:type="dxa"/>
            <w:noWrap w:val="0"/>
            <w:vAlign w:val="center"/>
          </w:tcPr>
          <w:p>
            <w:pPr>
              <w:keepNext w:val="0"/>
              <w:keepLines w:val="0"/>
              <w:pageBreakBefore w:val="0"/>
              <w:widowControl w:val="0"/>
              <w:kinsoku/>
              <w:wordWrap/>
              <w:overflowPunct/>
              <w:topLinePunct w:val="0"/>
              <w:autoSpaceDE/>
              <w:autoSpaceDN/>
              <w:bidi w:val="0"/>
              <w:adjustRightInd/>
              <w:snapToGrid/>
              <w:spacing w:line="252" w:lineRule="auto"/>
              <w:ind w:firstLine="0"/>
              <w:jc w:val="center"/>
              <w:textAlignment w:val="auto"/>
              <w:rPr>
                <w:rFonts w:hint="eastAsia" w:ascii="宋体" w:hAnsi="宋体" w:eastAsia="宋体" w:cs="宋体"/>
                <w:b w:val="0"/>
                <w:bCs/>
                <w:color w:val="auto"/>
                <w:kern w:val="2"/>
                <w:sz w:val="24"/>
                <w:szCs w:val="24"/>
              </w:rPr>
            </w:pPr>
          </w:p>
          <w:p>
            <w:pPr>
              <w:keepNext w:val="0"/>
              <w:keepLines w:val="0"/>
              <w:pageBreakBefore w:val="0"/>
              <w:widowControl w:val="0"/>
              <w:kinsoku/>
              <w:wordWrap/>
              <w:overflowPunct/>
              <w:topLinePunct w:val="0"/>
              <w:autoSpaceDE/>
              <w:autoSpaceDN/>
              <w:bidi w:val="0"/>
              <w:adjustRightInd/>
              <w:snapToGrid/>
              <w:spacing w:before="69" w:line="184" w:lineRule="auto"/>
              <w:ind w:left="0" w:leftChars="0" w:firstLine="0" w:firstLineChars="0"/>
              <w:jc w:val="center"/>
              <w:textAlignment w:val="auto"/>
              <w:rPr>
                <w:rFonts w:hint="eastAsia" w:ascii="宋体" w:hAnsi="宋体" w:eastAsia="宋体" w:cs="宋体"/>
                <w:b w:val="0"/>
                <w:bCs/>
                <w:color w:val="auto"/>
                <w:kern w:val="2"/>
                <w:sz w:val="24"/>
                <w:szCs w:val="24"/>
                <w:lang w:val="zh-CN" w:eastAsia="zh-CN" w:bidi="ar-SA"/>
              </w:rPr>
            </w:pPr>
            <w:r>
              <w:rPr>
                <w:rFonts w:hint="eastAsia" w:ascii="宋体" w:hAnsi="宋体" w:eastAsia="宋体" w:cs="宋体"/>
                <w:b w:val="0"/>
                <w:bCs/>
                <w:color w:val="auto"/>
                <w:spacing w:val="-5"/>
                <w:kern w:val="2"/>
                <w:sz w:val="24"/>
                <w:szCs w:val="24"/>
              </w:rPr>
              <w:t>以投标文件为准</w:t>
            </w:r>
          </w:p>
        </w:tc>
        <w:tc>
          <w:tcPr>
            <w:tcW w:w="1118" w:type="dxa"/>
            <w:noWrap w:val="0"/>
            <w:vAlign w:val="center"/>
          </w:tcPr>
          <w:p>
            <w:pPr>
              <w:keepNext w:val="0"/>
              <w:keepLines w:val="0"/>
              <w:pageBreakBefore w:val="0"/>
              <w:widowControl w:val="0"/>
              <w:kinsoku/>
              <w:wordWrap/>
              <w:overflowPunct/>
              <w:topLinePunct w:val="0"/>
              <w:autoSpaceDE/>
              <w:autoSpaceDN/>
              <w:bidi w:val="0"/>
              <w:adjustRightInd/>
              <w:snapToGrid/>
              <w:spacing w:before="68" w:line="359" w:lineRule="auto"/>
              <w:ind w:left="0" w:leftChars="0" w:right="48" w:rightChars="0" w:firstLine="0" w:firstLineChars="0"/>
              <w:jc w:val="center"/>
              <w:textAlignment w:val="auto"/>
              <w:rPr>
                <w:rFonts w:hint="eastAsia" w:ascii="宋体" w:hAnsi="宋体" w:eastAsia="宋体" w:cs="宋体"/>
                <w:b w:val="0"/>
                <w:bCs/>
                <w:color w:val="auto"/>
                <w:kern w:val="2"/>
                <w:sz w:val="24"/>
                <w:szCs w:val="24"/>
                <w:lang w:val="zh-CN" w:eastAsia="zh-CN" w:bidi="ar-SA"/>
              </w:rPr>
            </w:pPr>
            <w:r>
              <w:rPr>
                <w:rFonts w:hint="eastAsia" w:ascii="宋体" w:hAnsi="宋体" w:eastAsia="宋体" w:cs="宋体"/>
                <w:b w:val="0"/>
                <w:bCs/>
                <w:color w:val="auto"/>
                <w:spacing w:val="-3"/>
                <w:kern w:val="2"/>
                <w:sz w:val="24"/>
                <w:szCs w:val="24"/>
              </w:rPr>
              <w:t>技术类专</w:t>
            </w:r>
            <w:r>
              <w:rPr>
                <w:rFonts w:hint="eastAsia" w:ascii="宋体" w:hAnsi="宋体" w:eastAsia="宋体" w:cs="宋体"/>
                <w:b w:val="0"/>
                <w:bCs/>
                <w:color w:val="auto"/>
                <w:kern w:val="2"/>
                <w:sz w:val="24"/>
                <w:szCs w:val="24"/>
              </w:rPr>
              <w:t xml:space="preserve">   </w:t>
            </w:r>
            <w:r>
              <w:rPr>
                <w:rFonts w:hint="eastAsia" w:ascii="宋体" w:hAnsi="宋体" w:eastAsia="宋体" w:cs="宋体"/>
                <w:b w:val="0"/>
                <w:bCs/>
                <w:color w:val="auto"/>
                <w:spacing w:val="-2"/>
                <w:kern w:val="2"/>
                <w:sz w:val="24"/>
                <w:szCs w:val="24"/>
              </w:rPr>
              <w:t>家、采购人</w:t>
            </w:r>
            <w:r>
              <w:rPr>
                <w:rFonts w:hint="eastAsia" w:ascii="宋体" w:hAnsi="宋体" w:eastAsia="宋体" w:cs="宋体"/>
                <w:b w:val="0"/>
                <w:bCs/>
                <w:color w:val="auto"/>
                <w:spacing w:val="1"/>
                <w:kern w:val="2"/>
                <w:sz w:val="24"/>
                <w:szCs w:val="24"/>
              </w:rPr>
              <w:t xml:space="preserve"> </w:t>
            </w:r>
            <w:r>
              <w:rPr>
                <w:rFonts w:hint="eastAsia" w:ascii="宋体" w:hAnsi="宋体" w:eastAsia="宋体" w:cs="宋体"/>
                <w:b w:val="0"/>
                <w:bCs/>
                <w:color w:val="auto"/>
                <w:spacing w:val="-2"/>
                <w:kern w:val="2"/>
                <w:sz w:val="24"/>
                <w:szCs w:val="24"/>
              </w:rPr>
              <w:t>代表评分因</w:t>
            </w:r>
            <w:r>
              <w:rPr>
                <w:rFonts w:hint="eastAsia" w:ascii="宋体" w:hAnsi="宋体" w:eastAsia="宋体" w:cs="宋体"/>
                <w:b w:val="0"/>
                <w:bCs/>
                <w:color w:val="auto"/>
                <w:spacing w:val="1"/>
                <w:kern w:val="2"/>
                <w:sz w:val="24"/>
                <w:szCs w:val="24"/>
              </w:rPr>
              <w:t xml:space="preserve"> </w:t>
            </w:r>
            <w:r>
              <w:rPr>
                <w:rFonts w:hint="eastAsia" w:ascii="宋体" w:hAnsi="宋体" w:eastAsia="宋体" w:cs="宋体"/>
                <w:b w:val="0"/>
                <w:bCs/>
                <w:color w:val="auto"/>
                <w:kern w:val="2"/>
                <w:sz w:val="24"/>
                <w:szCs w:val="24"/>
              </w:rPr>
              <w:t>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6" w:hRule="atLeast"/>
          <w:jc w:val="center"/>
        </w:trPr>
        <w:tc>
          <w:tcPr>
            <w:tcW w:w="691" w:type="dxa"/>
            <w:noWrap w:val="0"/>
            <w:vAlign w:val="center"/>
          </w:tcPr>
          <w:p>
            <w:pPr>
              <w:spacing w:before="68" w:line="180" w:lineRule="auto"/>
              <w:ind w:left="0" w:leftChars="0" w:firstLine="0" w:firstLineChars="0"/>
              <w:jc w:val="center"/>
              <w:rPr>
                <w:rFonts w:hint="eastAsia" w:ascii="宋体" w:hAnsi="宋体" w:eastAsia="宋体" w:cs="宋体"/>
                <w:b w:val="0"/>
                <w:bCs/>
                <w:color w:val="auto"/>
                <w:kern w:val="2"/>
                <w:sz w:val="24"/>
                <w:szCs w:val="24"/>
                <w:lang w:val="en-US" w:eastAsia="zh-CN"/>
              </w:rPr>
            </w:pPr>
            <w:r>
              <w:rPr>
                <w:rFonts w:hint="eastAsia" w:ascii="宋体" w:hAnsi="宋体" w:eastAsia="宋体" w:cs="宋体"/>
                <w:b w:val="0"/>
                <w:bCs/>
                <w:color w:val="auto"/>
                <w:kern w:val="2"/>
                <w:sz w:val="24"/>
                <w:szCs w:val="24"/>
                <w:lang w:val="en-US" w:eastAsia="zh-CN"/>
              </w:rPr>
              <w:t>5</w:t>
            </w:r>
          </w:p>
        </w:tc>
        <w:tc>
          <w:tcPr>
            <w:tcW w:w="1029" w:type="dxa"/>
            <w:noWrap w:val="0"/>
            <w:vAlign w:val="center"/>
          </w:tcPr>
          <w:p>
            <w:pPr>
              <w:spacing w:before="68" w:line="359" w:lineRule="auto"/>
              <w:ind w:left="0" w:leftChars="0" w:right="97" w:firstLine="0" w:firstLineChars="0"/>
              <w:jc w:val="center"/>
              <w:rPr>
                <w:rFonts w:hint="eastAsia" w:ascii="宋体" w:hAnsi="宋体" w:eastAsia="宋体" w:cs="宋体"/>
                <w:b w:val="0"/>
                <w:bCs/>
                <w:color w:val="auto"/>
                <w:kern w:val="0"/>
                <w:sz w:val="24"/>
                <w:szCs w:val="24"/>
                <w:lang w:val="en-US" w:eastAsia="zh-CN" w:bidi="ar"/>
              </w:rPr>
            </w:pPr>
            <w:r>
              <w:rPr>
                <w:rFonts w:hint="eastAsia" w:ascii="宋体" w:hAnsi="宋体" w:eastAsia="宋体" w:cs="宋体"/>
                <w:b w:val="0"/>
                <w:bCs/>
                <w:color w:val="auto"/>
                <w:kern w:val="0"/>
                <w:sz w:val="24"/>
                <w:szCs w:val="24"/>
                <w:lang w:val="en-US" w:eastAsia="zh-CN" w:bidi="ar"/>
              </w:rPr>
              <w:t>履约能力7%</w:t>
            </w:r>
          </w:p>
        </w:tc>
        <w:tc>
          <w:tcPr>
            <w:tcW w:w="630" w:type="dxa"/>
            <w:noWrap w:val="0"/>
            <w:vAlign w:val="center"/>
          </w:tcPr>
          <w:p>
            <w:pPr>
              <w:spacing w:before="69" w:line="184" w:lineRule="auto"/>
              <w:ind w:left="0" w:leftChars="0" w:firstLine="0" w:firstLineChars="0"/>
              <w:jc w:val="center"/>
              <w:rPr>
                <w:rFonts w:hint="eastAsia" w:ascii="宋体" w:hAnsi="宋体" w:eastAsia="宋体" w:cs="宋体"/>
                <w:b w:val="0"/>
                <w:bCs/>
                <w:color w:val="auto"/>
                <w:kern w:val="2"/>
                <w:sz w:val="24"/>
                <w:szCs w:val="24"/>
                <w:lang w:val="en-US" w:eastAsia="zh-CN"/>
              </w:rPr>
            </w:pPr>
            <w:r>
              <w:rPr>
                <w:rFonts w:hint="eastAsia" w:ascii="宋体" w:hAnsi="宋体" w:eastAsia="宋体" w:cs="宋体"/>
                <w:b w:val="0"/>
                <w:bCs/>
                <w:color w:val="auto"/>
                <w:kern w:val="2"/>
                <w:sz w:val="24"/>
                <w:szCs w:val="24"/>
                <w:lang w:val="en-US" w:eastAsia="zh-CN"/>
              </w:rPr>
              <w:t>7分</w:t>
            </w:r>
          </w:p>
        </w:tc>
        <w:tc>
          <w:tcPr>
            <w:tcW w:w="518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11" w:firstLine="0" w:firstLineChars="0"/>
              <w:jc w:val="both"/>
              <w:textAlignment w:val="auto"/>
              <w:rPr>
                <w:rFonts w:hint="eastAsia" w:ascii="宋体" w:hAnsi="宋体" w:eastAsia="宋体" w:cs="宋体"/>
                <w:b w:val="0"/>
                <w:bCs/>
                <w:color w:val="auto"/>
                <w:kern w:val="2"/>
                <w:sz w:val="24"/>
                <w:szCs w:val="24"/>
                <w:lang w:val="en-US" w:eastAsia="zh-CN"/>
              </w:rPr>
            </w:pPr>
            <w:r>
              <w:rPr>
                <w:rFonts w:hint="eastAsia" w:ascii="宋体" w:hAnsi="宋体" w:eastAsia="宋体" w:cs="宋体"/>
                <w:b w:val="0"/>
                <w:bCs/>
                <w:color w:val="auto"/>
                <w:kern w:val="2"/>
                <w:sz w:val="24"/>
                <w:szCs w:val="24"/>
                <w:lang w:val="en-US" w:eastAsia="zh-CN"/>
              </w:rPr>
              <w:t>2018年1月1日以来，每提供一个完成的类似政府投资项目评审业绩（包括概算评审或预算评审或招标控制价评审业绩）得0.1分，本项最多得7 分。</w:t>
            </w:r>
          </w:p>
          <w:p>
            <w:pPr>
              <w:keepNext w:val="0"/>
              <w:keepLines w:val="0"/>
              <w:pageBreakBefore w:val="0"/>
              <w:widowControl w:val="0"/>
              <w:kinsoku/>
              <w:wordWrap/>
              <w:overflowPunct/>
              <w:topLinePunct w:val="0"/>
              <w:autoSpaceDE/>
              <w:autoSpaceDN/>
              <w:bidi w:val="0"/>
              <w:adjustRightInd/>
              <w:snapToGrid/>
              <w:spacing w:line="360" w:lineRule="auto"/>
              <w:ind w:left="0" w:leftChars="0" w:right="11" w:firstLine="0" w:firstLineChars="0"/>
              <w:jc w:val="both"/>
              <w:textAlignment w:val="auto"/>
              <w:rPr>
                <w:rFonts w:hint="eastAsia" w:ascii="宋体" w:hAnsi="宋体" w:eastAsia="宋体" w:cs="宋体"/>
                <w:b w:val="0"/>
                <w:bCs/>
                <w:color w:val="auto"/>
                <w:kern w:val="2"/>
                <w:sz w:val="24"/>
                <w:szCs w:val="24"/>
                <w:lang w:val="en-US" w:eastAsia="zh-CN"/>
              </w:rPr>
            </w:pPr>
            <w:r>
              <w:rPr>
                <w:rFonts w:hint="eastAsia" w:ascii="宋体" w:hAnsi="宋体" w:eastAsia="宋体" w:cs="宋体"/>
                <w:b w:val="0"/>
                <w:bCs/>
                <w:color w:val="auto"/>
                <w:kern w:val="2"/>
                <w:sz w:val="24"/>
                <w:szCs w:val="24"/>
                <w:lang w:val="en-US" w:eastAsia="zh-CN"/>
              </w:rPr>
              <w:t>注：提供委托合同或任务单</w:t>
            </w:r>
            <w:r>
              <w:rPr>
                <w:rFonts w:hint="eastAsia" w:hAnsi="宋体" w:cs="宋体"/>
                <w:b w:val="0"/>
                <w:bCs/>
                <w:color w:val="auto"/>
                <w:kern w:val="2"/>
                <w:sz w:val="24"/>
                <w:szCs w:val="24"/>
                <w:lang w:val="en-US" w:eastAsia="zh-CN"/>
              </w:rPr>
              <w:t>或</w:t>
            </w:r>
            <w:r>
              <w:rPr>
                <w:rFonts w:hint="eastAsia" w:ascii="宋体" w:hAnsi="宋体" w:eastAsia="宋体" w:cs="宋体"/>
                <w:b w:val="0"/>
                <w:bCs/>
                <w:color w:val="auto"/>
                <w:kern w:val="2"/>
                <w:sz w:val="24"/>
                <w:szCs w:val="24"/>
                <w:lang w:val="en-US" w:eastAsia="zh-CN"/>
              </w:rPr>
              <w:t>评审报告正文复印件。</w:t>
            </w:r>
          </w:p>
        </w:tc>
        <w:tc>
          <w:tcPr>
            <w:tcW w:w="1522"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auto"/>
              <w:ind w:firstLine="0"/>
              <w:jc w:val="center"/>
              <w:textAlignment w:val="auto"/>
              <w:rPr>
                <w:rFonts w:hint="eastAsia" w:ascii="宋体" w:hAnsi="宋体" w:eastAsia="宋体" w:cs="宋体"/>
                <w:b w:val="0"/>
                <w:bCs/>
                <w:color w:val="auto"/>
                <w:kern w:val="2"/>
                <w:sz w:val="24"/>
                <w:szCs w:val="24"/>
              </w:rPr>
            </w:pPr>
          </w:p>
          <w:p>
            <w:pPr>
              <w:keepNext w:val="0"/>
              <w:keepLines w:val="0"/>
              <w:pageBreakBefore w:val="0"/>
              <w:widowControl w:val="0"/>
              <w:kinsoku/>
              <w:wordWrap/>
              <w:overflowPunct/>
              <w:topLinePunct w:val="0"/>
              <w:autoSpaceDE/>
              <w:autoSpaceDN/>
              <w:bidi w:val="0"/>
              <w:adjustRightInd/>
              <w:snapToGrid/>
              <w:spacing w:line="285" w:lineRule="auto"/>
              <w:ind w:firstLine="0"/>
              <w:jc w:val="center"/>
              <w:textAlignment w:val="auto"/>
              <w:rPr>
                <w:rFonts w:hint="eastAsia" w:ascii="宋体" w:hAnsi="宋体" w:eastAsia="宋体" w:cs="宋体"/>
                <w:b w:val="0"/>
                <w:bCs/>
                <w:color w:val="auto"/>
                <w:kern w:val="2"/>
                <w:sz w:val="24"/>
                <w:szCs w:val="24"/>
              </w:rPr>
            </w:pPr>
          </w:p>
          <w:p>
            <w:pPr>
              <w:keepNext w:val="0"/>
              <w:keepLines w:val="0"/>
              <w:pageBreakBefore w:val="0"/>
              <w:widowControl w:val="0"/>
              <w:kinsoku/>
              <w:wordWrap/>
              <w:overflowPunct/>
              <w:topLinePunct w:val="0"/>
              <w:autoSpaceDE/>
              <w:autoSpaceDN/>
              <w:bidi w:val="0"/>
              <w:adjustRightInd/>
              <w:snapToGrid/>
              <w:spacing w:before="68" w:line="184" w:lineRule="auto"/>
              <w:ind w:left="0" w:leftChars="0" w:firstLine="0" w:firstLineChars="0"/>
              <w:jc w:val="center"/>
              <w:textAlignment w:val="auto"/>
              <w:rPr>
                <w:rFonts w:hint="eastAsia" w:ascii="宋体" w:hAnsi="宋体" w:eastAsia="宋体" w:cs="宋体"/>
                <w:b w:val="0"/>
                <w:bCs/>
                <w:color w:val="auto"/>
                <w:spacing w:val="-5"/>
                <w:kern w:val="2"/>
                <w:sz w:val="24"/>
                <w:szCs w:val="24"/>
              </w:rPr>
            </w:pPr>
            <w:r>
              <w:rPr>
                <w:rFonts w:hint="eastAsia" w:ascii="宋体" w:hAnsi="宋体" w:eastAsia="宋体" w:cs="宋体"/>
                <w:b w:val="0"/>
                <w:bCs/>
                <w:color w:val="auto"/>
                <w:spacing w:val="-5"/>
                <w:kern w:val="2"/>
                <w:sz w:val="24"/>
                <w:szCs w:val="24"/>
              </w:rPr>
              <w:t>以投标文件为准</w:t>
            </w:r>
          </w:p>
        </w:tc>
        <w:tc>
          <w:tcPr>
            <w:tcW w:w="1118" w:type="dxa"/>
            <w:noWrap w:val="0"/>
            <w:vAlign w:val="center"/>
          </w:tcPr>
          <w:p>
            <w:pPr>
              <w:keepNext w:val="0"/>
              <w:keepLines w:val="0"/>
              <w:pageBreakBefore w:val="0"/>
              <w:widowControl w:val="0"/>
              <w:kinsoku/>
              <w:wordWrap/>
              <w:overflowPunct/>
              <w:topLinePunct w:val="0"/>
              <w:autoSpaceDE/>
              <w:autoSpaceDN/>
              <w:bidi w:val="0"/>
              <w:adjustRightInd/>
              <w:snapToGrid/>
              <w:spacing w:line="247" w:lineRule="auto"/>
              <w:ind w:firstLine="0"/>
              <w:jc w:val="center"/>
              <w:textAlignment w:val="auto"/>
              <w:rPr>
                <w:rFonts w:hint="eastAsia" w:ascii="宋体" w:hAnsi="宋体" w:eastAsia="宋体" w:cs="宋体"/>
                <w:b w:val="0"/>
                <w:bCs/>
                <w:color w:val="auto"/>
                <w:kern w:val="2"/>
                <w:sz w:val="24"/>
                <w:szCs w:val="24"/>
              </w:rPr>
            </w:pPr>
          </w:p>
          <w:p>
            <w:pPr>
              <w:keepNext w:val="0"/>
              <w:keepLines w:val="0"/>
              <w:pageBreakBefore w:val="0"/>
              <w:widowControl w:val="0"/>
              <w:kinsoku/>
              <w:wordWrap/>
              <w:overflowPunct/>
              <w:topLinePunct w:val="0"/>
              <w:autoSpaceDE/>
              <w:autoSpaceDN/>
              <w:bidi w:val="0"/>
              <w:adjustRightInd/>
              <w:snapToGrid/>
              <w:spacing w:line="247" w:lineRule="auto"/>
              <w:ind w:firstLine="0"/>
              <w:jc w:val="center"/>
              <w:textAlignment w:val="auto"/>
              <w:rPr>
                <w:rFonts w:hint="eastAsia" w:ascii="宋体" w:hAnsi="宋体" w:eastAsia="宋体" w:cs="宋体"/>
                <w:b w:val="0"/>
                <w:bCs/>
                <w:color w:val="auto"/>
                <w:kern w:val="2"/>
                <w:sz w:val="24"/>
                <w:szCs w:val="24"/>
              </w:rPr>
            </w:pPr>
          </w:p>
          <w:p>
            <w:pPr>
              <w:keepNext w:val="0"/>
              <w:keepLines w:val="0"/>
              <w:pageBreakBefore w:val="0"/>
              <w:widowControl w:val="0"/>
              <w:kinsoku/>
              <w:wordWrap/>
              <w:overflowPunct/>
              <w:topLinePunct w:val="0"/>
              <w:autoSpaceDE/>
              <w:autoSpaceDN/>
              <w:bidi w:val="0"/>
              <w:adjustRightInd/>
              <w:snapToGrid/>
              <w:spacing w:before="69" w:line="359" w:lineRule="auto"/>
              <w:ind w:left="0" w:leftChars="0" w:right="31" w:rightChars="0" w:firstLine="0" w:firstLineChars="0"/>
              <w:jc w:val="center"/>
              <w:textAlignment w:val="auto"/>
              <w:rPr>
                <w:rFonts w:hint="eastAsia" w:ascii="宋体" w:hAnsi="宋体" w:eastAsia="宋体" w:cs="宋体"/>
                <w:b w:val="0"/>
                <w:bCs/>
                <w:color w:val="auto"/>
                <w:spacing w:val="-3"/>
                <w:kern w:val="2"/>
                <w:sz w:val="24"/>
                <w:szCs w:val="24"/>
              </w:rPr>
            </w:pPr>
            <w:r>
              <w:rPr>
                <w:rFonts w:hint="eastAsia" w:ascii="宋体" w:hAnsi="宋体" w:eastAsia="宋体" w:cs="宋体"/>
                <w:b w:val="0"/>
                <w:bCs/>
                <w:color w:val="auto"/>
                <w:spacing w:val="-2"/>
                <w:kern w:val="2"/>
                <w:sz w:val="24"/>
                <w:szCs w:val="24"/>
              </w:rPr>
              <w:t>共同评分因</w:t>
            </w:r>
            <w:r>
              <w:rPr>
                <w:rFonts w:hint="eastAsia" w:ascii="宋体" w:hAnsi="宋体" w:eastAsia="宋体" w:cs="宋体"/>
                <w:b w:val="0"/>
                <w:bCs/>
                <w:color w:val="auto"/>
                <w:spacing w:val="1"/>
                <w:kern w:val="2"/>
                <w:sz w:val="24"/>
                <w:szCs w:val="24"/>
              </w:rPr>
              <w:t xml:space="preserve"> </w:t>
            </w:r>
            <w:r>
              <w:rPr>
                <w:rFonts w:hint="eastAsia" w:ascii="宋体" w:hAnsi="宋体" w:eastAsia="宋体" w:cs="宋体"/>
                <w:b w:val="0"/>
                <w:bCs/>
                <w:color w:val="auto"/>
                <w:kern w:val="2"/>
                <w:sz w:val="24"/>
                <w:szCs w:val="24"/>
              </w:rPr>
              <w:t>素</w:t>
            </w:r>
          </w:p>
        </w:tc>
      </w:tr>
    </w:tbl>
    <w:p>
      <w:pPr>
        <w:widowControl w:val="0"/>
        <w:spacing w:after="120"/>
        <w:jc w:val="both"/>
        <w:rPr>
          <w:rFonts w:ascii="宋体" w:hAnsi="Times New Roman" w:eastAsia="宋体" w:cs="Times New Roman"/>
          <w:color w:val="auto"/>
          <w:kern w:val="0"/>
          <w:sz w:val="34"/>
          <w:szCs w:val="24"/>
          <w:lang w:val="en-US" w:eastAsia="zh-CN" w:bidi="ar-SA"/>
        </w:rPr>
      </w:pPr>
    </w:p>
    <w:p>
      <w:pPr>
        <w:rPr>
          <w:rFonts w:ascii="Calibri" w:eastAsia="宋体" w:cs="Times New Roman"/>
          <w:color w:val="auto"/>
          <w:kern w:val="2"/>
          <w:sz w:val="21"/>
          <w:szCs w:val="24"/>
        </w:rPr>
      </w:pPr>
    </w:p>
    <w:p>
      <w:pPr>
        <w:spacing w:line="360" w:lineRule="auto"/>
        <w:rPr>
          <w:rFonts w:hint="default" w:ascii="Calibri" w:eastAsia="宋体" w:cs="宋体"/>
          <w:color w:val="auto"/>
          <w:kern w:val="2"/>
          <w:sz w:val="24"/>
          <w:szCs w:val="24"/>
          <w:lang w:val="en-US" w:eastAsia="zh-CN"/>
        </w:rPr>
      </w:pPr>
      <w:r>
        <w:rPr>
          <w:rFonts w:hint="eastAsia" w:ascii="宋体" w:hAnsi="宋体" w:eastAsia="宋体" w:cs="宋体"/>
          <w:b/>
          <w:bCs/>
          <w:color w:val="auto"/>
          <w:kern w:val="2"/>
          <w:sz w:val="24"/>
          <w:szCs w:val="24"/>
          <w:lang w:eastAsia="zh-CN"/>
        </w:rPr>
        <w:t>第</w:t>
      </w:r>
      <w:r>
        <w:rPr>
          <w:rFonts w:hint="eastAsia" w:ascii="宋体" w:hAnsi="宋体" w:eastAsia="宋体" w:cs="宋体"/>
          <w:b/>
          <w:bCs/>
          <w:color w:val="auto"/>
          <w:kern w:val="2"/>
          <w:sz w:val="24"/>
          <w:szCs w:val="24"/>
          <w:lang w:val="en-US" w:eastAsia="zh-CN"/>
        </w:rPr>
        <w:t>2包：</w:t>
      </w:r>
      <w:r>
        <w:rPr>
          <w:rFonts w:hint="eastAsia" w:ascii="Calibri" w:eastAsia="宋体" w:cs="Times New Roman"/>
          <w:b/>
          <w:bCs/>
          <w:color w:val="auto"/>
          <w:kern w:val="2"/>
          <w:sz w:val="24"/>
          <w:szCs w:val="24"/>
          <w:lang w:val="en-US" w:eastAsia="zh-CN"/>
        </w:rPr>
        <w:t>工程咨询服务</w:t>
      </w:r>
    </w:p>
    <w:tbl>
      <w:tblPr>
        <w:tblStyle w:val="507"/>
        <w:tblW w:w="1017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1"/>
        <w:gridCol w:w="1029"/>
        <w:gridCol w:w="630"/>
        <w:gridCol w:w="5187"/>
        <w:gridCol w:w="1522"/>
        <w:gridCol w:w="11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6" w:hRule="atLeast"/>
          <w:jc w:val="center"/>
        </w:trPr>
        <w:tc>
          <w:tcPr>
            <w:tcW w:w="691" w:type="dxa"/>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kern w:val="2"/>
                <w:sz w:val="24"/>
                <w:szCs w:val="24"/>
                <w:lang w:eastAsia="zh-CN"/>
              </w:rPr>
            </w:pPr>
            <w:r>
              <w:rPr>
                <w:rFonts w:hint="eastAsia" w:ascii="宋体" w:hAnsi="宋体" w:eastAsia="宋体" w:cs="宋体"/>
                <w:b w:val="0"/>
                <w:bCs/>
                <w:color w:val="auto"/>
                <w:kern w:val="2"/>
                <w:sz w:val="24"/>
                <w:szCs w:val="24"/>
                <w:lang w:eastAsia="zh-CN"/>
              </w:rPr>
              <w:t>序号</w:t>
            </w:r>
          </w:p>
        </w:tc>
        <w:tc>
          <w:tcPr>
            <w:tcW w:w="10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92" w:firstLine="0" w:firstLineChars="0"/>
              <w:jc w:val="center"/>
              <w:textAlignment w:val="auto"/>
              <w:rPr>
                <w:rFonts w:hint="eastAsia" w:ascii="宋体" w:hAnsi="宋体" w:eastAsia="宋体" w:cs="宋体"/>
                <w:b w:val="0"/>
                <w:bCs/>
                <w:color w:val="auto"/>
                <w:kern w:val="2"/>
                <w:sz w:val="24"/>
                <w:szCs w:val="24"/>
              </w:rPr>
            </w:pPr>
            <w:r>
              <w:rPr>
                <w:rFonts w:hint="eastAsia" w:ascii="宋体" w:hAnsi="宋体" w:eastAsia="宋体" w:cs="宋体"/>
                <w:b w:val="0"/>
                <w:bCs/>
                <w:color w:val="auto"/>
                <w:spacing w:val="-2"/>
                <w:kern w:val="2"/>
                <w:sz w:val="24"/>
                <w:szCs w:val="24"/>
              </w:rPr>
              <w:t>评分因素及权重</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color w:val="auto"/>
                <w:kern w:val="2"/>
                <w:sz w:val="24"/>
                <w:szCs w:val="24"/>
              </w:rPr>
            </w:pPr>
            <w:r>
              <w:rPr>
                <w:rFonts w:hint="eastAsia" w:ascii="宋体" w:hAnsi="宋体" w:eastAsia="宋体" w:cs="宋体"/>
                <w:b w:val="0"/>
                <w:bCs/>
                <w:color w:val="auto"/>
                <w:spacing w:val="-6"/>
                <w:kern w:val="2"/>
                <w:sz w:val="24"/>
                <w:szCs w:val="24"/>
              </w:rPr>
              <w:t>分值</w:t>
            </w:r>
          </w:p>
        </w:tc>
        <w:tc>
          <w:tcPr>
            <w:tcW w:w="51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color w:val="auto"/>
                <w:kern w:val="2"/>
                <w:sz w:val="24"/>
                <w:szCs w:val="24"/>
              </w:rPr>
            </w:pPr>
            <w:r>
              <w:rPr>
                <w:rFonts w:hint="eastAsia" w:ascii="宋体" w:hAnsi="宋体" w:eastAsia="宋体" w:cs="宋体"/>
                <w:b w:val="0"/>
                <w:bCs/>
                <w:color w:val="auto"/>
                <w:spacing w:val="-2"/>
                <w:kern w:val="2"/>
                <w:sz w:val="24"/>
                <w:szCs w:val="24"/>
              </w:rPr>
              <w:t>评分标准</w:t>
            </w:r>
          </w:p>
        </w:tc>
        <w:tc>
          <w:tcPr>
            <w:tcW w:w="15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b w:val="0"/>
                <w:bCs/>
                <w:color w:val="auto"/>
                <w:kern w:val="2"/>
                <w:sz w:val="24"/>
                <w:szCs w:val="24"/>
              </w:rPr>
            </w:pPr>
            <w:r>
              <w:rPr>
                <w:rFonts w:hint="eastAsia" w:ascii="宋体" w:hAnsi="宋体" w:eastAsia="宋体" w:cs="宋体"/>
                <w:b w:val="0"/>
                <w:bCs/>
                <w:color w:val="auto"/>
                <w:spacing w:val="-6"/>
                <w:kern w:val="2"/>
                <w:sz w:val="24"/>
                <w:szCs w:val="24"/>
              </w:rPr>
              <w:t>说明</w:t>
            </w:r>
          </w:p>
        </w:tc>
        <w:tc>
          <w:tcPr>
            <w:tcW w:w="11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b w:val="0"/>
                <w:bCs/>
                <w:color w:val="auto"/>
                <w:kern w:val="2"/>
                <w:sz w:val="24"/>
                <w:szCs w:val="24"/>
              </w:rPr>
            </w:pPr>
            <w:r>
              <w:rPr>
                <w:rFonts w:hint="eastAsia" w:ascii="宋体" w:hAnsi="宋体" w:eastAsia="宋体" w:cs="宋体"/>
                <w:b w:val="0"/>
                <w:bCs/>
                <w:color w:val="auto"/>
                <w:spacing w:val="-6"/>
                <w:kern w:val="2"/>
                <w:sz w:val="24"/>
                <w:szCs w:val="24"/>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8" w:hRule="atLeast"/>
          <w:jc w:val="center"/>
        </w:trPr>
        <w:tc>
          <w:tcPr>
            <w:tcW w:w="691" w:type="dxa"/>
            <w:noWrap w:val="0"/>
            <w:vAlign w:val="center"/>
          </w:tcPr>
          <w:p>
            <w:pPr>
              <w:keepNext w:val="0"/>
              <w:keepLines w:val="0"/>
              <w:pageBreakBefore w:val="0"/>
              <w:widowControl w:val="0"/>
              <w:kinsoku/>
              <w:wordWrap/>
              <w:overflowPunct/>
              <w:topLinePunct w:val="0"/>
              <w:autoSpaceDE/>
              <w:autoSpaceDN/>
              <w:bidi w:val="0"/>
              <w:adjustRightInd/>
              <w:snapToGrid/>
              <w:spacing w:line="180" w:lineRule="auto"/>
              <w:ind w:left="0" w:leftChars="0" w:firstLine="0" w:firstLineChars="0"/>
              <w:jc w:val="center"/>
              <w:textAlignment w:val="auto"/>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rPr>
              <w:t>1</w:t>
            </w:r>
          </w:p>
        </w:tc>
        <w:tc>
          <w:tcPr>
            <w:tcW w:w="1029" w:type="dxa"/>
            <w:noWrap w:val="0"/>
            <w:vAlign w:val="center"/>
          </w:tcPr>
          <w:p>
            <w:pPr>
              <w:keepNext w:val="0"/>
              <w:keepLines w:val="0"/>
              <w:pageBreakBefore w:val="0"/>
              <w:widowControl w:val="0"/>
              <w:kinsoku/>
              <w:wordWrap/>
              <w:overflowPunct/>
              <w:topLinePunct w:val="0"/>
              <w:autoSpaceDE/>
              <w:autoSpaceDN/>
              <w:bidi w:val="0"/>
              <w:adjustRightInd/>
              <w:snapToGrid/>
              <w:spacing w:line="247" w:lineRule="auto"/>
              <w:ind w:left="0" w:leftChars="0" w:firstLine="0" w:firstLineChars="0"/>
              <w:jc w:val="center"/>
              <w:textAlignment w:val="auto"/>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lang w:eastAsia="zh-CN"/>
              </w:rPr>
              <w:t>项目负责人</w:t>
            </w:r>
            <w:r>
              <w:rPr>
                <w:rFonts w:hint="eastAsia" w:ascii="宋体" w:hAnsi="宋体" w:eastAsia="宋体" w:cs="宋体"/>
                <w:b w:val="0"/>
                <w:bCs/>
                <w:color w:val="auto"/>
                <w:kern w:val="2"/>
                <w:sz w:val="24"/>
                <w:szCs w:val="24"/>
                <w:lang w:val="en-US" w:eastAsia="zh-CN"/>
              </w:rPr>
              <w:t>7%</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spacing w:line="283" w:lineRule="auto"/>
              <w:ind w:left="0" w:leftChars="0" w:firstLine="0" w:firstLineChars="0"/>
              <w:jc w:val="center"/>
              <w:textAlignment w:val="auto"/>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lang w:val="en-US" w:eastAsia="zh-CN"/>
              </w:rPr>
              <w:t>7分</w:t>
            </w:r>
          </w:p>
        </w:tc>
        <w:tc>
          <w:tcPr>
            <w:tcW w:w="5187" w:type="dxa"/>
            <w:noWrap w:val="0"/>
            <w:vAlign w:val="center"/>
          </w:tcPr>
          <w:p>
            <w:pPr>
              <w:keepNext w:val="0"/>
              <w:keepLines w:val="0"/>
              <w:pageBreakBefore w:val="0"/>
              <w:widowControl w:val="0"/>
              <w:kinsoku/>
              <w:wordWrap/>
              <w:overflowPunct/>
              <w:topLinePunct w:val="0"/>
              <w:autoSpaceDE/>
              <w:autoSpaceDN/>
              <w:bidi w:val="0"/>
              <w:adjustRightInd/>
              <w:snapToGrid/>
              <w:spacing w:line="301" w:lineRule="auto"/>
              <w:ind w:left="0" w:leftChars="0" w:right="12" w:firstLine="0" w:firstLineChars="0"/>
              <w:jc w:val="left"/>
              <w:textAlignment w:val="auto"/>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lang w:val="en-US" w:eastAsia="zh-CN"/>
              </w:rPr>
              <w:t>具备咨询工程师（投资）且同时具备高级及以上技术职称得3分，具备一级造价工程师（全国注册造价工程师）资格的加2分，具备一级建造师资格的加2分，本项最多得7分。</w:t>
            </w:r>
          </w:p>
        </w:tc>
        <w:tc>
          <w:tcPr>
            <w:tcW w:w="152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color w:val="auto"/>
                <w:spacing w:val="-5"/>
                <w:kern w:val="2"/>
                <w:sz w:val="24"/>
                <w:szCs w:val="24"/>
              </w:rPr>
            </w:pPr>
            <w:r>
              <w:rPr>
                <w:rFonts w:hint="eastAsia" w:ascii="宋体" w:hAnsi="宋体" w:eastAsia="宋体" w:cs="宋体"/>
                <w:b w:val="0"/>
                <w:bCs/>
                <w:color w:val="auto"/>
                <w:spacing w:val="-5"/>
                <w:kern w:val="2"/>
                <w:sz w:val="24"/>
                <w:szCs w:val="24"/>
              </w:rPr>
              <w:t>以投标文件为准</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color w:val="auto"/>
                <w:kern w:val="2"/>
                <w:sz w:val="24"/>
                <w:szCs w:val="24"/>
                <w:lang w:val="zh-CN" w:eastAsia="zh-CN" w:bidi="ar-SA"/>
              </w:rPr>
            </w:pPr>
            <w:r>
              <w:rPr>
                <w:rFonts w:hint="eastAsia" w:ascii="宋体" w:hAnsi="宋体" w:eastAsia="宋体" w:cs="宋体"/>
                <w:b w:val="0"/>
                <w:bCs/>
                <w:color w:val="auto"/>
                <w:kern w:val="2"/>
                <w:sz w:val="24"/>
                <w:szCs w:val="24"/>
                <w:lang w:val="en-US" w:eastAsia="zh-CN"/>
              </w:rPr>
              <w:t>注：（1）提供相关人员证书复印件并加盖单位公章；（2）提供在投标人单位工作的相关证明材料（退休人员提供退休证明）；（3）</w:t>
            </w:r>
            <w:r>
              <w:rPr>
                <w:rFonts w:hint="eastAsia" w:ascii="宋体" w:hAnsi="宋体" w:eastAsia="宋体" w:cs="宋体"/>
                <w:b w:val="0"/>
                <w:bCs/>
                <w:color w:val="auto"/>
                <w:kern w:val="2"/>
                <w:sz w:val="24"/>
                <w:szCs w:val="24"/>
                <w:lang w:eastAsia="zh-CN"/>
              </w:rPr>
              <w:t>项目负责人、</w:t>
            </w:r>
            <w:r>
              <w:rPr>
                <w:rFonts w:hint="eastAsia" w:ascii="宋体" w:hAnsi="宋体" w:eastAsia="宋体" w:cs="宋体"/>
                <w:b w:val="0"/>
                <w:bCs/>
                <w:color w:val="auto"/>
                <w:kern w:val="0"/>
                <w:sz w:val="24"/>
                <w:szCs w:val="24"/>
                <w:lang w:val="en-US" w:eastAsia="zh-CN" w:bidi="ar"/>
              </w:rPr>
              <w:t>专业负责人、团队其他</w:t>
            </w:r>
            <w:r>
              <w:rPr>
                <w:rFonts w:hint="eastAsia" w:ascii="宋体" w:hAnsi="宋体" w:eastAsia="宋体" w:cs="宋体"/>
                <w:b w:val="0"/>
                <w:bCs/>
                <w:color w:val="auto"/>
                <w:kern w:val="2"/>
                <w:sz w:val="24"/>
                <w:szCs w:val="24"/>
                <w:lang w:val="en-US" w:eastAsia="zh-CN"/>
              </w:rPr>
              <w:t>人员均不重复计算。（4）提供的人员及执业资格均需注册(或登记)在投标单位。（5）若为联合体投标，项目总负责人须由牵头人提供。</w:t>
            </w:r>
          </w:p>
        </w:tc>
        <w:tc>
          <w:tcPr>
            <w:tcW w:w="1118" w:type="dxa"/>
            <w:noWrap w:val="0"/>
            <w:vAlign w:val="center"/>
          </w:tcPr>
          <w:p>
            <w:pPr>
              <w:keepNext w:val="0"/>
              <w:keepLines w:val="0"/>
              <w:pageBreakBefore w:val="0"/>
              <w:widowControl w:val="0"/>
              <w:kinsoku/>
              <w:wordWrap/>
              <w:overflowPunct/>
              <w:topLinePunct w:val="0"/>
              <w:autoSpaceDE/>
              <w:autoSpaceDN/>
              <w:bidi w:val="0"/>
              <w:adjustRightInd/>
              <w:snapToGrid/>
              <w:spacing w:line="247" w:lineRule="auto"/>
              <w:jc w:val="center"/>
              <w:textAlignment w:val="auto"/>
              <w:rPr>
                <w:rFonts w:hint="eastAsia" w:ascii="宋体" w:hAnsi="宋体" w:eastAsia="宋体" w:cs="宋体"/>
                <w:b w:val="0"/>
                <w:bCs/>
                <w:color w:val="auto"/>
                <w:kern w:val="2"/>
                <w:sz w:val="24"/>
                <w:szCs w:val="24"/>
              </w:rPr>
            </w:pPr>
          </w:p>
          <w:p>
            <w:pPr>
              <w:keepNext w:val="0"/>
              <w:keepLines w:val="0"/>
              <w:pageBreakBefore w:val="0"/>
              <w:widowControl w:val="0"/>
              <w:kinsoku/>
              <w:wordWrap/>
              <w:overflowPunct/>
              <w:topLinePunct w:val="0"/>
              <w:autoSpaceDE/>
              <w:autoSpaceDN/>
              <w:bidi w:val="0"/>
              <w:adjustRightInd/>
              <w:snapToGrid/>
              <w:spacing w:line="247" w:lineRule="auto"/>
              <w:jc w:val="center"/>
              <w:textAlignment w:val="auto"/>
              <w:rPr>
                <w:rFonts w:hint="eastAsia" w:ascii="宋体" w:hAnsi="宋体" w:eastAsia="宋体" w:cs="宋体"/>
                <w:b w:val="0"/>
                <w:bCs/>
                <w:color w:val="auto"/>
                <w:kern w:val="2"/>
                <w:sz w:val="24"/>
                <w:szCs w:val="24"/>
              </w:rPr>
            </w:pPr>
          </w:p>
          <w:p>
            <w:pPr>
              <w:keepNext w:val="0"/>
              <w:keepLines w:val="0"/>
              <w:pageBreakBefore w:val="0"/>
              <w:widowControl w:val="0"/>
              <w:kinsoku/>
              <w:wordWrap/>
              <w:overflowPunct/>
              <w:topLinePunct w:val="0"/>
              <w:autoSpaceDE/>
              <w:autoSpaceDN/>
              <w:bidi w:val="0"/>
              <w:adjustRightInd/>
              <w:snapToGrid/>
              <w:spacing w:line="359" w:lineRule="auto"/>
              <w:ind w:left="0" w:leftChars="0" w:right="31" w:firstLine="0" w:firstLineChars="0"/>
              <w:jc w:val="center"/>
              <w:textAlignment w:val="auto"/>
              <w:rPr>
                <w:rFonts w:hint="eastAsia" w:ascii="宋体" w:hAnsi="宋体" w:eastAsia="宋体" w:cs="宋体"/>
                <w:b w:val="0"/>
                <w:bCs/>
                <w:color w:val="auto"/>
                <w:kern w:val="2"/>
                <w:sz w:val="24"/>
                <w:szCs w:val="24"/>
              </w:rPr>
            </w:pPr>
            <w:r>
              <w:rPr>
                <w:rFonts w:hint="eastAsia" w:ascii="宋体" w:hAnsi="宋体" w:eastAsia="宋体" w:cs="宋体"/>
                <w:b w:val="0"/>
                <w:bCs/>
                <w:color w:val="auto"/>
                <w:spacing w:val="-2"/>
                <w:kern w:val="2"/>
                <w:sz w:val="24"/>
                <w:szCs w:val="24"/>
              </w:rPr>
              <w:t>共同评分因</w:t>
            </w:r>
            <w:r>
              <w:rPr>
                <w:rFonts w:hint="eastAsia" w:ascii="宋体" w:hAnsi="宋体" w:eastAsia="宋体" w:cs="宋体"/>
                <w:b w:val="0"/>
                <w:bCs/>
                <w:color w:val="auto"/>
                <w:spacing w:val="1"/>
                <w:kern w:val="2"/>
                <w:sz w:val="24"/>
                <w:szCs w:val="24"/>
              </w:rPr>
              <w:t xml:space="preserve"> </w:t>
            </w:r>
            <w:r>
              <w:rPr>
                <w:rFonts w:hint="eastAsia" w:ascii="宋体" w:hAnsi="宋体" w:eastAsia="宋体" w:cs="宋体"/>
                <w:b w:val="0"/>
                <w:bCs/>
                <w:color w:val="auto"/>
                <w:kern w:val="2"/>
                <w:sz w:val="24"/>
                <w:szCs w:val="24"/>
              </w:rPr>
              <w:t>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6" w:hRule="atLeast"/>
          <w:jc w:val="center"/>
        </w:trPr>
        <w:tc>
          <w:tcPr>
            <w:tcW w:w="691" w:type="dxa"/>
            <w:noWrap w:val="0"/>
            <w:vAlign w:val="center"/>
          </w:tcPr>
          <w:p>
            <w:pPr>
              <w:keepNext w:val="0"/>
              <w:keepLines w:val="0"/>
              <w:pageBreakBefore w:val="0"/>
              <w:widowControl w:val="0"/>
              <w:kinsoku/>
              <w:wordWrap/>
              <w:overflowPunct/>
              <w:topLinePunct w:val="0"/>
              <w:autoSpaceDE/>
              <w:autoSpaceDN/>
              <w:bidi w:val="0"/>
              <w:adjustRightInd/>
              <w:snapToGrid/>
              <w:spacing w:line="180" w:lineRule="auto"/>
              <w:ind w:left="0" w:leftChars="0" w:firstLine="0" w:firstLineChars="0"/>
              <w:jc w:val="center"/>
              <w:textAlignment w:val="auto"/>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rPr>
              <w:t>2</w:t>
            </w:r>
          </w:p>
        </w:tc>
        <w:tc>
          <w:tcPr>
            <w:tcW w:w="1029" w:type="dxa"/>
            <w:noWrap w:val="0"/>
            <w:vAlign w:val="center"/>
          </w:tcPr>
          <w:p>
            <w:pPr>
              <w:keepNext w:val="0"/>
              <w:keepLines w:val="0"/>
              <w:pageBreakBefore w:val="0"/>
              <w:widowControl w:val="0"/>
              <w:kinsoku/>
              <w:wordWrap/>
              <w:overflowPunct/>
              <w:topLinePunct w:val="0"/>
              <w:autoSpaceDE/>
              <w:autoSpaceDN/>
              <w:bidi w:val="0"/>
              <w:adjustRightInd/>
              <w:snapToGrid/>
              <w:spacing w:line="359" w:lineRule="auto"/>
              <w:ind w:left="0" w:leftChars="0" w:right="97" w:firstLine="0" w:firstLineChars="0"/>
              <w:jc w:val="center"/>
              <w:textAlignment w:val="auto"/>
              <w:rPr>
                <w:rFonts w:hint="eastAsia" w:ascii="宋体" w:hAnsi="宋体" w:eastAsia="宋体" w:cs="宋体"/>
                <w:b w:val="0"/>
                <w:bCs/>
                <w:color w:val="auto"/>
                <w:kern w:val="2"/>
                <w:sz w:val="24"/>
                <w:szCs w:val="24"/>
                <w:lang w:val="en-US"/>
              </w:rPr>
            </w:pPr>
            <w:r>
              <w:rPr>
                <w:rFonts w:hint="eastAsia" w:ascii="宋体" w:hAnsi="宋体" w:eastAsia="宋体" w:cs="宋体"/>
                <w:b w:val="0"/>
                <w:bCs/>
                <w:color w:val="auto"/>
                <w:kern w:val="0"/>
                <w:sz w:val="24"/>
                <w:szCs w:val="24"/>
                <w:lang w:val="en-US" w:eastAsia="zh-CN" w:bidi="ar"/>
              </w:rPr>
              <w:t>专业负责人6%</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spacing w:line="184" w:lineRule="auto"/>
              <w:ind w:left="0" w:leftChars="0" w:firstLine="0" w:firstLineChars="0"/>
              <w:jc w:val="center"/>
              <w:textAlignment w:val="auto"/>
              <w:rPr>
                <w:rFonts w:hint="eastAsia" w:ascii="宋体" w:hAnsi="宋体" w:eastAsia="宋体" w:cs="宋体"/>
                <w:b w:val="0"/>
                <w:bCs/>
                <w:color w:val="auto"/>
                <w:kern w:val="2"/>
                <w:sz w:val="24"/>
                <w:szCs w:val="24"/>
                <w:lang w:val="en-US" w:eastAsia="zh-CN"/>
              </w:rPr>
            </w:pPr>
            <w:r>
              <w:rPr>
                <w:rFonts w:hint="eastAsia" w:ascii="宋体" w:hAnsi="宋体" w:eastAsia="宋体" w:cs="宋体"/>
                <w:b w:val="0"/>
                <w:bCs/>
                <w:color w:val="auto"/>
                <w:kern w:val="2"/>
                <w:sz w:val="24"/>
                <w:szCs w:val="24"/>
                <w:lang w:val="en-US" w:eastAsia="zh-CN"/>
              </w:rPr>
              <w:t>6分</w:t>
            </w:r>
          </w:p>
        </w:tc>
        <w:tc>
          <w:tcPr>
            <w:tcW w:w="5187" w:type="dxa"/>
            <w:noWrap w:val="0"/>
            <w:vAlign w:val="center"/>
          </w:tcPr>
          <w:p>
            <w:pPr>
              <w:keepNext w:val="0"/>
              <w:keepLines w:val="0"/>
              <w:pageBreakBefore w:val="0"/>
              <w:widowControl w:val="0"/>
              <w:kinsoku/>
              <w:wordWrap/>
              <w:overflowPunct/>
              <w:topLinePunct w:val="0"/>
              <w:autoSpaceDE/>
              <w:autoSpaceDN/>
              <w:bidi w:val="0"/>
              <w:adjustRightInd/>
              <w:snapToGrid/>
              <w:spacing w:line="359" w:lineRule="auto"/>
              <w:ind w:left="0" w:leftChars="0" w:right="12" w:firstLine="0" w:firstLineChars="0"/>
              <w:jc w:val="left"/>
              <w:textAlignment w:val="auto"/>
              <w:rPr>
                <w:rFonts w:hint="eastAsia" w:ascii="宋体" w:hAnsi="宋体" w:eastAsia="宋体" w:cs="宋体"/>
                <w:b w:val="0"/>
                <w:bCs/>
                <w:color w:val="auto"/>
                <w:kern w:val="2"/>
                <w:sz w:val="24"/>
                <w:szCs w:val="24"/>
                <w:lang w:val="en-US" w:eastAsia="zh-CN"/>
              </w:rPr>
            </w:pPr>
            <w:r>
              <w:rPr>
                <w:rFonts w:hint="eastAsia" w:ascii="宋体" w:hAnsi="宋体" w:eastAsia="宋体" w:cs="宋体"/>
                <w:b w:val="0"/>
                <w:bCs/>
                <w:color w:val="auto"/>
                <w:kern w:val="2"/>
                <w:sz w:val="24"/>
                <w:szCs w:val="24"/>
                <w:lang w:val="en-US" w:eastAsia="zh-CN"/>
              </w:rPr>
              <w:t>（1）可研评审负责人具备咨询工程师（投资）且同时具备高级及以上技术职称得3分，最多得3分。</w:t>
            </w:r>
          </w:p>
          <w:p>
            <w:pPr>
              <w:keepNext w:val="0"/>
              <w:keepLines w:val="0"/>
              <w:pageBreakBefore w:val="0"/>
              <w:widowControl w:val="0"/>
              <w:kinsoku/>
              <w:wordWrap/>
              <w:overflowPunct/>
              <w:topLinePunct w:val="0"/>
              <w:autoSpaceDE/>
              <w:autoSpaceDN/>
              <w:bidi w:val="0"/>
              <w:adjustRightInd/>
              <w:snapToGrid/>
              <w:spacing w:line="359" w:lineRule="auto"/>
              <w:ind w:left="0" w:leftChars="0" w:right="12" w:firstLine="0" w:firstLineChars="0"/>
              <w:jc w:val="left"/>
              <w:textAlignment w:val="auto"/>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lang w:val="en-US" w:eastAsia="zh-CN"/>
              </w:rPr>
              <w:t>（2）节能评审负责人具备咨询工程师（投资）且同时具备高级及以上技术职称得3分，最多得3分。</w:t>
            </w:r>
          </w:p>
        </w:tc>
        <w:tc>
          <w:tcPr>
            <w:tcW w:w="152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184" w:lineRule="auto"/>
              <w:ind w:left="0" w:leftChars="0" w:firstLine="0" w:firstLineChars="0"/>
              <w:jc w:val="center"/>
              <w:textAlignment w:val="auto"/>
              <w:rPr>
                <w:rFonts w:hint="eastAsia" w:ascii="宋体" w:hAnsi="宋体" w:eastAsia="宋体" w:cs="宋体"/>
                <w:b w:val="0"/>
                <w:bCs/>
                <w:color w:val="auto"/>
                <w:kern w:val="2"/>
                <w:sz w:val="24"/>
                <w:szCs w:val="24"/>
              </w:rPr>
            </w:pPr>
          </w:p>
        </w:tc>
        <w:tc>
          <w:tcPr>
            <w:tcW w:w="1118" w:type="dxa"/>
            <w:noWrap w:val="0"/>
            <w:vAlign w:val="center"/>
          </w:tcPr>
          <w:p>
            <w:pPr>
              <w:keepNext w:val="0"/>
              <w:keepLines w:val="0"/>
              <w:pageBreakBefore w:val="0"/>
              <w:widowControl w:val="0"/>
              <w:kinsoku/>
              <w:wordWrap/>
              <w:overflowPunct/>
              <w:topLinePunct w:val="0"/>
              <w:autoSpaceDE/>
              <w:autoSpaceDN/>
              <w:bidi w:val="0"/>
              <w:adjustRightInd/>
              <w:snapToGrid/>
              <w:spacing w:line="247" w:lineRule="auto"/>
              <w:jc w:val="center"/>
              <w:textAlignment w:val="auto"/>
              <w:rPr>
                <w:rFonts w:hint="eastAsia" w:ascii="宋体" w:hAnsi="宋体" w:eastAsia="宋体" w:cs="宋体"/>
                <w:b w:val="0"/>
                <w:bCs/>
                <w:color w:val="auto"/>
                <w:kern w:val="2"/>
                <w:sz w:val="24"/>
                <w:szCs w:val="24"/>
              </w:rPr>
            </w:pPr>
          </w:p>
          <w:p>
            <w:pPr>
              <w:keepNext w:val="0"/>
              <w:keepLines w:val="0"/>
              <w:pageBreakBefore w:val="0"/>
              <w:widowControl w:val="0"/>
              <w:kinsoku/>
              <w:wordWrap/>
              <w:overflowPunct/>
              <w:topLinePunct w:val="0"/>
              <w:autoSpaceDE/>
              <w:autoSpaceDN/>
              <w:bidi w:val="0"/>
              <w:adjustRightInd/>
              <w:snapToGrid/>
              <w:spacing w:line="247" w:lineRule="auto"/>
              <w:jc w:val="center"/>
              <w:textAlignment w:val="auto"/>
              <w:rPr>
                <w:rFonts w:hint="eastAsia" w:ascii="宋体" w:hAnsi="宋体" w:eastAsia="宋体" w:cs="宋体"/>
                <w:b w:val="0"/>
                <w:bCs/>
                <w:color w:val="auto"/>
                <w:kern w:val="2"/>
                <w:sz w:val="24"/>
                <w:szCs w:val="24"/>
              </w:rPr>
            </w:pPr>
          </w:p>
          <w:p>
            <w:pPr>
              <w:keepNext w:val="0"/>
              <w:keepLines w:val="0"/>
              <w:pageBreakBefore w:val="0"/>
              <w:widowControl w:val="0"/>
              <w:kinsoku/>
              <w:wordWrap/>
              <w:overflowPunct/>
              <w:topLinePunct w:val="0"/>
              <w:autoSpaceDE/>
              <w:autoSpaceDN/>
              <w:bidi w:val="0"/>
              <w:adjustRightInd/>
              <w:snapToGrid/>
              <w:spacing w:line="359" w:lineRule="auto"/>
              <w:ind w:left="0" w:leftChars="0" w:right="31" w:rightChars="0" w:firstLine="0" w:firstLineChars="0"/>
              <w:jc w:val="center"/>
              <w:textAlignment w:val="auto"/>
              <w:rPr>
                <w:rFonts w:hint="eastAsia" w:ascii="宋体" w:hAnsi="宋体" w:eastAsia="宋体" w:cs="宋体"/>
                <w:b w:val="0"/>
                <w:bCs/>
                <w:color w:val="auto"/>
                <w:kern w:val="2"/>
                <w:sz w:val="24"/>
                <w:szCs w:val="24"/>
              </w:rPr>
            </w:pPr>
            <w:r>
              <w:rPr>
                <w:rFonts w:hint="eastAsia" w:ascii="宋体" w:hAnsi="宋体" w:eastAsia="宋体" w:cs="宋体"/>
                <w:b w:val="0"/>
                <w:bCs/>
                <w:color w:val="auto"/>
                <w:spacing w:val="-2"/>
                <w:kern w:val="2"/>
                <w:sz w:val="24"/>
                <w:szCs w:val="24"/>
              </w:rPr>
              <w:t>共同评分因</w:t>
            </w:r>
            <w:r>
              <w:rPr>
                <w:rFonts w:hint="eastAsia" w:ascii="宋体" w:hAnsi="宋体" w:eastAsia="宋体" w:cs="宋体"/>
                <w:b w:val="0"/>
                <w:bCs/>
                <w:color w:val="auto"/>
                <w:spacing w:val="1"/>
                <w:kern w:val="2"/>
                <w:sz w:val="24"/>
                <w:szCs w:val="24"/>
              </w:rPr>
              <w:t xml:space="preserve"> </w:t>
            </w:r>
            <w:r>
              <w:rPr>
                <w:rFonts w:hint="eastAsia" w:ascii="宋体" w:hAnsi="宋体" w:eastAsia="宋体" w:cs="宋体"/>
                <w:b w:val="0"/>
                <w:bCs/>
                <w:color w:val="auto"/>
                <w:kern w:val="2"/>
                <w:sz w:val="24"/>
                <w:szCs w:val="24"/>
              </w:rPr>
              <w:t>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6" w:hRule="atLeast"/>
          <w:jc w:val="center"/>
        </w:trPr>
        <w:tc>
          <w:tcPr>
            <w:tcW w:w="691" w:type="dxa"/>
            <w:noWrap w:val="0"/>
            <w:vAlign w:val="center"/>
          </w:tcPr>
          <w:p>
            <w:pPr>
              <w:keepNext w:val="0"/>
              <w:keepLines w:val="0"/>
              <w:pageBreakBefore w:val="0"/>
              <w:widowControl w:val="0"/>
              <w:kinsoku/>
              <w:wordWrap/>
              <w:overflowPunct/>
              <w:topLinePunct w:val="0"/>
              <w:autoSpaceDE/>
              <w:autoSpaceDN/>
              <w:bidi w:val="0"/>
              <w:adjustRightInd/>
              <w:snapToGrid/>
              <w:spacing w:line="180" w:lineRule="auto"/>
              <w:ind w:firstLine="177"/>
              <w:jc w:val="center"/>
              <w:textAlignment w:val="auto"/>
              <w:rPr>
                <w:rFonts w:hint="eastAsia" w:ascii="宋体" w:hAnsi="宋体" w:eastAsia="宋体" w:cs="宋体"/>
                <w:b w:val="0"/>
                <w:bCs/>
                <w:color w:val="auto"/>
                <w:kern w:val="2"/>
                <w:sz w:val="24"/>
                <w:szCs w:val="24"/>
                <w:lang w:val="en-US" w:eastAsia="zh-CN"/>
              </w:rPr>
            </w:pPr>
            <w:r>
              <w:rPr>
                <w:rFonts w:hint="eastAsia" w:ascii="宋体" w:hAnsi="宋体" w:eastAsia="宋体" w:cs="宋体"/>
                <w:b w:val="0"/>
                <w:bCs/>
                <w:color w:val="auto"/>
                <w:kern w:val="2"/>
                <w:sz w:val="24"/>
                <w:szCs w:val="24"/>
                <w:lang w:val="en-US" w:eastAsia="zh-CN"/>
              </w:rPr>
              <w:t>3</w:t>
            </w:r>
          </w:p>
        </w:tc>
        <w:tc>
          <w:tcPr>
            <w:tcW w:w="1029" w:type="dxa"/>
            <w:noWrap w:val="0"/>
            <w:vAlign w:val="center"/>
          </w:tcPr>
          <w:p>
            <w:pPr>
              <w:keepNext w:val="0"/>
              <w:keepLines w:val="0"/>
              <w:pageBreakBefore w:val="0"/>
              <w:widowControl w:val="0"/>
              <w:kinsoku/>
              <w:wordWrap/>
              <w:overflowPunct/>
              <w:topLinePunct w:val="0"/>
              <w:autoSpaceDE/>
              <w:autoSpaceDN/>
              <w:bidi w:val="0"/>
              <w:adjustRightInd/>
              <w:snapToGrid/>
              <w:spacing w:line="359" w:lineRule="auto"/>
              <w:ind w:left="0" w:leftChars="0" w:right="97" w:firstLine="0" w:firstLineChars="0"/>
              <w:jc w:val="center"/>
              <w:textAlignment w:val="auto"/>
              <w:rPr>
                <w:rFonts w:hint="eastAsia" w:ascii="宋体" w:hAnsi="宋体" w:eastAsia="宋体" w:cs="宋体"/>
                <w:b w:val="0"/>
                <w:bCs/>
                <w:color w:val="auto"/>
                <w:kern w:val="0"/>
                <w:sz w:val="24"/>
                <w:szCs w:val="24"/>
                <w:lang w:val="en-US" w:eastAsia="zh-CN" w:bidi="ar"/>
              </w:rPr>
            </w:pPr>
            <w:r>
              <w:rPr>
                <w:rFonts w:hint="eastAsia" w:ascii="宋体" w:hAnsi="宋体" w:eastAsia="宋体" w:cs="宋体"/>
                <w:b w:val="0"/>
                <w:bCs/>
                <w:color w:val="auto"/>
                <w:kern w:val="0"/>
                <w:sz w:val="24"/>
                <w:szCs w:val="24"/>
                <w:lang w:val="en-US" w:eastAsia="zh-CN" w:bidi="ar"/>
              </w:rPr>
              <w:t>团队其他人员30%</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spacing w:line="184" w:lineRule="auto"/>
              <w:ind w:left="0" w:leftChars="0" w:firstLine="0" w:firstLineChars="0"/>
              <w:jc w:val="center"/>
              <w:textAlignment w:val="auto"/>
              <w:rPr>
                <w:rFonts w:hint="eastAsia" w:ascii="宋体" w:hAnsi="宋体" w:eastAsia="宋体" w:cs="宋体"/>
                <w:b w:val="0"/>
                <w:bCs/>
                <w:color w:val="auto"/>
                <w:kern w:val="2"/>
                <w:sz w:val="24"/>
                <w:szCs w:val="24"/>
                <w:lang w:val="en-US" w:eastAsia="zh-CN"/>
              </w:rPr>
            </w:pPr>
            <w:r>
              <w:rPr>
                <w:rFonts w:hint="eastAsia" w:ascii="宋体" w:hAnsi="宋体" w:eastAsia="宋体" w:cs="宋体"/>
                <w:b w:val="0"/>
                <w:bCs/>
                <w:color w:val="auto"/>
                <w:kern w:val="2"/>
                <w:sz w:val="24"/>
                <w:szCs w:val="24"/>
                <w:lang w:val="en-US" w:eastAsia="zh-CN"/>
              </w:rPr>
              <w:t>30分</w:t>
            </w:r>
          </w:p>
        </w:tc>
        <w:tc>
          <w:tcPr>
            <w:tcW w:w="5187" w:type="dxa"/>
            <w:noWrap w:val="0"/>
            <w:vAlign w:val="center"/>
          </w:tcPr>
          <w:p>
            <w:pPr>
              <w:keepNext w:val="0"/>
              <w:keepLines w:val="0"/>
              <w:pageBreakBefore w:val="0"/>
              <w:widowControl w:val="0"/>
              <w:kinsoku/>
              <w:wordWrap/>
              <w:overflowPunct/>
              <w:topLinePunct w:val="0"/>
              <w:autoSpaceDE/>
              <w:autoSpaceDN/>
              <w:bidi w:val="0"/>
              <w:adjustRightInd/>
              <w:snapToGrid/>
              <w:spacing w:line="359" w:lineRule="auto"/>
              <w:ind w:left="0" w:leftChars="0" w:right="12" w:firstLine="0" w:firstLineChars="0"/>
              <w:jc w:val="left"/>
              <w:textAlignment w:val="auto"/>
              <w:rPr>
                <w:rFonts w:hint="eastAsia" w:ascii="宋体" w:hAnsi="宋体" w:eastAsia="宋体" w:cs="宋体"/>
                <w:b w:val="0"/>
                <w:bCs/>
                <w:color w:val="auto"/>
                <w:kern w:val="2"/>
                <w:sz w:val="24"/>
                <w:szCs w:val="24"/>
              </w:rPr>
            </w:pPr>
            <w:r>
              <w:rPr>
                <w:rFonts w:hint="eastAsia" w:hAnsi="宋体" w:cs="宋体"/>
                <w:b w:val="0"/>
                <w:bCs/>
                <w:color w:val="auto"/>
                <w:kern w:val="2"/>
                <w:sz w:val="24"/>
                <w:szCs w:val="24"/>
                <w:lang w:val="en-US" w:eastAsia="zh-CN"/>
              </w:rPr>
              <w:t>每提供</w:t>
            </w:r>
            <w:r>
              <w:rPr>
                <w:rFonts w:hint="eastAsia" w:ascii="宋体" w:hAnsi="宋体" w:eastAsia="宋体" w:cs="宋体"/>
                <w:b w:val="0"/>
                <w:bCs/>
                <w:color w:val="auto"/>
                <w:kern w:val="2"/>
                <w:sz w:val="24"/>
                <w:szCs w:val="24"/>
                <w:lang w:val="en-US" w:eastAsia="zh-CN"/>
              </w:rPr>
              <w:t>一名咨询工程师（投资）得</w:t>
            </w:r>
            <w:r>
              <w:rPr>
                <w:rFonts w:hint="eastAsia" w:hAnsi="宋体" w:cs="宋体"/>
                <w:b w:val="0"/>
                <w:bCs/>
                <w:color w:val="auto"/>
                <w:kern w:val="2"/>
                <w:sz w:val="24"/>
                <w:szCs w:val="24"/>
                <w:lang w:val="en-US" w:eastAsia="zh-CN"/>
              </w:rPr>
              <w:t>0.5</w:t>
            </w:r>
            <w:r>
              <w:rPr>
                <w:rFonts w:hint="eastAsia" w:ascii="宋体" w:hAnsi="宋体" w:eastAsia="宋体" w:cs="宋体"/>
                <w:b w:val="0"/>
                <w:bCs/>
                <w:color w:val="auto"/>
                <w:kern w:val="2"/>
                <w:sz w:val="24"/>
                <w:szCs w:val="24"/>
                <w:lang w:val="en-US" w:eastAsia="zh-CN"/>
              </w:rPr>
              <w:t>分，最多得20分；</w:t>
            </w:r>
            <w:r>
              <w:rPr>
                <w:rFonts w:hint="eastAsia" w:hAnsi="宋体" w:cs="宋体"/>
                <w:b w:val="0"/>
                <w:bCs/>
                <w:color w:val="auto"/>
                <w:kern w:val="2"/>
                <w:sz w:val="24"/>
                <w:szCs w:val="24"/>
                <w:lang w:val="en-US" w:eastAsia="zh-CN"/>
              </w:rPr>
              <w:t>提供</w:t>
            </w:r>
            <w:r>
              <w:rPr>
                <w:rFonts w:hint="eastAsia" w:ascii="宋体" w:hAnsi="宋体" w:eastAsia="宋体" w:cs="宋体"/>
                <w:b w:val="0"/>
                <w:bCs/>
                <w:color w:val="auto"/>
                <w:kern w:val="2"/>
                <w:sz w:val="24"/>
                <w:szCs w:val="24"/>
                <w:lang w:val="en-US" w:eastAsia="zh-CN"/>
              </w:rPr>
              <w:t>的人员中每具有一个中级职称及以上加1分，最多加10分，本项最多得30分。</w:t>
            </w:r>
          </w:p>
        </w:tc>
        <w:tc>
          <w:tcPr>
            <w:tcW w:w="152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184" w:lineRule="auto"/>
              <w:ind w:left="0" w:leftChars="0" w:firstLine="0" w:firstLineChars="0"/>
              <w:jc w:val="center"/>
              <w:textAlignment w:val="auto"/>
              <w:rPr>
                <w:rFonts w:hint="eastAsia" w:ascii="宋体" w:hAnsi="宋体" w:eastAsia="宋体" w:cs="宋体"/>
                <w:b w:val="0"/>
                <w:bCs/>
                <w:color w:val="auto"/>
                <w:kern w:val="2"/>
                <w:sz w:val="24"/>
                <w:szCs w:val="24"/>
                <w:lang w:val="zh-CN" w:eastAsia="zh-CN" w:bidi="ar-SA"/>
              </w:rPr>
            </w:pPr>
          </w:p>
        </w:tc>
        <w:tc>
          <w:tcPr>
            <w:tcW w:w="1118" w:type="dxa"/>
            <w:noWrap w:val="0"/>
            <w:vAlign w:val="center"/>
          </w:tcPr>
          <w:p>
            <w:pPr>
              <w:keepNext w:val="0"/>
              <w:keepLines w:val="0"/>
              <w:pageBreakBefore w:val="0"/>
              <w:widowControl w:val="0"/>
              <w:kinsoku/>
              <w:wordWrap/>
              <w:overflowPunct/>
              <w:topLinePunct w:val="0"/>
              <w:autoSpaceDE/>
              <w:autoSpaceDN/>
              <w:bidi w:val="0"/>
              <w:adjustRightInd/>
              <w:snapToGrid/>
              <w:spacing w:line="247" w:lineRule="auto"/>
              <w:jc w:val="center"/>
              <w:textAlignment w:val="auto"/>
              <w:rPr>
                <w:rFonts w:hint="eastAsia" w:ascii="宋体" w:hAnsi="宋体" w:eastAsia="宋体" w:cs="宋体"/>
                <w:b w:val="0"/>
                <w:bCs/>
                <w:color w:val="auto"/>
                <w:kern w:val="2"/>
                <w:sz w:val="24"/>
                <w:szCs w:val="24"/>
              </w:rPr>
            </w:pPr>
          </w:p>
          <w:p>
            <w:pPr>
              <w:keepNext w:val="0"/>
              <w:keepLines w:val="0"/>
              <w:pageBreakBefore w:val="0"/>
              <w:widowControl w:val="0"/>
              <w:kinsoku/>
              <w:wordWrap/>
              <w:overflowPunct/>
              <w:topLinePunct w:val="0"/>
              <w:autoSpaceDE/>
              <w:autoSpaceDN/>
              <w:bidi w:val="0"/>
              <w:adjustRightInd/>
              <w:snapToGrid/>
              <w:spacing w:line="247" w:lineRule="auto"/>
              <w:jc w:val="center"/>
              <w:textAlignment w:val="auto"/>
              <w:rPr>
                <w:rFonts w:hint="eastAsia" w:ascii="宋体" w:hAnsi="宋体" w:eastAsia="宋体" w:cs="宋体"/>
                <w:b w:val="0"/>
                <w:bCs/>
                <w:color w:val="auto"/>
                <w:kern w:val="2"/>
                <w:sz w:val="24"/>
                <w:szCs w:val="24"/>
              </w:rPr>
            </w:pPr>
          </w:p>
          <w:p>
            <w:pPr>
              <w:keepNext w:val="0"/>
              <w:keepLines w:val="0"/>
              <w:pageBreakBefore w:val="0"/>
              <w:widowControl w:val="0"/>
              <w:kinsoku/>
              <w:wordWrap/>
              <w:overflowPunct/>
              <w:topLinePunct w:val="0"/>
              <w:autoSpaceDE/>
              <w:autoSpaceDN/>
              <w:bidi w:val="0"/>
              <w:adjustRightInd/>
              <w:snapToGrid/>
              <w:spacing w:line="359" w:lineRule="auto"/>
              <w:ind w:left="0" w:leftChars="0" w:right="31" w:rightChars="0" w:firstLine="0" w:firstLineChars="0"/>
              <w:jc w:val="center"/>
              <w:textAlignment w:val="auto"/>
              <w:rPr>
                <w:rFonts w:hint="eastAsia" w:ascii="宋体" w:hAnsi="宋体" w:eastAsia="宋体" w:cs="宋体"/>
                <w:b w:val="0"/>
                <w:bCs/>
                <w:color w:val="auto"/>
                <w:kern w:val="2"/>
                <w:sz w:val="24"/>
                <w:szCs w:val="24"/>
                <w:lang w:val="zh-CN" w:eastAsia="zh-CN" w:bidi="ar-SA"/>
              </w:rPr>
            </w:pPr>
            <w:r>
              <w:rPr>
                <w:rFonts w:hint="eastAsia" w:ascii="宋体" w:hAnsi="宋体" w:eastAsia="宋体" w:cs="宋体"/>
                <w:b w:val="0"/>
                <w:bCs/>
                <w:color w:val="auto"/>
                <w:spacing w:val="-2"/>
                <w:kern w:val="2"/>
                <w:sz w:val="24"/>
                <w:szCs w:val="24"/>
              </w:rPr>
              <w:t>共同评分因</w:t>
            </w:r>
            <w:r>
              <w:rPr>
                <w:rFonts w:hint="eastAsia" w:ascii="宋体" w:hAnsi="宋体" w:eastAsia="宋体" w:cs="宋体"/>
                <w:b w:val="0"/>
                <w:bCs/>
                <w:color w:val="auto"/>
                <w:spacing w:val="1"/>
                <w:kern w:val="2"/>
                <w:sz w:val="24"/>
                <w:szCs w:val="24"/>
              </w:rPr>
              <w:t xml:space="preserve"> </w:t>
            </w:r>
            <w:r>
              <w:rPr>
                <w:rFonts w:hint="eastAsia" w:ascii="宋体" w:hAnsi="宋体" w:eastAsia="宋体" w:cs="宋体"/>
                <w:b w:val="0"/>
                <w:bCs/>
                <w:color w:val="auto"/>
                <w:kern w:val="2"/>
                <w:sz w:val="24"/>
                <w:szCs w:val="24"/>
              </w:rPr>
              <w:t>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3" w:hRule="atLeast"/>
          <w:jc w:val="center"/>
        </w:trPr>
        <w:tc>
          <w:tcPr>
            <w:tcW w:w="691" w:type="dxa"/>
            <w:noWrap w:val="0"/>
            <w:vAlign w:val="center"/>
          </w:tcPr>
          <w:p>
            <w:pPr>
              <w:keepNext w:val="0"/>
              <w:keepLines w:val="0"/>
              <w:pageBreakBefore w:val="0"/>
              <w:widowControl w:val="0"/>
              <w:kinsoku/>
              <w:wordWrap/>
              <w:overflowPunct/>
              <w:topLinePunct w:val="0"/>
              <w:autoSpaceDE/>
              <w:autoSpaceDN/>
              <w:bidi w:val="0"/>
              <w:adjustRightInd/>
              <w:snapToGrid/>
              <w:spacing w:line="180" w:lineRule="auto"/>
              <w:ind w:firstLine="177"/>
              <w:jc w:val="center"/>
              <w:textAlignment w:val="auto"/>
              <w:rPr>
                <w:rFonts w:hint="eastAsia" w:ascii="宋体" w:hAnsi="宋体" w:eastAsia="宋体" w:cs="宋体"/>
                <w:b w:val="0"/>
                <w:bCs/>
                <w:color w:val="auto"/>
                <w:kern w:val="2"/>
                <w:sz w:val="24"/>
                <w:szCs w:val="24"/>
                <w:lang w:val="en-US" w:eastAsia="zh-CN"/>
              </w:rPr>
            </w:pPr>
            <w:r>
              <w:rPr>
                <w:rFonts w:hint="eastAsia" w:ascii="宋体" w:hAnsi="宋体" w:eastAsia="宋体" w:cs="宋体"/>
                <w:b w:val="0"/>
                <w:bCs/>
                <w:color w:val="auto"/>
                <w:kern w:val="2"/>
                <w:sz w:val="24"/>
                <w:szCs w:val="24"/>
                <w:lang w:val="en-US" w:eastAsia="zh-CN"/>
              </w:rPr>
              <w:t>4</w:t>
            </w:r>
          </w:p>
        </w:tc>
        <w:tc>
          <w:tcPr>
            <w:tcW w:w="1029" w:type="dxa"/>
            <w:noWrap w:val="0"/>
            <w:vAlign w:val="center"/>
          </w:tcPr>
          <w:p>
            <w:pPr>
              <w:keepNext w:val="0"/>
              <w:keepLines w:val="0"/>
              <w:pageBreakBefore w:val="0"/>
              <w:widowControl w:val="0"/>
              <w:kinsoku/>
              <w:wordWrap/>
              <w:overflowPunct/>
              <w:topLinePunct w:val="0"/>
              <w:autoSpaceDE/>
              <w:autoSpaceDN/>
              <w:bidi w:val="0"/>
              <w:adjustRightInd/>
              <w:snapToGrid/>
              <w:spacing w:line="359" w:lineRule="auto"/>
              <w:ind w:left="0" w:leftChars="0" w:right="97" w:firstLine="0" w:firstLineChars="0"/>
              <w:jc w:val="center"/>
              <w:textAlignment w:val="auto"/>
              <w:rPr>
                <w:rFonts w:hint="eastAsia" w:ascii="宋体" w:hAnsi="宋体" w:eastAsia="宋体" w:cs="宋体"/>
                <w:b w:val="0"/>
                <w:bCs/>
                <w:color w:val="auto"/>
                <w:kern w:val="0"/>
                <w:sz w:val="24"/>
                <w:szCs w:val="24"/>
                <w:lang w:val="en-US" w:eastAsia="zh-CN" w:bidi="ar"/>
              </w:rPr>
            </w:pPr>
            <w:r>
              <w:rPr>
                <w:rFonts w:hint="eastAsia" w:ascii="宋体" w:hAnsi="宋体" w:eastAsia="宋体" w:cs="宋体"/>
                <w:b w:val="0"/>
                <w:bCs/>
                <w:color w:val="auto"/>
                <w:kern w:val="0"/>
                <w:sz w:val="24"/>
                <w:szCs w:val="24"/>
                <w:lang w:val="en-US" w:eastAsia="zh-CN" w:bidi="ar"/>
              </w:rPr>
              <w:t>实施方案50%</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spacing w:line="184" w:lineRule="auto"/>
              <w:ind w:left="0" w:leftChars="0" w:firstLine="0" w:firstLineChars="0"/>
              <w:jc w:val="center"/>
              <w:textAlignment w:val="auto"/>
              <w:rPr>
                <w:rFonts w:hint="eastAsia" w:ascii="宋体" w:hAnsi="宋体" w:eastAsia="宋体" w:cs="宋体"/>
                <w:b w:val="0"/>
                <w:bCs/>
                <w:color w:val="auto"/>
                <w:kern w:val="2"/>
                <w:sz w:val="24"/>
                <w:szCs w:val="24"/>
                <w:lang w:val="en-US" w:eastAsia="zh-CN"/>
              </w:rPr>
            </w:pPr>
            <w:r>
              <w:rPr>
                <w:rFonts w:hint="eastAsia" w:ascii="宋体" w:hAnsi="宋体" w:eastAsia="宋体" w:cs="宋体"/>
                <w:b w:val="0"/>
                <w:bCs/>
                <w:color w:val="auto"/>
                <w:kern w:val="2"/>
                <w:sz w:val="24"/>
                <w:szCs w:val="24"/>
                <w:lang w:val="en-US" w:eastAsia="zh-CN"/>
              </w:rPr>
              <w:t>50分</w:t>
            </w:r>
          </w:p>
        </w:tc>
        <w:tc>
          <w:tcPr>
            <w:tcW w:w="5187" w:type="dxa"/>
            <w:noWrap w:val="0"/>
            <w:vAlign w:val="center"/>
          </w:tcPr>
          <w:p>
            <w:pPr>
              <w:keepNext w:val="0"/>
              <w:keepLines w:val="0"/>
              <w:pageBreakBefore w:val="0"/>
              <w:widowControl w:val="0"/>
              <w:kinsoku/>
              <w:wordWrap/>
              <w:overflowPunct/>
              <w:topLinePunct w:val="0"/>
              <w:autoSpaceDE/>
              <w:autoSpaceDN/>
              <w:bidi w:val="0"/>
              <w:adjustRightInd/>
              <w:snapToGrid/>
              <w:spacing w:line="359" w:lineRule="auto"/>
              <w:ind w:left="0" w:leftChars="0" w:right="12" w:firstLine="0" w:firstLineChars="0"/>
              <w:jc w:val="left"/>
              <w:textAlignment w:val="auto"/>
              <w:rPr>
                <w:rFonts w:hint="eastAsia" w:ascii="宋体" w:hAnsi="宋体" w:eastAsia="宋体" w:cs="宋体"/>
                <w:b w:val="0"/>
                <w:bCs/>
                <w:color w:val="auto"/>
                <w:kern w:val="2"/>
                <w:sz w:val="24"/>
                <w:szCs w:val="24"/>
                <w:lang w:val="en-US" w:eastAsia="zh-CN"/>
              </w:rPr>
            </w:pPr>
            <w:r>
              <w:rPr>
                <w:rFonts w:hint="eastAsia" w:ascii="宋体" w:hAnsi="宋体" w:eastAsia="宋体" w:cs="宋体"/>
                <w:b w:val="0"/>
                <w:bCs/>
                <w:color w:val="auto"/>
                <w:kern w:val="2"/>
                <w:sz w:val="24"/>
                <w:szCs w:val="24"/>
                <w:lang w:val="en-US" w:eastAsia="zh-CN"/>
              </w:rPr>
              <w:t>（1）根据投标人提供的项目评审方案进行综合评审。</w:t>
            </w:r>
          </w:p>
          <w:p>
            <w:pPr>
              <w:keepNext w:val="0"/>
              <w:keepLines w:val="0"/>
              <w:pageBreakBefore w:val="0"/>
              <w:widowControl w:val="0"/>
              <w:kinsoku/>
              <w:wordWrap/>
              <w:overflowPunct/>
              <w:topLinePunct w:val="0"/>
              <w:autoSpaceDE/>
              <w:autoSpaceDN/>
              <w:bidi w:val="0"/>
              <w:adjustRightInd/>
              <w:snapToGrid/>
              <w:spacing w:line="359" w:lineRule="auto"/>
              <w:ind w:left="0" w:leftChars="0" w:right="12" w:firstLine="0" w:firstLineChars="0"/>
              <w:jc w:val="left"/>
              <w:textAlignment w:val="auto"/>
              <w:rPr>
                <w:rFonts w:hint="eastAsia" w:ascii="宋体" w:hAnsi="宋体" w:eastAsia="宋体" w:cs="宋体"/>
                <w:b w:val="0"/>
                <w:bCs/>
                <w:color w:val="auto"/>
                <w:kern w:val="2"/>
                <w:sz w:val="24"/>
                <w:szCs w:val="24"/>
                <w:lang w:val="en-US" w:eastAsia="zh-CN"/>
              </w:rPr>
            </w:pPr>
            <w:r>
              <w:rPr>
                <w:rFonts w:hint="eastAsia" w:hAnsi="宋体" w:cs="宋体"/>
                <w:b w:val="0"/>
                <w:bCs/>
                <w:color w:val="auto"/>
                <w:kern w:val="2"/>
                <w:sz w:val="24"/>
                <w:szCs w:val="24"/>
                <w:lang w:val="en-US" w:eastAsia="zh-CN"/>
              </w:rPr>
              <w:t>评审</w:t>
            </w:r>
            <w:r>
              <w:rPr>
                <w:rFonts w:hint="eastAsia" w:ascii="宋体" w:hAnsi="宋体" w:eastAsia="宋体" w:cs="宋体"/>
                <w:b w:val="0"/>
                <w:bCs/>
                <w:color w:val="auto"/>
                <w:kern w:val="2"/>
                <w:sz w:val="24"/>
                <w:szCs w:val="24"/>
                <w:lang w:val="en-US" w:eastAsia="zh-CN"/>
              </w:rPr>
              <w:t>方案应包含①评审目标、原则及内容分析、②项目组织机构设置、③评审流程及方法、④评审实施保障措施、⑤评审风险防控措施、⑥评审工作重点分析及应对措施、⑦进度保障措施、⑧质量保障措施、⑨履约保障措施。</w:t>
            </w:r>
          </w:p>
          <w:p>
            <w:pPr>
              <w:keepNext w:val="0"/>
              <w:keepLines w:val="0"/>
              <w:pageBreakBefore w:val="0"/>
              <w:widowControl w:val="0"/>
              <w:kinsoku/>
              <w:wordWrap/>
              <w:overflowPunct/>
              <w:topLinePunct w:val="0"/>
              <w:autoSpaceDE/>
              <w:autoSpaceDN/>
              <w:bidi w:val="0"/>
              <w:adjustRightInd/>
              <w:snapToGrid/>
              <w:spacing w:line="359" w:lineRule="auto"/>
              <w:ind w:left="0" w:leftChars="0" w:right="12" w:firstLine="0" w:firstLineChars="0"/>
              <w:jc w:val="left"/>
              <w:textAlignment w:val="auto"/>
              <w:rPr>
                <w:rFonts w:hint="eastAsia" w:ascii="宋体" w:hAnsi="宋体" w:eastAsia="宋体" w:cs="宋体"/>
                <w:b w:val="0"/>
                <w:bCs/>
                <w:color w:val="auto"/>
                <w:kern w:val="2"/>
                <w:sz w:val="24"/>
                <w:szCs w:val="24"/>
                <w:lang w:val="en-US" w:eastAsia="zh-CN"/>
              </w:rPr>
            </w:pPr>
            <w:r>
              <w:rPr>
                <w:rFonts w:hint="eastAsia" w:ascii="宋体" w:hAnsi="宋体" w:eastAsia="宋体" w:cs="宋体"/>
                <w:b w:val="0"/>
                <w:bCs/>
                <w:color w:val="auto"/>
                <w:kern w:val="2"/>
                <w:sz w:val="24"/>
                <w:szCs w:val="24"/>
                <w:lang w:val="en-US" w:eastAsia="zh-CN"/>
              </w:rPr>
              <w:t>评审方案完全满足招标文件要求的得 36 分；评审方案中缺少以上任何一项的扣 4 分， 每有一项内容不完善或缺陷或不切实际扣 2 分，扣完为止。</w:t>
            </w:r>
          </w:p>
          <w:p>
            <w:pPr>
              <w:keepNext w:val="0"/>
              <w:keepLines w:val="0"/>
              <w:pageBreakBefore w:val="0"/>
              <w:widowControl w:val="0"/>
              <w:kinsoku/>
              <w:wordWrap/>
              <w:overflowPunct/>
              <w:topLinePunct w:val="0"/>
              <w:autoSpaceDE/>
              <w:autoSpaceDN/>
              <w:bidi w:val="0"/>
              <w:adjustRightInd/>
              <w:snapToGrid/>
              <w:spacing w:line="359" w:lineRule="auto"/>
              <w:ind w:left="0" w:leftChars="0" w:right="12" w:firstLine="0" w:firstLineChars="0"/>
              <w:jc w:val="left"/>
              <w:textAlignment w:val="auto"/>
              <w:rPr>
                <w:rFonts w:hint="eastAsia" w:ascii="宋体" w:hAnsi="宋体" w:eastAsia="宋体" w:cs="宋体"/>
                <w:b w:val="0"/>
                <w:bCs/>
                <w:color w:val="auto"/>
                <w:kern w:val="2"/>
                <w:sz w:val="24"/>
                <w:szCs w:val="24"/>
                <w:lang w:val="en-US" w:eastAsia="zh-CN"/>
              </w:rPr>
            </w:pPr>
            <w:r>
              <w:rPr>
                <w:rFonts w:hint="eastAsia" w:ascii="宋体" w:hAnsi="宋体" w:eastAsia="宋体" w:cs="宋体"/>
                <w:b w:val="0"/>
                <w:bCs/>
                <w:color w:val="auto"/>
                <w:kern w:val="2"/>
                <w:sz w:val="24"/>
                <w:szCs w:val="24"/>
                <w:lang w:val="en-US" w:eastAsia="zh-CN"/>
              </w:rPr>
              <w:t>（2）根据投标人提供的项目管理方案进行综合评审。</w:t>
            </w:r>
          </w:p>
          <w:p>
            <w:pPr>
              <w:keepNext w:val="0"/>
              <w:keepLines w:val="0"/>
              <w:pageBreakBefore w:val="0"/>
              <w:widowControl w:val="0"/>
              <w:kinsoku/>
              <w:wordWrap/>
              <w:overflowPunct/>
              <w:topLinePunct w:val="0"/>
              <w:autoSpaceDE/>
              <w:autoSpaceDN/>
              <w:bidi w:val="0"/>
              <w:adjustRightInd/>
              <w:snapToGrid/>
              <w:spacing w:line="359" w:lineRule="auto"/>
              <w:ind w:left="0" w:leftChars="0" w:right="12" w:firstLine="0" w:firstLineChars="0"/>
              <w:jc w:val="left"/>
              <w:textAlignment w:val="auto"/>
              <w:rPr>
                <w:rFonts w:hint="eastAsia" w:ascii="宋体" w:hAnsi="宋体" w:eastAsia="宋体" w:cs="宋体"/>
                <w:b w:val="0"/>
                <w:bCs/>
                <w:color w:val="auto"/>
                <w:kern w:val="2"/>
                <w:sz w:val="24"/>
                <w:szCs w:val="24"/>
                <w:lang w:val="en-US" w:eastAsia="zh-CN"/>
              </w:rPr>
            </w:pPr>
            <w:r>
              <w:rPr>
                <w:rFonts w:hint="eastAsia" w:ascii="宋体" w:hAnsi="宋体" w:eastAsia="宋体" w:cs="宋体"/>
                <w:b w:val="0"/>
                <w:bCs/>
                <w:color w:val="auto"/>
                <w:kern w:val="2"/>
                <w:sz w:val="24"/>
                <w:szCs w:val="24"/>
                <w:lang w:val="en-US" w:eastAsia="zh-CN"/>
              </w:rPr>
              <w:t>管理方案应包含：①内部控制管理制度②服务质量保证措施③廉政风险控制措施、④岗位人员配置及工作职责⑤工作效率保证措施⑥评审服务纪律保证措施⑦保密措施。</w:t>
            </w:r>
          </w:p>
          <w:p>
            <w:pPr>
              <w:keepNext w:val="0"/>
              <w:keepLines w:val="0"/>
              <w:pageBreakBefore w:val="0"/>
              <w:widowControl w:val="0"/>
              <w:kinsoku/>
              <w:wordWrap/>
              <w:overflowPunct/>
              <w:topLinePunct w:val="0"/>
              <w:autoSpaceDE/>
              <w:autoSpaceDN/>
              <w:bidi w:val="0"/>
              <w:adjustRightInd/>
              <w:snapToGrid/>
              <w:spacing w:line="359" w:lineRule="auto"/>
              <w:ind w:left="0" w:leftChars="0" w:right="12" w:firstLine="0" w:firstLineChars="0"/>
              <w:jc w:val="left"/>
              <w:textAlignment w:val="auto"/>
              <w:rPr>
                <w:rFonts w:hint="eastAsia" w:ascii="宋体" w:hAnsi="宋体" w:eastAsia="宋体" w:cs="宋体"/>
                <w:b w:val="0"/>
                <w:bCs/>
                <w:color w:val="auto"/>
                <w:kern w:val="2"/>
                <w:sz w:val="24"/>
                <w:szCs w:val="24"/>
                <w:lang w:val="en-US" w:eastAsia="zh-CN"/>
              </w:rPr>
            </w:pPr>
            <w:r>
              <w:rPr>
                <w:rFonts w:hint="eastAsia" w:ascii="宋体" w:hAnsi="宋体" w:eastAsia="宋体" w:cs="宋体"/>
                <w:b w:val="0"/>
                <w:bCs/>
                <w:color w:val="auto"/>
                <w:kern w:val="2"/>
                <w:sz w:val="24"/>
                <w:szCs w:val="24"/>
                <w:lang w:val="en-US" w:eastAsia="zh-CN"/>
              </w:rPr>
              <w:t>管理方案完全满足招标文件要求的得 14 分；管理方案中缺少以上任何一项的扣2分， 每有一项内容不完善或缺陷或不切实际扣1分，扣完为止。</w:t>
            </w:r>
          </w:p>
        </w:tc>
        <w:tc>
          <w:tcPr>
            <w:tcW w:w="1522" w:type="dxa"/>
            <w:noWrap w:val="0"/>
            <w:vAlign w:val="center"/>
          </w:tcPr>
          <w:p>
            <w:pPr>
              <w:keepNext w:val="0"/>
              <w:keepLines w:val="0"/>
              <w:pageBreakBefore w:val="0"/>
              <w:widowControl w:val="0"/>
              <w:kinsoku/>
              <w:wordWrap/>
              <w:overflowPunct/>
              <w:topLinePunct w:val="0"/>
              <w:autoSpaceDE/>
              <w:autoSpaceDN/>
              <w:bidi w:val="0"/>
              <w:adjustRightInd/>
              <w:snapToGrid/>
              <w:spacing w:line="252" w:lineRule="auto"/>
              <w:jc w:val="center"/>
              <w:textAlignment w:val="auto"/>
              <w:rPr>
                <w:rFonts w:hint="eastAsia" w:ascii="宋体" w:hAnsi="宋体" w:eastAsia="宋体" w:cs="宋体"/>
                <w:b w:val="0"/>
                <w:bCs/>
                <w:color w:val="auto"/>
                <w:kern w:val="2"/>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color w:val="auto"/>
                <w:kern w:val="2"/>
                <w:sz w:val="24"/>
                <w:szCs w:val="24"/>
                <w:lang w:val="zh-CN" w:eastAsia="zh-CN" w:bidi="ar-SA"/>
              </w:rPr>
            </w:pPr>
            <w:r>
              <w:rPr>
                <w:rFonts w:hint="eastAsia" w:ascii="宋体" w:hAnsi="宋体" w:eastAsia="宋体" w:cs="宋体"/>
                <w:b w:val="0"/>
                <w:bCs/>
                <w:color w:val="auto"/>
                <w:spacing w:val="-5"/>
                <w:kern w:val="2"/>
                <w:sz w:val="24"/>
                <w:szCs w:val="24"/>
              </w:rPr>
              <w:t>以投标文件为准</w:t>
            </w:r>
          </w:p>
        </w:tc>
        <w:tc>
          <w:tcPr>
            <w:tcW w:w="1118" w:type="dxa"/>
            <w:noWrap w:val="0"/>
            <w:vAlign w:val="center"/>
          </w:tcPr>
          <w:p>
            <w:pPr>
              <w:keepNext w:val="0"/>
              <w:keepLines w:val="0"/>
              <w:pageBreakBefore w:val="0"/>
              <w:widowControl w:val="0"/>
              <w:kinsoku/>
              <w:wordWrap/>
              <w:overflowPunct/>
              <w:topLinePunct w:val="0"/>
              <w:autoSpaceDE/>
              <w:autoSpaceDN/>
              <w:bidi w:val="0"/>
              <w:adjustRightInd/>
              <w:snapToGrid/>
              <w:spacing w:line="359" w:lineRule="auto"/>
              <w:ind w:left="0" w:leftChars="0" w:right="48" w:rightChars="0" w:firstLine="0" w:firstLineChars="0"/>
              <w:jc w:val="center"/>
              <w:textAlignment w:val="auto"/>
              <w:rPr>
                <w:rFonts w:hint="eastAsia" w:ascii="宋体" w:hAnsi="宋体" w:eastAsia="宋体" w:cs="宋体"/>
                <w:b w:val="0"/>
                <w:bCs/>
                <w:color w:val="auto"/>
                <w:kern w:val="2"/>
                <w:sz w:val="24"/>
                <w:szCs w:val="24"/>
                <w:lang w:val="zh-CN" w:eastAsia="zh-CN" w:bidi="ar-SA"/>
              </w:rPr>
            </w:pPr>
            <w:r>
              <w:rPr>
                <w:rFonts w:hint="eastAsia" w:ascii="宋体" w:hAnsi="宋体" w:eastAsia="宋体" w:cs="宋体"/>
                <w:b w:val="0"/>
                <w:bCs/>
                <w:color w:val="auto"/>
                <w:spacing w:val="-3"/>
                <w:kern w:val="2"/>
                <w:sz w:val="24"/>
                <w:szCs w:val="24"/>
              </w:rPr>
              <w:t>技术类专</w:t>
            </w:r>
            <w:r>
              <w:rPr>
                <w:rFonts w:hint="eastAsia" w:ascii="宋体" w:hAnsi="宋体" w:eastAsia="宋体" w:cs="宋体"/>
                <w:b w:val="0"/>
                <w:bCs/>
                <w:color w:val="auto"/>
                <w:kern w:val="2"/>
                <w:sz w:val="24"/>
                <w:szCs w:val="24"/>
              </w:rPr>
              <w:t xml:space="preserve">   </w:t>
            </w:r>
            <w:r>
              <w:rPr>
                <w:rFonts w:hint="eastAsia" w:ascii="宋体" w:hAnsi="宋体" w:eastAsia="宋体" w:cs="宋体"/>
                <w:b w:val="0"/>
                <w:bCs/>
                <w:color w:val="auto"/>
                <w:spacing w:val="-2"/>
                <w:kern w:val="2"/>
                <w:sz w:val="24"/>
                <w:szCs w:val="24"/>
              </w:rPr>
              <w:t>家、采购人</w:t>
            </w:r>
            <w:r>
              <w:rPr>
                <w:rFonts w:hint="eastAsia" w:ascii="宋体" w:hAnsi="宋体" w:eastAsia="宋体" w:cs="宋体"/>
                <w:b w:val="0"/>
                <w:bCs/>
                <w:color w:val="auto"/>
                <w:spacing w:val="1"/>
                <w:kern w:val="2"/>
                <w:sz w:val="24"/>
                <w:szCs w:val="24"/>
              </w:rPr>
              <w:t xml:space="preserve"> </w:t>
            </w:r>
            <w:r>
              <w:rPr>
                <w:rFonts w:hint="eastAsia" w:ascii="宋体" w:hAnsi="宋体" w:eastAsia="宋体" w:cs="宋体"/>
                <w:b w:val="0"/>
                <w:bCs/>
                <w:color w:val="auto"/>
                <w:spacing w:val="-2"/>
                <w:kern w:val="2"/>
                <w:sz w:val="24"/>
                <w:szCs w:val="24"/>
              </w:rPr>
              <w:t>代表评分因</w:t>
            </w:r>
            <w:r>
              <w:rPr>
                <w:rFonts w:hint="eastAsia" w:ascii="宋体" w:hAnsi="宋体" w:eastAsia="宋体" w:cs="宋体"/>
                <w:b w:val="0"/>
                <w:bCs/>
                <w:color w:val="auto"/>
                <w:spacing w:val="1"/>
                <w:kern w:val="2"/>
                <w:sz w:val="24"/>
                <w:szCs w:val="24"/>
              </w:rPr>
              <w:t xml:space="preserve"> </w:t>
            </w:r>
            <w:r>
              <w:rPr>
                <w:rFonts w:hint="eastAsia" w:ascii="宋体" w:hAnsi="宋体" w:eastAsia="宋体" w:cs="宋体"/>
                <w:b w:val="0"/>
                <w:bCs/>
                <w:color w:val="auto"/>
                <w:kern w:val="2"/>
                <w:sz w:val="24"/>
                <w:szCs w:val="24"/>
              </w:rPr>
              <w:t>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6" w:hRule="atLeast"/>
          <w:jc w:val="center"/>
        </w:trPr>
        <w:tc>
          <w:tcPr>
            <w:tcW w:w="691" w:type="dxa"/>
            <w:noWrap w:val="0"/>
            <w:vAlign w:val="center"/>
          </w:tcPr>
          <w:p>
            <w:pPr>
              <w:keepNext w:val="0"/>
              <w:keepLines w:val="0"/>
              <w:pageBreakBefore w:val="0"/>
              <w:widowControl w:val="0"/>
              <w:kinsoku/>
              <w:wordWrap/>
              <w:overflowPunct/>
              <w:topLinePunct w:val="0"/>
              <w:autoSpaceDE/>
              <w:autoSpaceDN/>
              <w:bidi w:val="0"/>
              <w:adjustRightInd/>
              <w:snapToGrid/>
              <w:spacing w:line="180" w:lineRule="auto"/>
              <w:ind w:firstLine="177"/>
              <w:jc w:val="center"/>
              <w:textAlignment w:val="auto"/>
              <w:rPr>
                <w:rFonts w:hint="eastAsia" w:ascii="宋体" w:hAnsi="宋体" w:eastAsia="宋体" w:cs="宋体"/>
                <w:b w:val="0"/>
                <w:bCs/>
                <w:color w:val="auto"/>
                <w:kern w:val="2"/>
                <w:sz w:val="24"/>
                <w:szCs w:val="24"/>
                <w:lang w:val="en-US" w:eastAsia="zh-CN"/>
              </w:rPr>
            </w:pPr>
            <w:r>
              <w:rPr>
                <w:rFonts w:hint="eastAsia" w:ascii="宋体" w:hAnsi="宋体" w:eastAsia="宋体" w:cs="宋体"/>
                <w:b w:val="0"/>
                <w:bCs/>
                <w:color w:val="auto"/>
                <w:kern w:val="2"/>
                <w:sz w:val="24"/>
                <w:szCs w:val="24"/>
                <w:lang w:val="en-US" w:eastAsia="zh-CN"/>
              </w:rPr>
              <w:t>5</w:t>
            </w:r>
          </w:p>
        </w:tc>
        <w:tc>
          <w:tcPr>
            <w:tcW w:w="1029" w:type="dxa"/>
            <w:noWrap w:val="0"/>
            <w:vAlign w:val="center"/>
          </w:tcPr>
          <w:p>
            <w:pPr>
              <w:keepNext w:val="0"/>
              <w:keepLines w:val="0"/>
              <w:pageBreakBefore w:val="0"/>
              <w:widowControl w:val="0"/>
              <w:kinsoku/>
              <w:wordWrap/>
              <w:overflowPunct/>
              <w:topLinePunct w:val="0"/>
              <w:autoSpaceDE/>
              <w:autoSpaceDN/>
              <w:bidi w:val="0"/>
              <w:adjustRightInd/>
              <w:snapToGrid/>
              <w:spacing w:line="359" w:lineRule="auto"/>
              <w:ind w:left="0" w:leftChars="0" w:right="97" w:firstLine="0" w:firstLineChars="0"/>
              <w:jc w:val="center"/>
              <w:textAlignment w:val="auto"/>
              <w:rPr>
                <w:rFonts w:hint="eastAsia" w:ascii="宋体" w:hAnsi="宋体" w:eastAsia="宋体" w:cs="宋体"/>
                <w:b w:val="0"/>
                <w:bCs/>
                <w:color w:val="auto"/>
                <w:kern w:val="0"/>
                <w:sz w:val="24"/>
                <w:szCs w:val="24"/>
                <w:lang w:val="en-US" w:eastAsia="zh-CN" w:bidi="ar"/>
              </w:rPr>
            </w:pPr>
            <w:r>
              <w:rPr>
                <w:rFonts w:hint="eastAsia" w:ascii="宋体" w:hAnsi="宋体" w:eastAsia="宋体" w:cs="宋体"/>
                <w:b w:val="0"/>
                <w:bCs/>
                <w:color w:val="auto"/>
                <w:kern w:val="0"/>
                <w:sz w:val="24"/>
                <w:szCs w:val="24"/>
                <w:lang w:val="en-US" w:eastAsia="zh-CN" w:bidi="ar"/>
              </w:rPr>
              <w:t>履约能力7%</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spacing w:line="184" w:lineRule="auto"/>
              <w:ind w:left="0" w:leftChars="0" w:firstLine="0" w:firstLineChars="0"/>
              <w:jc w:val="center"/>
              <w:textAlignment w:val="auto"/>
              <w:rPr>
                <w:rFonts w:hint="eastAsia" w:ascii="宋体" w:hAnsi="宋体" w:eastAsia="宋体" w:cs="宋体"/>
                <w:b w:val="0"/>
                <w:bCs/>
                <w:color w:val="auto"/>
                <w:kern w:val="2"/>
                <w:sz w:val="24"/>
                <w:szCs w:val="24"/>
                <w:lang w:val="en-US" w:eastAsia="zh-CN"/>
              </w:rPr>
            </w:pPr>
            <w:r>
              <w:rPr>
                <w:rFonts w:hint="eastAsia" w:ascii="宋体" w:hAnsi="宋体" w:eastAsia="宋体" w:cs="宋体"/>
                <w:b w:val="0"/>
                <w:bCs/>
                <w:color w:val="auto"/>
                <w:kern w:val="2"/>
                <w:sz w:val="24"/>
                <w:szCs w:val="24"/>
                <w:lang w:val="en-US" w:eastAsia="zh-CN"/>
              </w:rPr>
              <w:t>7分</w:t>
            </w:r>
          </w:p>
        </w:tc>
        <w:tc>
          <w:tcPr>
            <w:tcW w:w="5187" w:type="dxa"/>
            <w:noWrap w:val="0"/>
            <w:vAlign w:val="center"/>
          </w:tcPr>
          <w:p>
            <w:pPr>
              <w:keepNext w:val="0"/>
              <w:keepLines w:val="0"/>
              <w:pageBreakBefore w:val="0"/>
              <w:widowControl w:val="0"/>
              <w:kinsoku/>
              <w:wordWrap/>
              <w:overflowPunct/>
              <w:topLinePunct w:val="0"/>
              <w:autoSpaceDE/>
              <w:autoSpaceDN/>
              <w:bidi w:val="0"/>
              <w:adjustRightInd/>
              <w:snapToGrid/>
              <w:spacing w:line="359" w:lineRule="auto"/>
              <w:ind w:left="0" w:leftChars="0" w:right="12" w:firstLine="0" w:firstLineChars="0"/>
              <w:jc w:val="left"/>
              <w:textAlignment w:val="auto"/>
              <w:rPr>
                <w:rFonts w:hint="eastAsia" w:ascii="宋体" w:hAnsi="宋体" w:eastAsia="宋体" w:cs="宋体"/>
                <w:b w:val="0"/>
                <w:bCs/>
                <w:color w:val="auto"/>
                <w:kern w:val="2"/>
                <w:sz w:val="24"/>
                <w:szCs w:val="24"/>
                <w:lang w:val="en-US" w:eastAsia="zh-CN"/>
              </w:rPr>
            </w:pPr>
            <w:r>
              <w:rPr>
                <w:rFonts w:hint="eastAsia" w:ascii="宋体" w:hAnsi="宋体" w:eastAsia="宋体" w:cs="宋体"/>
                <w:b w:val="0"/>
                <w:bCs/>
                <w:color w:val="auto"/>
                <w:kern w:val="2"/>
                <w:sz w:val="24"/>
                <w:szCs w:val="24"/>
                <w:lang w:val="en-US" w:eastAsia="zh-CN"/>
              </w:rPr>
              <w:t>2018年1月1日以来，每提供一个完成的类似政府投资项目评审业绩（包括可研评审或节能评审业绩）得0.1分，本项最多得7 分。</w:t>
            </w:r>
          </w:p>
          <w:p>
            <w:pPr>
              <w:keepNext w:val="0"/>
              <w:keepLines w:val="0"/>
              <w:pageBreakBefore w:val="0"/>
              <w:widowControl w:val="0"/>
              <w:kinsoku/>
              <w:wordWrap/>
              <w:overflowPunct/>
              <w:topLinePunct w:val="0"/>
              <w:autoSpaceDE/>
              <w:autoSpaceDN/>
              <w:bidi w:val="0"/>
              <w:adjustRightInd/>
              <w:snapToGrid/>
              <w:spacing w:line="359" w:lineRule="auto"/>
              <w:ind w:left="0" w:leftChars="0" w:right="12" w:firstLine="0" w:firstLineChars="0"/>
              <w:jc w:val="left"/>
              <w:textAlignment w:val="auto"/>
              <w:rPr>
                <w:rFonts w:hint="eastAsia" w:ascii="宋体" w:hAnsi="宋体" w:eastAsia="宋体" w:cs="宋体"/>
                <w:b w:val="0"/>
                <w:bCs/>
                <w:color w:val="auto"/>
                <w:kern w:val="2"/>
                <w:sz w:val="24"/>
                <w:szCs w:val="24"/>
                <w:lang w:val="en-US" w:eastAsia="zh-CN"/>
              </w:rPr>
            </w:pPr>
            <w:r>
              <w:rPr>
                <w:rFonts w:hint="eastAsia" w:ascii="宋体" w:hAnsi="宋体" w:eastAsia="宋体" w:cs="宋体"/>
                <w:b w:val="0"/>
                <w:bCs/>
                <w:color w:val="auto"/>
                <w:kern w:val="2"/>
                <w:sz w:val="24"/>
                <w:szCs w:val="24"/>
                <w:lang w:val="en-US" w:eastAsia="zh-CN"/>
              </w:rPr>
              <w:t>说明：提供委托合同或任务单</w:t>
            </w:r>
            <w:r>
              <w:rPr>
                <w:rFonts w:hint="eastAsia" w:hAnsi="宋体" w:cs="宋体"/>
                <w:b w:val="0"/>
                <w:bCs/>
                <w:color w:val="auto"/>
                <w:kern w:val="2"/>
                <w:sz w:val="24"/>
                <w:szCs w:val="24"/>
                <w:lang w:val="en-US" w:eastAsia="zh-CN"/>
              </w:rPr>
              <w:t>或</w:t>
            </w:r>
            <w:r>
              <w:rPr>
                <w:rFonts w:hint="eastAsia" w:ascii="宋体" w:hAnsi="宋体" w:eastAsia="宋体" w:cs="宋体"/>
                <w:b w:val="0"/>
                <w:bCs/>
                <w:color w:val="auto"/>
                <w:kern w:val="2"/>
                <w:sz w:val="24"/>
                <w:szCs w:val="24"/>
                <w:lang w:val="en-US" w:eastAsia="zh-CN"/>
              </w:rPr>
              <w:t>评审报告正文复印件。</w:t>
            </w:r>
          </w:p>
        </w:tc>
        <w:tc>
          <w:tcPr>
            <w:tcW w:w="1522"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auto"/>
              <w:jc w:val="center"/>
              <w:textAlignment w:val="auto"/>
              <w:rPr>
                <w:rFonts w:hint="eastAsia" w:ascii="宋体" w:hAnsi="宋体" w:eastAsia="宋体" w:cs="宋体"/>
                <w:b w:val="0"/>
                <w:bCs/>
                <w:color w:val="auto"/>
                <w:kern w:val="2"/>
                <w:sz w:val="24"/>
                <w:szCs w:val="24"/>
              </w:rPr>
            </w:pPr>
          </w:p>
          <w:p>
            <w:pPr>
              <w:keepNext w:val="0"/>
              <w:keepLines w:val="0"/>
              <w:pageBreakBefore w:val="0"/>
              <w:widowControl w:val="0"/>
              <w:kinsoku/>
              <w:wordWrap/>
              <w:overflowPunct/>
              <w:topLinePunct w:val="0"/>
              <w:autoSpaceDE/>
              <w:autoSpaceDN/>
              <w:bidi w:val="0"/>
              <w:adjustRightInd/>
              <w:snapToGrid/>
              <w:spacing w:line="285" w:lineRule="auto"/>
              <w:jc w:val="center"/>
              <w:textAlignment w:val="auto"/>
              <w:rPr>
                <w:rFonts w:hint="eastAsia" w:ascii="宋体" w:hAnsi="宋体" w:eastAsia="宋体" w:cs="宋体"/>
                <w:b w:val="0"/>
                <w:bCs/>
                <w:color w:val="auto"/>
                <w:kern w:val="2"/>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color w:val="auto"/>
                <w:spacing w:val="-5"/>
                <w:kern w:val="2"/>
                <w:sz w:val="24"/>
                <w:szCs w:val="24"/>
              </w:rPr>
            </w:pPr>
            <w:r>
              <w:rPr>
                <w:rFonts w:hint="eastAsia" w:ascii="宋体" w:hAnsi="宋体" w:eastAsia="宋体" w:cs="宋体"/>
                <w:b w:val="0"/>
                <w:bCs/>
                <w:color w:val="auto"/>
                <w:spacing w:val="-5"/>
                <w:kern w:val="2"/>
                <w:sz w:val="24"/>
                <w:szCs w:val="24"/>
              </w:rPr>
              <w:t>以投标文件为准</w:t>
            </w:r>
          </w:p>
        </w:tc>
        <w:tc>
          <w:tcPr>
            <w:tcW w:w="1118" w:type="dxa"/>
            <w:noWrap w:val="0"/>
            <w:vAlign w:val="center"/>
          </w:tcPr>
          <w:p>
            <w:pPr>
              <w:keepNext w:val="0"/>
              <w:keepLines w:val="0"/>
              <w:pageBreakBefore w:val="0"/>
              <w:widowControl w:val="0"/>
              <w:kinsoku/>
              <w:wordWrap/>
              <w:overflowPunct/>
              <w:topLinePunct w:val="0"/>
              <w:autoSpaceDE/>
              <w:autoSpaceDN/>
              <w:bidi w:val="0"/>
              <w:adjustRightInd/>
              <w:snapToGrid/>
              <w:spacing w:line="247" w:lineRule="auto"/>
              <w:jc w:val="center"/>
              <w:textAlignment w:val="auto"/>
              <w:rPr>
                <w:rFonts w:hint="eastAsia" w:ascii="宋体" w:hAnsi="宋体" w:eastAsia="宋体" w:cs="宋体"/>
                <w:b w:val="0"/>
                <w:bCs/>
                <w:color w:val="auto"/>
                <w:kern w:val="2"/>
                <w:sz w:val="24"/>
                <w:szCs w:val="24"/>
              </w:rPr>
            </w:pPr>
          </w:p>
          <w:p>
            <w:pPr>
              <w:keepNext w:val="0"/>
              <w:keepLines w:val="0"/>
              <w:pageBreakBefore w:val="0"/>
              <w:widowControl w:val="0"/>
              <w:kinsoku/>
              <w:wordWrap/>
              <w:overflowPunct/>
              <w:topLinePunct w:val="0"/>
              <w:autoSpaceDE/>
              <w:autoSpaceDN/>
              <w:bidi w:val="0"/>
              <w:adjustRightInd/>
              <w:snapToGrid/>
              <w:spacing w:line="247" w:lineRule="auto"/>
              <w:jc w:val="center"/>
              <w:textAlignment w:val="auto"/>
              <w:rPr>
                <w:rFonts w:hint="eastAsia" w:ascii="宋体" w:hAnsi="宋体" w:eastAsia="宋体" w:cs="宋体"/>
                <w:b w:val="0"/>
                <w:bCs/>
                <w:color w:val="auto"/>
                <w:kern w:val="2"/>
                <w:sz w:val="24"/>
                <w:szCs w:val="24"/>
              </w:rPr>
            </w:pPr>
          </w:p>
          <w:p>
            <w:pPr>
              <w:keepNext w:val="0"/>
              <w:keepLines w:val="0"/>
              <w:pageBreakBefore w:val="0"/>
              <w:widowControl w:val="0"/>
              <w:kinsoku/>
              <w:wordWrap/>
              <w:overflowPunct/>
              <w:topLinePunct w:val="0"/>
              <w:autoSpaceDE/>
              <w:autoSpaceDN/>
              <w:bidi w:val="0"/>
              <w:adjustRightInd/>
              <w:snapToGrid/>
              <w:spacing w:line="359" w:lineRule="auto"/>
              <w:ind w:left="0" w:leftChars="0" w:right="31" w:rightChars="0" w:firstLine="0" w:firstLineChars="0"/>
              <w:jc w:val="center"/>
              <w:textAlignment w:val="auto"/>
              <w:rPr>
                <w:rFonts w:hint="eastAsia" w:ascii="宋体" w:hAnsi="宋体" w:eastAsia="宋体" w:cs="宋体"/>
                <w:b w:val="0"/>
                <w:bCs/>
                <w:color w:val="auto"/>
                <w:spacing w:val="-3"/>
                <w:kern w:val="2"/>
                <w:sz w:val="24"/>
                <w:szCs w:val="24"/>
              </w:rPr>
            </w:pPr>
            <w:r>
              <w:rPr>
                <w:rFonts w:hint="eastAsia" w:ascii="宋体" w:hAnsi="宋体" w:eastAsia="宋体" w:cs="宋体"/>
                <w:b w:val="0"/>
                <w:bCs/>
                <w:color w:val="auto"/>
                <w:spacing w:val="-2"/>
                <w:kern w:val="2"/>
                <w:sz w:val="24"/>
                <w:szCs w:val="24"/>
              </w:rPr>
              <w:t>共同评分因</w:t>
            </w:r>
            <w:r>
              <w:rPr>
                <w:rFonts w:hint="eastAsia" w:ascii="宋体" w:hAnsi="宋体" w:eastAsia="宋体" w:cs="宋体"/>
                <w:b w:val="0"/>
                <w:bCs/>
                <w:color w:val="auto"/>
                <w:spacing w:val="1"/>
                <w:kern w:val="2"/>
                <w:sz w:val="24"/>
                <w:szCs w:val="24"/>
              </w:rPr>
              <w:t xml:space="preserve"> </w:t>
            </w:r>
            <w:r>
              <w:rPr>
                <w:rFonts w:hint="eastAsia" w:ascii="宋体" w:hAnsi="宋体" w:eastAsia="宋体" w:cs="宋体"/>
                <w:b w:val="0"/>
                <w:bCs/>
                <w:color w:val="auto"/>
                <w:kern w:val="2"/>
                <w:sz w:val="24"/>
                <w:szCs w:val="24"/>
              </w:rPr>
              <w:t>素</w:t>
            </w:r>
          </w:p>
        </w:tc>
      </w:tr>
    </w:tbl>
    <w:p>
      <w:pPr>
        <w:spacing w:line="360" w:lineRule="auto"/>
        <w:rPr>
          <w:rFonts w:hint="eastAsia" w:asciiTheme="minorEastAsia" w:hAnsiTheme="minorEastAsia" w:eastAsiaTheme="minorEastAsia" w:cstheme="minorEastAsia"/>
          <w:bCs/>
          <w:color w:val="auto"/>
          <w:sz w:val="24"/>
          <w:szCs w:val="22"/>
        </w:rPr>
      </w:pPr>
      <w:r>
        <w:rPr>
          <w:rFonts w:hint="eastAsia" w:asciiTheme="minorEastAsia" w:hAnsiTheme="minorEastAsia" w:eastAsiaTheme="minorEastAsia" w:cstheme="minorEastAsia"/>
          <w:bCs/>
          <w:color w:val="auto"/>
          <w:sz w:val="24"/>
          <w:szCs w:val="22"/>
        </w:rPr>
        <w:t>注：得分结果以四舍五入法最多保留至小数点后两位。</w:t>
      </w:r>
    </w:p>
    <w:p>
      <w:pPr>
        <w:spacing w:line="360" w:lineRule="auto"/>
        <w:ind w:firstLine="420"/>
        <w:rPr>
          <w:rFonts w:hint="eastAsia" w:asciiTheme="minorEastAsia" w:hAnsiTheme="minorEastAsia" w:eastAsiaTheme="minorEastAsia" w:cstheme="minorEastAsia"/>
          <w:bCs/>
          <w:color w:val="auto"/>
          <w:sz w:val="24"/>
          <w:szCs w:val="22"/>
        </w:rPr>
      </w:pPr>
      <w:bookmarkStart w:id="157" w:name="_Toc217446059"/>
      <w:r>
        <w:rPr>
          <w:rFonts w:hint="eastAsia" w:asciiTheme="minorEastAsia" w:hAnsiTheme="minorEastAsia" w:eastAsiaTheme="minorEastAsia" w:cstheme="minorEastAsia"/>
          <w:bCs/>
          <w:color w:val="auto"/>
          <w:sz w:val="24"/>
          <w:szCs w:val="22"/>
        </w:rPr>
        <w:t>4.3.3本次综合评分法由评标委员会各成员独立对通过初审（资格检查和符合性检查）的投标人的投标文件进行评审和打分，</w:t>
      </w:r>
    </w:p>
    <w:p>
      <w:pPr>
        <w:spacing w:line="360" w:lineRule="auto"/>
        <w:ind w:firstLine="420"/>
        <w:rPr>
          <w:rFonts w:hint="eastAsia" w:asciiTheme="minorEastAsia" w:hAnsiTheme="minorEastAsia" w:eastAsiaTheme="minorEastAsia" w:cstheme="minorEastAsia"/>
          <w:bCs/>
          <w:color w:val="auto"/>
          <w:sz w:val="24"/>
          <w:szCs w:val="22"/>
        </w:rPr>
      </w:pPr>
      <w:r>
        <w:rPr>
          <w:rFonts w:hint="eastAsia" w:asciiTheme="minorEastAsia" w:hAnsiTheme="minorEastAsia" w:eastAsiaTheme="minorEastAsia" w:cstheme="minorEastAsia"/>
          <w:bCs/>
          <w:color w:val="auto"/>
          <w:sz w:val="24"/>
          <w:szCs w:val="22"/>
        </w:rPr>
        <w:t>评标得分＝（A1＋A2＋……＋An）/NA＋（B1＋B2＋……＋Bn）/ NB＋（C1＋C2＋……＋Cn）/ NC＋（D1＋D2＋……＋Dn）/ ND</w:t>
      </w:r>
    </w:p>
    <w:p>
      <w:pPr>
        <w:spacing w:line="360" w:lineRule="auto"/>
        <w:ind w:firstLine="420"/>
        <w:rPr>
          <w:rFonts w:hint="eastAsia" w:asciiTheme="minorEastAsia" w:hAnsiTheme="minorEastAsia" w:eastAsiaTheme="minorEastAsia" w:cstheme="minorEastAsia"/>
          <w:bCs/>
          <w:color w:val="auto"/>
          <w:sz w:val="24"/>
          <w:szCs w:val="22"/>
        </w:rPr>
      </w:pPr>
      <w:r>
        <w:rPr>
          <w:rFonts w:hint="eastAsia" w:asciiTheme="minorEastAsia" w:hAnsiTheme="minorEastAsia" w:eastAsiaTheme="minorEastAsia" w:cstheme="minorEastAsia"/>
          <w:bCs/>
          <w:color w:val="auto"/>
          <w:sz w:val="24"/>
          <w:szCs w:val="22"/>
        </w:rPr>
        <w:t>A1、A2……An分别为每个经济类评委（经济类专家）的打分，NA为经济类评委（经济类专家）人数；B1、B2＋……Bn 分别为每个技术类评委（技术类专家和采购人代表）的打分，NB为技术类评委（技术类专家和采购人代表）人数；C1、C2……Cn 分别为每个政策合同类评委（法律类专家）的打分，NC为政策合同类评委（法律类专家）人数；D1、D2……Dn 分别为评审委员会每个成员的打分（共同评分类），ND为评标委员会人数。</w:t>
      </w:r>
      <w:bookmarkEnd w:id="157"/>
    </w:p>
    <w:bookmarkEnd w:id="154"/>
    <w:p>
      <w:pPr>
        <w:rPr>
          <w:rFonts w:hint="eastAsia" w:asciiTheme="minorEastAsia" w:hAnsiTheme="minorEastAsia" w:eastAsiaTheme="minorEastAsia" w:cstheme="minorEastAsia"/>
          <w:b/>
          <w:color w:val="auto"/>
          <w:sz w:val="24"/>
          <w:szCs w:val="24"/>
        </w:rPr>
      </w:pPr>
      <w:bookmarkStart w:id="158" w:name="_Toc217446060"/>
      <w:r>
        <w:rPr>
          <w:rFonts w:hint="eastAsia" w:asciiTheme="minorEastAsia" w:hAnsiTheme="minorEastAsia" w:eastAsiaTheme="minorEastAsia" w:cstheme="minorEastAsia"/>
          <w:b/>
          <w:color w:val="auto"/>
          <w:sz w:val="24"/>
          <w:szCs w:val="24"/>
        </w:rPr>
        <w:t>5、 废 标</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rPr>
        <w:t>5.1本次政府采购活动中，出现下列情形之一的，予以废标：</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（1）符合专业条件的供应商或者对招标文件作实质响应的供应商不足三家的；</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（2）出现影响采购公正的违法、违规行为的；</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（3）投标人的报价均超过了采购预算，采购人不能支付的；</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（4）因重大变故，采购任务取消的。</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废标后，采购代理机构应在四川政府采购网上公告，并公告废标的情形。投标人需要知晓导致废标情形的具体原因和理由的，可以通过书面形式询问招标采购单位。</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5.2对于评标过程中废标的采购项目，评标委员会应当对招标文件是否存在倾向性和歧视性、是否存在不合理条款进行论证，并出具书面论证意见。</w:t>
      </w:r>
    </w:p>
    <w:p>
      <w:pPr>
        <w:spacing w:before="120" w:beforeLines="50" w:after="120" w:afterLines="50" w:line="400" w:lineRule="exact"/>
        <w:ind w:firstLine="482" w:firstLineChars="200"/>
        <w:rPr>
          <w:rFonts w:hint="eastAsia" w:asciiTheme="minorEastAsia" w:hAnsiTheme="minorEastAsia" w:eastAsiaTheme="minorEastAsia" w:cstheme="minorEastAsia"/>
          <w:b/>
          <w:bCs/>
          <w:color w:val="auto"/>
          <w:sz w:val="24"/>
          <w:szCs w:val="22"/>
        </w:rPr>
      </w:pPr>
      <w:r>
        <w:rPr>
          <w:rFonts w:hint="eastAsia" w:asciiTheme="minorEastAsia" w:hAnsiTheme="minorEastAsia" w:eastAsiaTheme="minorEastAsia" w:cstheme="minorEastAsia"/>
          <w:b/>
          <w:bCs/>
          <w:color w:val="auto"/>
          <w:sz w:val="24"/>
          <w:szCs w:val="22"/>
        </w:rPr>
        <w:t>6、定标</w:t>
      </w:r>
      <w:bookmarkEnd w:id="158"/>
      <w:bookmarkStart w:id="159" w:name="_Toc217446061"/>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rPr>
        <w:t>6.1. 定标原则</w:t>
      </w:r>
      <w:bookmarkEnd w:id="159"/>
      <w:r>
        <w:rPr>
          <w:rFonts w:hint="eastAsia" w:asciiTheme="minorEastAsia" w:hAnsiTheme="minorEastAsia" w:eastAsiaTheme="minorEastAsia" w:cstheme="minorEastAsia"/>
          <w:color w:val="auto"/>
          <w:sz w:val="24"/>
        </w:rPr>
        <w:t>：本项目根据评标委员会推荐的中标候选供应商名单，按顺序确定中标供应商。</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bookmarkStart w:id="160" w:name="_Toc217446062"/>
      <w:r>
        <w:rPr>
          <w:rFonts w:hint="eastAsia" w:asciiTheme="minorEastAsia" w:hAnsiTheme="minorEastAsia" w:eastAsiaTheme="minorEastAsia" w:cstheme="minorEastAsia"/>
          <w:color w:val="auto"/>
          <w:sz w:val="24"/>
        </w:rPr>
        <w:t>6.2. 定标程序</w:t>
      </w:r>
      <w:bookmarkEnd w:id="160"/>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6.2.1 评标委员会将评标情况写出书面报告，推荐中标候选供应商。</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6.2.2 采购代理机构在评标结束后2个工作日内将评标报告送采购人。</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6.2.3 采购人在收到评标报告后5个工作日内，按照评标报告中推荐的中标候选供应商顺序确定中标供应商。采用最低评标价法的，评标结果按投标报价由低到高顺序排列。投标报价相同的并列。投标文件满足招标文件全部实质性要求且投标报价最低的投标人为排名第一的中标候选人。报价相同且满足招标文件全部实质性要求的并列，由采购人自主采取随机抽取的方式选择中标供应商。采用综合评分法的，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排名并列的由采购人自主采取随机抽取的方式选择中标供应商。（注：投标人为不发达地区和少数民族地区，评审得分且技术指标分项得分均相同的，评标委员会优先推荐企业注册地在不发达地区和少数民族地区的投标人）</w:t>
      </w:r>
    </w:p>
    <w:p>
      <w:pPr>
        <w:spacing w:before="120" w:beforeLines="50" w:after="120" w:afterLines="50" w:line="400" w:lineRule="exact"/>
        <w:ind w:firstLine="482" w:firstLineChars="200"/>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注意，采购人按照推荐的中标候选供应商顺序确定中标供应商，不能认为采购人只能确定第一中标候选供应商为中标供应商，采购人有正当理由的，可以确定后一顺序中标候选供应商为中标供应商，依次类推。</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6.2.4 根据采购人确定的中标供应商，采购代理机构在四川政府采购网上发布中标公告，在四川政府采购网公告中标结果同时发出中标通知书，中标</w:t>
      </w:r>
      <w:r>
        <w:rPr>
          <w:rFonts w:hint="eastAsia" w:asciiTheme="minorEastAsia" w:hAnsiTheme="minorEastAsia" w:eastAsiaTheme="minorEastAsia" w:cstheme="minorEastAsia"/>
          <w:color w:val="auto"/>
          <w:sz w:val="24"/>
          <w:lang w:eastAsia="zh-CN"/>
        </w:rPr>
        <w:t>认</w:t>
      </w:r>
      <w:r>
        <w:rPr>
          <w:rFonts w:hint="eastAsia" w:asciiTheme="minorEastAsia" w:hAnsiTheme="minorEastAsia" w:eastAsiaTheme="minorEastAsia" w:cstheme="minorEastAsia"/>
          <w:color w:val="auto"/>
          <w:sz w:val="24"/>
        </w:rPr>
        <w:t>自行登录政府采购云平台下载中标通知书。</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6.2.5 招标采购单位不退回投标人投标文件和其他投标资料。</w:t>
      </w:r>
    </w:p>
    <w:p>
      <w:pPr>
        <w:pStyle w:val="4"/>
        <w:spacing w:before="120" w:beforeLines="50" w:after="120" w:afterLines="50" w:line="400" w:lineRule="exact"/>
        <w:ind w:firstLine="482" w:firstLineChars="200"/>
        <w:rPr>
          <w:rFonts w:hint="eastAsia" w:asciiTheme="minorEastAsia" w:hAnsiTheme="minorEastAsia" w:eastAsiaTheme="minorEastAsia" w:cstheme="minorEastAsia"/>
          <w:bCs w:val="0"/>
          <w:color w:val="auto"/>
          <w:sz w:val="24"/>
          <w:szCs w:val="24"/>
        </w:rPr>
      </w:pPr>
      <w:bookmarkStart w:id="161" w:name="_Toc183582297"/>
      <w:bookmarkStart w:id="162" w:name="_Toc208849022"/>
      <w:bookmarkStart w:id="163" w:name="_Toc217446105"/>
      <w:bookmarkStart w:id="164" w:name="_Toc183682432"/>
      <w:r>
        <w:rPr>
          <w:rFonts w:hint="eastAsia" w:asciiTheme="minorEastAsia" w:hAnsiTheme="minorEastAsia" w:eastAsiaTheme="minorEastAsia" w:cstheme="minorEastAsia"/>
          <w:bCs w:val="0"/>
          <w:color w:val="auto"/>
          <w:sz w:val="24"/>
          <w:szCs w:val="24"/>
        </w:rPr>
        <w:t xml:space="preserve">7. </w:t>
      </w:r>
      <w:bookmarkEnd w:id="161"/>
      <w:bookmarkEnd w:id="162"/>
      <w:bookmarkEnd w:id="163"/>
      <w:bookmarkEnd w:id="164"/>
      <w:r>
        <w:rPr>
          <w:rFonts w:hint="eastAsia" w:asciiTheme="minorEastAsia" w:hAnsiTheme="minorEastAsia" w:eastAsiaTheme="minorEastAsia" w:cstheme="minorEastAsia"/>
          <w:color w:val="auto"/>
          <w:sz w:val="24"/>
          <w:szCs w:val="24"/>
        </w:rPr>
        <w:t>评标专家在</w:t>
      </w:r>
      <w:r>
        <w:rPr>
          <w:rFonts w:hint="eastAsia" w:asciiTheme="minorEastAsia" w:hAnsiTheme="minorEastAsia" w:eastAsiaTheme="minorEastAsia" w:cstheme="minorEastAsia"/>
          <w:color w:val="auto"/>
          <w:sz w:val="24"/>
        </w:rPr>
        <w:t>政府采购活动</w:t>
      </w:r>
      <w:r>
        <w:rPr>
          <w:rFonts w:hint="eastAsia" w:asciiTheme="minorEastAsia" w:hAnsiTheme="minorEastAsia" w:eastAsiaTheme="minorEastAsia" w:cstheme="minorEastAsia"/>
          <w:color w:val="auto"/>
          <w:sz w:val="24"/>
          <w:szCs w:val="24"/>
        </w:rPr>
        <w:t>中承担以下义务：</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rPr>
        <w:t xml:space="preserve">（一）遵守评审工作纪律； </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（二）按照客观、公正、审慎的原则，根据采购文件规定的评审程序、评审方法和评审标准进行独立评审；</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（三）不得泄露评审文件、评审情况和在评审过程中获悉的商业秘密；</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（四）及时向监督部门报告评审过程中采购组织单位向评审专家做倾向性、误导性的解释或者说明，供应商行贿、提供虚假材料或者串通、受到的非法干预情况等违法违规行为；</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（五）发现采购文件内容违反国家有关强制性规定或者存在歧义、重大缺陷导致评审工作无法进行时，停止评审并向采购组织单位书面说明情况；</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（六）配合答复处理供应商的询问、质疑和投诉等事项；</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（七）法律、法规和规章规定的其他义务。</w:t>
      </w:r>
    </w:p>
    <w:p>
      <w:pPr>
        <w:pStyle w:val="4"/>
        <w:spacing w:before="120" w:beforeLines="50" w:after="120" w:afterLines="50" w:line="400" w:lineRule="exact"/>
        <w:ind w:firstLine="482" w:firstLineChars="200"/>
        <w:rPr>
          <w:rFonts w:hint="eastAsia" w:asciiTheme="minorEastAsia" w:hAnsiTheme="minorEastAsia" w:eastAsiaTheme="minorEastAsia" w:cstheme="minorEastAsia"/>
          <w:bCs w:val="0"/>
          <w:color w:val="auto"/>
          <w:sz w:val="24"/>
          <w:szCs w:val="24"/>
        </w:rPr>
      </w:pPr>
      <w:r>
        <w:rPr>
          <w:rFonts w:hint="eastAsia" w:asciiTheme="minorEastAsia" w:hAnsiTheme="minorEastAsia" w:eastAsiaTheme="minorEastAsia" w:cstheme="minorEastAsia"/>
          <w:bCs w:val="0"/>
          <w:color w:val="auto"/>
          <w:sz w:val="24"/>
          <w:szCs w:val="24"/>
        </w:rPr>
        <w:t>8.评标专家在政府采购活动中应当遵守以下工作纪律：</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rPr>
        <w:t>（一）遵行《政府采购法》第十二条和《政府采购法实施条例》第九条及财政部关于回避的规定。</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（二）评标前，应当将通讯工具或者相关电子设备交由招标采购单位统一保管。</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（三）评标过程中，不得与外界联系，因发生不可预见情况，确实需要与外界联系的，应当在监督人员监督之下办理。</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（五）在评标过程中和评标结束后，不得记录、复制或带走任何评标资料，除因规定的义务外，不得向外界透露评标内容。</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（六）服从评标现场招标采购单位的现场秩序管理，接受评标现场监督人员的合法监督。</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（七）遵守有关廉洁自律规定，不得私下接触供应商，不得收受供应商及有关业务单位和个人的财物或好处，不得接受采购组织单位的请托。</w:t>
      </w:r>
    </w:p>
    <w:p>
      <w:pPr>
        <w:pStyle w:val="42"/>
        <w:rPr>
          <w:rFonts w:hint="eastAsia" w:asciiTheme="minorEastAsia" w:hAnsiTheme="minorEastAsia" w:eastAsiaTheme="minorEastAsia" w:cstheme="minorEastAsia"/>
          <w:color w:val="auto"/>
          <w:sz w:val="24"/>
          <w:szCs w:val="22"/>
        </w:rPr>
      </w:pPr>
      <w:r>
        <w:rPr>
          <w:rFonts w:hint="eastAsia" w:asciiTheme="minorEastAsia" w:hAnsiTheme="minorEastAsia" w:eastAsiaTheme="minorEastAsia" w:cstheme="minorEastAsia"/>
          <w:color w:val="auto"/>
          <w:sz w:val="36"/>
          <w:szCs w:val="36"/>
        </w:rPr>
        <w:br w:type="page"/>
      </w:r>
      <w:bookmarkStart w:id="165" w:name="_Toc16512"/>
      <w:bookmarkStart w:id="166" w:name="_Toc16429"/>
      <w:bookmarkStart w:id="167" w:name="_Toc7388"/>
      <w:r>
        <w:rPr>
          <w:rFonts w:hint="eastAsia" w:asciiTheme="minorEastAsia" w:hAnsiTheme="minorEastAsia" w:eastAsiaTheme="minorEastAsia" w:cstheme="minorEastAsia"/>
          <w:color w:val="auto"/>
        </w:rPr>
        <w:t>第</w:t>
      </w:r>
      <w:r>
        <w:rPr>
          <w:rFonts w:hint="eastAsia" w:asciiTheme="minorEastAsia" w:hAnsiTheme="minorEastAsia" w:eastAsiaTheme="minorEastAsia" w:cstheme="minorEastAsia"/>
          <w:color w:val="auto"/>
          <w:lang w:eastAsia="zh-CN"/>
        </w:rPr>
        <w:t>八</w:t>
      </w:r>
      <w:r>
        <w:rPr>
          <w:rFonts w:hint="eastAsia" w:asciiTheme="minorEastAsia" w:hAnsiTheme="minorEastAsia" w:eastAsiaTheme="minorEastAsia" w:cstheme="minorEastAsia"/>
          <w:color w:val="auto"/>
        </w:rPr>
        <w:t>章  合同主要条款（范本）</w:t>
      </w:r>
      <w:bookmarkEnd w:id="165"/>
      <w:bookmarkEnd w:id="166"/>
      <w:bookmarkEnd w:id="167"/>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color w:val="auto"/>
          <w:kern w:val="2"/>
          <w:sz w:val="24"/>
          <w:szCs w:val="24"/>
        </w:rPr>
      </w:pPr>
      <w:r>
        <w:rPr>
          <w:rFonts w:hint="eastAsia" w:ascii="宋体" w:hAnsi="宋体" w:eastAsia="宋体" w:cs="宋体"/>
          <w:b w:val="0"/>
          <w:color w:val="auto"/>
          <w:kern w:val="0"/>
          <w:sz w:val="24"/>
          <w:szCs w:val="24"/>
          <w:lang w:val="en-US" w:eastAsia="zh-CN" w:bidi="ar"/>
        </w:rPr>
        <w:t xml:space="preserve">委托方（甲方）： </w:t>
      </w: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color w:val="auto"/>
          <w:kern w:val="2"/>
          <w:sz w:val="24"/>
          <w:szCs w:val="24"/>
        </w:rPr>
      </w:pPr>
      <w:r>
        <w:rPr>
          <w:rFonts w:hint="eastAsia" w:ascii="宋体" w:hAnsi="宋体" w:eastAsia="宋体" w:cs="宋体"/>
          <w:b w:val="0"/>
          <w:color w:val="auto"/>
          <w:kern w:val="0"/>
          <w:sz w:val="24"/>
          <w:szCs w:val="24"/>
          <w:lang w:val="en-US" w:eastAsia="zh-CN" w:bidi="ar"/>
        </w:rPr>
        <w:t xml:space="preserve">受托方（乙方）: </w:t>
      </w:r>
    </w:p>
    <w:p>
      <w:pPr>
        <w:keepNext w:val="0"/>
        <w:keepLines w:val="0"/>
        <w:widowControl/>
        <w:suppressLineNumbers w:val="0"/>
        <w:autoSpaceDE w:val="0"/>
        <w:autoSpaceDN/>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rPr>
      </w:pPr>
      <w:r>
        <w:rPr>
          <w:rFonts w:hint="eastAsia" w:ascii="宋体" w:hAnsi="宋体" w:eastAsia="宋体" w:cs="宋体"/>
          <w:b w:val="0"/>
          <w:color w:val="auto"/>
          <w:kern w:val="0"/>
          <w:sz w:val="24"/>
          <w:szCs w:val="24"/>
          <w:lang w:val="en-US" w:eastAsia="zh-CN" w:bidi="ar"/>
        </w:rPr>
        <w:t>甲乙双方根据“（采购项目名称）”（</w:t>
      </w:r>
      <w:r>
        <w:rPr>
          <w:rFonts w:hint="eastAsia" w:hAnsi="宋体" w:cs="宋体"/>
          <w:b w:val="0"/>
          <w:color w:val="auto"/>
          <w:kern w:val="0"/>
          <w:sz w:val="24"/>
          <w:szCs w:val="24"/>
          <w:lang w:val="en-US" w:eastAsia="zh-CN" w:bidi="ar"/>
        </w:rPr>
        <w:t>采购</w:t>
      </w:r>
      <w:r>
        <w:rPr>
          <w:rFonts w:hint="eastAsia" w:ascii="宋体" w:hAnsi="宋体" w:eastAsia="宋体" w:cs="宋体"/>
          <w:b w:val="0"/>
          <w:color w:val="auto"/>
          <w:kern w:val="0"/>
          <w:sz w:val="24"/>
          <w:szCs w:val="24"/>
          <w:lang w:val="en-US" w:eastAsia="zh-CN" w:bidi="ar"/>
        </w:rPr>
        <w:t xml:space="preserve">项目编号）（包件号及名称）招标采购结果，经双方共同商定，特签订以下合同条款： </w:t>
      </w: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color w:val="auto"/>
          <w:kern w:val="2"/>
          <w:sz w:val="24"/>
          <w:szCs w:val="24"/>
        </w:rPr>
      </w:pPr>
      <w:r>
        <w:rPr>
          <w:rFonts w:hint="eastAsia" w:ascii="宋体" w:hAnsi="宋体" w:eastAsia="宋体" w:cs="宋体"/>
          <w:b/>
          <w:bCs w:val="0"/>
          <w:color w:val="auto"/>
          <w:kern w:val="0"/>
          <w:sz w:val="24"/>
          <w:szCs w:val="24"/>
          <w:lang w:val="en-US" w:eastAsia="zh-CN" w:bidi="ar"/>
        </w:rPr>
        <w:t xml:space="preserve">一、服务内容 </w:t>
      </w: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color w:val="auto"/>
          <w:kern w:val="2"/>
          <w:sz w:val="24"/>
          <w:szCs w:val="24"/>
        </w:rPr>
      </w:pPr>
      <w:r>
        <w:rPr>
          <w:rFonts w:hint="eastAsia" w:ascii="宋体" w:hAnsi="宋体" w:eastAsia="宋体" w:cs="宋体"/>
          <w:b w:val="0"/>
          <w:color w:val="auto"/>
          <w:kern w:val="0"/>
          <w:sz w:val="24"/>
          <w:szCs w:val="24"/>
          <w:lang w:val="en-US" w:eastAsia="zh-CN" w:bidi="ar"/>
        </w:rPr>
        <w:t xml:space="preserve">本合同为框架合同，甲方委托乙方对： </w:t>
      </w: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color w:val="auto"/>
          <w:kern w:val="2"/>
          <w:sz w:val="24"/>
          <w:szCs w:val="24"/>
        </w:rPr>
      </w:pPr>
      <w:r>
        <w:rPr>
          <w:rFonts w:hint="eastAsia" w:ascii="宋体" w:hAnsi="宋体" w:eastAsia="宋体" w:cs="宋体"/>
          <w:b/>
          <w:bCs w:val="0"/>
          <w:color w:val="auto"/>
          <w:kern w:val="0"/>
          <w:sz w:val="24"/>
          <w:szCs w:val="24"/>
          <w:lang w:val="en-US" w:eastAsia="zh-CN" w:bidi="ar"/>
        </w:rPr>
        <w:t xml:space="preserve">二、甲方的权利和义务 </w:t>
      </w: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color w:val="auto"/>
          <w:kern w:val="2"/>
          <w:sz w:val="24"/>
          <w:szCs w:val="24"/>
        </w:rPr>
      </w:pPr>
      <w:r>
        <w:rPr>
          <w:rFonts w:hint="eastAsia" w:ascii="宋体" w:hAnsi="宋体" w:eastAsia="宋体" w:cs="宋体"/>
          <w:b w:val="0"/>
          <w:color w:val="auto"/>
          <w:kern w:val="0"/>
          <w:sz w:val="24"/>
          <w:szCs w:val="24"/>
          <w:lang w:val="en-US" w:eastAsia="zh-CN" w:bidi="ar"/>
        </w:rPr>
        <w:t xml:space="preserve">（一）甲方根据服务评审（评价）任务向乙方下达工作目标，提出工作要求； </w:t>
      </w: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color w:val="auto"/>
          <w:kern w:val="2"/>
          <w:sz w:val="24"/>
          <w:szCs w:val="24"/>
        </w:rPr>
      </w:pPr>
      <w:r>
        <w:rPr>
          <w:rFonts w:hint="eastAsia" w:ascii="宋体" w:hAnsi="宋体" w:eastAsia="宋体" w:cs="宋体"/>
          <w:b w:val="0"/>
          <w:color w:val="auto"/>
          <w:kern w:val="0"/>
          <w:sz w:val="24"/>
          <w:szCs w:val="24"/>
          <w:lang w:val="en-US" w:eastAsia="zh-CN" w:bidi="ar"/>
        </w:rPr>
        <w:t xml:space="preserve">（二）甲方有权对乙方的工作底稿和结果进行稽核和抽查，并对乙方工作进行监督； </w:t>
      </w: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color w:val="auto"/>
          <w:kern w:val="2"/>
          <w:sz w:val="24"/>
          <w:szCs w:val="24"/>
        </w:rPr>
      </w:pPr>
      <w:r>
        <w:rPr>
          <w:rFonts w:hint="eastAsia" w:ascii="宋体" w:hAnsi="宋体" w:eastAsia="宋体" w:cs="宋体"/>
          <w:b w:val="0"/>
          <w:color w:val="auto"/>
          <w:kern w:val="0"/>
          <w:sz w:val="24"/>
          <w:szCs w:val="24"/>
          <w:lang w:val="en-US" w:eastAsia="zh-CN" w:bidi="ar"/>
        </w:rPr>
        <w:t xml:space="preserve">（三）如乙方未能按本合同的要求完成有关工作或评审（评价）中出现严重差错或违反廉政纪律，甲方有权追究乙方的经济责任，包括但不限于扣减全部服务费用，并追究相关法律责任； </w:t>
      </w: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color w:val="auto"/>
          <w:kern w:val="2"/>
          <w:sz w:val="24"/>
          <w:szCs w:val="24"/>
        </w:rPr>
      </w:pPr>
      <w:r>
        <w:rPr>
          <w:rFonts w:hint="eastAsia" w:ascii="宋体" w:hAnsi="宋体" w:eastAsia="宋体" w:cs="宋体"/>
          <w:b w:val="0"/>
          <w:color w:val="auto"/>
          <w:kern w:val="0"/>
          <w:sz w:val="24"/>
          <w:szCs w:val="24"/>
          <w:lang w:val="en-US" w:eastAsia="zh-CN" w:bidi="ar"/>
        </w:rPr>
        <w:t xml:space="preserve">（四）乙方评审（评价）业务完成，甲方经审核认为不合格，甲方有权要求乙方返工，并扣减委托评审总费用的20%； </w:t>
      </w: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color w:val="auto"/>
          <w:kern w:val="2"/>
          <w:sz w:val="24"/>
          <w:szCs w:val="24"/>
        </w:rPr>
      </w:pPr>
      <w:r>
        <w:rPr>
          <w:rFonts w:hint="eastAsia" w:ascii="宋体" w:hAnsi="宋体" w:eastAsia="宋体" w:cs="宋体"/>
          <w:b w:val="0"/>
          <w:color w:val="auto"/>
          <w:kern w:val="0"/>
          <w:sz w:val="24"/>
          <w:szCs w:val="24"/>
          <w:lang w:val="en-US" w:eastAsia="zh-CN" w:bidi="ar"/>
        </w:rPr>
        <w:t xml:space="preserve">（五）甲方对乙方的工作情况、服务配合、能力素质、工作质量、工作效率、工作纪律等方面进行考核，考核结果作为下一年度服务任务安排的依据； </w:t>
      </w: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color w:val="auto"/>
          <w:kern w:val="2"/>
          <w:sz w:val="24"/>
          <w:szCs w:val="24"/>
        </w:rPr>
      </w:pPr>
      <w:r>
        <w:rPr>
          <w:rFonts w:hint="eastAsia" w:ascii="宋体" w:hAnsi="宋体" w:eastAsia="宋体" w:cs="宋体"/>
          <w:b w:val="0"/>
          <w:color w:val="auto"/>
          <w:kern w:val="0"/>
          <w:sz w:val="24"/>
          <w:szCs w:val="24"/>
          <w:lang w:val="en-US" w:eastAsia="zh-CN" w:bidi="ar"/>
        </w:rPr>
        <w:t xml:space="preserve">（六）甲方应及时协调项目评审（评价）过程中有关部门的关系，为乙方开展工作提供必要的条件； </w:t>
      </w: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color w:val="auto"/>
          <w:kern w:val="2"/>
          <w:sz w:val="24"/>
          <w:szCs w:val="24"/>
        </w:rPr>
      </w:pPr>
      <w:r>
        <w:rPr>
          <w:rFonts w:hint="eastAsia" w:ascii="宋体" w:hAnsi="宋体" w:eastAsia="宋体" w:cs="宋体"/>
          <w:b w:val="0"/>
          <w:color w:val="auto"/>
          <w:kern w:val="0"/>
          <w:sz w:val="24"/>
          <w:szCs w:val="24"/>
          <w:lang w:val="en-US" w:eastAsia="zh-CN" w:bidi="ar"/>
        </w:rPr>
        <w:t xml:space="preserve">（七）甲方按本合同约定，及时向乙方支付服务费用； </w:t>
      </w: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color w:val="auto"/>
          <w:kern w:val="2"/>
          <w:sz w:val="24"/>
          <w:szCs w:val="24"/>
        </w:rPr>
      </w:pPr>
      <w:r>
        <w:rPr>
          <w:rFonts w:hint="eastAsia" w:ascii="宋体" w:hAnsi="宋体" w:eastAsia="宋体" w:cs="宋体"/>
          <w:b/>
          <w:bCs w:val="0"/>
          <w:color w:val="auto"/>
          <w:kern w:val="0"/>
          <w:sz w:val="24"/>
          <w:szCs w:val="24"/>
          <w:lang w:val="en-US" w:eastAsia="zh-CN" w:bidi="ar"/>
        </w:rPr>
        <w:t xml:space="preserve">三、乙方的权利和义务 </w:t>
      </w: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color w:val="auto"/>
          <w:kern w:val="2"/>
          <w:sz w:val="24"/>
          <w:szCs w:val="24"/>
        </w:rPr>
      </w:pPr>
      <w:r>
        <w:rPr>
          <w:rFonts w:hint="eastAsia" w:ascii="宋体" w:hAnsi="宋体" w:eastAsia="宋体" w:cs="宋体"/>
          <w:b w:val="0"/>
          <w:color w:val="auto"/>
          <w:kern w:val="0"/>
          <w:sz w:val="24"/>
          <w:szCs w:val="24"/>
          <w:lang w:val="en-US" w:eastAsia="zh-CN" w:bidi="ar"/>
        </w:rPr>
        <w:t xml:space="preserve">（一）乙方有权对甲方不履行本合同约定，向有关部门反映，并要求监督甲方严格履行本合同约定。 </w:t>
      </w: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color w:val="auto"/>
          <w:kern w:val="2"/>
          <w:sz w:val="24"/>
          <w:szCs w:val="24"/>
        </w:rPr>
      </w:pPr>
      <w:r>
        <w:rPr>
          <w:rFonts w:hint="eastAsia" w:ascii="宋体" w:hAnsi="宋体" w:eastAsia="宋体" w:cs="宋体"/>
          <w:b w:val="0"/>
          <w:color w:val="auto"/>
          <w:kern w:val="0"/>
          <w:sz w:val="24"/>
          <w:szCs w:val="24"/>
          <w:lang w:val="en-US" w:eastAsia="zh-CN" w:bidi="ar"/>
        </w:rPr>
        <w:t xml:space="preserve">（二）乙方应根据甲方工作要求，依照国家的有关法律、法规和执业规范，坚持客观真实、科学合理、公正廉洁的原则严格进行项目评审（评价）； </w:t>
      </w: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color w:val="auto"/>
          <w:kern w:val="2"/>
          <w:sz w:val="24"/>
          <w:szCs w:val="24"/>
        </w:rPr>
      </w:pPr>
      <w:r>
        <w:rPr>
          <w:rFonts w:hint="eastAsia" w:ascii="宋体" w:hAnsi="宋体" w:eastAsia="宋体" w:cs="宋体"/>
          <w:b w:val="0"/>
          <w:color w:val="auto"/>
          <w:kern w:val="0"/>
          <w:sz w:val="24"/>
          <w:szCs w:val="24"/>
          <w:lang w:val="en-US" w:eastAsia="zh-CN" w:bidi="ar"/>
        </w:rPr>
        <w:t xml:space="preserve">（三）乙方应根据甲方工作要求组织、确定专业技术人员开展工作，严格管理，确保项目评审（评价）质量和结论的公正性； </w:t>
      </w: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color w:val="auto"/>
          <w:kern w:val="2"/>
          <w:sz w:val="24"/>
          <w:szCs w:val="24"/>
        </w:rPr>
      </w:pPr>
      <w:r>
        <w:rPr>
          <w:rFonts w:hint="eastAsia" w:ascii="宋体" w:hAnsi="宋体" w:eastAsia="宋体" w:cs="宋体"/>
          <w:b w:val="0"/>
          <w:color w:val="auto"/>
          <w:kern w:val="0"/>
          <w:sz w:val="24"/>
          <w:szCs w:val="24"/>
          <w:lang w:val="en-US" w:eastAsia="zh-CN" w:bidi="ar"/>
        </w:rPr>
        <w:t xml:space="preserve">（四）乙方应对接受委托的评审（评价）项目结果的真实、准确性承担责任； </w:t>
      </w: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color w:val="auto"/>
          <w:kern w:val="2"/>
          <w:sz w:val="24"/>
          <w:szCs w:val="24"/>
        </w:rPr>
      </w:pPr>
      <w:r>
        <w:rPr>
          <w:rFonts w:hint="eastAsia" w:ascii="宋体" w:hAnsi="宋体" w:eastAsia="宋体" w:cs="宋体"/>
          <w:b w:val="0"/>
          <w:color w:val="auto"/>
          <w:kern w:val="0"/>
          <w:sz w:val="24"/>
          <w:szCs w:val="24"/>
          <w:lang w:val="en-US" w:eastAsia="zh-CN" w:bidi="ar"/>
        </w:rPr>
        <w:t xml:space="preserve">（五）乙方应按甲方所确定的工作时限，向甲方提交工作底稿及报告； </w:t>
      </w: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color w:val="auto"/>
          <w:kern w:val="2"/>
          <w:sz w:val="24"/>
          <w:szCs w:val="24"/>
        </w:rPr>
      </w:pPr>
      <w:r>
        <w:rPr>
          <w:rFonts w:hint="eastAsia" w:ascii="宋体" w:hAnsi="宋体" w:eastAsia="宋体" w:cs="宋体"/>
          <w:b w:val="0"/>
          <w:color w:val="auto"/>
          <w:kern w:val="0"/>
          <w:sz w:val="24"/>
          <w:szCs w:val="24"/>
          <w:lang w:val="en-US" w:eastAsia="zh-CN" w:bidi="ar"/>
        </w:rPr>
        <w:t xml:space="preserve">（六）乙方在评审过程中应妥善保管甲方或被评审单位提供的评审资料，遵守保密规定，维护被评审单位的合法权益； </w:t>
      </w: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color w:val="auto"/>
          <w:kern w:val="2"/>
          <w:sz w:val="24"/>
          <w:szCs w:val="24"/>
        </w:rPr>
      </w:pPr>
      <w:r>
        <w:rPr>
          <w:rFonts w:hint="eastAsia" w:ascii="宋体" w:hAnsi="宋体" w:eastAsia="宋体" w:cs="宋体"/>
          <w:b w:val="0"/>
          <w:color w:val="auto"/>
          <w:kern w:val="0"/>
          <w:sz w:val="24"/>
          <w:szCs w:val="24"/>
          <w:lang w:val="en-US" w:eastAsia="zh-CN" w:bidi="ar"/>
        </w:rPr>
        <w:t xml:space="preserve">（七）乙方不得以甲方名义向被评审项目单位或对外承揽业务。  </w:t>
      </w: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color w:val="auto"/>
          <w:kern w:val="2"/>
          <w:sz w:val="24"/>
          <w:szCs w:val="24"/>
        </w:rPr>
      </w:pPr>
      <w:r>
        <w:rPr>
          <w:rFonts w:hint="eastAsia" w:ascii="宋体" w:hAnsi="宋体" w:eastAsia="宋体" w:cs="宋体"/>
          <w:b/>
          <w:bCs w:val="0"/>
          <w:color w:val="auto"/>
          <w:kern w:val="0"/>
          <w:sz w:val="24"/>
          <w:szCs w:val="24"/>
          <w:lang w:val="en-US" w:eastAsia="zh-CN" w:bidi="ar"/>
        </w:rPr>
        <w:t xml:space="preserve">四、服务费用结算及支付 </w:t>
      </w: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b w:val="0"/>
          <w:color w:val="auto"/>
          <w:kern w:val="0"/>
          <w:sz w:val="24"/>
          <w:szCs w:val="24"/>
        </w:rPr>
      </w:pP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color w:val="auto"/>
          <w:kern w:val="2"/>
          <w:sz w:val="24"/>
          <w:szCs w:val="24"/>
        </w:rPr>
      </w:pPr>
      <w:r>
        <w:rPr>
          <w:rFonts w:hint="eastAsia" w:ascii="宋体" w:hAnsi="宋体" w:eastAsia="宋体" w:cs="宋体"/>
          <w:b/>
          <w:bCs w:val="0"/>
          <w:color w:val="auto"/>
          <w:kern w:val="0"/>
          <w:sz w:val="24"/>
          <w:szCs w:val="24"/>
          <w:lang w:val="en-US" w:eastAsia="zh-CN" w:bidi="ar"/>
        </w:rPr>
        <w:t xml:space="preserve">五、服务任务完成时间及地点 </w:t>
      </w: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color w:val="auto"/>
          <w:kern w:val="2"/>
          <w:sz w:val="24"/>
          <w:szCs w:val="24"/>
        </w:rPr>
      </w:pPr>
      <w:r>
        <w:rPr>
          <w:rFonts w:hint="eastAsia" w:ascii="宋体" w:hAnsi="宋体" w:eastAsia="宋体" w:cs="宋体"/>
          <w:b w:val="0"/>
          <w:color w:val="auto"/>
          <w:kern w:val="0"/>
          <w:sz w:val="24"/>
          <w:szCs w:val="24"/>
          <w:lang w:val="en-US" w:eastAsia="zh-CN" w:bidi="ar"/>
        </w:rPr>
        <w:t xml:space="preserve">受托服务工作完成时间及地点，由甲方委托服务任务时确定。 </w:t>
      </w: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color w:val="auto"/>
          <w:kern w:val="2"/>
          <w:sz w:val="24"/>
          <w:szCs w:val="24"/>
        </w:rPr>
      </w:pPr>
      <w:r>
        <w:rPr>
          <w:rFonts w:hint="eastAsia" w:ascii="宋体" w:hAnsi="宋体" w:eastAsia="宋体" w:cs="宋体"/>
          <w:b/>
          <w:bCs w:val="0"/>
          <w:color w:val="auto"/>
          <w:kern w:val="0"/>
          <w:sz w:val="24"/>
          <w:szCs w:val="24"/>
          <w:lang w:val="en-US" w:eastAsia="zh-CN" w:bidi="ar"/>
        </w:rPr>
        <w:t xml:space="preserve">六、违约责任 </w:t>
      </w: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color w:val="auto"/>
          <w:kern w:val="2"/>
          <w:sz w:val="24"/>
          <w:szCs w:val="24"/>
        </w:rPr>
      </w:pPr>
      <w:r>
        <w:rPr>
          <w:rFonts w:hint="eastAsia" w:ascii="宋体" w:hAnsi="宋体" w:eastAsia="宋体" w:cs="宋体"/>
          <w:b w:val="0"/>
          <w:color w:val="auto"/>
          <w:kern w:val="0"/>
          <w:sz w:val="24"/>
          <w:szCs w:val="24"/>
          <w:lang w:val="en-US" w:eastAsia="zh-CN" w:bidi="ar"/>
        </w:rPr>
        <w:t xml:space="preserve">（一）在本合同履行期间，甲方擅自将工作任务交由中标单位以外的咨询机构，乙方有权向有关部门反映，并要求甲方改正。 </w:t>
      </w: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color w:val="auto"/>
          <w:kern w:val="2"/>
          <w:sz w:val="24"/>
          <w:szCs w:val="24"/>
        </w:rPr>
      </w:pPr>
      <w:r>
        <w:rPr>
          <w:rFonts w:hint="eastAsia" w:ascii="宋体" w:hAnsi="宋体" w:eastAsia="宋体" w:cs="宋体"/>
          <w:b w:val="0"/>
          <w:color w:val="auto"/>
          <w:kern w:val="0"/>
          <w:sz w:val="24"/>
          <w:szCs w:val="24"/>
          <w:lang w:val="en-US" w:eastAsia="zh-CN" w:bidi="ar"/>
        </w:rPr>
        <w:t xml:space="preserve">（二）在本合同履行期间乙方不得拒绝接受服务任务；如乙方拒绝接受甲方委托评审（评价）任务的，在合同履行期间甲方将停止安排委托任务给乙方或解除本合同或提请相关部门将其列入失信名单，（并且如乙方拒绝接受评审任务一次，甲方将暂停委托评审（评价）任务；如乙方拒绝接受评审（评价）任务二次，甲方解除本合同或提请相关部门将其列入失信名单；如造成甲方评审（评价）工作无法完成，并追究相关法律责任。 </w:t>
      </w: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color w:val="auto"/>
          <w:kern w:val="2"/>
          <w:sz w:val="24"/>
          <w:szCs w:val="24"/>
        </w:rPr>
      </w:pPr>
      <w:r>
        <w:rPr>
          <w:rFonts w:hint="eastAsia" w:ascii="宋体" w:hAnsi="宋体" w:eastAsia="宋体" w:cs="宋体"/>
          <w:b w:val="0"/>
          <w:color w:val="auto"/>
          <w:kern w:val="0"/>
          <w:sz w:val="24"/>
          <w:szCs w:val="24"/>
          <w:lang w:val="en-US" w:eastAsia="zh-CN" w:bidi="ar"/>
        </w:rPr>
        <w:t xml:space="preserve">（三）乙方未能按时完成委托任务，情节严重，甲方将暂停委托评审（评价）任务或解除服务合同，并追究相关法律责任。 </w:t>
      </w: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color w:val="auto"/>
          <w:kern w:val="2"/>
          <w:sz w:val="24"/>
          <w:szCs w:val="24"/>
        </w:rPr>
      </w:pPr>
      <w:r>
        <w:rPr>
          <w:rFonts w:hint="eastAsia" w:ascii="宋体" w:hAnsi="宋体" w:eastAsia="宋体" w:cs="宋体"/>
          <w:b w:val="0"/>
          <w:color w:val="auto"/>
          <w:kern w:val="0"/>
          <w:sz w:val="24"/>
          <w:szCs w:val="24"/>
          <w:lang w:val="en-US" w:eastAsia="zh-CN" w:bidi="ar"/>
        </w:rPr>
        <w:t xml:space="preserve">（四）甲乙双方发生争议时，双方通过协商解决，协商解决不了的，按照《中华人民共和国民法典》有关规定执行； </w:t>
      </w: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color w:val="auto"/>
          <w:kern w:val="2"/>
          <w:sz w:val="24"/>
          <w:szCs w:val="24"/>
        </w:rPr>
      </w:pPr>
      <w:r>
        <w:rPr>
          <w:rFonts w:hint="eastAsia" w:ascii="宋体" w:hAnsi="宋体" w:eastAsia="宋体" w:cs="宋体"/>
          <w:b w:val="0"/>
          <w:color w:val="auto"/>
          <w:kern w:val="0"/>
          <w:sz w:val="24"/>
          <w:szCs w:val="24"/>
          <w:lang w:val="en-US" w:eastAsia="zh-CN" w:bidi="ar"/>
        </w:rPr>
        <w:t>（五）本合同涉及其他事宜，按《</w:t>
      </w:r>
      <w:r>
        <w:rPr>
          <w:rFonts w:hint="eastAsia" w:ascii="宋体" w:hAnsi="宋体" w:eastAsia="宋体" w:cs="宋体"/>
          <w:b w:val="0"/>
          <w:bCs/>
          <w:color w:val="auto"/>
          <w:kern w:val="0"/>
          <w:sz w:val="24"/>
          <w:szCs w:val="24"/>
          <w:lang w:val="en-US" w:eastAsia="zh-CN" w:bidi="ar"/>
        </w:rPr>
        <w:t>中华人民共和国民法典</w:t>
      </w:r>
      <w:r>
        <w:rPr>
          <w:rFonts w:hint="eastAsia" w:ascii="宋体" w:hAnsi="宋体" w:eastAsia="宋体" w:cs="宋体"/>
          <w:b w:val="0"/>
          <w:color w:val="auto"/>
          <w:kern w:val="0"/>
          <w:sz w:val="24"/>
          <w:szCs w:val="24"/>
          <w:lang w:val="en-US" w:eastAsia="zh-CN" w:bidi="ar"/>
        </w:rPr>
        <w:t xml:space="preserve">》有关规定处理。 </w:t>
      </w: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color w:val="auto"/>
          <w:kern w:val="2"/>
          <w:sz w:val="24"/>
          <w:szCs w:val="24"/>
        </w:rPr>
      </w:pPr>
      <w:r>
        <w:rPr>
          <w:rFonts w:hint="eastAsia" w:ascii="宋体" w:hAnsi="宋体" w:eastAsia="宋体" w:cs="宋体"/>
          <w:b/>
          <w:bCs w:val="0"/>
          <w:color w:val="auto"/>
          <w:kern w:val="0"/>
          <w:sz w:val="24"/>
          <w:szCs w:val="24"/>
          <w:lang w:val="en-US" w:eastAsia="zh-CN" w:bidi="ar"/>
        </w:rPr>
        <w:t xml:space="preserve">六、合同履行期限 </w:t>
      </w: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color w:val="auto"/>
          <w:kern w:val="2"/>
          <w:sz w:val="24"/>
          <w:szCs w:val="24"/>
        </w:rPr>
      </w:pPr>
      <w:r>
        <w:rPr>
          <w:rFonts w:hint="eastAsia" w:ascii="宋体" w:hAnsi="宋体" w:eastAsia="宋体" w:cs="宋体"/>
          <w:b w:val="0"/>
          <w:color w:val="auto"/>
          <w:kern w:val="0"/>
          <w:sz w:val="24"/>
          <w:szCs w:val="24"/>
          <w:lang w:val="en-US" w:eastAsia="zh-CN" w:bidi="ar"/>
        </w:rPr>
        <w:t xml:space="preserve">本合同自  年  月  日至  年  月  日止，有效期为   年。 </w:t>
      </w: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color w:val="auto"/>
          <w:kern w:val="2"/>
          <w:sz w:val="24"/>
          <w:szCs w:val="24"/>
        </w:rPr>
      </w:pPr>
      <w:r>
        <w:rPr>
          <w:rFonts w:hint="eastAsia" w:ascii="宋体" w:hAnsi="宋体" w:eastAsia="宋体" w:cs="宋体"/>
          <w:b w:val="0"/>
          <w:color w:val="auto"/>
          <w:kern w:val="0"/>
          <w:sz w:val="24"/>
          <w:szCs w:val="24"/>
          <w:lang w:val="en-US" w:eastAsia="zh-CN" w:bidi="ar"/>
        </w:rPr>
        <w:t xml:space="preserve">七、本合同未尽事项，由双方协商解决。 </w:t>
      </w: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color w:val="auto"/>
          <w:kern w:val="2"/>
          <w:sz w:val="24"/>
          <w:szCs w:val="24"/>
        </w:rPr>
      </w:pPr>
      <w:r>
        <w:rPr>
          <w:rFonts w:hint="eastAsia" w:ascii="宋体" w:hAnsi="宋体" w:eastAsia="宋体" w:cs="宋体"/>
          <w:b w:val="0"/>
          <w:color w:val="auto"/>
          <w:kern w:val="0"/>
          <w:sz w:val="24"/>
          <w:szCs w:val="24"/>
          <w:lang w:val="en-US" w:eastAsia="zh-CN" w:bidi="ar"/>
        </w:rPr>
        <w:t>八、本合同一式</w:t>
      </w:r>
      <w:r>
        <w:rPr>
          <w:rFonts w:hint="eastAsia" w:hAnsi="宋体" w:cs="宋体"/>
          <w:b w:val="0"/>
          <w:color w:val="auto"/>
          <w:kern w:val="0"/>
          <w:sz w:val="24"/>
          <w:szCs w:val="24"/>
          <w:u w:val="single"/>
          <w:lang w:val="en-US" w:eastAsia="zh-CN" w:bidi="ar"/>
        </w:rPr>
        <w:t xml:space="preserve">  </w:t>
      </w:r>
      <w:r>
        <w:rPr>
          <w:rFonts w:hint="eastAsia" w:ascii="宋体" w:hAnsi="宋体" w:eastAsia="宋体" w:cs="宋体"/>
          <w:b w:val="0"/>
          <w:color w:val="auto"/>
          <w:kern w:val="0"/>
          <w:sz w:val="24"/>
          <w:szCs w:val="24"/>
          <w:lang w:val="en-US" w:eastAsia="zh-CN" w:bidi="ar"/>
        </w:rPr>
        <w:t>份，甲乙双方各</w:t>
      </w:r>
      <w:r>
        <w:rPr>
          <w:rFonts w:hint="eastAsia" w:hAnsi="宋体" w:cs="宋体"/>
          <w:b w:val="0"/>
          <w:color w:val="auto"/>
          <w:kern w:val="0"/>
          <w:sz w:val="24"/>
          <w:szCs w:val="24"/>
          <w:lang w:val="en-US" w:eastAsia="zh-CN" w:bidi="ar"/>
        </w:rPr>
        <w:t>执</w:t>
      </w:r>
      <w:r>
        <w:rPr>
          <w:rFonts w:hint="eastAsia" w:hAnsi="宋体" w:cs="宋体"/>
          <w:b w:val="0"/>
          <w:color w:val="auto"/>
          <w:kern w:val="0"/>
          <w:sz w:val="24"/>
          <w:szCs w:val="24"/>
          <w:u w:val="single"/>
          <w:lang w:val="en-US" w:eastAsia="zh-CN" w:bidi="ar"/>
        </w:rPr>
        <w:t xml:space="preserve">  </w:t>
      </w:r>
      <w:r>
        <w:rPr>
          <w:rFonts w:hint="eastAsia" w:ascii="宋体" w:hAnsi="宋体" w:eastAsia="宋体" w:cs="宋体"/>
          <w:b w:val="0"/>
          <w:color w:val="auto"/>
          <w:kern w:val="0"/>
          <w:sz w:val="24"/>
          <w:szCs w:val="24"/>
          <w:lang w:val="en-US" w:eastAsia="zh-CN" w:bidi="ar"/>
        </w:rPr>
        <w:t xml:space="preserve">份。 </w:t>
      </w: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b w:val="0"/>
          <w:color w:val="auto"/>
          <w:kern w:val="0"/>
          <w:sz w:val="24"/>
          <w:szCs w:val="24"/>
          <w:lang w:val="en-US" w:eastAsia="zh-CN" w:bidi="ar"/>
        </w:rPr>
      </w:pP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b w:val="0"/>
          <w:color w:val="auto"/>
          <w:kern w:val="0"/>
          <w:sz w:val="24"/>
          <w:szCs w:val="24"/>
          <w:lang w:val="en-US" w:eastAsia="zh-CN" w:bidi="ar"/>
        </w:rPr>
      </w:pP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b w:val="0"/>
          <w:color w:val="auto"/>
          <w:kern w:val="0"/>
          <w:sz w:val="24"/>
          <w:szCs w:val="24"/>
          <w:lang w:val="en-US" w:eastAsia="zh-CN" w:bidi="ar"/>
        </w:rPr>
      </w:pP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color w:val="auto"/>
          <w:kern w:val="2"/>
          <w:sz w:val="24"/>
          <w:szCs w:val="24"/>
        </w:rPr>
      </w:pPr>
      <w:r>
        <w:rPr>
          <w:rFonts w:hint="eastAsia" w:ascii="宋体" w:hAnsi="宋体" w:eastAsia="宋体" w:cs="宋体"/>
          <w:b w:val="0"/>
          <w:color w:val="auto"/>
          <w:kern w:val="0"/>
          <w:sz w:val="24"/>
          <w:szCs w:val="24"/>
          <w:lang w:val="en-US" w:eastAsia="zh-CN" w:bidi="ar"/>
        </w:rPr>
        <w:t xml:space="preserve">甲方：                               乙方： </w:t>
      </w: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color w:val="auto"/>
          <w:kern w:val="2"/>
          <w:sz w:val="24"/>
          <w:szCs w:val="24"/>
        </w:rPr>
      </w:pPr>
      <w:r>
        <w:rPr>
          <w:rFonts w:hint="eastAsia" w:ascii="宋体" w:hAnsi="宋体" w:eastAsia="宋体" w:cs="宋体"/>
          <w:b w:val="0"/>
          <w:color w:val="auto"/>
          <w:kern w:val="0"/>
          <w:sz w:val="24"/>
          <w:szCs w:val="24"/>
          <w:lang w:val="en-US" w:eastAsia="zh-CN" w:bidi="ar"/>
        </w:rPr>
        <w:t xml:space="preserve">地址：                               地址： </w:t>
      </w: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color w:val="auto"/>
          <w:kern w:val="2"/>
          <w:sz w:val="24"/>
          <w:szCs w:val="24"/>
        </w:rPr>
      </w:pPr>
      <w:r>
        <w:rPr>
          <w:rFonts w:hint="eastAsia" w:ascii="宋体" w:hAnsi="宋体" w:eastAsia="宋体" w:cs="宋体"/>
          <w:b w:val="0"/>
          <w:color w:val="auto"/>
          <w:kern w:val="0"/>
          <w:sz w:val="24"/>
          <w:szCs w:val="24"/>
          <w:lang w:val="en-US" w:eastAsia="zh-CN" w:bidi="ar"/>
        </w:rPr>
        <w:t xml:space="preserve">邮编：                               邮编： </w:t>
      </w: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color w:val="auto"/>
          <w:kern w:val="2"/>
          <w:sz w:val="24"/>
          <w:szCs w:val="24"/>
        </w:rPr>
      </w:pPr>
      <w:r>
        <w:rPr>
          <w:rFonts w:hint="eastAsia" w:ascii="宋体" w:hAnsi="宋体" w:eastAsia="宋体" w:cs="宋体"/>
          <w:b w:val="0"/>
          <w:color w:val="auto"/>
          <w:kern w:val="0"/>
          <w:sz w:val="24"/>
          <w:szCs w:val="24"/>
          <w:lang w:val="en-US" w:eastAsia="zh-CN" w:bidi="ar"/>
        </w:rPr>
        <w:t xml:space="preserve">法定代表人签字：                     法定代表人签字： </w:t>
      </w: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color w:val="auto"/>
          <w:kern w:val="2"/>
          <w:sz w:val="24"/>
          <w:szCs w:val="24"/>
        </w:rPr>
      </w:pPr>
      <w:r>
        <w:rPr>
          <w:rFonts w:hint="eastAsia" w:ascii="宋体" w:hAnsi="宋体" w:eastAsia="宋体" w:cs="宋体"/>
          <w:b w:val="0"/>
          <w:color w:val="auto"/>
          <w:kern w:val="0"/>
          <w:sz w:val="24"/>
          <w:szCs w:val="24"/>
          <w:lang w:val="en-US" w:eastAsia="zh-CN" w:bidi="ar"/>
        </w:rPr>
        <w:t xml:space="preserve">委托代理人签字：                     委托代理人签字： </w:t>
      </w: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color w:val="auto"/>
          <w:kern w:val="2"/>
          <w:sz w:val="24"/>
          <w:szCs w:val="24"/>
        </w:rPr>
      </w:pPr>
      <w:r>
        <w:rPr>
          <w:rFonts w:hint="eastAsia" w:ascii="宋体" w:hAnsi="宋体" w:eastAsia="宋体" w:cs="宋体"/>
          <w:b w:val="0"/>
          <w:color w:val="auto"/>
          <w:kern w:val="0"/>
          <w:sz w:val="24"/>
          <w:szCs w:val="24"/>
          <w:lang w:val="en-US" w:eastAsia="zh-CN" w:bidi="ar"/>
        </w:rPr>
        <w:t xml:space="preserve">电话：                               电话： </w:t>
      </w: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color w:val="auto"/>
          <w:kern w:val="2"/>
          <w:sz w:val="24"/>
          <w:szCs w:val="24"/>
        </w:rPr>
      </w:pPr>
      <w:r>
        <w:rPr>
          <w:rFonts w:hint="eastAsia" w:ascii="宋体" w:hAnsi="宋体" w:eastAsia="宋体" w:cs="宋体"/>
          <w:b w:val="0"/>
          <w:color w:val="auto"/>
          <w:kern w:val="0"/>
          <w:sz w:val="24"/>
          <w:szCs w:val="24"/>
          <w:lang w:val="en-US" w:eastAsia="zh-CN" w:bidi="ar"/>
        </w:rPr>
        <w:t xml:space="preserve">开户银行：                           开户银行： </w:t>
      </w: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color w:val="auto"/>
          <w:kern w:val="2"/>
          <w:sz w:val="24"/>
          <w:szCs w:val="24"/>
        </w:rPr>
      </w:pPr>
      <w:r>
        <w:rPr>
          <w:rFonts w:hint="eastAsia" w:ascii="宋体" w:hAnsi="宋体" w:eastAsia="宋体" w:cs="宋体"/>
          <w:b w:val="0"/>
          <w:color w:val="auto"/>
          <w:kern w:val="0"/>
          <w:sz w:val="24"/>
          <w:szCs w:val="24"/>
          <w:lang w:val="en-US" w:eastAsia="zh-CN" w:bidi="ar"/>
        </w:rPr>
        <w:t xml:space="preserve">帐号：                               帐号： </w:t>
      </w:r>
    </w:p>
    <w:p>
      <w:pPr>
        <w:keepNext w:val="0"/>
        <w:keepLines w:val="0"/>
        <w:widowControl/>
        <w:suppressLineNumbers w:val="0"/>
        <w:autoSpaceDE w:val="0"/>
        <w:autoSpaceDN/>
        <w:spacing w:before="0" w:beforeAutospacing="0" w:after="0" w:afterAutospacing="0" w:line="360" w:lineRule="auto"/>
        <w:ind w:left="0" w:right="0"/>
        <w:jc w:val="left"/>
        <w:rPr>
          <w:rFonts w:hint="eastAsia" w:ascii="宋体" w:hAnsi="宋体" w:eastAsia="宋体" w:cs="宋体"/>
          <w:color w:val="auto"/>
          <w:kern w:val="2"/>
          <w:sz w:val="24"/>
          <w:szCs w:val="24"/>
        </w:rPr>
      </w:pPr>
      <w:r>
        <w:rPr>
          <w:rFonts w:hint="eastAsia" w:ascii="宋体" w:hAnsi="宋体" w:eastAsia="宋体" w:cs="宋体"/>
          <w:b w:val="0"/>
          <w:color w:val="auto"/>
          <w:kern w:val="0"/>
          <w:sz w:val="24"/>
          <w:szCs w:val="24"/>
          <w:lang w:val="en-US" w:eastAsia="zh-CN" w:bidi="ar"/>
        </w:rPr>
        <w:t>年 月 日                             年 月 日</w:t>
      </w:r>
    </w:p>
    <w:p>
      <w:pPr>
        <w:spacing w:line="400" w:lineRule="exact"/>
        <w:ind w:firstLine="480" w:firstLineChars="200"/>
        <w:rPr>
          <w:rFonts w:hint="eastAsia" w:asciiTheme="minorEastAsia" w:hAnsiTheme="minorEastAsia" w:eastAsiaTheme="minorEastAsia" w:cstheme="minorEastAsia"/>
          <w:color w:val="auto"/>
          <w:sz w:val="24"/>
        </w:rPr>
      </w:pPr>
    </w:p>
    <w:p>
      <w:pPr>
        <w:spacing w:line="400" w:lineRule="exact"/>
        <w:ind w:firstLine="482" w:firstLineChars="200"/>
        <w:rPr>
          <w:rFonts w:hint="eastAsia" w:asciiTheme="minorEastAsia" w:hAnsiTheme="minorEastAsia" w:eastAsiaTheme="minorEastAsia" w:cstheme="minorEastAsia"/>
          <w:b/>
          <w:color w:val="auto"/>
          <w:sz w:val="24"/>
        </w:rPr>
      </w:pPr>
    </w:p>
    <w:p>
      <w:pPr>
        <w:spacing w:line="400" w:lineRule="exact"/>
        <w:ind w:firstLine="482" w:firstLineChars="200"/>
        <w:rPr>
          <w:rFonts w:hint="eastAsia" w:asciiTheme="minorEastAsia" w:hAnsiTheme="minorEastAsia" w:eastAsiaTheme="minorEastAsia" w:cstheme="minorEastAsia"/>
          <w:b/>
          <w:color w:val="auto"/>
          <w:sz w:val="24"/>
        </w:rPr>
      </w:pPr>
    </w:p>
    <w:p>
      <w:pPr>
        <w:spacing w:line="400" w:lineRule="exact"/>
        <w:ind w:firstLine="482" w:firstLineChars="200"/>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注：以上为合同主要条款，具体合同内容以最后采购人确定为准。</w:t>
      </w:r>
    </w:p>
    <w:p>
      <w:pPr>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br w:type="page"/>
      </w:r>
    </w:p>
    <w:p>
      <w:pPr>
        <w:pStyle w:val="4"/>
        <w:keepNext/>
        <w:keepLines/>
        <w:pageBreakBefore w:val="0"/>
        <w:widowControl w:val="0"/>
        <w:kinsoku/>
        <w:wordWrap/>
        <w:overflowPunct/>
        <w:topLinePunct w:val="0"/>
        <w:autoSpaceDE/>
        <w:autoSpaceDN/>
        <w:bidi w:val="0"/>
        <w:adjustRightInd/>
        <w:snapToGrid/>
        <w:spacing w:before="0" w:line="416" w:lineRule="auto"/>
        <w:textAlignment w:val="auto"/>
        <w:rPr>
          <w:rFonts w:hint="eastAsia" w:ascii="宋体" w:hAnsi="宋体" w:eastAsia="宋体" w:cs="宋体"/>
          <w:color w:val="auto"/>
          <w:sz w:val="24"/>
          <w:szCs w:val="24"/>
          <w:highlight w:val="none"/>
        </w:rPr>
      </w:pPr>
      <w:bookmarkStart w:id="168" w:name="_Toc25623"/>
      <w:bookmarkStart w:id="169" w:name="_Toc1421"/>
      <w:bookmarkStart w:id="170" w:name="_Toc22219"/>
      <w:r>
        <w:rPr>
          <w:rFonts w:hint="eastAsia" w:ascii="宋体" w:hAnsi="宋体" w:eastAsia="宋体" w:cs="宋体"/>
          <w:color w:val="auto"/>
          <w:sz w:val="24"/>
          <w:szCs w:val="24"/>
          <w:highlight w:val="none"/>
        </w:rPr>
        <w:t>附件一：川财采</w:t>
      </w:r>
      <w:r>
        <w:rPr>
          <w:rFonts w:hAnsi="宋体"/>
          <w:color w:val="auto"/>
          <w:sz w:val="24"/>
          <w:szCs w:val="24"/>
          <w:highlight w:val="none"/>
        </w:rPr>
        <w:t>〔</w:t>
      </w:r>
      <w:r>
        <w:rPr>
          <w:rFonts w:hint="eastAsia" w:ascii="宋体" w:hAnsi="宋体" w:eastAsia="宋体" w:cs="宋体"/>
          <w:color w:val="auto"/>
          <w:sz w:val="24"/>
          <w:szCs w:val="24"/>
          <w:highlight w:val="none"/>
        </w:rPr>
        <w:t>2018</w:t>
      </w:r>
      <w:r>
        <w:rPr>
          <w:rFonts w:hAnsi="宋体"/>
          <w:color w:val="auto"/>
          <w:sz w:val="24"/>
          <w:szCs w:val="24"/>
          <w:highlight w:val="none"/>
        </w:rPr>
        <w:t>〕</w:t>
      </w:r>
      <w:r>
        <w:rPr>
          <w:rFonts w:hint="eastAsia" w:ascii="宋体" w:hAnsi="宋体" w:eastAsia="宋体" w:cs="宋体"/>
          <w:color w:val="auto"/>
          <w:sz w:val="24"/>
          <w:szCs w:val="24"/>
          <w:highlight w:val="none"/>
        </w:rPr>
        <w:t>123号 </w:t>
      </w:r>
      <w:bookmarkEnd w:id="168"/>
      <w:bookmarkEnd w:id="169"/>
      <w:bookmarkEnd w:id="170"/>
    </w:p>
    <w:p>
      <w:pPr>
        <w:pStyle w:val="509"/>
        <w:spacing w:before="0" w:after="0" w:line="240" w:lineRule="atLeast"/>
        <w:jc w:val="center"/>
        <w:rPr>
          <w:rStyle w:val="510"/>
          <w:rFonts w:hint="eastAsia" w:cs="宋体"/>
          <w:color w:val="auto"/>
          <w:highlight w:val="none"/>
        </w:rPr>
      </w:pPr>
      <w:r>
        <w:rPr>
          <w:rStyle w:val="510"/>
          <w:rFonts w:hint="eastAsia" w:cs="宋体"/>
          <w:color w:val="auto"/>
          <w:highlight w:val="none"/>
        </w:rPr>
        <w:drawing>
          <wp:inline distT="0" distB="0" distL="114300" distR="114300">
            <wp:extent cx="4480560" cy="1571625"/>
            <wp:effectExtent l="0" t="0" r="15240" b="952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1"/>
                    <a:stretch>
                      <a:fillRect/>
                    </a:stretch>
                  </pic:blipFill>
                  <pic:spPr>
                    <a:xfrm>
                      <a:off x="0" y="0"/>
                      <a:ext cx="4480560" cy="1571625"/>
                    </a:xfrm>
                    <a:prstGeom prst="rect">
                      <a:avLst/>
                    </a:prstGeom>
                    <a:noFill/>
                    <a:ln>
                      <a:noFill/>
                    </a:ln>
                  </pic:spPr>
                </pic:pic>
              </a:graphicData>
            </a:graphic>
          </wp:inline>
        </w:drawing>
      </w:r>
    </w:p>
    <w:p>
      <w:pPr>
        <w:pStyle w:val="509"/>
        <w:spacing w:before="0" w:after="0" w:line="240" w:lineRule="atLeast"/>
        <w:rPr>
          <w:rStyle w:val="510"/>
          <w:rFonts w:hint="eastAsia" w:cs="宋体"/>
          <w:color w:val="auto"/>
          <w:highlight w:val="none"/>
        </w:rPr>
      </w:pPr>
      <w:r>
        <w:rPr>
          <w:rStyle w:val="510"/>
          <w:rFonts w:hint="eastAsia" w:cs="宋体"/>
          <w:color w:val="auto"/>
          <w:sz w:val="32"/>
          <w:szCs w:val="32"/>
          <w:highlight w:val="none"/>
        </w:rPr>
        <w:t> </w:t>
      </w:r>
    </w:p>
    <w:p>
      <w:pPr>
        <w:pStyle w:val="509"/>
        <w:spacing w:before="0" w:after="0" w:line="440" w:lineRule="atLeast"/>
        <w:rPr>
          <w:rStyle w:val="510"/>
          <w:rFonts w:hint="eastAsia" w:cs="宋体"/>
          <w:color w:val="auto"/>
          <w:sz w:val="24"/>
          <w:szCs w:val="24"/>
          <w:highlight w:val="none"/>
        </w:rPr>
      </w:pPr>
      <w:r>
        <w:rPr>
          <w:rStyle w:val="510"/>
          <w:rFonts w:hint="eastAsia" w:cs="宋体"/>
          <w:color w:val="auto"/>
          <w:sz w:val="24"/>
          <w:szCs w:val="24"/>
          <w:highlight w:val="none"/>
        </w:rPr>
        <w:t>各市（州）、扩权县（市）财政局，各省直机关、事业单位、团体组织，各金融机构，各采购代理机构，各政府采购供应商：</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color w:val="auto"/>
          <w:sz w:val="24"/>
          <w:szCs w:val="24"/>
          <w:highlight w:val="none"/>
        </w:rPr>
        <w:t>为贯彻落实党的十九大精神、国务院“放管服”改革决策部署、省委十一届三次全会“大力推进创新驱动发展战略”精神，助力解决政府采购中标、成交供应商资金不足、融资难、融资贵的困难，促进供应商依法诚信参加政府采购活动，根据《中华人民共和国政府采购法》、《四川省人民政府关于印发进一步规范政府采购监管和执行若干规定的通知》（川府发〔2018〕14号）等有关规定，现就推进四川省政府采购供应商信用融资工作有关事项通知如下。</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color w:val="auto"/>
          <w:sz w:val="24"/>
          <w:szCs w:val="24"/>
          <w:highlight w:val="none"/>
        </w:rPr>
        <w:t>一、融资概念</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color w:val="auto"/>
          <w:sz w:val="24"/>
          <w:szCs w:val="24"/>
          <w:highlight w:val="none"/>
        </w:rPr>
        <w:t>政府采购供应商信用融资（以下简称“政采贷”），是指银行以政府采购供应商信用审查和政府采购信誉为基础，依托政府采购合同，按优于一般企业的贷款程序和利率，直接向申请贷款的供应商发放无财产抵押贷款的一种融资模式。</w:t>
      </w:r>
    </w:p>
    <w:p>
      <w:pPr>
        <w:pStyle w:val="509"/>
        <w:spacing w:before="0" w:after="0" w:line="440" w:lineRule="atLeast"/>
        <w:ind w:left="634"/>
        <w:rPr>
          <w:rStyle w:val="510"/>
          <w:rFonts w:hint="eastAsia" w:cs="宋体"/>
          <w:color w:val="auto"/>
          <w:sz w:val="24"/>
          <w:szCs w:val="24"/>
          <w:highlight w:val="none"/>
        </w:rPr>
      </w:pPr>
      <w:r>
        <w:rPr>
          <w:rStyle w:val="510"/>
          <w:rFonts w:hint="eastAsia" w:cs="宋体"/>
          <w:color w:val="auto"/>
          <w:sz w:val="24"/>
          <w:szCs w:val="24"/>
          <w:highlight w:val="none"/>
        </w:rPr>
        <w:t>二、基本原则</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b/>
          <w:color w:val="auto"/>
          <w:sz w:val="24"/>
          <w:szCs w:val="24"/>
          <w:highlight w:val="none"/>
        </w:rPr>
        <w:t>（一）财政引导，市场运行</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color w:val="auto"/>
          <w:sz w:val="24"/>
          <w:szCs w:val="24"/>
          <w:highlight w:val="none"/>
        </w:rPr>
        <w:t>财政部门推进“政采贷”，银行和供应商按照自愿原则参与。供应商自愿选择是否申请“政采贷”，银行依据其内部审查制度和决策程序决定是否为供应商提供融资，自担风险。</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b/>
          <w:color w:val="auto"/>
          <w:sz w:val="24"/>
          <w:szCs w:val="24"/>
          <w:highlight w:val="none"/>
        </w:rPr>
        <w:t>（二）建立机制，服务银企</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color w:val="auto"/>
          <w:sz w:val="24"/>
          <w:szCs w:val="24"/>
          <w:highlight w:val="none"/>
        </w:rPr>
        <w:t>财政部门与银行建立“政采贷”工作机制，推动政府采购政策功能和金融资源的有机结合，拓宽银行的融资业务，助力解决政府采购中标、成交供应商资金不足、融资难、融资贵的困难，促进企业健康发展。</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b/>
          <w:color w:val="auto"/>
          <w:sz w:val="24"/>
          <w:szCs w:val="24"/>
          <w:highlight w:val="none"/>
        </w:rPr>
        <w:t>（三）优质优惠，加强扶持</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color w:val="auto"/>
          <w:sz w:val="24"/>
          <w:szCs w:val="24"/>
          <w:highlight w:val="none"/>
        </w:rPr>
        <w:t>银行按优于同期一般企业的贷款利率，向政府采购供应商提供信用贷款，贷款额度由银行根据政府采购合同的具体情况确定，不要求申请融资的供应商提供财产抵押或第三方担保，不收取融资利息之外的额外费用。</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color w:val="auto"/>
          <w:sz w:val="24"/>
          <w:szCs w:val="24"/>
          <w:highlight w:val="none"/>
        </w:rPr>
        <w:t>三、基本条件</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b/>
          <w:color w:val="auto"/>
          <w:sz w:val="24"/>
          <w:szCs w:val="24"/>
          <w:highlight w:val="none"/>
        </w:rPr>
        <w:t>（一）银行暨“政采贷”金融产品</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b/>
          <w:color w:val="auto"/>
          <w:sz w:val="24"/>
          <w:szCs w:val="24"/>
          <w:highlight w:val="none"/>
        </w:rPr>
        <w:t>1、征集。</w:t>
      </w:r>
      <w:r>
        <w:rPr>
          <w:rStyle w:val="510"/>
          <w:rFonts w:hint="eastAsia" w:cs="宋体"/>
          <w:color w:val="auto"/>
          <w:sz w:val="24"/>
          <w:szCs w:val="24"/>
          <w:highlight w:val="none"/>
        </w:rPr>
        <w:t>在四川省行政区域内，有意向开展“政采贷”工作的银行，可以于2018年12月21日前，直接向四川省财政厅（政府采购监督管理处）提交书面申请。四川省财政厅可以根据情况每年征集一次有意向开展“政采贷”工作的银行。</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color w:val="auto"/>
          <w:sz w:val="24"/>
          <w:szCs w:val="24"/>
          <w:highlight w:val="none"/>
        </w:rPr>
        <w:t>申请材料应当包括银行基本情况、“政采贷”产品名称、申请贷款条件、申请贷款方式、申请贷款程序、贷款审查流程、贷款额度、发放贷款时间、收款方式及其他优质服务和优惠承诺等。</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color w:val="auto"/>
          <w:sz w:val="24"/>
          <w:szCs w:val="24"/>
          <w:highlight w:val="none"/>
        </w:rPr>
        <w:t>银行提供的“政采贷”产品应当满足“无抵押担保、程序简便、利率优惠、放款及时”的基本条件以及本通知其他相关规定。</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color w:val="auto"/>
          <w:sz w:val="24"/>
          <w:szCs w:val="24"/>
          <w:highlight w:val="none"/>
        </w:rPr>
        <w:t>银行申请材料中应当载明其自愿提供“政采贷”产品，自担风险，不得要求或者变相要求财政部门和采购人为其提供风险担保、承诺。</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b/>
          <w:color w:val="auto"/>
          <w:sz w:val="24"/>
          <w:szCs w:val="24"/>
          <w:highlight w:val="none"/>
        </w:rPr>
        <w:t>2、公示。</w:t>
      </w:r>
      <w:r>
        <w:rPr>
          <w:rStyle w:val="510"/>
          <w:rFonts w:hint="eastAsia" w:cs="宋体"/>
          <w:color w:val="auto"/>
          <w:sz w:val="24"/>
          <w:szCs w:val="24"/>
          <w:highlight w:val="none"/>
        </w:rPr>
        <w:t>四川省财政厅收到银行提交的书面申请后，对满足本通知要求的银行及其“政采贷”产品具体信息，及时在四川政府采购网向社会公示。银行申请材料中提供的“政采贷”产品不满足本通知要求的，四川省财政厅将退回申请，并告知理由。</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b/>
          <w:color w:val="auto"/>
          <w:sz w:val="24"/>
          <w:szCs w:val="24"/>
          <w:highlight w:val="none"/>
        </w:rPr>
        <w:t>（二）供应商</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color w:val="auto"/>
          <w:sz w:val="24"/>
          <w:szCs w:val="24"/>
          <w:highlight w:val="none"/>
        </w:rPr>
        <w:t>政府采购供应商向银行申请“政采贷”，应当满足下列基本条件：</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b/>
          <w:color w:val="auto"/>
          <w:sz w:val="24"/>
          <w:szCs w:val="24"/>
          <w:highlight w:val="none"/>
        </w:rPr>
        <w:t>1、</w:t>
      </w:r>
      <w:r>
        <w:rPr>
          <w:rStyle w:val="510"/>
          <w:rFonts w:hint="eastAsia" w:cs="宋体"/>
          <w:color w:val="auto"/>
          <w:sz w:val="24"/>
          <w:szCs w:val="24"/>
          <w:highlight w:val="none"/>
        </w:rPr>
        <w:t>具有依法承担民事责任的能力；</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b/>
          <w:color w:val="auto"/>
          <w:sz w:val="24"/>
          <w:szCs w:val="24"/>
          <w:highlight w:val="none"/>
        </w:rPr>
        <w:t>2、</w:t>
      </w:r>
      <w:r>
        <w:rPr>
          <w:rStyle w:val="510"/>
          <w:rFonts w:hint="eastAsia" w:cs="宋体"/>
          <w:color w:val="auto"/>
          <w:sz w:val="24"/>
          <w:szCs w:val="24"/>
          <w:highlight w:val="none"/>
        </w:rPr>
        <w:t>具有依法履行政府采购合同的能力；</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b/>
          <w:color w:val="auto"/>
          <w:sz w:val="24"/>
          <w:szCs w:val="24"/>
          <w:highlight w:val="none"/>
        </w:rPr>
        <w:t>3、</w:t>
      </w:r>
      <w:r>
        <w:rPr>
          <w:rStyle w:val="510"/>
          <w:rFonts w:hint="eastAsia" w:cs="宋体"/>
          <w:color w:val="auto"/>
          <w:sz w:val="24"/>
          <w:szCs w:val="24"/>
          <w:highlight w:val="none"/>
        </w:rPr>
        <w:t>参加的政府采购活动未被财政部门依法暂停、责令重新开展或者认定中标、成交无效；</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b/>
          <w:color w:val="auto"/>
          <w:sz w:val="24"/>
          <w:szCs w:val="24"/>
          <w:highlight w:val="none"/>
        </w:rPr>
        <w:t>4、</w:t>
      </w:r>
      <w:r>
        <w:rPr>
          <w:rStyle w:val="510"/>
          <w:rFonts w:hint="eastAsia" w:cs="宋体"/>
          <w:color w:val="auto"/>
          <w:sz w:val="24"/>
          <w:szCs w:val="24"/>
          <w:highlight w:val="none"/>
        </w:rPr>
        <w:t>无《政府采购法》第二十二条第一款第（五）项所称的重大违法记录；</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b/>
          <w:color w:val="auto"/>
          <w:sz w:val="24"/>
          <w:szCs w:val="24"/>
          <w:highlight w:val="none"/>
        </w:rPr>
        <w:t>5、</w:t>
      </w:r>
      <w:r>
        <w:rPr>
          <w:rStyle w:val="510"/>
          <w:rFonts w:hint="eastAsia" w:cs="宋体"/>
          <w:color w:val="auto"/>
          <w:sz w:val="24"/>
          <w:szCs w:val="24"/>
          <w:highlight w:val="none"/>
        </w:rPr>
        <w:t>未被法院、市场监管、税务、银行等部门单位纳入失信名单且在有效期内；</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b/>
          <w:color w:val="auto"/>
          <w:sz w:val="24"/>
          <w:szCs w:val="24"/>
          <w:highlight w:val="none"/>
        </w:rPr>
        <w:t>6、</w:t>
      </w:r>
      <w:r>
        <w:rPr>
          <w:rStyle w:val="510"/>
          <w:rFonts w:hint="eastAsia" w:cs="宋体"/>
          <w:color w:val="auto"/>
          <w:sz w:val="24"/>
          <w:szCs w:val="24"/>
          <w:highlight w:val="none"/>
        </w:rPr>
        <w:t>在一定期限内的（银行可以具体确定）政府采购合同履约过程中或者其他经营活动履约过程中，无不依法履约被有关行政部门行政处罚的或者产生法律纠纷被法院、仲裁机构判决、裁决败诉的；</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b/>
          <w:color w:val="auto"/>
          <w:sz w:val="24"/>
          <w:szCs w:val="24"/>
          <w:highlight w:val="none"/>
        </w:rPr>
        <w:t>7、</w:t>
      </w:r>
      <w:r>
        <w:rPr>
          <w:rStyle w:val="510"/>
          <w:rFonts w:hint="eastAsia" w:cs="宋体"/>
          <w:color w:val="auto"/>
          <w:sz w:val="24"/>
          <w:szCs w:val="24"/>
          <w:highlight w:val="none"/>
        </w:rPr>
        <w:t>其他银行要求的不属于提供财产抵押或第三方担保的条件。</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color w:val="auto"/>
          <w:sz w:val="24"/>
          <w:szCs w:val="24"/>
          <w:highlight w:val="none"/>
        </w:rPr>
        <w:t>四、构建平台</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color w:val="auto"/>
          <w:sz w:val="24"/>
          <w:szCs w:val="24"/>
          <w:highlight w:val="none"/>
        </w:rPr>
        <w:t>四川省财政厅将在四川政府采购网统一构建四川省“政采贷”信息化服务平台，推进四川省“政采贷”工作信息化建设。</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color w:val="auto"/>
          <w:sz w:val="24"/>
          <w:szCs w:val="24"/>
          <w:highlight w:val="none"/>
        </w:rPr>
        <w:t>五、财金互动</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color w:val="auto"/>
          <w:sz w:val="24"/>
          <w:szCs w:val="24"/>
          <w:highlight w:val="none"/>
        </w:rPr>
        <w:t>各级财政部门应当按照《四川省政府采购促进中小企业发展的若干规定》（川财采[2016]35号）等有关规定，对金融机构向小微企业提供“政采贷”贷款产生的损失，纳入财政金融互动政策范围给予风险补贴。</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color w:val="auto"/>
          <w:sz w:val="24"/>
          <w:szCs w:val="24"/>
          <w:highlight w:val="none"/>
        </w:rPr>
        <w:t>六、基本流程</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b/>
          <w:color w:val="auto"/>
          <w:sz w:val="24"/>
          <w:szCs w:val="24"/>
          <w:highlight w:val="none"/>
        </w:rPr>
        <w:t>（一）意向申请</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color w:val="auto"/>
          <w:sz w:val="24"/>
          <w:szCs w:val="24"/>
          <w:highlight w:val="none"/>
        </w:rPr>
        <w:t xml:space="preserve">有融资需求的供应商可根据四川政府采购网公示的银行及其“政采贷”产品，自行选择符合自身情况的“政采贷”银行及其产品，凭中标（成交）通知书向银行提出贷款意向申请。银行应及时按照有关规定完成对供应商的信用审查以及开设账户等相关工作。 </w:t>
      </w:r>
      <w:r>
        <w:rPr>
          <w:rStyle w:val="510"/>
          <w:rFonts w:hint="eastAsia" w:cs="宋体"/>
          <w:b/>
          <w:color w:val="auto"/>
          <w:sz w:val="24"/>
          <w:szCs w:val="24"/>
          <w:highlight w:val="none"/>
        </w:rPr>
        <w:t>                                 （二）正式申请</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color w:val="auto"/>
          <w:sz w:val="24"/>
          <w:szCs w:val="24"/>
          <w:highlight w:val="none"/>
        </w:rPr>
        <w:t>供应商与采购人在法定时间依法签订政府采购合同（政府采购合同签订后，应当依法在7个工作日内向同级财政部门备案，2个工作日内在四川政府采购网公告）后，可凭政府采购合同向银行提出“政采贷”正式申请。</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color w:val="auto"/>
          <w:sz w:val="24"/>
          <w:szCs w:val="24"/>
          <w:highlight w:val="none"/>
        </w:rPr>
        <w:t>对拟用于“政采贷”的政府采购合同，应在合同中注明贷款银行名称及账号，作为供应商本次采购的唯一收款账号。因发生特殊情况需要在还款前变更收款账号的，供应商应当事前书面告知采购人和放款银行，并获得采购人和放款银行同意。采购人和放款银行同意后，采购人与供应商应当就该条款重新签订政府采购合同或者签订补充协议作为原政府采购合同的一部分，并在签订后依法在7个工作日内向同级财政部门备案，2个工作日内在四川政府采购网公告。</w:t>
      </w:r>
    </w:p>
    <w:p>
      <w:pPr>
        <w:pStyle w:val="509"/>
        <w:spacing w:before="0" w:after="0" w:line="440" w:lineRule="atLeast"/>
        <w:ind w:firstLine="622"/>
        <w:rPr>
          <w:rStyle w:val="510"/>
          <w:rFonts w:hint="eastAsia" w:cs="宋体"/>
          <w:color w:val="auto"/>
          <w:sz w:val="24"/>
          <w:szCs w:val="24"/>
          <w:highlight w:val="none"/>
        </w:rPr>
      </w:pPr>
      <w:r>
        <w:rPr>
          <w:rStyle w:val="510"/>
          <w:rFonts w:hint="eastAsia" w:cs="宋体"/>
          <w:b/>
          <w:color w:val="auto"/>
          <w:sz w:val="24"/>
          <w:szCs w:val="24"/>
          <w:highlight w:val="none"/>
        </w:rPr>
        <w:t>（三）贷款审查</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color w:val="auto"/>
          <w:sz w:val="24"/>
          <w:szCs w:val="24"/>
          <w:highlight w:val="none"/>
        </w:rPr>
        <w:t>银行按规定对申请“政采贷”的供应商及其提供的政府采购合同等信息进行审查。审查过程中，银行认为有必要的，可以到采购人、采购代理机构或者财政部门对该政府采购合同的书面信息与备案信息进行核实，有关单位应当配合。银行审查通过后，应当按照其在四川政府采购网公示的“政采贷”产品服务承诺事项及时放款。</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b/>
          <w:color w:val="auto"/>
          <w:sz w:val="24"/>
          <w:szCs w:val="24"/>
          <w:highlight w:val="none"/>
        </w:rPr>
        <w:t>（四）信息报送</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color w:val="auto"/>
          <w:sz w:val="24"/>
          <w:szCs w:val="24"/>
          <w:highlight w:val="none"/>
        </w:rPr>
        <w:t>银行完成放款后，应当通过四川省“政采贷”信息化服务平台，填写《四川省“政采贷”信息统计表》（详见附件），每季度终了5个工作日内，向四川省财政厅（政府采购监督管理处）报送，以便相关部门及时掌握和分析“政采贷”信息，不断推进“政采贷”工作。</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b/>
          <w:color w:val="auto"/>
          <w:sz w:val="24"/>
          <w:szCs w:val="24"/>
          <w:highlight w:val="none"/>
        </w:rPr>
        <w:t>（五）资金支付</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color w:val="auto"/>
          <w:sz w:val="24"/>
          <w:szCs w:val="24"/>
          <w:highlight w:val="none"/>
        </w:rPr>
        <w:t>政府采购资金支付时，采购人必须将采购资金支付到政府采购合同中注明的贷款银行名称及账号，以保障贷款资金的安全回收。采购人不得将采购资金支付在政府采购合同约定以外的收款账号。</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color w:val="auto"/>
          <w:sz w:val="24"/>
          <w:szCs w:val="24"/>
          <w:highlight w:val="none"/>
        </w:rPr>
        <w:t>政府采购资金支付过程中，银行需要查询采购资金支付进程有关信息的，财政部门和采购人应当支持。</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color w:val="auto"/>
          <w:sz w:val="24"/>
          <w:szCs w:val="24"/>
          <w:highlight w:val="none"/>
        </w:rPr>
        <w:t>七、职责要求</w:t>
      </w:r>
    </w:p>
    <w:p>
      <w:pPr>
        <w:pStyle w:val="509"/>
        <w:spacing w:before="0" w:after="0" w:line="440" w:lineRule="atLeast"/>
        <w:ind w:firstLine="622"/>
        <w:rPr>
          <w:rStyle w:val="510"/>
          <w:rFonts w:hint="eastAsia" w:cs="宋体"/>
          <w:color w:val="auto"/>
          <w:sz w:val="24"/>
          <w:szCs w:val="24"/>
          <w:highlight w:val="none"/>
        </w:rPr>
      </w:pPr>
      <w:r>
        <w:rPr>
          <w:rStyle w:val="510"/>
          <w:rFonts w:hint="eastAsia" w:cs="宋体"/>
          <w:b/>
          <w:color w:val="auto"/>
          <w:sz w:val="24"/>
          <w:szCs w:val="24"/>
          <w:highlight w:val="none"/>
        </w:rPr>
        <w:t>（一）</w:t>
      </w:r>
      <w:r>
        <w:rPr>
          <w:rStyle w:val="510"/>
          <w:rFonts w:hint="eastAsia" w:cs="宋体"/>
          <w:color w:val="auto"/>
          <w:sz w:val="24"/>
          <w:szCs w:val="24"/>
          <w:highlight w:val="none"/>
        </w:rPr>
        <w:t>各级财政部门应当高度重视“政采贷”工作，提高认识，充分发挥自身职能作用。不断完善政策措施，加强对“政采贷”采购项目的跟踪监督，对于银行向采购人、采购代理机构核实或者获取合法范围内的相关政府采购信息有困难的，可以积极进行协调。财政部门不得为“政采贷”提供任何形式的担保和承诺。</w:t>
      </w:r>
    </w:p>
    <w:p>
      <w:pPr>
        <w:pStyle w:val="509"/>
        <w:spacing w:before="0" w:after="0" w:line="440" w:lineRule="atLeast"/>
        <w:ind w:firstLine="622"/>
        <w:rPr>
          <w:rStyle w:val="510"/>
          <w:rFonts w:hint="eastAsia" w:cs="宋体"/>
          <w:color w:val="auto"/>
          <w:sz w:val="24"/>
          <w:szCs w:val="24"/>
          <w:highlight w:val="none"/>
        </w:rPr>
      </w:pPr>
      <w:r>
        <w:rPr>
          <w:rStyle w:val="510"/>
          <w:rFonts w:hint="eastAsia" w:cs="宋体"/>
          <w:b/>
          <w:color w:val="auto"/>
          <w:sz w:val="24"/>
          <w:szCs w:val="24"/>
          <w:highlight w:val="none"/>
        </w:rPr>
        <w:t>（二）</w:t>
      </w:r>
      <w:r>
        <w:rPr>
          <w:rStyle w:val="510"/>
          <w:rFonts w:hint="eastAsia" w:cs="宋体"/>
          <w:color w:val="auto"/>
          <w:sz w:val="24"/>
          <w:szCs w:val="24"/>
          <w:highlight w:val="none"/>
        </w:rPr>
        <w:t>银行应当切实转变注重抵押担保的传统信贷理念，积极服务经济社会发展的大局，不断完善“政采贷”产品，优化贷款审查流程，简化贷款审查手续，提供更多优质服务，同时做好风险防控工作。银行对于供应商是否如期还款情况及未如期还款的主要原因等信息，应当及时向财政部门反馈。</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b/>
          <w:color w:val="auto"/>
          <w:sz w:val="24"/>
          <w:szCs w:val="24"/>
          <w:highlight w:val="none"/>
        </w:rPr>
        <w:t>（三）</w:t>
      </w:r>
      <w:r>
        <w:rPr>
          <w:rStyle w:val="510"/>
          <w:rFonts w:hint="eastAsia" w:cs="宋体"/>
          <w:color w:val="auto"/>
          <w:sz w:val="24"/>
          <w:szCs w:val="24"/>
          <w:highlight w:val="none"/>
        </w:rPr>
        <w:t>采购人应当积极支持“政采贷”工作，对于银行、供应商提出的合理需求，应当支持。对于已融资采购项目，供应商履约完成后，要及时开展履约验收工作，及时支付采购资金，不得无故拖延和拒付采购资金。</w:t>
      </w:r>
    </w:p>
    <w:p>
      <w:pPr>
        <w:pStyle w:val="509"/>
        <w:spacing w:before="0" w:after="0" w:line="440" w:lineRule="atLeast"/>
        <w:ind w:firstLine="622"/>
        <w:rPr>
          <w:rStyle w:val="510"/>
          <w:rFonts w:hint="eastAsia" w:cs="宋体"/>
          <w:color w:val="auto"/>
          <w:sz w:val="24"/>
          <w:szCs w:val="24"/>
          <w:highlight w:val="none"/>
        </w:rPr>
      </w:pPr>
      <w:r>
        <w:rPr>
          <w:rStyle w:val="510"/>
          <w:rFonts w:hint="eastAsia" w:cs="宋体"/>
          <w:b/>
          <w:color w:val="auto"/>
          <w:sz w:val="24"/>
          <w:szCs w:val="24"/>
          <w:highlight w:val="none"/>
        </w:rPr>
        <w:t>（四）</w:t>
      </w:r>
      <w:r>
        <w:rPr>
          <w:rStyle w:val="510"/>
          <w:rFonts w:hint="eastAsia" w:cs="宋体"/>
          <w:color w:val="auto"/>
          <w:sz w:val="24"/>
          <w:szCs w:val="24"/>
          <w:highlight w:val="none"/>
        </w:rPr>
        <w:t>采购代理机构在组织实施政府采购活动中，应当采取有效方式，向供应商宣传“政采贷”政策。银行需要借用采购代理机构的场所直接向供应商介绍其“政采贷”产品的，采购代理机构应当支持。</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b/>
          <w:color w:val="auto"/>
          <w:sz w:val="24"/>
          <w:szCs w:val="24"/>
          <w:highlight w:val="none"/>
        </w:rPr>
        <w:t>（五）</w:t>
      </w:r>
      <w:r>
        <w:rPr>
          <w:rStyle w:val="510"/>
          <w:rFonts w:hint="eastAsia" w:cs="宋体"/>
          <w:color w:val="auto"/>
          <w:sz w:val="24"/>
          <w:szCs w:val="24"/>
          <w:highlight w:val="none"/>
        </w:rPr>
        <w:t>供应商应当依法参加政府采购活动，公平竞争，诚实守信，严格按照政府采购合同履约，严格按照借款合同偿还债务。</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b/>
          <w:color w:val="auto"/>
          <w:sz w:val="24"/>
          <w:szCs w:val="24"/>
          <w:highlight w:val="none"/>
        </w:rPr>
        <w:t>（六）</w:t>
      </w:r>
      <w:r>
        <w:rPr>
          <w:rStyle w:val="510"/>
          <w:rFonts w:hint="eastAsia" w:cs="宋体"/>
          <w:color w:val="auto"/>
          <w:sz w:val="24"/>
          <w:szCs w:val="24"/>
          <w:highlight w:val="none"/>
        </w:rPr>
        <w:t>财政部门、采购人、采购代理机构及其他有关单位和个人不得违规干预供应商选择“政采贷”银行及其产品，也不得违规干预银行向供应商进行贷款。</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b/>
          <w:color w:val="auto"/>
          <w:sz w:val="24"/>
          <w:szCs w:val="24"/>
          <w:highlight w:val="none"/>
        </w:rPr>
        <w:t>（七）</w:t>
      </w:r>
      <w:r>
        <w:rPr>
          <w:rStyle w:val="510"/>
          <w:rFonts w:hint="eastAsia" w:cs="宋体"/>
          <w:color w:val="auto"/>
          <w:sz w:val="24"/>
          <w:szCs w:val="24"/>
          <w:highlight w:val="none"/>
        </w:rPr>
        <w:t>相关单位和个人在开展“政采贷”工作过程中，发现新问题、新情况或者有意见建议的，请及时向四川省财政厅反馈。</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color w:val="auto"/>
          <w:sz w:val="24"/>
          <w:szCs w:val="24"/>
          <w:highlight w:val="none"/>
        </w:rPr>
        <w:t>八、违规处理</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b/>
          <w:color w:val="auto"/>
          <w:sz w:val="24"/>
          <w:szCs w:val="24"/>
          <w:highlight w:val="none"/>
        </w:rPr>
        <w:t>（一）银行违规处理</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color w:val="auto"/>
          <w:sz w:val="24"/>
          <w:szCs w:val="24"/>
          <w:highlight w:val="none"/>
        </w:rPr>
        <w:t>银行不按照其在四川政府采购网公示的“政采贷”产品服务承诺事项办理供应商信用融资贷款申请的，由四川省财政厅进行约谈，责令限期整改；拒不整改或者变相拒不整改的，撤销其在四川政府采购网的公示信息，取消其资格，并在1-3年内拒绝接收其再次申请。</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b/>
          <w:color w:val="auto"/>
          <w:sz w:val="24"/>
          <w:szCs w:val="24"/>
          <w:highlight w:val="none"/>
        </w:rPr>
        <w:t>（二）供应商违规处理</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color w:val="auto"/>
          <w:sz w:val="24"/>
          <w:szCs w:val="24"/>
          <w:highlight w:val="none"/>
        </w:rPr>
        <w:t>供应商以政府采购合同造假或者其他造假方式违规申请信用融资的，或者违反有关规定或者约定，导致无法偿还信用融资贷款的，或者拒绝或无故拖延还款付息的，由有关部门单位依法处理，纳入“不具备《中华人民共和国政府采购法》第二十二条第一款第（二）项规定的具有良好的商业信誉条件”名单，并在四川政府采购网公示。</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b/>
          <w:color w:val="auto"/>
          <w:sz w:val="24"/>
          <w:szCs w:val="24"/>
          <w:highlight w:val="none"/>
        </w:rPr>
        <w:t>（三）其他违规处理</w:t>
      </w:r>
    </w:p>
    <w:p>
      <w:pPr>
        <w:pStyle w:val="509"/>
        <w:spacing w:before="0" w:after="0" w:line="440" w:lineRule="atLeast"/>
        <w:ind w:firstLine="628"/>
        <w:rPr>
          <w:rStyle w:val="510"/>
          <w:rFonts w:hint="eastAsia" w:cs="宋体"/>
          <w:color w:val="auto"/>
          <w:sz w:val="24"/>
          <w:szCs w:val="24"/>
          <w:highlight w:val="none"/>
        </w:rPr>
      </w:pPr>
      <w:r>
        <w:rPr>
          <w:rStyle w:val="510"/>
          <w:rFonts w:hint="eastAsia" w:cs="宋体"/>
          <w:color w:val="auto"/>
          <w:sz w:val="24"/>
          <w:szCs w:val="24"/>
          <w:highlight w:val="none"/>
        </w:rPr>
        <w:t>采购人无正当理由拖延和拒付采购资金的，或者采购代理机构拒绝支持银行借用场所向供应商介绍其“政采贷”产品的，或者有关单位或个人违规干预供应商选择“政采贷”银行及其产品的，或者有关单位或个人违规干预银行向供应商进行贷款的，由采购项目同级财政部门进行约谈，责令限期整改；拒不整改或者变相拒不整改的，按照有关规定依法处理。</w:t>
      </w:r>
    </w:p>
    <w:p>
      <w:pPr>
        <w:pStyle w:val="509"/>
        <w:spacing w:before="0" w:after="0" w:line="580" w:lineRule="atLeast"/>
        <w:ind w:firstLine="628"/>
        <w:jc w:val="right"/>
        <w:rPr>
          <w:rStyle w:val="510"/>
          <w:rFonts w:hint="eastAsia" w:cs="宋体"/>
          <w:color w:val="auto"/>
          <w:highlight w:val="none"/>
        </w:rPr>
      </w:pPr>
      <w:r>
        <w:rPr>
          <w:rStyle w:val="510"/>
          <w:rFonts w:hint="eastAsia" w:cs="宋体"/>
          <w:color w:val="auto"/>
          <w:sz w:val="32"/>
          <w:szCs w:val="32"/>
          <w:highlight w:val="none"/>
        </w:rPr>
        <w:t> </w:t>
      </w:r>
      <w:r>
        <w:rPr>
          <w:rStyle w:val="510"/>
          <w:rFonts w:hint="eastAsia" w:cs="宋体"/>
          <w:color w:val="auto"/>
          <w:highlight w:val="none"/>
        </w:rPr>
        <w:drawing>
          <wp:inline distT="0" distB="0" distL="114300" distR="114300">
            <wp:extent cx="1771650" cy="1781175"/>
            <wp:effectExtent l="0" t="0" r="0" b="952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2"/>
                    <a:stretch>
                      <a:fillRect/>
                    </a:stretch>
                  </pic:blipFill>
                  <pic:spPr>
                    <a:xfrm>
                      <a:off x="0" y="0"/>
                      <a:ext cx="1771650" cy="1781175"/>
                    </a:xfrm>
                    <a:prstGeom prst="rect">
                      <a:avLst/>
                    </a:prstGeom>
                    <a:noFill/>
                    <a:ln>
                      <a:noFill/>
                    </a:ln>
                  </pic:spPr>
                </pic:pic>
              </a:graphicData>
            </a:graphic>
          </wp:inline>
        </w:drawing>
      </w:r>
    </w:p>
    <w:p>
      <w:pPr>
        <w:pStyle w:val="4"/>
        <w:rPr>
          <w:rStyle w:val="510"/>
          <w:rFonts w:hint="eastAsia" w:ascii="宋体" w:hAnsi="宋体" w:eastAsia="宋体" w:cs="宋体"/>
          <w:color w:val="auto"/>
          <w:sz w:val="18"/>
          <w:szCs w:val="18"/>
          <w:highlight w:val="none"/>
        </w:rPr>
      </w:pPr>
      <w:bookmarkStart w:id="171" w:name="_Toc19473"/>
      <w:bookmarkStart w:id="172" w:name="_Toc30471"/>
      <w:r>
        <w:rPr>
          <w:rFonts w:hint="eastAsia" w:ascii="宋体" w:hAnsi="宋体" w:eastAsia="宋体" w:cs="宋体"/>
          <w:color w:val="auto"/>
          <w:sz w:val="24"/>
          <w:szCs w:val="24"/>
          <w:highlight w:val="none"/>
        </w:rPr>
        <w:t>附件二：成</w:t>
      </w:r>
      <w:bookmarkEnd w:id="171"/>
      <w:r>
        <w:rPr>
          <w:rFonts w:hint="eastAsia" w:ascii="宋体" w:hAnsi="宋体" w:eastAsia="宋体" w:cs="宋体"/>
          <w:color w:val="auto"/>
          <w:sz w:val="24"/>
          <w:szCs w:val="24"/>
          <w:highlight w:val="none"/>
        </w:rPr>
        <w:t>财采</w:t>
      </w:r>
      <w:r>
        <w:rPr>
          <w:rFonts w:hAnsi="宋体"/>
          <w:color w:val="auto"/>
          <w:sz w:val="24"/>
          <w:szCs w:val="24"/>
          <w:highlight w:val="none"/>
        </w:rPr>
        <w:t>〔</w:t>
      </w:r>
      <w:r>
        <w:rPr>
          <w:rFonts w:hint="eastAsia" w:ascii="宋体" w:hAnsi="宋体" w:eastAsia="宋体" w:cs="宋体"/>
          <w:color w:val="auto"/>
          <w:sz w:val="24"/>
          <w:szCs w:val="24"/>
          <w:highlight w:val="none"/>
        </w:rPr>
        <w:t>2019</w:t>
      </w:r>
      <w:r>
        <w:rPr>
          <w:rFonts w:hAnsi="宋体"/>
          <w:color w:val="auto"/>
          <w:sz w:val="24"/>
          <w:szCs w:val="24"/>
          <w:highlight w:val="none"/>
        </w:rPr>
        <w:t>〕</w:t>
      </w:r>
      <w:r>
        <w:rPr>
          <w:rFonts w:hint="eastAsia" w:ascii="宋体" w:hAnsi="宋体" w:eastAsia="宋体" w:cs="宋体"/>
          <w:color w:val="auto"/>
          <w:sz w:val="24"/>
          <w:szCs w:val="24"/>
          <w:highlight w:val="none"/>
        </w:rPr>
        <w:t>17号文</w:t>
      </w:r>
      <w:bookmarkEnd w:id="172"/>
      <w:r>
        <w:rPr>
          <w:rStyle w:val="510"/>
          <w:rFonts w:hint="eastAsia" w:ascii="宋体" w:hAnsi="宋体" w:eastAsia="宋体" w:cs="宋体"/>
          <w:color w:val="auto"/>
          <w:sz w:val="18"/>
          <w:szCs w:val="18"/>
          <w:highlight w:val="none"/>
        </w:rPr>
        <w:t xml:space="preserve">   </w:t>
      </w:r>
    </w:p>
    <w:p>
      <w:pPr>
        <w:rPr>
          <w:rFonts w:hint="eastAsia" w:hAnsi="宋体" w:cs="宋体"/>
          <w:color w:val="auto"/>
          <w:highlight w:val="none"/>
        </w:rPr>
      </w:pPr>
      <w:r>
        <w:rPr>
          <w:rFonts w:hint="eastAsia" w:hAnsi="宋体" w:cs="宋体"/>
          <w:color w:val="auto"/>
          <w:highlight w:val="none"/>
        </w:rPr>
        <w:drawing>
          <wp:inline distT="0" distB="0" distL="114300" distR="114300">
            <wp:extent cx="4873625" cy="7276465"/>
            <wp:effectExtent l="0" t="0" r="3175" b="63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3"/>
                    <a:stretch>
                      <a:fillRect/>
                    </a:stretch>
                  </pic:blipFill>
                  <pic:spPr>
                    <a:xfrm>
                      <a:off x="0" y="0"/>
                      <a:ext cx="4873625" cy="7276465"/>
                    </a:xfrm>
                    <a:prstGeom prst="rect">
                      <a:avLst/>
                    </a:prstGeom>
                    <a:noFill/>
                    <a:ln>
                      <a:noFill/>
                    </a:ln>
                  </pic:spPr>
                </pic:pic>
              </a:graphicData>
            </a:graphic>
          </wp:inline>
        </w:drawing>
      </w:r>
    </w:p>
    <w:p>
      <w:pPr>
        <w:rPr>
          <w:rFonts w:hint="eastAsia" w:hAnsi="宋体" w:cs="宋体"/>
          <w:color w:val="auto"/>
          <w:highlight w:val="none"/>
        </w:rPr>
      </w:pPr>
    </w:p>
    <w:p>
      <w:pPr>
        <w:rPr>
          <w:rFonts w:hint="eastAsia" w:hAnsi="宋体" w:cs="宋体"/>
          <w:color w:val="auto"/>
          <w:highlight w:val="none"/>
        </w:rPr>
      </w:pPr>
      <w:r>
        <w:rPr>
          <w:rFonts w:hint="eastAsia" w:hAnsi="宋体" w:cs="宋体"/>
          <w:color w:val="auto"/>
          <w:highlight w:val="none"/>
        </w:rPr>
        <w:drawing>
          <wp:inline distT="0" distB="0" distL="114300" distR="114300">
            <wp:extent cx="5264785" cy="7888605"/>
            <wp:effectExtent l="0" t="0" r="12065" b="1714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4"/>
                    <a:stretch>
                      <a:fillRect/>
                    </a:stretch>
                  </pic:blipFill>
                  <pic:spPr>
                    <a:xfrm>
                      <a:off x="0" y="0"/>
                      <a:ext cx="5264785" cy="7888605"/>
                    </a:xfrm>
                    <a:prstGeom prst="rect">
                      <a:avLst/>
                    </a:prstGeom>
                    <a:noFill/>
                    <a:ln>
                      <a:noFill/>
                    </a:ln>
                  </pic:spPr>
                </pic:pic>
              </a:graphicData>
            </a:graphic>
          </wp:inline>
        </w:drawing>
      </w:r>
    </w:p>
    <w:p>
      <w:pPr>
        <w:rPr>
          <w:rFonts w:hint="eastAsia" w:hAnsi="宋体" w:cs="宋体"/>
          <w:color w:val="auto"/>
          <w:highlight w:val="none"/>
        </w:rPr>
      </w:pPr>
    </w:p>
    <w:p>
      <w:pPr>
        <w:rPr>
          <w:rFonts w:hint="eastAsia" w:hAnsi="宋体" w:cs="宋体"/>
          <w:color w:val="auto"/>
          <w:highlight w:val="none"/>
        </w:rPr>
      </w:pPr>
      <w:r>
        <w:rPr>
          <w:rFonts w:hint="eastAsia" w:hAnsi="宋体" w:cs="宋体"/>
          <w:color w:val="auto"/>
          <w:highlight w:val="none"/>
        </w:rPr>
        <w:drawing>
          <wp:inline distT="0" distB="0" distL="114300" distR="114300">
            <wp:extent cx="5226685" cy="7235825"/>
            <wp:effectExtent l="0" t="0" r="12065" b="317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5"/>
                    <a:stretch>
                      <a:fillRect/>
                    </a:stretch>
                  </pic:blipFill>
                  <pic:spPr>
                    <a:xfrm>
                      <a:off x="0" y="0"/>
                      <a:ext cx="5226685" cy="7235825"/>
                    </a:xfrm>
                    <a:prstGeom prst="rect">
                      <a:avLst/>
                    </a:prstGeom>
                    <a:noFill/>
                    <a:ln>
                      <a:noFill/>
                    </a:ln>
                  </pic:spPr>
                </pic:pic>
              </a:graphicData>
            </a:graphic>
          </wp:inline>
        </w:drawing>
      </w:r>
    </w:p>
    <w:p>
      <w:pPr>
        <w:rPr>
          <w:rFonts w:hint="eastAsia" w:hAnsi="宋体" w:cs="宋体"/>
          <w:color w:val="auto"/>
          <w:highlight w:val="none"/>
        </w:rPr>
      </w:pPr>
    </w:p>
    <w:p>
      <w:pPr>
        <w:rPr>
          <w:rFonts w:hint="eastAsia" w:hAnsi="宋体" w:cs="宋体"/>
          <w:color w:val="auto"/>
          <w:highlight w:val="none"/>
        </w:rPr>
      </w:pPr>
      <w:r>
        <w:rPr>
          <w:rFonts w:hint="eastAsia" w:hAnsi="宋体" w:cs="宋体"/>
          <w:color w:val="auto"/>
          <w:highlight w:val="none"/>
        </w:rPr>
        <w:drawing>
          <wp:inline distT="0" distB="0" distL="114300" distR="114300">
            <wp:extent cx="5450840" cy="7713980"/>
            <wp:effectExtent l="0" t="0" r="16510" b="127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6"/>
                    <a:stretch>
                      <a:fillRect/>
                    </a:stretch>
                  </pic:blipFill>
                  <pic:spPr>
                    <a:xfrm>
                      <a:off x="0" y="0"/>
                      <a:ext cx="5450840" cy="7713980"/>
                    </a:xfrm>
                    <a:prstGeom prst="rect">
                      <a:avLst/>
                    </a:prstGeom>
                    <a:noFill/>
                    <a:ln>
                      <a:noFill/>
                    </a:ln>
                  </pic:spPr>
                </pic:pic>
              </a:graphicData>
            </a:graphic>
          </wp:inline>
        </w:drawing>
      </w:r>
    </w:p>
    <w:p>
      <w:pPr>
        <w:rPr>
          <w:rFonts w:hint="eastAsia" w:hAnsi="宋体" w:cs="宋体"/>
          <w:color w:val="auto"/>
          <w:highlight w:val="none"/>
        </w:rPr>
      </w:pPr>
    </w:p>
    <w:p>
      <w:pPr>
        <w:rPr>
          <w:rFonts w:hint="eastAsia" w:hAnsi="宋体" w:cs="宋体"/>
          <w:color w:val="auto"/>
          <w:highlight w:val="none"/>
        </w:rPr>
      </w:pPr>
      <w:r>
        <w:rPr>
          <w:rFonts w:hint="eastAsia" w:hAnsi="宋体" w:cs="宋体"/>
          <w:color w:val="auto"/>
          <w:highlight w:val="none"/>
        </w:rPr>
        <w:drawing>
          <wp:inline distT="0" distB="0" distL="114300" distR="114300">
            <wp:extent cx="5266055" cy="6833235"/>
            <wp:effectExtent l="0" t="0" r="10795" b="571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7"/>
                    <a:stretch>
                      <a:fillRect/>
                    </a:stretch>
                  </pic:blipFill>
                  <pic:spPr>
                    <a:xfrm>
                      <a:off x="0" y="0"/>
                      <a:ext cx="5266055" cy="6833235"/>
                    </a:xfrm>
                    <a:prstGeom prst="rect">
                      <a:avLst/>
                    </a:prstGeom>
                    <a:noFill/>
                    <a:ln>
                      <a:noFill/>
                    </a:ln>
                  </pic:spPr>
                </pic:pic>
              </a:graphicData>
            </a:graphic>
          </wp:inline>
        </w:drawing>
      </w:r>
    </w:p>
    <w:p>
      <w:pPr>
        <w:rPr>
          <w:rFonts w:hint="eastAsia" w:hAnsi="宋体" w:cs="宋体"/>
          <w:color w:val="auto"/>
          <w:highlight w:val="none"/>
        </w:rPr>
      </w:pPr>
    </w:p>
    <w:p>
      <w:pPr>
        <w:rPr>
          <w:rFonts w:hint="eastAsia" w:hAnsi="宋体" w:cs="宋体"/>
          <w:color w:val="auto"/>
          <w:highlight w:val="none"/>
        </w:rPr>
      </w:pPr>
      <w:r>
        <w:rPr>
          <w:rFonts w:hint="eastAsia" w:hAnsi="宋体" w:cs="宋体"/>
          <w:color w:val="auto"/>
          <w:highlight w:val="none"/>
        </w:rPr>
        <w:drawing>
          <wp:inline distT="0" distB="0" distL="114300" distR="114300">
            <wp:extent cx="5286375" cy="7481570"/>
            <wp:effectExtent l="0" t="0" r="9525" b="508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8"/>
                    <a:stretch>
                      <a:fillRect/>
                    </a:stretch>
                  </pic:blipFill>
                  <pic:spPr>
                    <a:xfrm>
                      <a:off x="0" y="0"/>
                      <a:ext cx="5286375" cy="7481570"/>
                    </a:xfrm>
                    <a:prstGeom prst="rect">
                      <a:avLst/>
                    </a:prstGeom>
                    <a:noFill/>
                    <a:ln>
                      <a:noFill/>
                    </a:ln>
                  </pic:spPr>
                </pic:pic>
              </a:graphicData>
            </a:graphic>
          </wp:inline>
        </w:drawing>
      </w:r>
    </w:p>
    <w:p>
      <w:pPr>
        <w:rPr>
          <w:rFonts w:hint="eastAsia" w:hAnsi="宋体" w:cs="宋体"/>
          <w:color w:val="auto"/>
          <w:highlight w:val="none"/>
        </w:rPr>
      </w:pPr>
    </w:p>
    <w:p>
      <w:pPr>
        <w:rPr>
          <w:rFonts w:hint="eastAsia" w:hAnsi="宋体" w:cs="宋体"/>
          <w:color w:val="auto"/>
          <w:highlight w:val="none"/>
        </w:rPr>
      </w:pPr>
      <w:r>
        <w:rPr>
          <w:rFonts w:hint="eastAsia" w:hAnsi="宋体" w:cs="宋体"/>
          <w:color w:val="auto"/>
          <w:highlight w:val="none"/>
        </w:rPr>
        <w:drawing>
          <wp:inline distT="0" distB="0" distL="114300" distR="114300">
            <wp:extent cx="5212080" cy="7030720"/>
            <wp:effectExtent l="0" t="0" r="7620" b="1778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9"/>
                    <a:stretch>
                      <a:fillRect/>
                    </a:stretch>
                  </pic:blipFill>
                  <pic:spPr>
                    <a:xfrm>
                      <a:off x="0" y="0"/>
                      <a:ext cx="5212080" cy="7030720"/>
                    </a:xfrm>
                    <a:prstGeom prst="rect">
                      <a:avLst/>
                    </a:prstGeom>
                    <a:noFill/>
                    <a:ln>
                      <a:noFill/>
                    </a:ln>
                  </pic:spPr>
                </pic:pic>
              </a:graphicData>
            </a:graphic>
          </wp:inline>
        </w:drawing>
      </w:r>
    </w:p>
    <w:p>
      <w:pPr>
        <w:rPr>
          <w:rFonts w:hint="eastAsia" w:hAnsi="宋体" w:cs="宋体"/>
          <w:color w:val="auto"/>
          <w:highlight w:val="none"/>
        </w:rPr>
      </w:pPr>
      <w:r>
        <w:rPr>
          <w:rFonts w:hint="eastAsia" w:hAnsi="宋体" w:cs="宋体"/>
          <w:color w:val="auto"/>
          <w:highlight w:val="none"/>
        </w:rPr>
        <w:drawing>
          <wp:inline distT="0" distB="0" distL="114300" distR="114300">
            <wp:extent cx="5403215" cy="7634605"/>
            <wp:effectExtent l="0" t="0" r="6985" b="444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0"/>
                    <a:stretch>
                      <a:fillRect/>
                    </a:stretch>
                  </pic:blipFill>
                  <pic:spPr>
                    <a:xfrm>
                      <a:off x="0" y="0"/>
                      <a:ext cx="5403215" cy="7634605"/>
                    </a:xfrm>
                    <a:prstGeom prst="rect">
                      <a:avLst/>
                    </a:prstGeom>
                    <a:noFill/>
                    <a:ln>
                      <a:noFill/>
                    </a:ln>
                  </pic:spPr>
                </pic:pic>
              </a:graphicData>
            </a:graphic>
          </wp:inline>
        </w:drawing>
      </w:r>
    </w:p>
    <w:p>
      <w:pPr>
        <w:rPr>
          <w:rFonts w:hint="eastAsia" w:hAnsi="宋体" w:cs="宋体"/>
          <w:color w:val="auto"/>
          <w:highlight w:val="none"/>
        </w:rPr>
      </w:pPr>
    </w:p>
    <w:p>
      <w:pPr>
        <w:rPr>
          <w:rFonts w:hint="eastAsia" w:hAnsi="宋体" w:cs="宋体"/>
          <w:color w:val="auto"/>
          <w:highlight w:val="none"/>
        </w:rPr>
      </w:pPr>
      <w:r>
        <w:rPr>
          <w:rFonts w:hint="eastAsia" w:hAnsi="宋体" w:cs="宋体"/>
          <w:color w:val="auto"/>
          <w:highlight w:val="none"/>
        </w:rPr>
        <w:drawing>
          <wp:inline distT="0" distB="0" distL="114300" distR="114300">
            <wp:extent cx="5449570" cy="7125970"/>
            <wp:effectExtent l="0" t="0" r="17780" b="1778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1"/>
                    <a:stretch>
                      <a:fillRect/>
                    </a:stretch>
                  </pic:blipFill>
                  <pic:spPr>
                    <a:xfrm>
                      <a:off x="0" y="0"/>
                      <a:ext cx="5449570" cy="7125970"/>
                    </a:xfrm>
                    <a:prstGeom prst="rect">
                      <a:avLst/>
                    </a:prstGeom>
                    <a:noFill/>
                    <a:ln>
                      <a:noFill/>
                    </a:ln>
                  </pic:spPr>
                </pic:pic>
              </a:graphicData>
            </a:graphic>
          </wp:inline>
        </w:drawing>
      </w:r>
    </w:p>
    <w:p>
      <w:pPr>
        <w:rPr>
          <w:rFonts w:hint="eastAsia" w:hAnsi="宋体" w:cs="宋体"/>
          <w:color w:val="auto"/>
          <w:highlight w:val="none"/>
        </w:rPr>
      </w:pPr>
    </w:p>
    <w:p>
      <w:pPr>
        <w:rPr>
          <w:rFonts w:hint="eastAsia" w:hAnsi="宋体" w:cs="宋体"/>
          <w:color w:val="auto"/>
          <w:highlight w:val="none"/>
        </w:rPr>
      </w:pPr>
      <w:r>
        <w:rPr>
          <w:rFonts w:hint="eastAsia" w:hAnsi="宋体" w:cs="宋体"/>
          <w:color w:val="auto"/>
          <w:highlight w:val="none"/>
        </w:rPr>
        <w:drawing>
          <wp:inline distT="0" distB="0" distL="114300" distR="114300">
            <wp:extent cx="5361305" cy="7586980"/>
            <wp:effectExtent l="0" t="0" r="10795" b="1397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22"/>
                    <a:stretch>
                      <a:fillRect/>
                    </a:stretch>
                  </pic:blipFill>
                  <pic:spPr>
                    <a:xfrm>
                      <a:off x="0" y="0"/>
                      <a:ext cx="5361305" cy="7586980"/>
                    </a:xfrm>
                    <a:prstGeom prst="rect">
                      <a:avLst/>
                    </a:prstGeom>
                    <a:noFill/>
                    <a:ln>
                      <a:noFill/>
                    </a:ln>
                  </pic:spPr>
                </pic:pic>
              </a:graphicData>
            </a:graphic>
          </wp:inline>
        </w:drawing>
      </w:r>
    </w:p>
    <w:p>
      <w:pPr>
        <w:rPr>
          <w:rFonts w:hint="eastAsia" w:hAnsi="宋体" w:cs="宋体"/>
          <w:color w:val="auto"/>
          <w:highlight w:val="none"/>
        </w:rPr>
      </w:pPr>
    </w:p>
    <w:p>
      <w:pPr>
        <w:rPr>
          <w:rFonts w:hint="eastAsia" w:hAnsi="宋体" w:cs="宋体"/>
          <w:color w:val="auto"/>
          <w:highlight w:val="none"/>
        </w:rPr>
      </w:pPr>
      <w:r>
        <w:rPr>
          <w:rFonts w:hint="eastAsia" w:hAnsi="宋体" w:cs="宋体"/>
          <w:color w:val="auto"/>
          <w:highlight w:val="none"/>
        </w:rPr>
        <w:drawing>
          <wp:inline distT="0" distB="0" distL="114300" distR="114300">
            <wp:extent cx="5120640" cy="6731635"/>
            <wp:effectExtent l="0" t="0" r="3810" b="1206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3"/>
                    <a:stretch>
                      <a:fillRect/>
                    </a:stretch>
                  </pic:blipFill>
                  <pic:spPr>
                    <a:xfrm>
                      <a:off x="0" y="0"/>
                      <a:ext cx="5120640" cy="6731635"/>
                    </a:xfrm>
                    <a:prstGeom prst="rect">
                      <a:avLst/>
                    </a:prstGeom>
                    <a:noFill/>
                    <a:ln>
                      <a:noFill/>
                    </a:ln>
                  </pic:spPr>
                </pic:pic>
              </a:graphicData>
            </a:graphic>
          </wp:inline>
        </w:drawing>
      </w:r>
    </w:p>
    <w:p>
      <w:pPr>
        <w:rPr>
          <w:rFonts w:hint="eastAsia" w:hAnsi="宋体" w:cs="宋体"/>
          <w:color w:val="auto"/>
          <w:highlight w:val="none"/>
        </w:rPr>
      </w:pPr>
    </w:p>
    <w:p>
      <w:pPr>
        <w:rPr>
          <w:rFonts w:hint="eastAsia" w:hAnsi="宋体" w:cs="宋体"/>
          <w:color w:val="auto"/>
          <w:highlight w:val="none"/>
        </w:rPr>
      </w:pPr>
      <w:r>
        <w:rPr>
          <w:rFonts w:hint="eastAsia" w:hAnsi="宋体" w:cs="宋体"/>
          <w:color w:val="auto"/>
          <w:highlight w:val="none"/>
        </w:rPr>
        <w:drawing>
          <wp:inline distT="0" distB="0" distL="114300" distR="114300">
            <wp:extent cx="5450205" cy="7700010"/>
            <wp:effectExtent l="0" t="0" r="17145" b="1524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24"/>
                    <a:stretch>
                      <a:fillRect/>
                    </a:stretch>
                  </pic:blipFill>
                  <pic:spPr>
                    <a:xfrm>
                      <a:off x="0" y="0"/>
                      <a:ext cx="5450205" cy="7700010"/>
                    </a:xfrm>
                    <a:prstGeom prst="rect">
                      <a:avLst/>
                    </a:prstGeom>
                    <a:noFill/>
                    <a:ln>
                      <a:noFill/>
                    </a:ln>
                  </pic:spPr>
                </pic:pic>
              </a:graphicData>
            </a:graphic>
          </wp:inline>
        </w:drawing>
      </w:r>
    </w:p>
    <w:p>
      <w:pPr>
        <w:rPr>
          <w:rFonts w:hint="eastAsia" w:hAnsi="宋体" w:cs="宋体"/>
          <w:color w:val="auto"/>
          <w:highlight w:val="none"/>
        </w:rPr>
      </w:pPr>
    </w:p>
    <w:p>
      <w:pPr>
        <w:rPr>
          <w:rFonts w:hint="eastAsia" w:hAnsi="宋体" w:cs="宋体"/>
          <w:color w:val="auto"/>
          <w:highlight w:val="none"/>
        </w:rPr>
      </w:pPr>
      <w:r>
        <w:rPr>
          <w:rFonts w:hint="eastAsia" w:hAnsi="宋体" w:cs="宋体"/>
          <w:color w:val="auto"/>
          <w:highlight w:val="none"/>
        </w:rPr>
        <w:drawing>
          <wp:inline distT="0" distB="0" distL="114300" distR="114300">
            <wp:extent cx="5222240" cy="6724650"/>
            <wp:effectExtent l="0" t="0" r="16510" b="0"/>
            <wp:docPr id="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pic:cNvPicPr>
                      <a:picLocks noChangeAspect="1"/>
                    </pic:cNvPicPr>
                  </pic:nvPicPr>
                  <pic:blipFill>
                    <a:blip r:embed="rId25"/>
                    <a:stretch>
                      <a:fillRect/>
                    </a:stretch>
                  </pic:blipFill>
                  <pic:spPr>
                    <a:xfrm>
                      <a:off x="0" y="0"/>
                      <a:ext cx="5222240" cy="6724650"/>
                    </a:xfrm>
                    <a:prstGeom prst="rect">
                      <a:avLst/>
                    </a:prstGeom>
                    <a:noFill/>
                    <a:ln>
                      <a:noFill/>
                    </a:ln>
                  </pic:spPr>
                </pic:pic>
              </a:graphicData>
            </a:graphic>
          </wp:inline>
        </w:drawing>
      </w:r>
    </w:p>
    <w:p>
      <w:pPr>
        <w:rPr>
          <w:rFonts w:hint="eastAsia" w:hAnsi="宋体" w:cs="宋体"/>
          <w:color w:val="auto"/>
          <w:highlight w:val="none"/>
        </w:rPr>
      </w:pPr>
    </w:p>
    <w:p>
      <w:pPr>
        <w:rPr>
          <w:rFonts w:hint="eastAsia" w:hAnsi="宋体" w:cs="宋体"/>
          <w:color w:val="auto"/>
          <w:highlight w:val="none"/>
        </w:rPr>
      </w:pPr>
      <w:r>
        <w:rPr>
          <w:rFonts w:hint="eastAsia" w:hAnsi="宋体" w:cs="宋体"/>
          <w:color w:val="auto"/>
          <w:highlight w:val="none"/>
        </w:rPr>
        <w:drawing>
          <wp:inline distT="0" distB="0" distL="114300" distR="114300">
            <wp:extent cx="5248910" cy="7428230"/>
            <wp:effectExtent l="0" t="0" r="8890" b="1270"/>
            <wp:docPr id="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pic:cNvPicPr>
                      <a:picLocks noChangeAspect="1"/>
                    </pic:cNvPicPr>
                  </pic:nvPicPr>
                  <pic:blipFill>
                    <a:blip r:embed="rId26"/>
                    <a:stretch>
                      <a:fillRect/>
                    </a:stretch>
                  </pic:blipFill>
                  <pic:spPr>
                    <a:xfrm>
                      <a:off x="0" y="0"/>
                      <a:ext cx="5248910" cy="7428230"/>
                    </a:xfrm>
                    <a:prstGeom prst="rect">
                      <a:avLst/>
                    </a:prstGeom>
                    <a:noFill/>
                    <a:ln>
                      <a:noFill/>
                    </a:ln>
                  </pic:spPr>
                </pic:pic>
              </a:graphicData>
            </a:graphic>
          </wp:inline>
        </w:drawing>
      </w:r>
    </w:p>
    <w:p>
      <w:pPr>
        <w:rPr>
          <w:rFonts w:hint="eastAsia" w:hAnsi="宋体" w:cs="宋体"/>
          <w:color w:val="auto"/>
          <w:highlight w:val="none"/>
        </w:rPr>
      </w:pPr>
    </w:p>
    <w:p>
      <w:pPr>
        <w:rPr>
          <w:rFonts w:hint="eastAsia" w:hAnsi="宋体" w:cs="宋体"/>
          <w:color w:val="auto"/>
          <w:highlight w:val="none"/>
        </w:rPr>
      </w:pPr>
    </w:p>
    <w:p>
      <w:pPr>
        <w:rPr>
          <w:rFonts w:hint="eastAsia" w:hAnsi="宋体" w:cs="宋体"/>
          <w:b/>
          <w:bCs/>
          <w:color w:val="auto"/>
          <w:sz w:val="24"/>
          <w:szCs w:val="24"/>
          <w:highlight w:val="none"/>
        </w:rPr>
      </w:pPr>
      <w:r>
        <w:rPr>
          <w:rFonts w:hint="eastAsia" w:hAnsi="宋体" w:cs="宋体"/>
          <w:color w:val="auto"/>
          <w:highlight w:val="none"/>
        </w:rPr>
        <w:drawing>
          <wp:inline distT="0" distB="0" distL="114300" distR="114300">
            <wp:extent cx="5323205" cy="6654800"/>
            <wp:effectExtent l="0" t="0" r="10795" b="12700"/>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pic:cNvPicPr>
                      <a:picLocks noChangeAspect="1"/>
                    </pic:cNvPicPr>
                  </pic:nvPicPr>
                  <pic:blipFill>
                    <a:blip r:embed="rId27"/>
                    <a:stretch>
                      <a:fillRect/>
                    </a:stretch>
                  </pic:blipFill>
                  <pic:spPr>
                    <a:xfrm>
                      <a:off x="0" y="0"/>
                      <a:ext cx="5323205" cy="6654800"/>
                    </a:xfrm>
                    <a:prstGeom prst="rect">
                      <a:avLst/>
                    </a:prstGeom>
                    <a:noFill/>
                    <a:ln>
                      <a:noFill/>
                    </a:ln>
                  </pic:spPr>
                </pic:pic>
              </a:graphicData>
            </a:graphic>
          </wp:inline>
        </w:drawing>
      </w:r>
      <w:r>
        <w:rPr>
          <w:rFonts w:hint="eastAsia" w:hAnsi="宋体" w:cs="宋体"/>
          <w:b/>
          <w:bCs/>
          <w:color w:val="auto"/>
          <w:sz w:val="24"/>
          <w:szCs w:val="24"/>
          <w:highlight w:val="none"/>
        </w:rPr>
        <w:t xml:space="preserve"> </w:t>
      </w:r>
    </w:p>
    <w:p>
      <w:pPr>
        <w:pStyle w:val="2"/>
        <w:rPr>
          <w:rFonts w:hint="eastAsia"/>
          <w:color w:val="auto"/>
        </w:rPr>
      </w:pPr>
      <w:bookmarkStart w:id="173" w:name="_Toc11310"/>
      <w:bookmarkStart w:id="174" w:name="_Toc19910"/>
      <w:bookmarkStart w:id="175" w:name="_Toc6253"/>
      <w:bookmarkStart w:id="176" w:name="_Toc10607"/>
      <w:bookmarkStart w:id="177" w:name="_Toc19297"/>
      <w:r>
        <w:rPr>
          <w:rFonts w:hint="eastAsia" w:ascii="宋体" w:hAnsi="宋体" w:eastAsia="宋体" w:cs="宋体"/>
          <w:color w:val="auto"/>
          <w:sz w:val="24"/>
          <w:szCs w:val="24"/>
          <w:highlight w:val="none"/>
        </w:rPr>
        <w:drawing>
          <wp:inline distT="0" distB="0" distL="114300" distR="114300">
            <wp:extent cx="5233670" cy="7395210"/>
            <wp:effectExtent l="0" t="0" r="5080" b="15240"/>
            <wp:docPr id="8" name="图片 18" descr="关于增补“蓉采贷”政策合作银行及做好相关工作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descr="关于增补“蓉采贷”政策合作银行及做好相关工作的通知_01"/>
                    <pic:cNvPicPr>
                      <a:picLocks noChangeAspect="1"/>
                    </pic:cNvPicPr>
                  </pic:nvPicPr>
                  <pic:blipFill>
                    <a:blip r:embed="rId28"/>
                    <a:stretch>
                      <a:fillRect/>
                    </a:stretch>
                  </pic:blipFill>
                  <pic:spPr>
                    <a:xfrm>
                      <a:off x="0" y="0"/>
                      <a:ext cx="5233670" cy="7395210"/>
                    </a:xfrm>
                    <a:prstGeom prst="rect">
                      <a:avLst/>
                    </a:prstGeom>
                    <a:noFill/>
                    <a:ln>
                      <a:noFill/>
                    </a:ln>
                  </pic:spPr>
                </pic:pic>
              </a:graphicData>
            </a:graphic>
          </wp:inline>
        </w:drawing>
      </w:r>
      <w:r>
        <w:rPr>
          <w:rFonts w:hint="eastAsia" w:ascii="宋体" w:hAnsi="宋体" w:eastAsia="宋体" w:cs="宋体"/>
          <w:color w:val="auto"/>
          <w:sz w:val="24"/>
          <w:szCs w:val="24"/>
          <w:highlight w:val="none"/>
        </w:rPr>
        <w:drawing>
          <wp:inline distT="0" distB="0" distL="114300" distR="114300">
            <wp:extent cx="5233670" cy="7395210"/>
            <wp:effectExtent l="0" t="0" r="5080" b="15240"/>
            <wp:docPr id="4" name="图片 19" descr="关于增补“蓉采贷”政策合作银行及做好相关工作的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descr="关于增补“蓉采贷”政策合作银行及做好相关工作的通知_02"/>
                    <pic:cNvPicPr>
                      <a:picLocks noChangeAspect="1"/>
                    </pic:cNvPicPr>
                  </pic:nvPicPr>
                  <pic:blipFill>
                    <a:blip r:embed="rId29"/>
                    <a:stretch>
                      <a:fillRect/>
                    </a:stretch>
                  </pic:blipFill>
                  <pic:spPr>
                    <a:xfrm>
                      <a:off x="0" y="0"/>
                      <a:ext cx="5233670" cy="7395210"/>
                    </a:xfrm>
                    <a:prstGeom prst="rect">
                      <a:avLst/>
                    </a:prstGeom>
                    <a:noFill/>
                    <a:ln>
                      <a:noFill/>
                    </a:ln>
                  </pic:spPr>
                </pic:pic>
              </a:graphicData>
            </a:graphic>
          </wp:inline>
        </w:drawing>
      </w:r>
      <w:bookmarkEnd w:id="173"/>
      <w:bookmarkEnd w:id="174"/>
      <w:bookmarkEnd w:id="175"/>
      <w:bookmarkEnd w:id="176"/>
      <w:bookmarkEnd w:id="177"/>
      <w:r>
        <w:rPr>
          <w:rFonts w:hint="eastAsia" w:ascii="宋体" w:hAnsi="宋体" w:eastAsia="宋体" w:cs="宋体"/>
          <w:color w:val="auto"/>
          <w:sz w:val="24"/>
          <w:szCs w:val="24"/>
          <w:highlight w:val="none"/>
        </w:rPr>
        <w:t xml:space="preserve">    </w:t>
      </w:r>
    </w:p>
    <w:p>
      <w:pP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br w:type="page"/>
      </w:r>
    </w:p>
    <w:p>
      <w:pPr>
        <w:pStyle w:val="4"/>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附件</w:t>
      </w:r>
      <w:r>
        <w:rPr>
          <w:rFonts w:hint="eastAsia" w:ascii="宋体" w:hAnsi="宋体" w:eastAsia="宋体" w:cs="宋体"/>
          <w:color w:val="auto"/>
          <w:sz w:val="24"/>
          <w:szCs w:val="24"/>
          <w:highlight w:val="none"/>
          <w:lang w:eastAsia="zh-CN"/>
        </w:rPr>
        <w:t>三</w:t>
      </w:r>
      <w:r>
        <w:rPr>
          <w:rFonts w:hint="eastAsia" w:ascii="宋体" w:hAnsi="宋体" w:eastAsia="宋体" w:cs="宋体"/>
          <w:color w:val="auto"/>
          <w:sz w:val="24"/>
          <w:szCs w:val="24"/>
          <w:highlight w:val="none"/>
        </w:rPr>
        <w:t>：新都财采〔2021〕160号</w:t>
      </w:r>
      <w:r>
        <w:rPr>
          <w:rFonts w:hint="eastAsia" w:ascii="宋体" w:hAnsi="宋体" w:eastAsia="宋体" w:cs="宋体"/>
          <w:color w:val="auto"/>
          <w:sz w:val="24"/>
          <w:szCs w:val="24"/>
          <w:highlight w:val="none"/>
          <w:lang w:eastAsia="zh-CN"/>
        </w:rPr>
        <w:t>文</w:t>
      </w:r>
    </w:p>
    <w:p>
      <w:pPr>
        <w:pStyle w:val="4"/>
        <w:rPr>
          <w:rStyle w:val="510"/>
          <w:rFonts w:hint="eastAsia" w:ascii="宋体" w:hAnsi="宋体" w:eastAsia="宋体" w:cs="宋体"/>
          <w:color w:val="auto"/>
          <w:sz w:val="18"/>
          <w:szCs w:val="18"/>
          <w:highlight w:val="none"/>
        </w:rPr>
      </w:pPr>
      <w:r>
        <w:rPr>
          <w:rStyle w:val="510"/>
          <w:rFonts w:hint="eastAsia" w:ascii="宋体" w:hAnsi="宋体" w:eastAsia="宋体" w:cs="宋体"/>
          <w:color w:val="auto"/>
          <w:sz w:val="18"/>
          <w:szCs w:val="18"/>
          <w:highlight w:val="none"/>
        </w:rPr>
        <w:t xml:space="preserve">   </w:t>
      </w:r>
    </w:p>
    <w:p>
      <w:pPr>
        <w:pStyle w:val="2"/>
        <w:rPr>
          <w:rFonts w:hint="eastAsia" w:eastAsia="宋体"/>
          <w:color w:val="auto"/>
          <w:lang w:eastAsia="zh-CN"/>
        </w:rPr>
      </w:pPr>
      <w:r>
        <w:rPr>
          <w:rFonts w:hint="eastAsia" w:eastAsia="宋体"/>
          <w:color w:val="auto"/>
          <w:lang w:eastAsia="zh-CN"/>
        </w:rPr>
        <w:drawing>
          <wp:inline distT="0" distB="0" distL="114300" distR="114300">
            <wp:extent cx="5271135" cy="7456805"/>
            <wp:effectExtent l="0" t="0" r="5715" b="10795"/>
            <wp:docPr id="27" name="图片 27" descr="0133ba08040149fe98e691543922549c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133ba08040149fe98e691543922549c_页面_1"/>
                    <pic:cNvPicPr>
                      <a:picLocks noChangeAspect="1"/>
                    </pic:cNvPicPr>
                  </pic:nvPicPr>
                  <pic:blipFill>
                    <a:blip r:embed="rId30"/>
                    <a:stretch>
                      <a:fillRect/>
                    </a:stretch>
                  </pic:blipFill>
                  <pic:spPr>
                    <a:xfrm>
                      <a:off x="0" y="0"/>
                      <a:ext cx="5271135" cy="7456805"/>
                    </a:xfrm>
                    <a:prstGeom prst="rect">
                      <a:avLst/>
                    </a:prstGeom>
                  </pic:spPr>
                </pic:pic>
              </a:graphicData>
            </a:graphic>
          </wp:inline>
        </w:drawing>
      </w:r>
    </w:p>
    <w:p>
      <w:pPr>
        <w:rPr>
          <w:rFonts w:hint="eastAsia"/>
          <w:color w:val="auto"/>
          <w:lang w:eastAsia="zh-CN"/>
        </w:rPr>
      </w:pPr>
    </w:p>
    <w:p>
      <w:pPr>
        <w:pStyle w:val="2"/>
        <w:rPr>
          <w:rFonts w:hint="eastAsia"/>
          <w:color w:val="auto"/>
          <w:lang w:eastAsia="zh-CN"/>
        </w:rPr>
      </w:pPr>
    </w:p>
    <w:p>
      <w:pPr>
        <w:rPr>
          <w:rFonts w:hint="eastAsia"/>
          <w:color w:val="auto"/>
          <w:lang w:eastAsia="zh-CN"/>
        </w:rPr>
      </w:pPr>
    </w:p>
    <w:p>
      <w:pPr>
        <w:pStyle w:val="2"/>
        <w:rPr>
          <w:rFonts w:hint="eastAsia"/>
          <w:color w:val="auto"/>
          <w:lang w:eastAsia="zh-CN"/>
        </w:rPr>
      </w:pPr>
    </w:p>
    <w:p>
      <w:pPr>
        <w:rPr>
          <w:rFonts w:hint="eastAsia"/>
          <w:color w:val="auto"/>
          <w:lang w:eastAsia="zh-CN"/>
        </w:rPr>
      </w:pPr>
      <w:r>
        <w:rPr>
          <w:rFonts w:hint="eastAsia"/>
          <w:color w:val="auto"/>
          <w:lang w:eastAsia="zh-CN"/>
        </w:rPr>
        <w:drawing>
          <wp:inline distT="0" distB="0" distL="114300" distR="114300">
            <wp:extent cx="5271135" cy="7456805"/>
            <wp:effectExtent l="0" t="0" r="5715" b="10795"/>
            <wp:docPr id="29" name="图片 29" descr="0133ba08040149fe98e691543922549c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133ba08040149fe98e691543922549c_页面_2"/>
                    <pic:cNvPicPr>
                      <a:picLocks noChangeAspect="1"/>
                    </pic:cNvPicPr>
                  </pic:nvPicPr>
                  <pic:blipFill>
                    <a:blip r:embed="rId31"/>
                    <a:stretch>
                      <a:fillRect/>
                    </a:stretch>
                  </pic:blipFill>
                  <pic:spPr>
                    <a:xfrm>
                      <a:off x="0" y="0"/>
                      <a:ext cx="5271135" cy="7456805"/>
                    </a:xfrm>
                    <a:prstGeom prst="rect">
                      <a:avLst/>
                    </a:prstGeom>
                  </pic:spPr>
                </pic:pic>
              </a:graphicData>
            </a:graphic>
          </wp:inline>
        </w:drawing>
      </w:r>
    </w:p>
    <w:p>
      <w:pPr>
        <w:pStyle w:val="2"/>
        <w:rPr>
          <w:rFonts w:hint="eastAsia"/>
          <w:color w:val="auto"/>
          <w:lang w:eastAsia="zh-CN"/>
        </w:rPr>
      </w:pPr>
    </w:p>
    <w:p>
      <w:pPr>
        <w:rPr>
          <w:rFonts w:hint="eastAsia"/>
          <w:color w:val="auto"/>
          <w:lang w:eastAsia="zh-CN"/>
        </w:rPr>
      </w:pPr>
    </w:p>
    <w:p>
      <w:pPr>
        <w:pStyle w:val="2"/>
        <w:rPr>
          <w:rFonts w:hint="eastAsia"/>
          <w:color w:val="auto"/>
          <w:lang w:eastAsia="zh-CN"/>
        </w:rPr>
      </w:pPr>
    </w:p>
    <w:p>
      <w:pPr>
        <w:rPr>
          <w:rFonts w:hint="eastAsia"/>
          <w:color w:val="auto"/>
          <w:lang w:eastAsia="zh-CN"/>
        </w:rPr>
      </w:pPr>
    </w:p>
    <w:p>
      <w:pPr>
        <w:pStyle w:val="2"/>
        <w:rPr>
          <w:rFonts w:hint="eastAsia"/>
          <w:color w:val="auto"/>
          <w:lang w:eastAsia="zh-CN"/>
        </w:rPr>
      </w:pPr>
    </w:p>
    <w:p>
      <w:pPr>
        <w:rPr>
          <w:rFonts w:hint="eastAsia"/>
          <w:color w:val="auto"/>
          <w:lang w:eastAsia="zh-CN"/>
        </w:rPr>
      </w:pPr>
      <w:r>
        <w:rPr>
          <w:rFonts w:hint="eastAsia"/>
          <w:color w:val="auto"/>
          <w:lang w:eastAsia="zh-CN"/>
        </w:rPr>
        <w:drawing>
          <wp:inline distT="0" distB="0" distL="114300" distR="114300">
            <wp:extent cx="5271135" cy="7456805"/>
            <wp:effectExtent l="0" t="0" r="5715" b="10795"/>
            <wp:docPr id="30" name="图片 30" descr="0133ba08040149fe98e691543922549c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133ba08040149fe98e691543922549c_页面_3"/>
                    <pic:cNvPicPr>
                      <a:picLocks noChangeAspect="1"/>
                    </pic:cNvPicPr>
                  </pic:nvPicPr>
                  <pic:blipFill>
                    <a:blip r:embed="rId32"/>
                    <a:stretch>
                      <a:fillRect/>
                    </a:stretch>
                  </pic:blipFill>
                  <pic:spPr>
                    <a:xfrm>
                      <a:off x="0" y="0"/>
                      <a:ext cx="5271135" cy="7456805"/>
                    </a:xfrm>
                    <a:prstGeom prst="rect">
                      <a:avLst/>
                    </a:prstGeom>
                  </pic:spPr>
                </pic:pic>
              </a:graphicData>
            </a:graphic>
          </wp:inline>
        </w:drawing>
      </w:r>
    </w:p>
    <w:p>
      <w:pPr>
        <w:pStyle w:val="2"/>
        <w:rPr>
          <w:rFonts w:hint="eastAsia"/>
          <w:color w:val="auto"/>
          <w:lang w:eastAsia="zh-CN"/>
        </w:rPr>
      </w:pPr>
    </w:p>
    <w:p>
      <w:pPr>
        <w:rPr>
          <w:rFonts w:hint="eastAsia"/>
          <w:color w:val="auto"/>
          <w:lang w:eastAsia="zh-CN"/>
        </w:rPr>
      </w:pPr>
    </w:p>
    <w:p>
      <w:pPr>
        <w:pStyle w:val="2"/>
        <w:rPr>
          <w:rFonts w:hint="eastAsia"/>
          <w:color w:val="auto"/>
          <w:lang w:eastAsia="zh-CN"/>
        </w:rPr>
      </w:pPr>
    </w:p>
    <w:p>
      <w:pPr>
        <w:rPr>
          <w:rFonts w:hint="eastAsia"/>
          <w:color w:val="auto"/>
          <w:lang w:eastAsia="zh-CN"/>
        </w:rPr>
      </w:pPr>
    </w:p>
    <w:p>
      <w:pPr>
        <w:pStyle w:val="2"/>
        <w:rPr>
          <w:rFonts w:hint="eastAsia"/>
          <w:color w:val="auto"/>
          <w:lang w:eastAsia="zh-CN"/>
        </w:rPr>
      </w:pPr>
    </w:p>
    <w:p>
      <w:pPr>
        <w:rPr>
          <w:rFonts w:hint="eastAsia"/>
          <w:color w:val="auto"/>
          <w:lang w:eastAsia="zh-CN"/>
        </w:rPr>
      </w:pPr>
      <w:r>
        <w:rPr>
          <w:rFonts w:hint="eastAsia"/>
          <w:color w:val="auto"/>
          <w:lang w:eastAsia="zh-CN"/>
        </w:rPr>
        <w:drawing>
          <wp:inline distT="0" distB="0" distL="114300" distR="114300">
            <wp:extent cx="5271135" cy="7456805"/>
            <wp:effectExtent l="0" t="0" r="5715" b="10795"/>
            <wp:docPr id="31" name="图片 31" descr="0133ba08040149fe98e691543922549c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0133ba08040149fe98e691543922549c_页面_4"/>
                    <pic:cNvPicPr>
                      <a:picLocks noChangeAspect="1"/>
                    </pic:cNvPicPr>
                  </pic:nvPicPr>
                  <pic:blipFill>
                    <a:blip r:embed="rId33"/>
                    <a:stretch>
                      <a:fillRect/>
                    </a:stretch>
                  </pic:blipFill>
                  <pic:spPr>
                    <a:xfrm>
                      <a:off x="0" y="0"/>
                      <a:ext cx="5271135" cy="7456805"/>
                    </a:xfrm>
                    <a:prstGeom prst="rect">
                      <a:avLst/>
                    </a:prstGeom>
                  </pic:spPr>
                </pic:pic>
              </a:graphicData>
            </a:graphic>
          </wp:inline>
        </w:drawing>
      </w:r>
    </w:p>
    <w:p>
      <w:pPr>
        <w:pStyle w:val="2"/>
        <w:rPr>
          <w:rFonts w:hint="eastAsia"/>
          <w:color w:val="auto"/>
          <w:lang w:eastAsia="zh-CN"/>
        </w:rPr>
        <w:sectPr>
          <w:headerReference r:id="rId8" w:type="default"/>
          <w:pgSz w:w="11906" w:h="16838"/>
          <w:pgMar w:top="1089" w:right="1797" w:bottom="1089" w:left="1797" w:header="851" w:footer="992" w:gutter="0"/>
          <w:cols w:space="425" w:num="1"/>
          <w:docGrid w:linePitch="312" w:charSpace="0"/>
        </w:sectPr>
      </w:pPr>
    </w:p>
    <w:p>
      <w:pPr>
        <w:pStyle w:val="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w:t>
      </w:r>
      <w:r>
        <w:rPr>
          <w:rFonts w:hint="eastAsia" w:ascii="宋体" w:hAnsi="宋体" w:eastAsia="宋体" w:cs="宋体"/>
          <w:color w:val="auto"/>
          <w:sz w:val="24"/>
          <w:szCs w:val="24"/>
          <w:highlight w:val="none"/>
          <w:lang w:eastAsia="zh-CN"/>
        </w:rPr>
        <w:t>四</w:t>
      </w:r>
      <w:r>
        <w:rPr>
          <w:rFonts w:hint="eastAsia" w:ascii="宋体" w:hAnsi="宋体" w:eastAsia="宋体" w:cs="宋体"/>
          <w:color w:val="auto"/>
          <w:sz w:val="24"/>
          <w:szCs w:val="24"/>
          <w:highlight w:val="none"/>
        </w:rPr>
        <w:t>：政府采购云平台使用介绍</w:t>
      </w:r>
    </w:p>
    <w:p>
      <w:pPr>
        <w:pStyle w:val="4"/>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1.输入网址：https://www.zcygov.cn</w:t>
      </w:r>
    </w:p>
    <w:p>
      <w:pPr>
        <w:pStyle w:val="4"/>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2.选择与项目对应的行政区域如：四川省-成都市-成都市本级</w:t>
      </w:r>
    </w:p>
    <w:p>
      <w:pPr>
        <w:pStyle w:val="4"/>
        <w:rPr>
          <w:rFonts w:hint="eastAsia" w:ascii="宋体" w:hAnsi="宋体" w:eastAsia="宋体" w:cs="宋体"/>
          <w:color w:val="auto"/>
          <w:sz w:val="24"/>
          <w:szCs w:val="24"/>
          <w:highlight w:val="none"/>
          <w:lang w:eastAsia="zh-CN"/>
        </w:rPr>
      </w:pPr>
      <w:r>
        <w:rPr>
          <w:color w:val="auto"/>
          <w:highlight w:val="yellow"/>
        </w:rPr>
        <w:drawing>
          <wp:inline distT="0" distB="0" distL="114300" distR="114300">
            <wp:extent cx="6225540" cy="3893185"/>
            <wp:effectExtent l="0" t="0" r="3810" b="1206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34"/>
                    <a:stretch>
                      <a:fillRect/>
                    </a:stretch>
                  </pic:blipFill>
                  <pic:spPr>
                    <a:xfrm>
                      <a:off x="0" y="0"/>
                      <a:ext cx="6225540" cy="3893185"/>
                    </a:xfrm>
                    <a:prstGeom prst="rect">
                      <a:avLst/>
                    </a:prstGeom>
                    <a:noFill/>
                    <a:ln>
                      <a:noFill/>
                    </a:ln>
                  </pic:spPr>
                </pic:pic>
              </a:graphicData>
            </a:graphic>
          </wp:inline>
        </w:drawing>
      </w:r>
    </w:p>
    <w:p>
      <w:pPr>
        <w:pStyle w:val="4"/>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点击操作指南-供应商</w:t>
      </w:r>
    </w:p>
    <w:p>
      <w:pPr>
        <w:jc w:val="left"/>
        <w:rPr>
          <w:rFonts w:hint="eastAsia" w:ascii="宋体" w:hAnsi="宋体" w:eastAsia="宋体" w:cs="宋体"/>
          <w:b/>
          <w:bCs/>
          <w:color w:val="auto"/>
          <w:kern w:val="2"/>
          <w:sz w:val="24"/>
          <w:szCs w:val="24"/>
          <w:highlight w:val="none"/>
          <w:lang w:val="en-US" w:eastAsia="zh-CN" w:bidi="ar-SA"/>
        </w:rPr>
      </w:pPr>
      <w:r>
        <w:rPr>
          <w:color w:val="auto"/>
          <w:highlight w:val="yellow"/>
        </w:rPr>
        <w:drawing>
          <wp:inline distT="0" distB="0" distL="114300" distR="114300">
            <wp:extent cx="8854440" cy="4585335"/>
            <wp:effectExtent l="0" t="0" r="3810" b="571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35"/>
                    <a:stretch>
                      <a:fillRect/>
                    </a:stretch>
                  </pic:blipFill>
                  <pic:spPr>
                    <a:xfrm>
                      <a:off x="0" y="0"/>
                      <a:ext cx="8854440" cy="4585335"/>
                    </a:xfrm>
                    <a:prstGeom prst="rect">
                      <a:avLst/>
                    </a:prstGeom>
                    <a:noFill/>
                    <a:ln>
                      <a:noFill/>
                    </a:ln>
                  </pic:spPr>
                </pic:pic>
              </a:graphicData>
            </a:graphic>
          </wp:inline>
        </w:drawing>
      </w:r>
      <w:r>
        <w:rPr>
          <w:color w:val="auto"/>
          <w:highlight w:val="yellow"/>
        </w:rPr>
        <w:br w:type="page"/>
      </w:r>
      <w:r>
        <w:rPr>
          <w:rFonts w:hint="eastAsia" w:ascii="宋体" w:hAnsi="宋体" w:eastAsia="宋体" w:cs="宋体"/>
          <w:b/>
          <w:bCs/>
          <w:color w:val="auto"/>
          <w:kern w:val="2"/>
          <w:sz w:val="24"/>
          <w:szCs w:val="24"/>
          <w:highlight w:val="none"/>
          <w:lang w:val="en-US" w:eastAsia="zh-CN" w:bidi="ar-SA"/>
        </w:rPr>
        <w:t>4.进入政采云供应商学习专题页面（https://edu.zcygov.cn/luban/xxzt-chengdu-gys?utm=a0017.b1347.cl50.5.0917bc90b7bb11eb807c353645758db6）</w:t>
      </w:r>
    </w:p>
    <w:p>
      <w:pPr>
        <w:rPr>
          <w:color w:val="auto"/>
          <w:highlight w:val="yellow"/>
        </w:rPr>
      </w:pPr>
      <w:r>
        <w:rPr>
          <w:color w:val="auto"/>
          <w:highlight w:val="yellow"/>
        </w:rPr>
        <w:drawing>
          <wp:inline distT="0" distB="0" distL="114300" distR="114300">
            <wp:extent cx="9255760" cy="4606290"/>
            <wp:effectExtent l="0" t="0" r="2540" b="3810"/>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36"/>
                    <a:stretch>
                      <a:fillRect/>
                    </a:stretch>
                  </pic:blipFill>
                  <pic:spPr>
                    <a:xfrm>
                      <a:off x="0" y="0"/>
                      <a:ext cx="9255760" cy="4606290"/>
                    </a:xfrm>
                    <a:prstGeom prst="rect">
                      <a:avLst/>
                    </a:prstGeom>
                    <a:noFill/>
                    <a:ln>
                      <a:noFill/>
                    </a:ln>
                  </pic:spPr>
                </pic:pic>
              </a:graphicData>
            </a:graphic>
          </wp:inline>
        </w:drawing>
      </w:r>
    </w:p>
    <w:p>
      <w:pPr>
        <w:rPr>
          <w:rFonts w:hint="eastAsia" w:ascii="宋体" w:hAnsi="宋体" w:eastAsia="宋体" w:cs="宋体"/>
          <w:b/>
          <w:bCs/>
          <w:color w:val="auto"/>
          <w:kern w:val="2"/>
          <w:sz w:val="24"/>
          <w:szCs w:val="24"/>
          <w:highlight w:val="none"/>
          <w:lang w:val="en-US" w:eastAsia="zh-CN" w:bidi="ar-SA"/>
        </w:rPr>
      </w:pPr>
      <w:r>
        <w:rPr>
          <w:rFonts w:hint="eastAsia"/>
          <w:color w:val="auto"/>
          <w:highlight w:val="yellow"/>
        </w:rPr>
        <w:br w:type="page"/>
      </w:r>
      <w:r>
        <w:rPr>
          <w:rFonts w:hint="eastAsia" w:ascii="宋体" w:hAnsi="宋体" w:eastAsia="宋体" w:cs="宋体"/>
          <w:b/>
          <w:bCs/>
          <w:color w:val="auto"/>
          <w:kern w:val="2"/>
          <w:sz w:val="24"/>
          <w:szCs w:val="24"/>
          <w:highlight w:val="none"/>
          <w:lang w:val="en-US" w:eastAsia="zh-CN" w:bidi="ar-SA"/>
        </w:rPr>
        <w:t>5.供应商资讯服务渠道</w:t>
      </w:r>
    </w:p>
    <w:p>
      <w:pPr>
        <w:rPr>
          <w:color w:val="auto"/>
          <w:highlight w:val="yellow"/>
        </w:rPr>
      </w:pPr>
      <w:r>
        <w:rPr>
          <w:color w:val="auto"/>
          <w:highlight w:val="yellow"/>
        </w:rPr>
        <w:drawing>
          <wp:inline distT="0" distB="0" distL="114300" distR="114300">
            <wp:extent cx="9380855" cy="3362960"/>
            <wp:effectExtent l="0" t="0" r="10795" b="889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37"/>
                    <a:stretch>
                      <a:fillRect/>
                    </a:stretch>
                  </pic:blipFill>
                  <pic:spPr>
                    <a:xfrm>
                      <a:off x="0" y="0"/>
                      <a:ext cx="9380855" cy="3362960"/>
                    </a:xfrm>
                    <a:prstGeom prst="rect">
                      <a:avLst/>
                    </a:prstGeom>
                    <a:noFill/>
                    <a:ln>
                      <a:noFill/>
                    </a:ln>
                  </pic:spPr>
                </pic:pic>
              </a:graphicData>
            </a:graphic>
          </wp:inline>
        </w:drawing>
      </w:r>
    </w:p>
    <w:p>
      <w:pPr>
        <w:rPr>
          <w:rFonts w:hint="eastAsia" w:ascii="宋体" w:hAnsi="宋体" w:eastAsia="宋体" w:cs="宋体"/>
          <w:b/>
          <w:bCs/>
          <w:color w:val="auto"/>
          <w:kern w:val="2"/>
          <w:sz w:val="24"/>
          <w:szCs w:val="24"/>
          <w:highlight w:val="none"/>
          <w:lang w:val="en-US" w:eastAsia="zh-CN" w:bidi="ar-SA"/>
        </w:rPr>
      </w:pPr>
      <w:r>
        <w:rPr>
          <w:color w:val="auto"/>
          <w:highlight w:val="yellow"/>
        </w:rPr>
        <w:br w:type="page"/>
      </w:r>
      <w:r>
        <w:rPr>
          <w:rFonts w:hint="eastAsia" w:ascii="宋体" w:hAnsi="宋体" w:eastAsia="宋体" w:cs="宋体"/>
          <w:b/>
          <w:bCs/>
          <w:color w:val="auto"/>
          <w:kern w:val="2"/>
          <w:sz w:val="24"/>
          <w:szCs w:val="24"/>
          <w:highlight w:val="none"/>
          <w:lang w:val="en-US" w:eastAsia="zh-CN" w:bidi="ar-SA"/>
        </w:rPr>
        <w:t>6.入驻政府采购云平台（注册）</w:t>
      </w:r>
    </w:p>
    <w:p>
      <w:pPr>
        <w:rPr>
          <w:color w:val="auto"/>
          <w:highlight w:val="yellow"/>
        </w:rPr>
      </w:pPr>
      <w:r>
        <w:rPr>
          <w:color w:val="auto"/>
          <w:highlight w:val="yellow"/>
        </w:rPr>
        <w:drawing>
          <wp:inline distT="0" distB="0" distL="114300" distR="114300">
            <wp:extent cx="8853805" cy="3604895"/>
            <wp:effectExtent l="0" t="0" r="4445" b="14605"/>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38"/>
                    <a:stretch>
                      <a:fillRect/>
                    </a:stretch>
                  </pic:blipFill>
                  <pic:spPr>
                    <a:xfrm>
                      <a:off x="0" y="0"/>
                      <a:ext cx="8853805" cy="3604895"/>
                    </a:xfrm>
                    <a:prstGeom prst="rect">
                      <a:avLst/>
                    </a:prstGeom>
                    <a:noFill/>
                    <a:ln>
                      <a:noFill/>
                    </a:ln>
                  </pic:spPr>
                </pic:pic>
              </a:graphicData>
            </a:graphic>
          </wp:inline>
        </w:drawing>
      </w:r>
    </w:p>
    <w:p>
      <w:pPr>
        <w:rPr>
          <w:rFonts w:hint="eastAsia" w:ascii="宋体" w:hAnsi="宋体" w:eastAsia="宋体" w:cs="宋体"/>
          <w:b/>
          <w:bCs/>
          <w:color w:val="auto"/>
          <w:kern w:val="2"/>
          <w:sz w:val="24"/>
          <w:szCs w:val="24"/>
          <w:highlight w:val="none"/>
          <w:lang w:val="en-US" w:eastAsia="zh-CN" w:bidi="ar-SA"/>
        </w:rPr>
      </w:pPr>
      <w:r>
        <w:rPr>
          <w:color w:val="auto"/>
          <w:highlight w:val="yellow"/>
        </w:rPr>
        <w:br w:type="page"/>
      </w:r>
      <w:r>
        <w:rPr>
          <w:rFonts w:hint="eastAsia" w:ascii="宋体" w:hAnsi="宋体" w:eastAsia="宋体" w:cs="宋体"/>
          <w:b/>
          <w:bCs/>
          <w:color w:val="auto"/>
          <w:kern w:val="2"/>
          <w:sz w:val="24"/>
          <w:szCs w:val="24"/>
          <w:highlight w:val="none"/>
          <w:lang w:val="en-US" w:eastAsia="zh-CN" w:bidi="ar-SA"/>
        </w:rPr>
        <w:t>7.下载《供应商政府采购项目电子交易操作指南》</w:t>
      </w:r>
    </w:p>
    <w:p>
      <w:pPr>
        <w:rPr>
          <w:rFonts w:hint="eastAsia"/>
          <w:color w:val="auto"/>
          <w:lang w:eastAsia="zh-CN"/>
        </w:rPr>
      </w:pPr>
      <w:r>
        <w:rPr>
          <w:color w:val="auto"/>
          <w:highlight w:val="yellow"/>
        </w:rPr>
        <w:drawing>
          <wp:inline distT="0" distB="0" distL="114300" distR="114300">
            <wp:extent cx="8404225" cy="4656455"/>
            <wp:effectExtent l="0" t="0" r="15875" b="1079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39"/>
                    <a:stretch>
                      <a:fillRect/>
                    </a:stretch>
                  </pic:blipFill>
                  <pic:spPr>
                    <a:xfrm>
                      <a:off x="0" y="0"/>
                      <a:ext cx="8404225" cy="4656455"/>
                    </a:xfrm>
                    <a:prstGeom prst="rect">
                      <a:avLst/>
                    </a:prstGeom>
                    <a:noFill/>
                    <a:ln>
                      <a:noFill/>
                    </a:ln>
                  </pic:spPr>
                </pic:pic>
              </a:graphicData>
            </a:graphic>
          </wp:inline>
        </w:drawing>
      </w:r>
    </w:p>
    <w:sectPr>
      <w:pgSz w:w="16838" w:h="11906" w:orient="landscape"/>
      <w:pgMar w:top="1797" w:right="1769" w:bottom="1797" w:left="1769"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长城仿宋">
    <w:altName w:val="宋体"/>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Bodoni MT">
    <w:altName w:val="Segoe Print"/>
    <w:panose1 w:val="02070603080606020203"/>
    <w:charset w:val="00"/>
    <w:family w:val="roman"/>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宋体-方正超大字符集">
    <w:altName w:val="宋体"/>
    <w:panose1 w:val="03000509000000000000"/>
    <w:charset w:val="86"/>
    <w:family w:val="script"/>
    <w:pitch w:val="default"/>
    <w:sig w:usb0="00000000" w:usb1="00000000" w:usb2="00000010" w:usb3="00000000" w:csb0="00040000" w:csb1="00000000"/>
  </w:font>
  <w:font w:name="方正小标宋简体">
    <w:altName w:val="黑体"/>
    <w:panose1 w:val="02000000000000000000"/>
    <w:charset w:val="86"/>
    <w:family w:val="auto"/>
    <w:pitch w:val="default"/>
    <w:sig w:usb0="00000000" w:usb1="00000000" w:usb2="00000012"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方正仿宋简体">
    <w:altName w:val="微软雅黑"/>
    <w:panose1 w:val="02000000000000000000"/>
    <w:charset w:val="86"/>
    <w:family w:val="script"/>
    <w:pitch w:val="default"/>
    <w:sig w:usb0="00000000" w:usb1="00000000" w:usb2="00000012" w:usb3="00000000" w:csb0="00040001" w:csb1="00000000"/>
  </w:font>
  <w:font w:name="微软雅黑">
    <w:panose1 w:val="020B0503020204020204"/>
    <w:charset w:val="86"/>
    <w:family w:val="auto"/>
    <w:pitch w:val="default"/>
    <w:sig w:usb0="80000287" w:usb1="280F3C52" w:usb2="00000016" w:usb3="00000000" w:csb0="0004001F" w:csb1="00000000"/>
  </w:font>
  <w:font w:name="Vrinda">
    <w:panose1 w:val="020B0502040204020203"/>
    <w:charset w:val="01"/>
    <w:family w:val="roman"/>
    <w:pitch w:val="default"/>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p>
  <w:p>
    <w:pPr>
      <w:pStyle w:val="29"/>
    </w:pPr>
    <w:r>
      <mc:AlternateContent>
        <mc:Choice Requires="wps">
          <w:drawing>
            <wp:anchor distT="0" distB="0" distL="114300" distR="114300" simplePos="0" relativeHeight="251663360" behindDoc="0" locked="0" layoutInCell="1" allowOverlap="1">
              <wp:simplePos x="0" y="0"/>
              <wp:positionH relativeFrom="margin">
                <wp:posOffset>2609850</wp:posOffset>
              </wp:positionH>
              <wp:positionV relativeFrom="paragraph">
                <wp:posOffset>74930</wp:posOffset>
              </wp:positionV>
              <wp:extent cx="254635" cy="139700"/>
              <wp:effectExtent l="0" t="0" r="0" b="0"/>
              <wp:wrapNone/>
              <wp:docPr id="7" name="文本框 1"/>
              <wp:cNvGraphicFramePr/>
              <a:graphic xmlns:a="http://schemas.openxmlformats.org/drawingml/2006/main">
                <a:graphicData uri="http://schemas.microsoft.com/office/word/2010/wordprocessingShape">
                  <wps:wsp>
                    <wps:cNvSpPr txBox="1"/>
                    <wps:spPr>
                      <a:xfrm>
                        <a:off x="0" y="0"/>
                        <a:ext cx="254635" cy="139700"/>
                      </a:xfrm>
                      <a:prstGeom prst="rect">
                        <a:avLst/>
                      </a:prstGeom>
                      <a:noFill/>
                      <a:ln w="15875">
                        <a:noFill/>
                      </a:ln>
                      <a:effectLst/>
                    </wps:spPr>
                    <wps:txbx>
                      <w:txbxContent>
                        <w:p>
                          <w:pPr>
                            <w:pStyle w:val="29"/>
                            <w:jc w:val="center"/>
                          </w:pPr>
                          <w:r>
                            <w:fldChar w:fldCharType="begin"/>
                          </w:r>
                          <w:r>
                            <w:instrText xml:space="preserve"> PAGE   \* MERGEFORMAT </w:instrText>
                          </w:r>
                          <w:r>
                            <w:fldChar w:fldCharType="separate"/>
                          </w:r>
                          <w:r>
                            <w:t>36</w:t>
                          </w:r>
                          <w:r>
                            <w:fldChar w:fldCharType="end"/>
                          </w:r>
                        </w:p>
                      </w:txbxContent>
                    </wps:txbx>
                    <wps:bodyPr lIns="0" tIns="0" rIns="0" bIns="0" upright="1">
                      <a:spAutoFit/>
                    </wps:bodyPr>
                  </wps:wsp>
                </a:graphicData>
              </a:graphic>
            </wp:anchor>
          </w:drawing>
        </mc:Choice>
        <mc:Fallback>
          <w:pict>
            <v:shape id="文本框 1" o:spid="_x0000_s1026" o:spt="202" type="#_x0000_t202" style="position:absolute;left:0pt;margin-left:205.5pt;margin-top:5.9pt;height:11pt;width:20.05pt;mso-position-horizontal-relative:margin;z-index:251663360;mso-width-relative:page;mso-height-relative:page;" filled="f" stroked="f" coordsize="21600,21600" o:gfxdata="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YB22AAAAAkBAAAPAAAAAAAAAAEA&#10;IAAAACIAAABkcnMvZG93bnJldi54bWxQSwECFAAUAAAACACHTuJAgiLHTdYBAACjAwAADgAAAAAA&#10;AAABACAAAAAnAQAAZHJzL2Uyb0RvYy54bWxQSwUGAAAAAAYABgBZAQAAbwUAAAAA&#10;">
              <v:fill on="f" focussize="0,0"/>
              <v:stroke on="f" weight="1.25pt"/>
              <v:imagedata o:title=""/>
              <o:lock v:ext="edit" aspectratio="f"/>
              <v:textbox inset="0mm,0mm,0mm,0mm" style="mso-fit-shape-to-text:t;">
                <w:txbxContent>
                  <w:p>
                    <w:pPr>
                      <w:pStyle w:val="29"/>
                      <w:jc w:val="center"/>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p>
  <w:p>
    <w:pPr>
      <w:pStyle w:val="29"/>
    </w:pPr>
    <w:r>
      <mc:AlternateContent>
        <mc:Choice Requires="wps">
          <w:drawing>
            <wp:anchor distT="0" distB="0" distL="114300" distR="114300" simplePos="0" relativeHeight="251662336" behindDoc="0" locked="0" layoutInCell="1" allowOverlap="1">
              <wp:simplePos x="0" y="0"/>
              <wp:positionH relativeFrom="margin">
                <wp:posOffset>2609850</wp:posOffset>
              </wp:positionH>
              <wp:positionV relativeFrom="paragraph">
                <wp:posOffset>74930</wp:posOffset>
              </wp:positionV>
              <wp:extent cx="254635" cy="139700"/>
              <wp:effectExtent l="0" t="0" r="0" b="0"/>
              <wp:wrapNone/>
              <wp:docPr id="6" name="文本框 1"/>
              <wp:cNvGraphicFramePr/>
              <a:graphic xmlns:a="http://schemas.openxmlformats.org/drawingml/2006/main">
                <a:graphicData uri="http://schemas.microsoft.com/office/word/2010/wordprocessingShape">
                  <wps:wsp>
                    <wps:cNvSpPr txBox="1"/>
                    <wps:spPr>
                      <a:xfrm>
                        <a:off x="0" y="0"/>
                        <a:ext cx="254635" cy="139700"/>
                      </a:xfrm>
                      <a:prstGeom prst="rect">
                        <a:avLst/>
                      </a:prstGeom>
                      <a:noFill/>
                      <a:ln w="15875">
                        <a:noFill/>
                      </a:ln>
                      <a:effectLst/>
                    </wps:spPr>
                    <wps:txbx>
                      <w:txbxContent>
                        <w:p>
                          <w:pPr>
                            <w:pStyle w:val="29"/>
                            <w:jc w:val="center"/>
                          </w:pPr>
                          <w:r>
                            <w:fldChar w:fldCharType="begin"/>
                          </w:r>
                          <w:r>
                            <w:instrText xml:space="preserve"> PAGE   \* MERGEFORMAT </w:instrText>
                          </w:r>
                          <w:r>
                            <w:fldChar w:fldCharType="separate"/>
                          </w:r>
                          <w:r>
                            <w:t>61</w:t>
                          </w:r>
                          <w:r>
                            <w:fldChar w:fldCharType="end"/>
                          </w:r>
                        </w:p>
                      </w:txbxContent>
                    </wps:txbx>
                    <wps:bodyPr lIns="0" tIns="0" rIns="0" bIns="0" upright="1">
                      <a:spAutoFit/>
                    </wps:bodyPr>
                  </wps:wsp>
                </a:graphicData>
              </a:graphic>
            </wp:anchor>
          </w:drawing>
        </mc:Choice>
        <mc:Fallback>
          <w:pict>
            <v:shape id="文本框 1" o:spid="_x0000_s1026" o:spt="202" type="#_x0000_t202" style="position:absolute;left:0pt;margin-left:205.5pt;margin-top:5.9pt;height:11pt;width:20.05pt;mso-position-horizontal-relative:margin;z-index:251662336;mso-width-relative:page;mso-height-relative:page;" filled="f" stroked="f" coordsize="21600,21600" o:gfxdata="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YB22AAAAAkBAAAPAAAAAAAAAAEA&#10;IAAAACIAAABkcnMvZG93bnJldi54bWxQSwECFAAUAAAACACHTuJAMAOyBtYBAACjAwAADgAAAAAA&#10;AAABACAAAAAnAQAAZHJzL2Uyb0RvYy54bWxQSwUGAAAAAAYABgBZAQAAbwUAAAAA&#10;">
              <v:fill on="f" focussize="0,0"/>
              <v:stroke on="f" weight="1.25pt"/>
              <v:imagedata o:title=""/>
              <o:lock v:ext="edit" aspectratio="f"/>
              <v:textbox inset="0mm,0mm,0mm,0mm" style="mso-fit-shape-to-text:t;">
                <w:txbxContent>
                  <w:p>
                    <w:pPr>
                      <w:pStyle w:val="29"/>
                      <w:jc w:val="center"/>
                    </w:pPr>
                    <w:r>
                      <w:fldChar w:fldCharType="begin"/>
                    </w:r>
                    <w:r>
                      <w:instrText xml:space="preserve"> PAGE   \* MERGEFORMAT </w:instrText>
                    </w:r>
                    <w:r>
                      <w:fldChar w:fldCharType="separate"/>
                    </w:r>
                    <w:r>
                      <w:t>61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single" w:color="000000" w:sz="6" w:space="0"/>
      </w:pBdr>
      <w:jc w:val="both"/>
    </w:pPr>
    <w:r>
      <w:drawing>
        <wp:anchor distT="0" distB="0" distL="114300" distR="114300" simplePos="0" relativeHeight="251660288" behindDoc="0" locked="0" layoutInCell="1" allowOverlap="1">
          <wp:simplePos x="0" y="0"/>
          <wp:positionH relativeFrom="column">
            <wp:posOffset>-778510</wp:posOffset>
          </wp:positionH>
          <wp:positionV relativeFrom="paragraph">
            <wp:posOffset>-149860</wp:posOffset>
          </wp:positionV>
          <wp:extent cx="781050" cy="485775"/>
          <wp:effectExtent l="0" t="0" r="0" b="0"/>
          <wp:wrapNone/>
          <wp:docPr id="10" name="图片 1" descr="C:\Users\MAC\AppData\Local\Temp\ksohtml\wpsBD2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MAC\AppData\Local\Temp\ksohtml\wpsBD27.tm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1200" cy="486000"/>
                  </a:xfrm>
                  <a:prstGeom prst="rect">
                    <a:avLst/>
                  </a:prstGeom>
                  <a:noFill/>
                  <a:ln>
                    <a:noFill/>
                  </a:ln>
                </pic:spPr>
              </pic:pic>
            </a:graphicData>
          </a:graphic>
        </wp:anchor>
      </w:drawing>
    </w:r>
    <w:r>
      <w:rPr>
        <w:rFonts w:hint="eastAsia" w:hAnsi="宋体"/>
        <w:sz w:val="21"/>
        <w:szCs w:val="21"/>
      </w:rPr>
      <w:t>四川协友招标代理有限公司</w:t>
    </w:r>
    <w:r>
      <w:rPr>
        <w:rFonts w:hint="eastAsia"/>
        <w:b/>
        <w:bCs/>
      </w:rPr>
      <w:t xml:space="preserve"> </w:t>
    </w:r>
    <w:r>
      <w:rPr>
        <w:rFonts w:hint="eastAsia"/>
      </w:rPr>
      <w:t xml:space="preserve">                                       </w:t>
    </w:r>
    <w:r>
      <w:rPr>
        <w:rFonts w:hint="eastAsia" w:hAnsi="宋体"/>
      </w:rPr>
      <w:t>公开</w:t>
    </w:r>
    <w:r>
      <w:rPr>
        <w:rFonts w:hint="eastAsia"/>
      </w:rPr>
      <w:t xml:space="preserve"> </w:t>
    </w:r>
    <w:r>
      <w:rPr>
        <w:rFonts w:hint="eastAsia" w:hAnsi="宋体"/>
      </w:rPr>
      <w:t>公平</w:t>
    </w:r>
    <w:r>
      <w:rPr>
        <w:rFonts w:hint="eastAsia"/>
      </w:rPr>
      <w:t xml:space="preserve"> </w:t>
    </w:r>
    <w:r>
      <w:rPr>
        <w:rFonts w:hint="eastAsia" w:hAnsi="宋体"/>
      </w:rPr>
      <w:t>公正</w:t>
    </w:r>
    <w:r>
      <w:rPr>
        <w:rFonts w:hint="eastAsia"/>
      </w:rPr>
      <w:t xml:space="preserve"> </w:t>
    </w:r>
    <w:r>
      <w:rPr>
        <w:rFonts w:hint="eastAsia" w:hAnsi="宋体"/>
      </w:rPr>
      <w:t>诚信</w:t>
    </w:r>
    <w:r>
      <w:rPr>
        <w:rFonts w:hint="eastAsia"/>
      </w:rPr>
      <w:t xml:space="preserve"> </w:t>
    </w:r>
    <w:r>
      <w:rPr>
        <w:rFonts w:hint="eastAsia" w:hAnsi="宋体"/>
      </w:rPr>
      <w:t>务实</w:t>
    </w:r>
  </w:p>
  <w:p>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single" w:color="000000" w:sz="6" w:space="0"/>
      </w:pBdr>
      <w:jc w:val="both"/>
    </w:pPr>
    <w:r>
      <w:drawing>
        <wp:anchor distT="0" distB="0" distL="114300" distR="114300" simplePos="0" relativeHeight="251661312" behindDoc="0" locked="0" layoutInCell="1" allowOverlap="1">
          <wp:simplePos x="0" y="0"/>
          <wp:positionH relativeFrom="column">
            <wp:posOffset>-778510</wp:posOffset>
          </wp:positionH>
          <wp:positionV relativeFrom="paragraph">
            <wp:posOffset>-149860</wp:posOffset>
          </wp:positionV>
          <wp:extent cx="781050" cy="485775"/>
          <wp:effectExtent l="0" t="0" r="0" b="0"/>
          <wp:wrapNone/>
          <wp:docPr id="3" name="图片 1" descr="C:\Users\MAC\AppData\Local\Temp\ksohtml\wpsBD2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MAC\AppData\Local\Temp\ksohtml\wpsBD27.tm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1200" cy="486000"/>
                  </a:xfrm>
                  <a:prstGeom prst="rect">
                    <a:avLst/>
                  </a:prstGeom>
                  <a:noFill/>
                  <a:ln>
                    <a:noFill/>
                  </a:ln>
                </pic:spPr>
              </pic:pic>
            </a:graphicData>
          </a:graphic>
        </wp:anchor>
      </w:drawing>
    </w:r>
    <w:r>
      <w:rPr>
        <w:rFonts w:hint="eastAsia" w:hAnsi="宋体"/>
        <w:sz w:val="21"/>
        <w:szCs w:val="21"/>
      </w:rPr>
      <w:t>四川协友招标代理有限公司</w:t>
    </w:r>
    <w:r>
      <w:rPr>
        <w:rFonts w:hint="eastAsia"/>
        <w:b/>
        <w:bCs/>
      </w:rPr>
      <w:t xml:space="preserve"> </w:t>
    </w:r>
    <w:r>
      <w:rPr>
        <w:rFonts w:hint="eastAsia"/>
      </w:rPr>
      <w:t xml:space="preserve">                                       </w:t>
    </w:r>
    <w:r>
      <w:rPr>
        <w:rFonts w:hint="eastAsia" w:hAnsi="宋体"/>
      </w:rPr>
      <w:t>公开</w:t>
    </w:r>
    <w:r>
      <w:rPr>
        <w:rFonts w:hint="eastAsia"/>
      </w:rPr>
      <w:t xml:space="preserve"> </w:t>
    </w:r>
    <w:r>
      <w:rPr>
        <w:rFonts w:hint="eastAsia" w:hAnsi="宋体"/>
      </w:rPr>
      <w:t>公平</w:t>
    </w:r>
    <w:r>
      <w:rPr>
        <w:rFonts w:hint="eastAsia"/>
      </w:rPr>
      <w:t xml:space="preserve"> </w:t>
    </w:r>
    <w:r>
      <w:rPr>
        <w:rFonts w:hint="eastAsia" w:hAnsi="宋体"/>
      </w:rPr>
      <w:t>公正</w:t>
    </w:r>
    <w:r>
      <w:rPr>
        <w:rFonts w:hint="eastAsia"/>
      </w:rPr>
      <w:t xml:space="preserve"> </w:t>
    </w:r>
    <w:r>
      <w:rPr>
        <w:rFonts w:hint="eastAsia" w:hAnsi="宋体"/>
      </w:rPr>
      <w:t>诚信</w:t>
    </w:r>
    <w:r>
      <w:rPr>
        <w:rFonts w:hint="eastAsia"/>
      </w:rPr>
      <w:t xml:space="preserve"> </w:t>
    </w:r>
    <w:r>
      <w:rPr>
        <w:rFonts w:hint="eastAsia" w:hAnsi="宋体"/>
      </w:rPr>
      <w:t>务实</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single" w:color="000000" w:sz="6" w:space="0"/>
      </w:pBdr>
      <w:jc w:val="both"/>
    </w:pPr>
    <w:r>
      <w:drawing>
        <wp:anchor distT="0" distB="0" distL="114300" distR="114300" simplePos="0" relativeHeight="251659264" behindDoc="0" locked="0" layoutInCell="1" allowOverlap="1">
          <wp:simplePos x="0" y="0"/>
          <wp:positionH relativeFrom="column">
            <wp:posOffset>-778510</wp:posOffset>
          </wp:positionH>
          <wp:positionV relativeFrom="paragraph">
            <wp:posOffset>-149860</wp:posOffset>
          </wp:positionV>
          <wp:extent cx="781050" cy="485775"/>
          <wp:effectExtent l="0" t="0" r="0" b="0"/>
          <wp:wrapNone/>
          <wp:docPr id="1" name="图片 1" descr="C:\Users\MAC\AppData\Local\Temp\ksohtml\wpsBD2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MAC\AppData\Local\Temp\ksohtml\wpsBD27.tm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1200" cy="486000"/>
                  </a:xfrm>
                  <a:prstGeom prst="rect">
                    <a:avLst/>
                  </a:prstGeom>
                  <a:noFill/>
                  <a:ln>
                    <a:noFill/>
                  </a:ln>
                </pic:spPr>
              </pic:pic>
            </a:graphicData>
          </a:graphic>
        </wp:anchor>
      </w:drawing>
    </w:r>
    <w:r>
      <w:rPr>
        <w:rFonts w:hint="eastAsia" w:hAnsi="宋体"/>
        <w:sz w:val="21"/>
        <w:szCs w:val="21"/>
      </w:rPr>
      <w:t>四川协友招标代理有限公司</w:t>
    </w:r>
    <w:r>
      <w:rPr>
        <w:rFonts w:hint="eastAsia"/>
        <w:b/>
        <w:bCs/>
      </w:rPr>
      <w:t xml:space="preserve"> </w:t>
    </w:r>
    <w:r>
      <w:rPr>
        <w:rFonts w:hint="eastAsia"/>
      </w:rPr>
      <w:t xml:space="preserve">                                       </w:t>
    </w:r>
    <w:r>
      <w:rPr>
        <w:rFonts w:hint="eastAsia" w:hAnsi="宋体"/>
      </w:rPr>
      <w:t>公开</w:t>
    </w:r>
    <w:r>
      <w:rPr>
        <w:rFonts w:hint="eastAsia"/>
      </w:rPr>
      <w:t xml:space="preserve"> </w:t>
    </w:r>
    <w:r>
      <w:rPr>
        <w:rFonts w:hint="eastAsia" w:hAnsi="宋体"/>
      </w:rPr>
      <w:t>公平</w:t>
    </w:r>
    <w:r>
      <w:rPr>
        <w:rFonts w:hint="eastAsia"/>
      </w:rPr>
      <w:t xml:space="preserve"> </w:t>
    </w:r>
    <w:r>
      <w:rPr>
        <w:rFonts w:hint="eastAsia" w:hAnsi="宋体"/>
      </w:rPr>
      <w:t>公正</w:t>
    </w:r>
    <w:r>
      <w:rPr>
        <w:rFonts w:hint="eastAsia"/>
      </w:rPr>
      <w:t xml:space="preserve"> </w:t>
    </w:r>
    <w:r>
      <w:rPr>
        <w:rFonts w:hint="eastAsia" w:hAnsi="宋体"/>
      </w:rPr>
      <w:t>诚信</w:t>
    </w:r>
    <w:r>
      <w:rPr>
        <w:rFonts w:hint="eastAsia"/>
      </w:rPr>
      <w:t xml:space="preserve"> </w:t>
    </w:r>
    <w:r>
      <w:rPr>
        <w:rFonts w:hint="eastAsia" w:hAnsi="宋体"/>
      </w:rPr>
      <w:t>务实</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09C5C4"/>
    <w:multiLevelType w:val="singleLevel"/>
    <w:tmpl w:val="8209C5C4"/>
    <w:lvl w:ilvl="0" w:tentative="0">
      <w:start w:val="1"/>
      <w:numFmt w:val="decimal"/>
      <w:suff w:val="nothing"/>
      <w:lvlText w:val="%1、"/>
      <w:lvlJc w:val="left"/>
    </w:lvl>
  </w:abstractNum>
  <w:abstractNum w:abstractNumId="1">
    <w:nsid w:val="98F9214A"/>
    <w:multiLevelType w:val="singleLevel"/>
    <w:tmpl w:val="98F9214A"/>
    <w:lvl w:ilvl="0" w:tentative="0">
      <w:start w:val="3"/>
      <w:numFmt w:val="decimal"/>
      <w:lvlText w:val="%1."/>
      <w:lvlJc w:val="left"/>
      <w:pPr>
        <w:tabs>
          <w:tab w:val="left" w:pos="312"/>
        </w:tabs>
      </w:pPr>
    </w:lvl>
  </w:abstractNum>
  <w:abstractNum w:abstractNumId="2">
    <w:nsid w:val="A92BE630"/>
    <w:multiLevelType w:val="singleLevel"/>
    <w:tmpl w:val="A92BE630"/>
    <w:lvl w:ilvl="0" w:tentative="0">
      <w:start w:val="1"/>
      <w:numFmt w:val="decimal"/>
      <w:suff w:val="nothing"/>
      <w:lvlText w:val="%1、"/>
      <w:lvlJc w:val="left"/>
    </w:lvl>
  </w:abstractNum>
  <w:abstractNum w:abstractNumId="3">
    <w:nsid w:val="AD559087"/>
    <w:multiLevelType w:val="singleLevel"/>
    <w:tmpl w:val="AD559087"/>
    <w:lvl w:ilvl="0" w:tentative="0">
      <w:start w:val="2"/>
      <w:numFmt w:val="decimal"/>
      <w:suff w:val="nothing"/>
      <w:lvlText w:val="%1、"/>
      <w:lvlJc w:val="left"/>
    </w:lvl>
  </w:abstractNum>
  <w:abstractNum w:abstractNumId="4">
    <w:nsid w:val="C7B39A4D"/>
    <w:multiLevelType w:val="singleLevel"/>
    <w:tmpl w:val="C7B39A4D"/>
    <w:lvl w:ilvl="0" w:tentative="0">
      <w:start w:val="1"/>
      <w:numFmt w:val="decimal"/>
      <w:suff w:val="nothing"/>
      <w:lvlText w:val="%1、"/>
      <w:lvlJc w:val="left"/>
    </w:lvl>
  </w:abstractNum>
  <w:abstractNum w:abstractNumId="5">
    <w:nsid w:val="E35DC69A"/>
    <w:multiLevelType w:val="singleLevel"/>
    <w:tmpl w:val="E35DC69A"/>
    <w:lvl w:ilvl="0" w:tentative="0">
      <w:start w:val="1"/>
      <w:numFmt w:val="decimal"/>
      <w:suff w:val="nothing"/>
      <w:lvlText w:val="%1、"/>
      <w:lvlJc w:val="left"/>
    </w:lvl>
  </w:abstractNum>
  <w:abstractNum w:abstractNumId="6">
    <w:nsid w:val="0000000A"/>
    <w:multiLevelType w:val="multilevel"/>
    <w:tmpl w:val="0000000A"/>
    <w:lvl w:ilvl="0" w:tentative="0">
      <w:start w:val="1"/>
      <w:numFmt w:val="upperLetter"/>
      <w:suff w:val="nothing"/>
      <w:lvlText w:val="附　录　%1"/>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pStyle w:val="55"/>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0000000E"/>
    <w:multiLevelType w:val="multilevel"/>
    <w:tmpl w:val="0000000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7"/>
      <w:suff w:val="nothing"/>
      <w:lvlText w:val=""/>
      <w:lvlJc w:val="left"/>
      <w:pPr>
        <w:ind w:left="0" w:firstLine="0"/>
      </w:pPr>
      <w:rPr>
        <w:rFonts w:hint="eastAsia"/>
      </w:rPr>
    </w:lvl>
    <w:lvl w:ilvl="5" w:tentative="0">
      <w:start w:val="1"/>
      <w:numFmt w:val="none"/>
      <w:pStyle w:val="9"/>
      <w:suff w:val="nothing"/>
      <w:lvlText w:val=""/>
      <w:lvlJc w:val="left"/>
      <w:pPr>
        <w:ind w:left="0" w:firstLine="0"/>
      </w:pPr>
      <w:rPr>
        <w:rFonts w:hint="eastAsia"/>
      </w:rPr>
    </w:lvl>
    <w:lvl w:ilvl="6" w:tentative="0">
      <w:start w:val="1"/>
      <w:numFmt w:val="none"/>
      <w:pStyle w:val="10"/>
      <w:suff w:val="nothing"/>
      <w:lvlText w:val=""/>
      <w:lvlJc w:val="left"/>
      <w:pPr>
        <w:ind w:left="0" w:firstLine="0"/>
      </w:pPr>
      <w:rPr>
        <w:rFonts w:hint="eastAsia"/>
      </w:rPr>
    </w:lvl>
    <w:lvl w:ilvl="7" w:tentative="0">
      <w:start w:val="1"/>
      <w:numFmt w:val="none"/>
      <w:pStyle w:val="11"/>
      <w:suff w:val="nothing"/>
      <w:lvlText w:val=""/>
      <w:lvlJc w:val="left"/>
      <w:pPr>
        <w:ind w:left="0" w:firstLine="0"/>
      </w:pPr>
      <w:rPr>
        <w:rFonts w:hint="eastAsia"/>
      </w:rPr>
    </w:lvl>
    <w:lvl w:ilvl="8" w:tentative="0">
      <w:start w:val="1"/>
      <w:numFmt w:val="none"/>
      <w:pStyle w:val="12"/>
      <w:suff w:val="nothing"/>
      <w:lvlText w:val=""/>
      <w:lvlJc w:val="left"/>
      <w:pPr>
        <w:ind w:left="0" w:firstLine="0"/>
      </w:pPr>
      <w:rPr>
        <w:rFonts w:hint="eastAsia"/>
      </w:rPr>
    </w:lvl>
  </w:abstractNum>
  <w:abstractNum w:abstractNumId="8">
    <w:nsid w:val="00000014"/>
    <w:multiLevelType w:val="multilevel"/>
    <w:tmpl w:val="00000014"/>
    <w:lvl w:ilvl="0" w:tentative="0">
      <w:start w:val="4"/>
      <w:numFmt w:val="japaneseCounting"/>
      <w:pStyle w:val="14"/>
      <w:lvlText w:val="第%1章"/>
      <w:lvlJc w:val="left"/>
      <w:pPr>
        <w:tabs>
          <w:tab w:val="left" w:pos="1440"/>
        </w:tabs>
        <w:ind w:left="1440" w:hanging="144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15F181D"/>
    <w:multiLevelType w:val="singleLevel"/>
    <w:tmpl w:val="015F181D"/>
    <w:lvl w:ilvl="0" w:tentative="0">
      <w:start w:val="1"/>
      <w:numFmt w:val="decimal"/>
      <w:suff w:val="nothing"/>
      <w:lvlText w:val="%1、"/>
      <w:lvlJc w:val="left"/>
    </w:lvl>
  </w:abstractNum>
  <w:abstractNum w:abstractNumId="10">
    <w:nsid w:val="169F0447"/>
    <w:multiLevelType w:val="multilevel"/>
    <w:tmpl w:val="169F0447"/>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1A7F74E3"/>
    <w:multiLevelType w:val="singleLevel"/>
    <w:tmpl w:val="1A7F74E3"/>
    <w:lvl w:ilvl="0" w:tentative="0">
      <w:start w:val="1"/>
      <w:numFmt w:val="decimal"/>
      <w:suff w:val="nothing"/>
      <w:lvlText w:val="%1、"/>
      <w:lvlJc w:val="left"/>
    </w:lvl>
  </w:abstractNum>
  <w:abstractNum w:abstractNumId="12">
    <w:nsid w:val="216E83CE"/>
    <w:multiLevelType w:val="singleLevel"/>
    <w:tmpl w:val="216E83CE"/>
    <w:lvl w:ilvl="0" w:tentative="0">
      <w:start w:val="1"/>
      <w:numFmt w:val="decimal"/>
      <w:suff w:val="space"/>
      <w:lvlText w:val="%1."/>
      <w:lvlJc w:val="left"/>
    </w:lvl>
  </w:abstractNum>
  <w:abstractNum w:abstractNumId="13">
    <w:nsid w:val="376F4EEB"/>
    <w:multiLevelType w:val="multilevel"/>
    <w:tmpl w:val="376F4EEB"/>
    <w:lvl w:ilvl="0" w:tentative="0">
      <w:start w:val="3"/>
      <w:numFmt w:val="decimal"/>
      <w:lvlText w:val="%1"/>
      <w:lvlJc w:val="left"/>
      <w:pPr>
        <w:ind w:left="360" w:hanging="360"/>
      </w:pPr>
      <w:rPr>
        <w:rFonts w:hint="default" w:cs="Times New Roman"/>
      </w:rPr>
    </w:lvl>
    <w:lvl w:ilvl="1" w:tentative="0">
      <w:start w:val="1"/>
      <w:numFmt w:val="decimal"/>
      <w:pStyle w:val="140"/>
      <w:lvlText w:val="%1.%2"/>
      <w:lvlJc w:val="left"/>
      <w:pPr>
        <w:ind w:left="644" w:hanging="360"/>
      </w:pPr>
      <w:rPr>
        <w:rFonts w:hint="default" w:ascii="Times New Roman" w:hAnsi="Times New Roman" w:cs="Times New Roman"/>
        <w:b w:val="0"/>
      </w:rPr>
    </w:lvl>
    <w:lvl w:ilvl="2" w:tentative="0">
      <w:start w:val="1"/>
      <w:numFmt w:val="decimal"/>
      <w:pStyle w:val="164"/>
      <w:lvlText w:val="%1.%2.%3"/>
      <w:lvlJc w:val="left"/>
      <w:pPr>
        <w:ind w:left="720" w:hanging="720"/>
      </w:pPr>
      <w:rPr>
        <w:rFonts w:hint="default" w:cs="Times New Roman"/>
        <w:b w:val="0"/>
      </w:rPr>
    </w:lvl>
    <w:lvl w:ilvl="3" w:tentative="0">
      <w:start w:val="1"/>
      <w:numFmt w:val="decimal"/>
      <w:lvlText w:val="%1.%2.%3.%4"/>
      <w:lvlJc w:val="left"/>
      <w:pPr>
        <w:ind w:left="720" w:hanging="720"/>
      </w:pPr>
      <w:rPr>
        <w:rFonts w:hint="default" w:cs="Times New Roman"/>
      </w:rPr>
    </w:lvl>
    <w:lvl w:ilvl="4" w:tentative="0">
      <w:start w:val="1"/>
      <w:numFmt w:val="decimal"/>
      <w:lvlText w:val="%1.%2.%3.%4.%5"/>
      <w:lvlJc w:val="left"/>
      <w:pPr>
        <w:ind w:left="1080" w:hanging="1080"/>
      </w:pPr>
      <w:rPr>
        <w:rFonts w:hint="default" w:cs="Times New Roman"/>
      </w:rPr>
    </w:lvl>
    <w:lvl w:ilvl="5" w:tentative="0">
      <w:start w:val="1"/>
      <w:numFmt w:val="decimal"/>
      <w:lvlText w:val="%1.%2.%3.%4.%5.%6"/>
      <w:lvlJc w:val="left"/>
      <w:pPr>
        <w:ind w:left="1080" w:hanging="1080"/>
      </w:pPr>
      <w:rPr>
        <w:rFonts w:hint="default" w:cs="Times New Roman"/>
      </w:rPr>
    </w:lvl>
    <w:lvl w:ilvl="6" w:tentative="0">
      <w:start w:val="1"/>
      <w:numFmt w:val="decimal"/>
      <w:lvlText w:val="%1.%2.%3.%4.%5.%6.%7"/>
      <w:lvlJc w:val="left"/>
      <w:pPr>
        <w:ind w:left="1080" w:hanging="1080"/>
      </w:pPr>
      <w:rPr>
        <w:rFonts w:hint="default" w:cs="Times New Roman"/>
      </w:rPr>
    </w:lvl>
    <w:lvl w:ilvl="7" w:tentative="0">
      <w:start w:val="1"/>
      <w:numFmt w:val="decimal"/>
      <w:lvlText w:val="%1.%2.%3.%4.%5.%6.%7.%8"/>
      <w:lvlJc w:val="left"/>
      <w:pPr>
        <w:ind w:left="1440" w:hanging="1440"/>
      </w:pPr>
      <w:rPr>
        <w:rFonts w:hint="default" w:cs="Times New Roman"/>
      </w:rPr>
    </w:lvl>
    <w:lvl w:ilvl="8" w:tentative="0">
      <w:start w:val="1"/>
      <w:numFmt w:val="decimal"/>
      <w:lvlText w:val="%1.%2.%3.%4.%5.%6.%7.%8.%9"/>
      <w:lvlJc w:val="left"/>
      <w:pPr>
        <w:ind w:left="1440" w:hanging="1440"/>
      </w:pPr>
      <w:rPr>
        <w:rFonts w:hint="default" w:cs="Times New Roman"/>
      </w:rPr>
    </w:lvl>
  </w:abstractNum>
  <w:abstractNum w:abstractNumId="14">
    <w:nsid w:val="3953FD27"/>
    <w:multiLevelType w:val="singleLevel"/>
    <w:tmpl w:val="3953FD27"/>
    <w:lvl w:ilvl="0" w:tentative="0">
      <w:start w:val="12"/>
      <w:numFmt w:val="decimal"/>
      <w:suff w:val="space"/>
      <w:lvlText w:val="%1."/>
      <w:lvlJc w:val="left"/>
      <w:pPr>
        <w:ind w:left="480" w:firstLine="0"/>
      </w:pPr>
    </w:lvl>
  </w:abstractNum>
  <w:abstractNum w:abstractNumId="15">
    <w:nsid w:val="5503A706"/>
    <w:multiLevelType w:val="singleLevel"/>
    <w:tmpl w:val="5503A706"/>
    <w:lvl w:ilvl="0" w:tentative="0">
      <w:start w:val="1"/>
      <w:numFmt w:val="decimal"/>
      <w:suff w:val="nothing"/>
      <w:lvlText w:val="%1、"/>
      <w:lvlJc w:val="left"/>
    </w:lvl>
  </w:abstractNum>
  <w:abstractNum w:abstractNumId="16">
    <w:nsid w:val="56F38B86"/>
    <w:multiLevelType w:val="singleLevel"/>
    <w:tmpl w:val="56F38B86"/>
    <w:lvl w:ilvl="0" w:tentative="0">
      <w:start w:val="1"/>
      <w:numFmt w:val="decimal"/>
      <w:suff w:val="nothing"/>
      <w:lvlText w:val="%1、"/>
      <w:lvlJc w:val="left"/>
      <w:pPr>
        <w:ind w:left="0" w:firstLine="0"/>
      </w:pPr>
    </w:lvl>
  </w:abstractNum>
  <w:abstractNum w:abstractNumId="17">
    <w:nsid w:val="58B47D54"/>
    <w:multiLevelType w:val="singleLevel"/>
    <w:tmpl w:val="58B47D54"/>
    <w:lvl w:ilvl="0" w:tentative="0">
      <w:start w:val="1"/>
      <w:numFmt w:val="decimal"/>
      <w:suff w:val="nothing"/>
      <w:lvlText w:val="%1、"/>
      <w:lvlJc w:val="left"/>
    </w:lvl>
  </w:abstractNum>
  <w:abstractNum w:abstractNumId="18">
    <w:nsid w:val="638A7F2F"/>
    <w:multiLevelType w:val="multilevel"/>
    <w:tmpl w:val="638A7F2F"/>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9">
    <w:nsid w:val="681AEFD4"/>
    <w:multiLevelType w:val="singleLevel"/>
    <w:tmpl w:val="681AEFD4"/>
    <w:lvl w:ilvl="0" w:tentative="0">
      <w:start w:val="10"/>
      <w:numFmt w:val="chineseCounting"/>
      <w:suff w:val="nothing"/>
      <w:lvlText w:val="%1、"/>
      <w:lvlJc w:val="left"/>
      <w:rPr>
        <w:rFonts w:hint="eastAsia"/>
      </w:rPr>
    </w:lvl>
  </w:abstractNum>
  <w:abstractNum w:abstractNumId="20">
    <w:nsid w:val="6A53D849"/>
    <w:multiLevelType w:val="singleLevel"/>
    <w:tmpl w:val="6A53D849"/>
    <w:lvl w:ilvl="0" w:tentative="0">
      <w:start w:val="1"/>
      <w:numFmt w:val="decimal"/>
      <w:suff w:val="space"/>
      <w:lvlText w:val="%1."/>
      <w:lvlJc w:val="left"/>
    </w:lvl>
  </w:abstractNum>
  <w:num w:numId="1">
    <w:abstractNumId w:val="7"/>
  </w:num>
  <w:num w:numId="2">
    <w:abstractNumId w:val="8"/>
  </w:num>
  <w:num w:numId="3">
    <w:abstractNumId w:val="6"/>
  </w:num>
  <w:num w:numId="4">
    <w:abstractNumId w:val="13"/>
  </w:num>
  <w:num w:numId="5">
    <w:abstractNumId w:val="12"/>
  </w:num>
  <w:num w:numId="6">
    <w:abstractNumId w:val="14"/>
  </w:num>
  <w:num w:numId="7">
    <w:abstractNumId w:val="20"/>
  </w:num>
  <w:num w:numId="8">
    <w:abstractNumId w:val="16"/>
    <w:lvlOverride w:ilvl="0">
      <w:startOverride w:val="1"/>
    </w:lvlOverride>
  </w:num>
  <w:num w:numId="9">
    <w:abstractNumId w:val="19"/>
  </w:num>
  <w:num w:numId="10">
    <w:abstractNumId w:val="3"/>
  </w:num>
  <w:num w:numId="11">
    <w:abstractNumId w:val="11"/>
  </w:num>
  <w:num w:numId="12">
    <w:abstractNumId w:val="4"/>
  </w:num>
  <w:num w:numId="13">
    <w:abstractNumId w:val="10"/>
  </w:num>
  <w:num w:numId="14">
    <w:abstractNumId w:val="0"/>
  </w:num>
  <w:num w:numId="15">
    <w:abstractNumId w:val="9"/>
  </w:num>
  <w:num w:numId="16">
    <w:abstractNumId w:val="15"/>
  </w:num>
  <w:num w:numId="17">
    <w:abstractNumId w:val="2"/>
  </w:num>
  <w:num w:numId="18">
    <w:abstractNumId w:val="17"/>
  </w:num>
  <w:num w:numId="19">
    <w:abstractNumId w:val="5"/>
  </w:num>
  <w:num w:numId="20">
    <w:abstractNumId w:val="18"/>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524F"/>
    <w:rsid w:val="000012E3"/>
    <w:rsid w:val="00073164"/>
    <w:rsid w:val="00074130"/>
    <w:rsid w:val="000C4847"/>
    <w:rsid w:val="000C687D"/>
    <w:rsid w:val="000D17E2"/>
    <w:rsid w:val="00102391"/>
    <w:rsid w:val="00127A93"/>
    <w:rsid w:val="00142BAC"/>
    <w:rsid w:val="001527AB"/>
    <w:rsid w:val="00160AFD"/>
    <w:rsid w:val="001961D5"/>
    <w:rsid w:val="001C63C0"/>
    <w:rsid w:val="001F6E7F"/>
    <w:rsid w:val="00235C93"/>
    <w:rsid w:val="002C430F"/>
    <w:rsid w:val="003312A7"/>
    <w:rsid w:val="00336FA8"/>
    <w:rsid w:val="00346E10"/>
    <w:rsid w:val="00363387"/>
    <w:rsid w:val="0037624D"/>
    <w:rsid w:val="004221A9"/>
    <w:rsid w:val="0044524F"/>
    <w:rsid w:val="004569C1"/>
    <w:rsid w:val="004800AB"/>
    <w:rsid w:val="004C410C"/>
    <w:rsid w:val="004C44EF"/>
    <w:rsid w:val="00525379"/>
    <w:rsid w:val="00537713"/>
    <w:rsid w:val="0057061C"/>
    <w:rsid w:val="00582088"/>
    <w:rsid w:val="005D66A8"/>
    <w:rsid w:val="005E6A42"/>
    <w:rsid w:val="006525B6"/>
    <w:rsid w:val="00653A8B"/>
    <w:rsid w:val="00677DA6"/>
    <w:rsid w:val="00687A37"/>
    <w:rsid w:val="006B44CB"/>
    <w:rsid w:val="006D4954"/>
    <w:rsid w:val="00726270"/>
    <w:rsid w:val="00752095"/>
    <w:rsid w:val="007543C4"/>
    <w:rsid w:val="0076073D"/>
    <w:rsid w:val="00762E42"/>
    <w:rsid w:val="008209CF"/>
    <w:rsid w:val="00837BBB"/>
    <w:rsid w:val="00861424"/>
    <w:rsid w:val="0086778A"/>
    <w:rsid w:val="00872D51"/>
    <w:rsid w:val="008C3A03"/>
    <w:rsid w:val="008C70CC"/>
    <w:rsid w:val="008D4B9D"/>
    <w:rsid w:val="008E3CE1"/>
    <w:rsid w:val="008F48E0"/>
    <w:rsid w:val="009256AE"/>
    <w:rsid w:val="00937223"/>
    <w:rsid w:val="00945ABA"/>
    <w:rsid w:val="00953042"/>
    <w:rsid w:val="00967EEE"/>
    <w:rsid w:val="00997647"/>
    <w:rsid w:val="009B011A"/>
    <w:rsid w:val="009F3428"/>
    <w:rsid w:val="00A25D01"/>
    <w:rsid w:val="00A743C4"/>
    <w:rsid w:val="00AB3C3D"/>
    <w:rsid w:val="00AB4AD6"/>
    <w:rsid w:val="00AC48A4"/>
    <w:rsid w:val="00AD6269"/>
    <w:rsid w:val="00AD706F"/>
    <w:rsid w:val="00AF3399"/>
    <w:rsid w:val="00B11FC0"/>
    <w:rsid w:val="00B1362B"/>
    <w:rsid w:val="00B1401A"/>
    <w:rsid w:val="00BB35FB"/>
    <w:rsid w:val="00BC7C87"/>
    <w:rsid w:val="00BE50A6"/>
    <w:rsid w:val="00BF7A24"/>
    <w:rsid w:val="00C016C4"/>
    <w:rsid w:val="00C5656B"/>
    <w:rsid w:val="00C62947"/>
    <w:rsid w:val="00C7481A"/>
    <w:rsid w:val="00C90662"/>
    <w:rsid w:val="00CE6170"/>
    <w:rsid w:val="00D42DDF"/>
    <w:rsid w:val="00D912EC"/>
    <w:rsid w:val="00DD264F"/>
    <w:rsid w:val="00E206CA"/>
    <w:rsid w:val="00E4207C"/>
    <w:rsid w:val="00EA0183"/>
    <w:rsid w:val="00EE18FF"/>
    <w:rsid w:val="00EE4492"/>
    <w:rsid w:val="00EE6E14"/>
    <w:rsid w:val="00F214AF"/>
    <w:rsid w:val="00F37966"/>
    <w:rsid w:val="00F56521"/>
    <w:rsid w:val="00F80B2C"/>
    <w:rsid w:val="00FE35DE"/>
    <w:rsid w:val="00FF46F9"/>
    <w:rsid w:val="012C0DC3"/>
    <w:rsid w:val="01AB5794"/>
    <w:rsid w:val="01C96BFA"/>
    <w:rsid w:val="02263D9E"/>
    <w:rsid w:val="024169E8"/>
    <w:rsid w:val="02431CA7"/>
    <w:rsid w:val="027163B3"/>
    <w:rsid w:val="02760051"/>
    <w:rsid w:val="02A8123C"/>
    <w:rsid w:val="030037A2"/>
    <w:rsid w:val="035E0D90"/>
    <w:rsid w:val="03A96F5E"/>
    <w:rsid w:val="03CE5B4F"/>
    <w:rsid w:val="042A078B"/>
    <w:rsid w:val="05142F63"/>
    <w:rsid w:val="053B36D0"/>
    <w:rsid w:val="057A2EAC"/>
    <w:rsid w:val="0689158C"/>
    <w:rsid w:val="0759253C"/>
    <w:rsid w:val="07900B8B"/>
    <w:rsid w:val="081B61AF"/>
    <w:rsid w:val="083E428D"/>
    <w:rsid w:val="0852594A"/>
    <w:rsid w:val="08A5310D"/>
    <w:rsid w:val="08AE2792"/>
    <w:rsid w:val="08C05E45"/>
    <w:rsid w:val="08D82AE7"/>
    <w:rsid w:val="09025743"/>
    <w:rsid w:val="09083B96"/>
    <w:rsid w:val="09263313"/>
    <w:rsid w:val="094F5C49"/>
    <w:rsid w:val="09652571"/>
    <w:rsid w:val="09EC3A97"/>
    <w:rsid w:val="0A1B0B05"/>
    <w:rsid w:val="0AAF3FA1"/>
    <w:rsid w:val="0B5650BC"/>
    <w:rsid w:val="0B77009A"/>
    <w:rsid w:val="0BF52B22"/>
    <w:rsid w:val="0C2954EA"/>
    <w:rsid w:val="0CDB2D7F"/>
    <w:rsid w:val="0D19282F"/>
    <w:rsid w:val="0D3D1493"/>
    <w:rsid w:val="0D712BED"/>
    <w:rsid w:val="0DB2650A"/>
    <w:rsid w:val="0DDB65E1"/>
    <w:rsid w:val="0DE34599"/>
    <w:rsid w:val="0E280B61"/>
    <w:rsid w:val="0EAB17E8"/>
    <w:rsid w:val="0F2C292F"/>
    <w:rsid w:val="0FB104CA"/>
    <w:rsid w:val="0FBF5EA9"/>
    <w:rsid w:val="0FCF3BE2"/>
    <w:rsid w:val="10774D2E"/>
    <w:rsid w:val="10CF660A"/>
    <w:rsid w:val="10E566E9"/>
    <w:rsid w:val="11FD17AA"/>
    <w:rsid w:val="129E4687"/>
    <w:rsid w:val="12DC216F"/>
    <w:rsid w:val="13553FFA"/>
    <w:rsid w:val="13A40EB2"/>
    <w:rsid w:val="13E93C1A"/>
    <w:rsid w:val="141F3C52"/>
    <w:rsid w:val="14242AD9"/>
    <w:rsid w:val="145816C5"/>
    <w:rsid w:val="14654B0D"/>
    <w:rsid w:val="1501032F"/>
    <w:rsid w:val="15324CB0"/>
    <w:rsid w:val="15507E5E"/>
    <w:rsid w:val="15CD5E22"/>
    <w:rsid w:val="16256870"/>
    <w:rsid w:val="163E682D"/>
    <w:rsid w:val="166660F6"/>
    <w:rsid w:val="16D060F2"/>
    <w:rsid w:val="16E02D49"/>
    <w:rsid w:val="174004E1"/>
    <w:rsid w:val="179D2649"/>
    <w:rsid w:val="17BD541C"/>
    <w:rsid w:val="18806EAA"/>
    <w:rsid w:val="18B22348"/>
    <w:rsid w:val="18B24AAB"/>
    <w:rsid w:val="196210BA"/>
    <w:rsid w:val="196D6D94"/>
    <w:rsid w:val="1A0707EC"/>
    <w:rsid w:val="1A294D5F"/>
    <w:rsid w:val="1AE47458"/>
    <w:rsid w:val="1B0E1C5C"/>
    <w:rsid w:val="1B783B2A"/>
    <w:rsid w:val="1BF0180C"/>
    <w:rsid w:val="1C9F7709"/>
    <w:rsid w:val="1D057365"/>
    <w:rsid w:val="1D282185"/>
    <w:rsid w:val="1D800390"/>
    <w:rsid w:val="1D844169"/>
    <w:rsid w:val="1E424EDE"/>
    <w:rsid w:val="1E493318"/>
    <w:rsid w:val="1E5D57A4"/>
    <w:rsid w:val="1E875EF3"/>
    <w:rsid w:val="1EC67C93"/>
    <w:rsid w:val="1F8F0A32"/>
    <w:rsid w:val="20214297"/>
    <w:rsid w:val="205509A4"/>
    <w:rsid w:val="20E53C93"/>
    <w:rsid w:val="213B40D6"/>
    <w:rsid w:val="21490C4F"/>
    <w:rsid w:val="215E0162"/>
    <w:rsid w:val="21722243"/>
    <w:rsid w:val="21F15D7A"/>
    <w:rsid w:val="22787523"/>
    <w:rsid w:val="22994F66"/>
    <w:rsid w:val="22C96F41"/>
    <w:rsid w:val="22FF24F9"/>
    <w:rsid w:val="230E77D8"/>
    <w:rsid w:val="23E03C8A"/>
    <w:rsid w:val="24145438"/>
    <w:rsid w:val="24353DC1"/>
    <w:rsid w:val="24427144"/>
    <w:rsid w:val="24875A2C"/>
    <w:rsid w:val="249A19B8"/>
    <w:rsid w:val="24C90BC8"/>
    <w:rsid w:val="2503794F"/>
    <w:rsid w:val="25046FB2"/>
    <w:rsid w:val="253A1199"/>
    <w:rsid w:val="259F5C2C"/>
    <w:rsid w:val="25B94108"/>
    <w:rsid w:val="264E153B"/>
    <w:rsid w:val="26C50C17"/>
    <w:rsid w:val="26F54624"/>
    <w:rsid w:val="28740A25"/>
    <w:rsid w:val="292B79D8"/>
    <w:rsid w:val="29521A6B"/>
    <w:rsid w:val="2A670A3B"/>
    <w:rsid w:val="2AB0427D"/>
    <w:rsid w:val="2AB177E6"/>
    <w:rsid w:val="2AC06C64"/>
    <w:rsid w:val="2ADF60F7"/>
    <w:rsid w:val="2ADF6AD3"/>
    <w:rsid w:val="2B9F145E"/>
    <w:rsid w:val="2BC461A3"/>
    <w:rsid w:val="2C237626"/>
    <w:rsid w:val="2C516BF0"/>
    <w:rsid w:val="2C670BE4"/>
    <w:rsid w:val="2CBF5993"/>
    <w:rsid w:val="2CCD4D98"/>
    <w:rsid w:val="2CF40AF4"/>
    <w:rsid w:val="2DED0FB9"/>
    <w:rsid w:val="2E22434E"/>
    <w:rsid w:val="2E346FD7"/>
    <w:rsid w:val="2E4A0B5D"/>
    <w:rsid w:val="2EB643A5"/>
    <w:rsid w:val="2F7C73ED"/>
    <w:rsid w:val="2FF21E1B"/>
    <w:rsid w:val="30415477"/>
    <w:rsid w:val="30455A79"/>
    <w:rsid w:val="304C24FD"/>
    <w:rsid w:val="308C071A"/>
    <w:rsid w:val="30FC0BD2"/>
    <w:rsid w:val="31200CC7"/>
    <w:rsid w:val="3234553E"/>
    <w:rsid w:val="32AE2918"/>
    <w:rsid w:val="32C51A90"/>
    <w:rsid w:val="32D2072D"/>
    <w:rsid w:val="33247483"/>
    <w:rsid w:val="337924EC"/>
    <w:rsid w:val="33983CBF"/>
    <w:rsid w:val="342B5CF3"/>
    <w:rsid w:val="345A79CC"/>
    <w:rsid w:val="348231A6"/>
    <w:rsid w:val="34B97DBA"/>
    <w:rsid w:val="34D57EDA"/>
    <w:rsid w:val="353D1D6B"/>
    <w:rsid w:val="35651BFB"/>
    <w:rsid w:val="358C2BB3"/>
    <w:rsid w:val="359E23DB"/>
    <w:rsid w:val="35D84EE8"/>
    <w:rsid w:val="363023C1"/>
    <w:rsid w:val="36676052"/>
    <w:rsid w:val="366E0E33"/>
    <w:rsid w:val="373E56F6"/>
    <w:rsid w:val="37402C76"/>
    <w:rsid w:val="37450B5F"/>
    <w:rsid w:val="37EB0ADD"/>
    <w:rsid w:val="389E4D62"/>
    <w:rsid w:val="38C3596D"/>
    <w:rsid w:val="39782D7F"/>
    <w:rsid w:val="397A5698"/>
    <w:rsid w:val="3A061DE9"/>
    <w:rsid w:val="3A9403F5"/>
    <w:rsid w:val="3ACC50C3"/>
    <w:rsid w:val="3AF446F8"/>
    <w:rsid w:val="3B40242F"/>
    <w:rsid w:val="3B464818"/>
    <w:rsid w:val="3B742CDC"/>
    <w:rsid w:val="3B7975CB"/>
    <w:rsid w:val="3C1F3FF2"/>
    <w:rsid w:val="3C3E6EA0"/>
    <w:rsid w:val="3CC75E25"/>
    <w:rsid w:val="3D195AD4"/>
    <w:rsid w:val="3DE774C4"/>
    <w:rsid w:val="3EBB5341"/>
    <w:rsid w:val="3F8A26A4"/>
    <w:rsid w:val="3FEA3365"/>
    <w:rsid w:val="401915A8"/>
    <w:rsid w:val="40396DCB"/>
    <w:rsid w:val="4085341B"/>
    <w:rsid w:val="40A430F0"/>
    <w:rsid w:val="41A57305"/>
    <w:rsid w:val="41C20C37"/>
    <w:rsid w:val="42755870"/>
    <w:rsid w:val="42925936"/>
    <w:rsid w:val="430652F3"/>
    <w:rsid w:val="437B0A75"/>
    <w:rsid w:val="442F540D"/>
    <w:rsid w:val="443960A4"/>
    <w:rsid w:val="44C10929"/>
    <w:rsid w:val="450A2C5D"/>
    <w:rsid w:val="455209B5"/>
    <w:rsid w:val="45593C73"/>
    <w:rsid w:val="455959AB"/>
    <w:rsid w:val="45E544C6"/>
    <w:rsid w:val="45EF3931"/>
    <w:rsid w:val="460B50FA"/>
    <w:rsid w:val="46182108"/>
    <w:rsid w:val="465D1EBE"/>
    <w:rsid w:val="46C62275"/>
    <w:rsid w:val="47093FFC"/>
    <w:rsid w:val="4745483F"/>
    <w:rsid w:val="47922591"/>
    <w:rsid w:val="47B41A32"/>
    <w:rsid w:val="47D93818"/>
    <w:rsid w:val="48015687"/>
    <w:rsid w:val="4883632E"/>
    <w:rsid w:val="48AC174A"/>
    <w:rsid w:val="48BE54E7"/>
    <w:rsid w:val="48FA6C4A"/>
    <w:rsid w:val="491E053E"/>
    <w:rsid w:val="49B84EC1"/>
    <w:rsid w:val="4A104FDE"/>
    <w:rsid w:val="4A1472AE"/>
    <w:rsid w:val="4A801A09"/>
    <w:rsid w:val="4A870C9B"/>
    <w:rsid w:val="4AE12679"/>
    <w:rsid w:val="4B5E6D10"/>
    <w:rsid w:val="4D5A500E"/>
    <w:rsid w:val="4D63669A"/>
    <w:rsid w:val="4D843188"/>
    <w:rsid w:val="4D986B63"/>
    <w:rsid w:val="4DC45B9C"/>
    <w:rsid w:val="4DD36E02"/>
    <w:rsid w:val="4E500AF7"/>
    <w:rsid w:val="4E807A00"/>
    <w:rsid w:val="4EE41294"/>
    <w:rsid w:val="4F3E5EAA"/>
    <w:rsid w:val="4F482175"/>
    <w:rsid w:val="4FF35839"/>
    <w:rsid w:val="50193F22"/>
    <w:rsid w:val="501E3F8A"/>
    <w:rsid w:val="50FB04BE"/>
    <w:rsid w:val="50FD7059"/>
    <w:rsid w:val="51063F0F"/>
    <w:rsid w:val="5147377A"/>
    <w:rsid w:val="516F3987"/>
    <w:rsid w:val="51CF6C9E"/>
    <w:rsid w:val="51DA7183"/>
    <w:rsid w:val="52556F55"/>
    <w:rsid w:val="528639A4"/>
    <w:rsid w:val="53AE4945"/>
    <w:rsid w:val="53B4637E"/>
    <w:rsid w:val="54825DB2"/>
    <w:rsid w:val="54A55BDC"/>
    <w:rsid w:val="54BC5237"/>
    <w:rsid w:val="54E2413C"/>
    <w:rsid w:val="55CC6B77"/>
    <w:rsid w:val="55E13FF9"/>
    <w:rsid w:val="561D084A"/>
    <w:rsid w:val="563A7DE2"/>
    <w:rsid w:val="563C72CA"/>
    <w:rsid w:val="5654743A"/>
    <w:rsid w:val="570D7063"/>
    <w:rsid w:val="57C64274"/>
    <w:rsid w:val="57CF2B7F"/>
    <w:rsid w:val="58006906"/>
    <w:rsid w:val="585B075E"/>
    <w:rsid w:val="59282C5C"/>
    <w:rsid w:val="59634572"/>
    <w:rsid w:val="599D0854"/>
    <w:rsid w:val="5A110B0E"/>
    <w:rsid w:val="5A4D0CCC"/>
    <w:rsid w:val="5B4D6AE1"/>
    <w:rsid w:val="5B752874"/>
    <w:rsid w:val="5B7A7A8F"/>
    <w:rsid w:val="5C064A39"/>
    <w:rsid w:val="5CE76CE3"/>
    <w:rsid w:val="5D6C1F2A"/>
    <w:rsid w:val="5D7E1E7F"/>
    <w:rsid w:val="5E010D79"/>
    <w:rsid w:val="5E0550BF"/>
    <w:rsid w:val="5E1E091F"/>
    <w:rsid w:val="5E661D20"/>
    <w:rsid w:val="5EE84548"/>
    <w:rsid w:val="5F254D11"/>
    <w:rsid w:val="5F466EA6"/>
    <w:rsid w:val="5F8C4AFF"/>
    <w:rsid w:val="601A11D7"/>
    <w:rsid w:val="60351937"/>
    <w:rsid w:val="6152252C"/>
    <w:rsid w:val="61610485"/>
    <w:rsid w:val="61F66209"/>
    <w:rsid w:val="62756D00"/>
    <w:rsid w:val="627C66AD"/>
    <w:rsid w:val="62C157DF"/>
    <w:rsid w:val="63614351"/>
    <w:rsid w:val="638B05A4"/>
    <w:rsid w:val="63AA5E04"/>
    <w:rsid w:val="63DF6FCF"/>
    <w:rsid w:val="63F120EA"/>
    <w:rsid w:val="641E09B0"/>
    <w:rsid w:val="643B60C1"/>
    <w:rsid w:val="644C23C8"/>
    <w:rsid w:val="6530257F"/>
    <w:rsid w:val="65895E3D"/>
    <w:rsid w:val="659278AE"/>
    <w:rsid w:val="661256A7"/>
    <w:rsid w:val="6628605F"/>
    <w:rsid w:val="66333543"/>
    <w:rsid w:val="665B2423"/>
    <w:rsid w:val="66673AD7"/>
    <w:rsid w:val="668140F0"/>
    <w:rsid w:val="66843DEF"/>
    <w:rsid w:val="66AB6237"/>
    <w:rsid w:val="674C10A9"/>
    <w:rsid w:val="68024A7C"/>
    <w:rsid w:val="684B7876"/>
    <w:rsid w:val="689F6F96"/>
    <w:rsid w:val="68B07653"/>
    <w:rsid w:val="693656A4"/>
    <w:rsid w:val="69A275E6"/>
    <w:rsid w:val="69B66723"/>
    <w:rsid w:val="69D52952"/>
    <w:rsid w:val="69E761E1"/>
    <w:rsid w:val="6A4458C4"/>
    <w:rsid w:val="6B247DB9"/>
    <w:rsid w:val="6B7B17A5"/>
    <w:rsid w:val="6B8023F9"/>
    <w:rsid w:val="6BD862A0"/>
    <w:rsid w:val="6C8D16B1"/>
    <w:rsid w:val="6D007254"/>
    <w:rsid w:val="6D1B641D"/>
    <w:rsid w:val="6E1750E3"/>
    <w:rsid w:val="6E4E4893"/>
    <w:rsid w:val="6E9D635D"/>
    <w:rsid w:val="6EA9438E"/>
    <w:rsid w:val="6EED27F4"/>
    <w:rsid w:val="6EF22556"/>
    <w:rsid w:val="6F510309"/>
    <w:rsid w:val="6FC331F8"/>
    <w:rsid w:val="701C5AD9"/>
    <w:rsid w:val="70283397"/>
    <w:rsid w:val="70C37CC1"/>
    <w:rsid w:val="70CA259F"/>
    <w:rsid w:val="71A4412D"/>
    <w:rsid w:val="72D1605B"/>
    <w:rsid w:val="72F9557A"/>
    <w:rsid w:val="73571990"/>
    <w:rsid w:val="73A95A25"/>
    <w:rsid w:val="74373A79"/>
    <w:rsid w:val="74433EDE"/>
    <w:rsid w:val="74436E18"/>
    <w:rsid w:val="74687748"/>
    <w:rsid w:val="74796F1A"/>
    <w:rsid w:val="76354164"/>
    <w:rsid w:val="763D5724"/>
    <w:rsid w:val="7676057D"/>
    <w:rsid w:val="770B5B51"/>
    <w:rsid w:val="774573D4"/>
    <w:rsid w:val="77490494"/>
    <w:rsid w:val="77656A29"/>
    <w:rsid w:val="779C284C"/>
    <w:rsid w:val="77CD602A"/>
    <w:rsid w:val="77E811B0"/>
    <w:rsid w:val="77FF163C"/>
    <w:rsid w:val="784123CC"/>
    <w:rsid w:val="78F31E44"/>
    <w:rsid w:val="798308D1"/>
    <w:rsid w:val="79F02AE7"/>
    <w:rsid w:val="7A4535F6"/>
    <w:rsid w:val="7AB41502"/>
    <w:rsid w:val="7B1D68CF"/>
    <w:rsid w:val="7B7E12A6"/>
    <w:rsid w:val="7B914A7A"/>
    <w:rsid w:val="7B966395"/>
    <w:rsid w:val="7BD54B54"/>
    <w:rsid w:val="7CA52A8E"/>
    <w:rsid w:val="7CA612BA"/>
    <w:rsid w:val="7CC257C2"/>
    <w:rsid w:val="7D2C22E8"/>
    <w:rsid w:val="7D7B37A5"/>
    <w:rsid w:val="7DA956FB"/>
    <w:rsid w:val="7E462465"/>
    <w:rsid w:val="7F0346EA"/>
    <w:rsid w:val="7F0B7104"/>
    <w:rsid w:val="7FEC37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0" w:semiHidden="0" w:name="toc 2"/>
    <w:lsdException w:qFormat="1" w:uiPriority="0" w:semiHidden="0" w:name="toc 3"/>
    <w:lsdException w:qFormat="1"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qFormat="1" w:unhideWhenUsed="0" w:uiPriority="0" w:semiHidden="0"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Calibri" w:eastAsia="宋体" w:cs="Times New Roman"/>
      <w:sz w:val="34"/>
      <w:lang w:val="en-US" w:eastAsia="zh-CN" w:bidi="ar-SA"/>
    </w:rPr>
  </w:style>
  <w:style w:type="paragraph" w:styleId="3">
    <w:name w:val="heading 1"/>
    <w:basedOn w:val="1"/>
    <w:next w:val="1"/>
    <w:link w:val="57"/>
    <w:qFormat/>
    <w:uiPriority w:val="99"/>
    <w:pPr>
      <w:keepNext/>
      <w:keepLines/>
      <w:spacing w:before="340" w:after="330" w:line="700" w:lineRule="exact"/>
      <w:jc w:val="center"/>
      <w:outlineLvl w:val="0"/>
    </w:pPr>
    <w:rPr>
      <w:rFonts w:ascii="Calibri"/>
      <w:b/>
      <w:bCs/>
      <w:kern w:val="44"/>
      <w:sz w:val="36"/>
      <w:szCs w:val="44"/>
    </w:rPr>
  </w:style>
  <w:style w:type="paragraph" w:styleId="4">
    <w:name w:val="heading 2"/>
    <w:basedOn w:val="1"/>
    <w:next w:val="1"/>
    <w:link w:val="58"/>
    <w:qFormat/>
    <w:uiPriority w:val="0"/>
    <w:pPr>
      <w:keepNext/>
      <w:keepLines/>
      <w:spacing w:before="260" w:after="260" w:line="416" w:lineRule="auto"/>
      <w:outlineLvl w:val="1"/>
    </w:pPr>
    <w:rPr>
      <w:rFonts w:ascii="Arial" w:hAnsi="Arial" w:eastAsia="黑体"/>
      <w:b/>
      <w:bCs/>
      <w:kern w:val="2"/>
      <w:sz w:val="32"/>
      <w:szCs w:val="32"/>
    </w:rPr>
  </w:style>
  <w:style w:type="paragraph" w:styleId="5">
    <w:name w:val="heading 3"/>
    <w:basedOn w:val="1"/>
    <w:next w:val="1"/>
    <w:link w:val="138"/>
    <w:qFormat/>
    <w:uiPriority w:val="0"/>
    <w:pPr>
      <w:keepNext/>
      <w:keepLines/>
      <w:spacing w:before="260" w:after="260" w:line="416" w:lineRule="auto"/>
      <w:outlineLvl w:val="2"/>
    </w:pPr>
    <w:rPr>
      <w:rFonts w:ascii="Calibri"/>
      <w:b/>
      <w:bCs/>
      <w:kern w:val="2"/>
      <w:sz w:val="32"/>
      <w:szCs w:val="32"/>
    </w:rPr>
  </w:style>
  <w:style w:type="paragraph" w:styleId="6">
    <w:name w:val="heading 4"/>
    <w:basedOn w:val="1"/>
    <w:next w:val="1"/>
    <w:link w:val="60"/>
    <w:qFormat/>
    <w:uiPriority w:val="9"/>
    <w:pPr>
      <w:keepNext/>
      <w:keepLines/>
      <w:spacing w:before="280" w:after="290" w:line="376" w:lineRule="auto"/>
      <w:outlineLvl w:val="3"/>
    </w:pPr>
    <w:rPr>
      <w:rFonts w:ascii="Arial" w:hAnsi="Arial" w:eastAsia="黑体"/>
      <w:b/>
      <w:bCs/>
      <w:kern w:val="2"/>
      <w:sz w:val="28"/>
      <w:szCs w:val="28"/>
    </w:rPr>
  </w:style>
  <w:style w:type="paragraph" w:styleId="7">
    <w:name w:val="heading 5"/>
    <w:basedOn w:val="1"/>
    <w:next w:val="8"/>
    <w:link w:val="61"/>
    <w:qFormat/>
    <w:uiPriority w:val="0"/>
    <w:pPr>
      <w:keepNext/>
      <w:keepLines/>
      <w:numPr>
        <w:ilvl w:val="4"/>
        <w:numId w:val="1"/>
      </w:numPr>
      <w:spacing w:before="280" w:after="290" w:line="376" w:lineRule="auto"/>
      <w:outlineLvl w:val="4"/>
    </w:pPr>
    <w:rPr>
      <w:rFonts w:ascii="Calibri"/>
      <w:b/>
      <w:kern w:val="2"/>
      <w:sz w:val="28"/>
      <w:szCs w:val="24"/>
    </w:rPr>
  </w:style>
  <w:style w:type="paragraph" w:styleId="9">
    <w:name w:val="heading 6"/>
    <w:basedOn w:val="1"/>
    <w:next w:val="8"/>
    <w:link w:val="62"/>
    <w:qFormat/>
    <w:uiPriority w:val="0"/>
    <w:pPr>
      <w:keepNext/>
      <w:keepLines/>
      <w:numPr>
        <w:ilvl w:val="5"/>
        <w:numId w:val="1"/>
      </w:numPr>
      <w:spacing w:before="240" w:after="64" w:line="320" w:lineRule="auto"/>
      <w:outlineLvl w:val="5"/>
    </w:pPr>
    <w:rPr>
      <w:rFonts w:ascii="Arial" w:hAnsi="Arial" w:eastAsia="黑体"/>
      <w:b/>
      <w:kern w:val="2"/>
      <w:sz w:val="24"/>
      <w:szCs w:val="24"/>
    </w:rPr>
  </w:style>
  <w:style w:type="paragraph" w:styleId="10">
    <w:name w:val="heading 7"/>
    <w:basedOn w:val="1"/>
    <w:next w:val="8"/>
    <w:link w:val="63"/>
    <w:qFormat/>
    <w:uiPriority w:val="0"/>
    <w:pPr>
      <w:keepNext/>
      <w:keepLines/>
      <w:numPr>
        <w:ilvl w:val="6"/>
        <w:numId w:val="1"/>
      </w:numPr>
      <w:spacing w:before="240" w:after="64" w:line="320" w:lineRule="auto"/>
      <w:outlineLvl w:val="6"/>
    </w:pPr>
    <w:rPr>
      <w:rFonts w:ascii="Calibri"/>
      <w:b/>
      <w:kern w:val="2"/>
      <w:sz w:val="24"/>
      <w:szCs w:val="24"/>
    </w:rPr>
  </w:style>
  <w:style w:type="paragraph" w:styleId="11">
    <w:name w:val="heading 8"/>
    <w:basedOn w:val="1"/>
    <w:next w:val="8"/>
    <w:link w:val="64"/>
    <w:qFormat/>
    <w:uiPriority w:val="0"/>
    <w:pPr>
      <w:keepNext/>
      <w:keepLines/>
      <w:numPr>
        <w:ilvl w:val="7"/>
        <w:numId w:val="1"/>
      </w:numPr>
      <w:spacing w:before="240" w:after="64" w:line="320" w:lineRule="auto"/>
      <w:outlineLvl w:val="7"/>
    </w:pPr>
    <w:rPr>
      <w:rFonts w:ascii="Arial" w:hAnsi="Arial" w:eastAsia="黑体"/>
      <w:kern w:val="2"/>
      <w:sz w:val="24"/>
      <w:szCs w:val="24"/>
    </w:rPr>
  </w:style>
  <w:style w:type="paragraph" w:styleId="12">
    <w:name w:val="heading 9"/>
    <w:basedOn w:val="1"/>
    <w:next w:val="8"/>
    <w:link w:val="65"/>
    <w:qFormat/>
    <w:uiPriority w:val="0"/>
    <w:pPr>
      <w:keepNext/>
      <w:keepLines/>
      <w:numPr>
        <w:ilvl w:val="8"/>
        <w:numId w:val="1"/>
      </w:numPr>
      <w:spacing w:before="240" w:after="64" w:line="320" w:lineRule="auto"/>
      <w:outlineLvl w:val="8"/>
    </w:pPr>
    <w:rPr>
      <w:rFonts w:ascii="Arial" w:hAnsi="Arial" w:eastAsia="黑体"/>
      <w:kern w:val="2"/>
      <w:sz w:val="21"/>
      <w:szCs w:val="24"/>
    </w:r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68"/>
    <w:unhideWhenUsed/>
    <w:qFormat/>
    <w:uiPriority w:val="0"/>
    <w:pPr>
      <w:spacing w:after="120"/>
    </w:pPr>
  </w:style>
  <w:style w:type="paragraph" w:styleId="8">
    <w:name w:val="Normal Indent"/>
    <w:basedOn w:val="1"/>
    <w:link w:val="166"/>
    <w:qFormat/>
    <w:uiPriority w:val="0"/>
    <w:pPr>
      <w:ind w:firstLine="420" w:firstLineChars="200"/>
    </w:pPr>
    <w:rPr>
      <w:rFonts w:asciiTheme="minorHAnsi" w:hAnsiTheme="minorHAnsi" w:cstheme="minorBidi"/>
      <w:kern w:val="2"/>
      <w:sz w:val="21"/>
      <w:szCs w:val="24"/>
    </w:rPr>
  </w:style>
  <w:style w:type="paragraph" w:styleId="13">
    <w:name w:val="toc 7"/>
    <w:basedOn w:val="1"/>
    <w:next w:val="1"/>
    <w:qFormat/>
    <w:uiPriority w:val="0"/>
    <w:pPr>
      <w:spacing w:line="360" w:lineRule="auto"/>
      <w:ind w:left="1440"/>
      <w:jc w:val="left"/>
    </w:pPr>
    <w:rPr>
      <w:rFonts w:ascii="Calibri" w:cs="Calibri"/>
      <w:sz w:val="18"/>
      <w:szCs w:val="18"/>
    </w:rPr>
  </w:style>
  <w:style w:type="paragraph" w:styleId="14">
    <w:name w:val="List Bullet"/>
    <w:basedOn w:val="1"/>
    <w:qFormat/>
    <w:uiPriority w:val="0"/>
    <w:pPr>
      <w:numPr>
        <w:ilvl w:val="0"/>
        <w:numId w:val="2"/>
      </w:numPr>
      <w:tabs>
        <w:tab w:val="left" w:pos="900"/>
        <w:tab w:val="clear" w:pos="1440"/>
      </w:tabs>
      <w:adjustRightInd w:val="0"/>
      <w:snapToGrid w:val="0"/>
      <w:spacing w:line="360" w:lineRule="auto"/>
    </w:pPr>
    <w:rPr>
      <w:rFonts w:hAnsi="宋体"/>
      <w:sz w:val="24"/>
    </w:rPr>
  </w:style>
  <w:style w:type="paragraph" w:styleId="15">
    <w:name w:val="Document Map"/>
    <w:basedOn w:val="1"/>
    <w:link w:val="173"/>
    <w:qFormat/>
    <w:uiPriority w:val="0"/>
    <w:pPr>
      <w:shd w:val="clear" w:color="auto" w:fill="000080"/>
    </w:pPr>
    <w:rPr>
      <w:rFonts w:cstheme="minorBidi"/>
      <w:sz w:val="18"/>
      <w:szCs w:val="18"/>
      <w:lang w:eastAsia="en-US" w:bidi="en-US"/>
    </w:rPr>
  </w:style>
  <w:style w:type="paragraph" w:styleId="16">
    <w:name w:val="annotation text"/>
    <w:basedOn w:val="1"/>
    <w:link w:val="66"/>
    <w:unhideWhenUsed/>
    <w:qFormat/>
    <w:uiPriority w:val="99"/>
    <w:pPr>
      <w:jc w:val="left"/>
    </w:pPr>
  </w:style>
  <w:style w:type="paragraph" w:styleId="17">
    <w:name w:val="Salutation"/>
    <w:basedOn w:val="1"/>
    <w:next w:val="1"/>
    <w:link w:val="178"/>
    <w:qFormat/>
    <w:uiPriority w:val="0"/>
    <w:rPr>
      <w:rFonts w:asciiTheme="minorHAnsi" w:hAnsiTheme="minorHAnsi" w:cstheme="minorBidi"/>
      <w:kern w:val="2"/>
      <w:sz w:val="21"/>
      <w:szCs w:val="24"/>
    </w:rPr>
  </w:style>
  <w:style w:type="paragraph" w:styleId="18">
    <w:name w:val="Body Text 3"/>
    <w:basedOn w:val="1"/>
    <w:link w:val="182"/>
    <w:qFormat/>
    <w:uiPriority w:val="0"/>
    <w:pPr>
      <w:spacing w:line="500" w:lineRule="exact"/>
    </w:pPr>
    <w:rPr>
      <w:rFonts w:asciiTheme="minorHAnsi" w:hAnsiTheme="minorHAnsi" w:cstheme="minorBidi"/>
      <w:b/>
      <w:bCs/>
      <w:kern w:val="2"/>
      <w:sz w:val="24"/>
      <w:szCs w:val="24"/>
    </w:rPr>
  </w:style>
  <w:style w:type="paragraph" w:styleId="19">
    <w:name w:val="Closing"/>
    <w:basedOn w:val="1"/>
    <w:link w:val="175"/>
    <w:qFormat/>
    <w:uiPriority w:val="0"/>
    <w:pPr>
      <w:ind w:left="100" w:leftChars="2100"/>
    </w:pPr>
    <w:rPr>
      <w:rFonts w:asciiTheme="minorHAnsi" w:hAnsiTheme="minorHAnsi" w:cstheme="minorBidi"/>
      <w:kern w:val="2"/>
      <w:sz w:val="21"/>
      <w:szCs w:val="24"/>
    </w:rPr>
  </w:style>
  <w:style w:type="paragraph" w:styleId="20">
    <w:name w:val="Body Text Indent"/>
    <w:basedOn w:val="1"/>
    <w:link w:val="74"/>
    <w:qFormat/>
    <w:uiPriority w:val="0"/>
    <w:pPr>
      <w:ind w:firstLine="630"/>
    </w:pPr>
    <w:rPr>
      <w:rFonts w:asciiTheme="minorHAnsi" w:hAnsiTheme="minorHAnsi" w:cstheme="minorBidi"/>
      <w:kern w:val="2"/>
      <w:sz w:val="32"/>
    </w:rPr>
  </w:style>
  <w:style w:type="paragraph" w:styleId="21">
    <w:name w:val="Block Text"/>
    <w:basedOn w:val="1"/>
    <w:qFormat/>
    <w:uiPriority w:val="0"/>
    <w:pPr>
      <w:spacing w:line="400" w:lineRule="exact"/>
      <w:ind w:left="-359" w:leftChars="-171" w:right="-687" w:rightChars="-327" w:firstLine="720"/>
    </w:pPr>
    <w:rPr>
      <w:rFonts w:hAnsi="宋体"/>
      <w:sz w:val="28"/>
    </w:rPr>
  </w:style>
  <w:style w:type="paragraph" w:styleId="22">
    <w:name w:val="toc 5"/>
    <w:basedOn w:val="1"/>
    <w:next w:val="1"/>
    <w:qFormat/>
    <w:uiPriority w:val="0"/>
    <w:pPr>
      <w:spacing w:line="360" w:lineRule="auto"/>
      <w:ind w:left="960"/>
      <w:jc w:val="left"/>
    </w:pPr>
    <w:rPr>
      <w:rFonts w:ascii="Calibri" w:cs="Calibri"/>
      <w:sz w:val="18"/>
      <w:szCs w:val="18"/>
    </w:rPr>
  </w:style>
  <w:style w:type="paragraph" w:styleId="23">
    <w:name w:val="toc 3"/>
    <w:basedOn w:val="1"/>
    <w:next w:val="1"/>
    <w:unhideWhenUsed/>
    <w:qFormat/>
    <w:uiPriority w:val="0"/>
    <w:pPr>
      <w:spacing w:line="360" w:lineRule="auto"/>
      <w:ind w:left="480"/>
      <w:jc w:val="left"/>
    </w:pPr>
    <w:rPr>
      <w:rFonts w:ascii="Calibri" w:cs="Calibri"/>
      <w:i/>
      <w:iCs/>
      <w:sz w:val="20"/>
    </w:rPr>
  </w:style>
  <w:style w:type="paragraph" w:styleId="24">
    <w:name w:val="Plain Text"/>
    <w:basedOn w:val="1"/>
    <w:link w:val="183"/>
    <w:qFormat/>
    <w:uiPriority w:val="99"/>
    <w:rPr>
      <w:rFonts w:hAnsi="Courier New" w:cs="Courier New"/>
      <w:kern w:val="2"/>
      <w:sz w:val="21"/>
      <w:szCs w:val="21"/>
    </w:rPr>
  </w:style>
  <w:style w:type="paragraph" w:styleId="25">
    <w:name w:val="toc 8"/>
    <w:basedOn w:val="1"/>
    <w:next w:val="1"/>
    <w:qFormat/>
    <w:uiPriority w:val="0"/>
    <w:pPr>
      <w:spacing w:line="360" w:lineRule="auto"/>
      <w:ind w:left="1680"/>
      <w:jc w:val="left"/>
    </w:pPr>
    <w:rPr>
      <w:rFonts w:ascii="Calibri" w:cs="Calibri"/>
      <w:sz w:val="18"/>
      <w:szCs w:val="18"/>
    </w:rPr>
  </w:style>
  <w:style w:type="paragraph" w:styleId="26">
    <w:name w:val="Date"/>
    <w:basedOn w:val="1"/>
    <w:next w:val="1"/>
    <w:link w:val="172"/>
    <w:qFormat/>
    <w:uiPriority w:val="0"/>
    <w:rPr>
      <w:rFonts w:eastAsia="黑体" w:asciiTheme="minorHAnsi" w:hAnsiTheme="minorHAnsi" w:cstheme="minorBidi"/>
      <w:kern w:val="2"/>
      <w:sz w:val="36"/>
    </w:rPr>
  </w:style>
  <w:style w:type="paragraph" w:styleId="27">
    <w:name w:val="Body Text Indent 2"/>
    <w:basedOn w:val="1"/>
    <w:link w:val="174"/>
    <w:qFormat/>
    <w:uiPriority w:val="0"/>
    <w:pPr>
      <w:spacing w:after="120" w:line="480" w:lineRule="auto"/>
      <w:ind w:left="420" w:leftChars="200"/>
    </w:pPr>
    <w:rPr>
      <w:rFonts w:asciiTheme="minorHAnsi" w:hAnsiTheme="minorHAnsi" w:cstheme="minorBidi"/>
      <w:kern w:val="2"/>
      <w:sz w:val="21"/>
      <w:szCs w:val="24"/>
    </w:rPr>
  </w:style>
  <w:style w:type="paragraph" w:styleId="28">
    <w:name w:val="Balloon Text"/>
    <w:basedOn w:val="1"/>
    <w:link w:val="181"/>
    <w:qFormat/>
    <w:uiPriority w:val="99"/>
    <w:rPr>
      <w:rFonts w:hAnsiTheme="minorHAnsi" w:eastAsiaTheme="minorEastAsia" w:cstheme="minorBidi"/>
      <w:sz w:val="18"/>
      <w:szCs w:val="18"/>
    </w:rPr>
  </w:style>
  <w:style w:type="paragraph" w:styleId="29">
    <w:name w:val="footer"/>
    <w:basedOn w:val="1"/>
    <w:link w:val="79"/>
    <w:unhideWhenUsed/>
    <w:qFormat/>
    <w:uiPriority w:val="99"/>
    <w:pPr>
      <w:tabs>
        <w:tab w:val="center" w:pos="4153"/>
        <w:tab w:val="right" w:pos="8306"/>
      </w:tabs>
      <w:snapToGrid w:val="0"/>
      <w:jc w:val="left"/>
    </w:pPr>
    <w:rPr>
      <w:sz w:val="18"/>
      <w:szCs w:val="18"/>
    </w:rPr>
  </w:style>
  <w:style w:type="paragraph" w:styleId="30">
    <w:name w:val="header"/>
    <w:basedOn w:val="1"/>
    <w:link w:val="80"/>
    <w:unhideWhenUsed/>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39"/>
    <w:pPr>
      <w:tabs>
        <w:tab w:val="right" w:leader="dot" w:pos="8398"/>
      </w:tabs>
      <w:spacing w:before="120" w:after="120"/>
      <w:ind w:firstLine="240" w:firstLineChars="100"/>
      <w:jc w:val="left"/>
    </w:pPr>
    <w:rPr>
      <w:rFonts w:hAnsi="宋体"/>
      <w:b/>
      <w:bCs/>
      <w:caps/>
      <w:sz w:val="24"/>
    </w:rPr>
  </w:style>
  <w:style w:type="paragraph" w:styleId="32">
    <w:name w:val="toc 4"/>
    <w:basedOn w:val="1"/>
    <w:next w:val="1"/>
    <w:unhideWhenUsed/>
    <w:qFormat/>
    <w:uiPriority w:val="0"/>
    <w:pPr>
      <w:spacing w:line="360" w:lineRule="auto"/>
      <w:ind w:left="720"/>
      <w:jc w:val="left"/>
    </w:pPr>
    <w:rPr>
      <w:rFonts w:ascii="Calibri" w:cs="Calibri"/>
      <w:sz w:val="18"/>
      <w:szCs w:val="18"/>
    </w:rPr>
  </w:style>
  <w:style w:type="paragraph" w:styleId="33">
    <w:name w:val="Subtitle"/>
    <w:basedOn w:val="1"/>
    <w:next w:val="1"/>
    <w:link w:val="81"/>
    <w:qFormat/>
    <w:uiPriority w:val="0"/>
    <w:pPr>
      <w:spacing w:before="240" w:after="60" w:line="312" w:lineRule="auto"/>
      <w:jc w:val="center"/>
      <w:outlineLvl w:val="1"/>
    </w:pPr>
    <w:rPr>
      <w:rFonts w:ascii="Cambria" w:hAnsi="Cambria"/>
      <w:b/>
      <w:bCs/>
      <w:kern w:val="28"/>
      <w:sz w:val="32"/>
      <w:szCs w:val="32"/>
    </w:rPr>
  </w:style>
  <w:style w:type="paragraph" w:styleId="34">
    <w:name w:val="toc 6"/>
    <w:basedOn w:val="1"/>
    <w:next w:val="1"/>
    <w:qFormat/>
    <w:uiPriority w:val="0"/>
    <w:pPr>
      <w:spacing w:line="360" w:lineRule="auto"/>
      <w:ind w:left="1200"/>
      <w:jc w:val="left"/>
    </w:pPr>
    <w:rPr>
      <w:rFonts w:ascii="Calibri" w:cs="Calibri"/>
      <w:sz w:val="18"/>
      <w:szCs w:val="18"/>
    </w:rPr>
  </w:style>
  <w:style w:type="paragraph" w:styleId="35">
    <w:name w:val="Body Text Indent 3"/>
    <w:basedOn w:val="1"/>
    <w:link w:val="169"/>
    <w:qFormat/>
    <w:uiPriority w:val="0"/>
    <w:pPr>
      <w:spacing w:after="120"/>
      <w:ind w:left="420" w:leftChars="200"/>
    </w:pPr>
    <w:rPr>
      <w:rFonts w:asciiTheme="minorHAnsi" w:hAnsiTheme="minorHAnsi" w:cstheme="minorBidi"/>
      <w:kern w:val="2"/>
      <w:sz w:val="16"/>
      <w:szCs w:val="16"/>
    </w:rPr>
  </w:style>
  <w:style w:type="paragraph" w:styleId="36">
    <w:name w:val="toc 2"/>
    <w:basedOn w:val="1"/>
    <w:next w:val="1"/>
    <w:unhideWhenUsed/>
    <w:qFormat/>
    <w:uiPriority w:val="0"/>
    <w:pPr>
      <w:spacing w:line="360" w:lineRule="auto"/>
      <w:ind w:left="240"/>
      <w:jc w:val="left"/>
    </w:pPr>
    <w:rPr>
      <w:rFonts w:ascii="Calibri" w:cs="Calibri"/>
      <w:smallCaps/>
      <w:sz w:val="20"/>
    </w:rPr>
  </w:style>
  <w:style w:type="paragraph" w:styleId="37">
    <w:name w:val="toc 9"/>
    <w:basedOn w:val="1"/>
    <w:next w:val="1"/>
    <w:qFormat/>
    <w:uiPriority w:val="0"/>
    <w:pPr>
      <w:spacing w:line="360" w:lineRule="auto"/>
      <w:ind w:left="1920"/>
      <w:jc w:val="left"/>
    </w:pPr>
    <w:rPr>
      <w:rFonts w:ascii="Calibri" w:cs="Calibri"/>
      <w:sz w:val="18"/>
      <w:szCs w:val="18"/>
    </w:rPr>
  </w:style>
  <w:style w:type="paragraph" w:styleId="38">
    <w:name w:val="Body Text 2"/>
    <w:basedOn w:val="1"/>
    <w:link w:val="180"/>
    <w:qFormat/>
    <w:uiPriority w:val="0"/>
    <w:pPr>
      <w:spacing w:after="120" w:line="480" w:lineRule="auto"/>
    </w:pPr>
    <w:rPr>
      <w:rFonts w:asciiTheme="minorHAnsi" w:hAnsiTheme="minorHAnsi" w:cstheme="minorBidi"/>
      <w:kern w:val="2"/>
      <w:sz w:val="21"/>
      <w:szCs w:val="24"/>
    </w:rPr>
  </w:style>
  <w:style w:type="paragraph" w:styleId="39">
    <w:name w:val="HTML Preformatted"/>
    <w:basedOn w:val="1"/>
    <w:link w:val="17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sz w:val="24"/>
      <w:szCs w:val="24"/>
    </w:rPr>
  </w:style>
  <w:style w:type="paragraph" w:styleId="40">
    <w:name w:val="Normal (Web)"/>
    <w:basedOn w:val="1"/>
    <w:qFormat/>
    <w:uiPriority w:val="0"/>
    <w:pPr>
      <w:widowControl/>
      <w:spacing w:before="100" w:beforeAutospacing="1" w:after="100" w:afterAutospacing="1"/>
      <w:jc w:val="left"/>
    </w:pPr>
    <w:rPr>
      <w:rFonts w:hAnsi="宋体"/>
      <w:sz w:val="18"/>
      <w:szCs w:val="18"/>
    </w:rPr>
  </w:style>
  <w:style w:type="paragraph" w:styleId="41">
    <w:name w:val="index 1"/>
    <w:basedOn w:val="1"/>
    <w:next w:val="1"/>
    <w:link w:val="508"/>
    <w:qFormat/>
    <w:uiPriority w:val="0"/>
    <w:pPr>
      <w:jc w:val="center"/>
    </w:pPr>
    <w:rPr>
      <w:rFonts w:ascii="仿宋_GB2312" w:hAnsi="宋体" w:eastAsia="仿宋_GB2312"/>
      <w:b/>
      <w:bCs/>
      <w:sz w:val="30"/>
    </w:rPr>
  </w:style>
  <w:style w:type="paragraph" w:styleId="42">
    <w:name w:val="Title"/>
    <w:basedOn w:val="1"/>
    <w:next w:val="1"/>
    <w:link w:val="85"/>
    <w:qFormat/>
    <w:uiPriority w:val="0"/>
    <w:pPr>
      <w:spacing w:before="240" w:after="60" w:line="360" w:lineRule="auto"/>
      <w:jc w:val="center"/>
      <w:outlineLvl w:val="0"/>
    </w:pPr>
    <w:rPr>
      <w:rFonts w:ascii="Cambria" w:hAnsi="Cambria"/>
      <w:b/>
      <w:bCs/>
      <w:sz w:val="32"/>
      <w:szCs w:val="32"/>
    </w:rPr>
  </w:style>
  <w:style w:type="paragraph" w:styleId="43">
    <w:name w:val="annotation subject"/>
    <w:basedOn w:val="16"/>
    <w:next w:val="16"/>
    <w:link w:val="171"/>
    <w:qFormat/>
    <w:uiPriority w:val="0"/>
    <w:pPr>
      <w:jc w:val="both"/>
    </w:pPr>
    <w:rPr>
      <w:b/>
      <w:bCs/>
      <w:kern w:val="2"/>
      <w:sz w:val="20"/>
    </w:rPr>
  </w:style>
  <w:style w:type="paragraph" w:styleId="44">
    <w:name w:val="Body Text First Indent"/>
    <w:basedOn w:val="2"/>
    <w:link w:val="177"/>
    <w:qFormat/>
    <w:uiPriority w:val="0"/>
    <w:pPr>
      <w:spacing w:after="0"/>
      <w:ind w:firstLine="420" w:firstLineChars="100"/>
    </w:pPr>
    <w:rPr>
      <w:kern w:val="2"/>
    </w:rPr>
  </w:style>
  <w:style w:type="paragraph" w:styleId="45">
    <w:name w:val="Body Text First Indent 2"/>
    <w:basedOn w:val="20"/>
    <w:unhideWhenUsed/>
    <w:qFormat/>
    <w:uiPriority w:val="99"/>
    <w:pPr>
      <w:ind w:firstLine="420" w:firstLineChars="200"/>
    </w:pPr>
  </w:style>
  <w:style w:type="table" w:styleId="47">
    <w:name w:val="Table Grid"/>
    <w:basedOn w:val="46"/>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basedOn w:val="48"/>
    <w:qFormat/>
    <w:uiPriority w:val="0"/>
    <w:rPr>
      <w:b/>
      <w:bCs/>
    </w:rPr>
  </w:style>
  <w:style w:type="character" w:styleId="50">
    <w:name w:val="page number"/>
    <w:basedOn w:val="48"/>
    <w:qFormat/>
    <w:uiPriority w:val="99"/>
  </w:style>
  <w:style w:type="character" w:styleId="51">
    <w:name w:val="FollowedHyperlink"/>
    <w:qFormat/>
    <w:uiPriority w:val="0"/>
    <w:rPr>
      <w:color w:val="800080"/>
      <w:u w:val="single"/>
    </w:rPr>
  </w:style>
  <w:style w:type="character" w:styleId="52">
    <w:name w:val="Emphasis"/>
    <w:basedOn w:val="48"/>
    <w:qFormat/>
    <w:uiPriority w:val="0"/>
    <w:rPr>
      <w:b/>
      <w:bCs/>
    </w:rPr>
  </w:style>
  <w:style w:type="character" w:styleId="53">
    <w:name w:val="Hyperlink"/>
    <w:qFormat/>
    <w:uiPriority w:val="99"/>
    <w:rPr>
      <w:color w:val="0000FF"/>
      <w:u w:val="single"/>
    </w:rPr>
  </w:style>
  <w:style w:type="character" w:styleId="54">
    <w:name w:val="annotation reference"/>
    <w:qFormat/>
    <w:uiPriority w:val="0"/>
    <w:rPr>
      <w:sz w:val="21"/>
    </w:rPr>
  </w:style>
  <w:style w:type="paragraph" w:customStyle="1" w:styleId="55">
    <w:name w:val="标题 5（有编号）（绿盟科技）"/>
    <w:basedOn w:val="1"/>
    <w:next w:val="56"/>
    <w:qFormat/>
    <w:uiPriority w:val="0"/>
    <w:pPr>
      <w:keepNext/>
      <w:keepLines/>
      <w:numPr>
        <w:ilvl w:val="4"/>
        <w:numId w:val="3"/>
      </w:numPr>
      <w:spacing w:before="280" w:beforeLines="0" w:after="156" w:afterLines="0" w:line="377" w:lineRule="auto"/>
      <w:jc w:val="left"/>
      <w:outlineLvl w:val="4"/>
    </w:pPr>
    <w:rPr>
      <w:rFonts w:ascii="Arial" w:hAnsi="Arial" w:eastAsia="黑体"/>
      <w:sz w:val="24"/>
      <w:szCs w:val="28"/>
    </w:rPr>
  </w:style>
  <w:style w:type="paragraph" w:customStyle="1" w:styleId="56">
    <w:name w:val="正文（绿盟科技）"/>
    <w:qFormat/>
    <w:uiPriority w:val="0"/>
    <w:pPr>
      <w:spacing w:line="300" w:lineRule="auto"/>
    </w:pPr>
    <w:rPr>
      <w:rFonts w:ascii="Arial" w:hAnsi="Arial" w:eastAsia="宋体" w:cs="黑体"/>
      <w:sz w:val="21"/>
      <w:szCs w:val="21"/>
      <w:lang w:val="en-US" w:eastAsia="zh-CN" w:bidi="ar-SA"/>
    </w:rPr>
  </w:style>
  <w:style w:type="character" w:customStyle="1" w:styleId="57">
    <w:name w:val="标题 1 字符"/>
    <w:basedOn w:val="48"/>
    <w:link w:val="3"/>
    <w:qFormat/>
    <w:uiPriority w:val="99"/>
    <w:rPr>
      <w:rFonts w:ascii="Calibri" w:hAnsi="Calibri" w:eastAsia="宋体" w:cs="Times New Roman"/>
      <w:b/>
      <w:bCs/>
      <w:kern w:val="44"/>
      <w:sz w:val="36"/>
      <w:szCs w:val="44"/>
    </w:rPr>
  </w:style>
  <w:style w:type="character" w:customStyle="1" w:styleId="58">
    <w:name w:val="标题 2 字符"/>
    <w:basedOn w:val="48"/>
    <w:link w:val="4"/>
    <w:qFormat/>
    <w:uiPriority w:val="0"/>
    <w:rPr>
      <w:rFonts w:ascii="Arial" w:hAnsi="Arial" w:eastAsia="黑体" w:cs="Times New Roman"/>
      <w:b/>
      <w:bCs/>
      <w:sz w:val="32"/>
      <w:szCs w:val="32"/>
    </w:rPr>
  </w:style>
  <w:style w:type="character" w:customStyle="1" w:styleId="59">
    <w:name w:val="标题 3 Char"/>
    <w:basedOn w:val="48"/>
    <w:qFormat/>
    <w:uiPriority w:val="0"/>
    <w:rPr>
      <w:rFonts w:ascii="宋体" w:hAnsi="Calibri" w:eastAsia="宋体" w:cs="Times New Roman"/>
      <w:b/>
      <w:bCs/>
      <w:kern w:val="0"/>
      <w:sz w:val="32"/>
      <w:szCs w:val="32"/>
    </w:rPr>
  </w:style>
  <w:style w:type="character" w:customStyle="1" w:styleId="60">
    <w:name w:val="标题 4 字符"/>
    <w:basedOn w:val="48"/>
    <w:link w:val="6"/>
    <w:qFormat/>
    <w:uiPriority w:val="9"/>
    <w:rPr>
      <w:rFonts w:ascii="Arial" w:hAnsi="Arial" w:eastAsia="黑体" w:cs="Times New Roman"/>
      <w:b/>
      <w:bCs/>
      <w:sz w:val="28"/>
      <w:szCs w:val="28"/>
    </w:rPr>
  </w:style>
  <w:style w:type="character" w:customStyle="1" w:styleId="61">
    <w:name w:val="标题 5 字符"/>
    <w:basedOn w:val="48"/>
    <w:link w:val="7"/>
    <w:qFormat/>
    <w:uiPriority w:val="0"/>
    <w:rPr>
      <w:rFonts w:ascii="Calibri" w:hAnsi="Calibri" w:eastAsia="宋体" w:cs="Times New Roman"/>
      <w:b/>
      <w:sz w:val="28"/>
      <w:szCs w:val="24"/>
    </w:rPr>
  </w:style>
  <w:style w:type="character" w:customStyle="1" w:styleId="62">
    <w:name w:val="标题 6 字符"/>
    <w:basedOn w:val="48"/>
    <w:link w:val="9"/>
    <w:qFormat/>
    <w:uiPriority w:val="0"/>
    <w:rPr>
      <w:rFonts w:ascii="Arial" w:hAnsi="Arial" w:eastAsia="黑体" w:cs="Times New Roman"/>
      <w:b/>
      <w:sz w:val="24"/>
      <w:szCs w:val="24"/>
    </w:rPr>
  </w:style>
  <w:style w:type="character" w:customStyle="1" w:styleId="63">
    <w:name w:val="标题 7 字符"/>
    <w:basedOn w:val="48"/>
    <w:link w:val="10"/>
    <w:qFormat/>
    <w:uiPriority w:val="0"/>
    <w:rPr>
      <w:rFonts w:ascii="Calibri" w:hAnsi="Calibri" w:eastAsia="宋体" w:cs="Times New Roman"/>
      <w:b/>
      <w:sz w:val="24"/>
      <w:szCs w:val="24"/>
    </w:rPr>
  </w:style>
  <w:style w:type="character" w:customStyle="1" w:styleId="64">
    <w:name w:val="标题 8 字符"/>
    <w:basedOn w:val="48"/>
    <w:link w:val="11"/>
    <w:qFormat/>
    <w:uiPriority w:val="0"/>
    <w:rPr>
      <w:rFonts w:ascii="Arial" w:hAnsi="Arial" w:eastAsia="黑体" w:cs="Times New Roman"/>
      <w:sz w:val="24"/>
      <w:szCs w:val="24"/>
    </w:rPr>
  </w:style>
  <w:style w:type="character" w:customStyle="1" w:styleId="65">
    <w:name w:val="标题 9 字符"/>
    <w:basedOn w:val="48"/>
    <w:link w:val="12"/>
    <w:qFormat/>
    <w:uiPriority w:val="0"/>
    <w:rPr>
      <w:rFonts w:ascii="Arial" w:hAnsi="Arial" w:eastAsia="黑体" w:cs="Times New Roman"/>
      <w:szCs w:val="24"/>
    </w:rPr>
  </w:style>
  <w:style w:type="character" w:customStyle="1" w:styleId="66">
    <w:name w:val="批注文字 字符"/>
    <w:basedOn w:val="48"/>
    <w:link w:val="16"/>
    <w:qFormat/>
    <w:uiPriority w:val="99"/>
    <w:rPr>
      <w:rFonts w:ascii="宋体" w:hAnsi="Calibri" w:eastAsia="宋体" w:cs="Times New Roman"/>
      <w:kern w:val="0"/>
      <w:sz w:val="34"/>
      <w:szCs w:val="20"/>
    </w:rPr>
  </w:style>
  <w:style w:type="character" w:customStyle="1" w:styleId="67">
    <w:name w:val="批注主题 Char"/>
    <w:basedOn w:val="66"/>
    <w:qFormat/>
    <w:uiPriority w:val="0"/>
    <w:rPr>
      <w:rFonts w:ascii="宋体" w:hAnsi="Calibri" w:eastAsia="宋体" w:cs="Times New Roman"/>
      <w:b/>
      <w:bCs/>
      <w:kern w:val="0"/>
      <w:sz w:val="34"/>
      <w:szCs w:val="20"/>
    </w:rPr>
  </w:style>
  <w:style w:type="character" w:customStyle="1" w:styleId="68">
    <w:name w:val="正文文本 字符"/>
    <w:basedOn w:val="48"/>
    <w:link w:val="2"/>
    <w:qFormat/>
    <w:uiPriority w:val="0"/>
    <w:rPr>
      <w:rFonts w:ascii="宋体" w:hAnsi="Calibri" w:eastAsia="宋体" w:cs="Times New Roman"/>
      <w:kern w:val="0"/>
      <w:sz w:val="34"/>
      <w:szCs w:val="20"/>
    </w:rPr>
  </w:style>
  <w:style w:type="character" w:customStyle="1" w:styleId="69">
    <w:name w:val="正文首行缩进 Char"/>
    <w:basedOn w:val="68"/>
    <w:qFormat/>
    <w:uiPriority w:val="0"/>
    <w:rPr>
      <w:rFonts w:ascii="宋体" w:hAnsi="Calibri" w:eastAsia="宋体" w:cs="Times New Roman"/>
      <w:kern w:val="0"/>
      <w:sz w:val="34"/>
      <w:szCs w:val="20"/>
    </w:rPr>
  </w:style>
  <w:style w:type="character" w:customStyle="1" w:styleId="70">
    <w:name w:val="文档结构图 Char"/>
    <w:basedOn w:val="48"/>
    <w:qFormat/>
    <w:uiPriority w:val="0"/>
    <w:rPr>
      <w:rFonts w:ascii="宋体" w:hAnsi="Calibri" w:eastAsia="宋体" w:cs="Times New Roman"/>
      <w:kern w:val="0"/>
      <w:sz w:val="18"/>
      <w:szCs w:val="18"/>
    </w:rPr>
  </w:style>
  <w:style w:type="character" w:customStyle="1" w:styleId="71">
    <w:name w:val="称呼 Char"/>
    <w:basedOn w:val="48"/>
    <w:qFormat/>
    <w:uiPriority w:val="0"/>
    <w:rPr>
      <w:rFonts w:ascii="宋体" w:hAnsi="Calibri" w:eastAsia="宋体" w:cs="Times New Roman"/>
      <w:kern w:val="0"/>
      <w:sz w:val="34"/>
      <w:szCs w:val="20"/>
    </w:rPr>
  </w:style>
  <w:style w:type="character" w:customStyle="1" w:styleId="72">
    <w:name w:val="正文文本 3 Char"/>
    <w:basedOn w:val="48"/>
    <w:qFormat/>
    <w:uiPriority w:val="0"/>
    <w:rPr>
      <w:rFonts w:ascii="宋体" w:hAnsi="Calibri" w:eastAsia="宋体" w:cs="Times New Roman"/>
      <w:kern w:val="0"/>
      <w:sz w:val="16"/>
      <w:szCs w:val="16"/>
    </w:rPr>
  </w:style>
  <w:style w:type="character" w:customStyle="1" w:styleId="73">
    <w:name w:val="结束语 Char"/>
    <w:basedOn w:val="48"/>
    <w:qFormat/>
    <w:uiPriority w:val="0"/>
    <w:rPr>
      <w:rFonts w:ascii="宋体" w:hAnsi="Calibri" w:eastAsia="宋体" w:cs="Times New Roman"/>
      <w:kern w:val="0"/>
      <w:sz w:val="34"/>
      <w:szCs w:val="20"/>
    </w:rPr>
  </w:style>
  <w:style w:type="character" w:customStyle="1" w:styleId="74">
    <w:name w:val="正文文本缩进 字符"/>
    <w:basedOn w:val="48"/>
    <w:link w:val="20"/>
    <w:qFormat/>
    <w:uiPriority w:val="0"/>
    <w:rPr>
      <w:rFonts w:eastAsia="宋体"/>
      <w:sz w:val="32"/>
      <w:szCs w:val="20"/>
    </w:rPr>
  </w:style>
  <w:style w:type="character" w:customStyle="1" w:styleId="75">
    <w:name w:val="纯文本 Char"/>
    <w:basedOn w:val="48"/>
    <w:qFormat/>
    <w:uiPriority w:val="99"/>
    <w:rPr>
      <w:rFonts w:ascii="宋体" w:hAnsi="Courier New" w:eastAsia="宋体" w:cs="Courier New"/>
      <w:kern w:val="0"/>
      <w:szCs w:val="21"/>
    </w:rPr>
  </w:style>
  <w:style w:type="character" w:customStyle="1" w:styleId="76">
    <w:name w:val="日期 Char"/>
    <w:basedOn w:val="48"/>
    <w:qFormat/>
    <w:uiPriority w:val="0"/>
    <w:rPr>
      <w:rFonts w:ascii="宋体" w:hAnsi="Calibri" w:eastAsia="宋体" w:cs="Times New Roman"/>
      <w:kern w:val="0"/>
      <w:sz w:val="34"/>
      <w:szCs w:val="20"/>
    </w:rPr>
  </w:style>
  <w:style w:type="character" w:customStyle="1" w:styleId="77">
    <w:name w:val="正文文本缩进 2 Char"/>
    <w:basedOn w:val="48"/>
    <w:qFormat/>
    <w:uiPriority w:val="0"/>
    <w:rPr>
      <w:rFonts w:ascii="宋体" w:hAnsi="Calibri" w:eastAsia="宋体" w:cs="Times New Roman"/>
      <w:kern w:val="0"/>
      <w:sz w:val="34"/>
      <w:szCs w:val="20"/>
    </w:rPr>
  </w:style>
  <w:style w:type="character" w:customStyle="1" w:styleId="78">
    <w:name w:val="批注框文本 Char"/>
    <w:basedOn w:val="48"/>
    <w:qFormat/>
    <w:uiPriority w:val="99"/>
    <w:rPr>
      <w:rFonts w:ascii="宋体" w:hAnsi="Calibri" w:eastAsia="宋体" w:cs="Times New Roman"/>
      <w:kern w:val="0"/>
      <w:sz w:val="18"/>
      <w:szCs w:val="18"/>
    </w:rPr>
  </w:style>
  <w:style w:type="character" w:customStyle="1" w:styleId="79">
    <w:name w:val="页脚 字符"/>
    <w:basedOn w:val="48"/>
    <w:link w:val="29"/>
    <w:qFormat/>
    <w:uiPriority w:val="99"/>
    <w:rPr>
      <w:rFonts w:ascii="宋体" w:hAnsi="Calibri" w:eastAsia="宋体" w:cs="Times New Roman"/>
      <w:kern w:val="0"/>
      <w:sz w:val="18"/>
      <w:szCs w:val="18"/>
    </w:rPr>
  </w:style>
  <w:style w:type="character" w:customStyle="1" w:styleId="80">
    <w:name w:val="页眉 字符"/>
    <w:basedOn w:val="48"/>
    <w:link w:val="30"/>
    <w:qFormat/>
    <w:uiPriority w:val="99"/>
    <w:rPr>
      <w:rFonts w:ascii="宋体" w:hAnsi="Calibri" w:eastAsia="宋体" w:cs="Times New Roman"/>
      <w:kern w:val="0"/>
      <w:sz w:val="18"/>
      <w:szCs w:val="18"/>
    </w:rPr>
  </w:style>
  <w:style w:type="character" w:customStyle="1" w:styleId="81">
    <w:name w:val="副标题 字符"/>
    <w:basedOn w:val="48"/>
    <w:link w:val="33"/>
    <w:qFormat/>
    <w:uiPriority w:val="0"/>
    <w:rPr>
      <w:rFonts w:ascii="Cambria" w:hAnsi="Cambria" w:eastAsia="宋体" w:cs="Times New Roman"/>
      <w:b/>
      <w:bCs/>
      <w:kern w:val="28"/>
      <w:sz w:val="32"/>
      <w:szCs w:val="32"/>
    </w:rPr>
  </w:style>
  <w:style w:type="character" w:customStyle="1" w:styleId="82">
    <w:name w:val="正文文本缩进 3 Char"/>
    <w:basedOn w:val="48"/>
    <w:qFormat/>
    <w:uiPriority w:val="0"/>
    <w:rPr>
      <w:rFonts w:ascii="宋体" w:hAnsi="Calibri" w:eastAsia="宋体" w:cs="Times New Roman"/>
      <w:kern w:val="0"/>
      <w:sz w:val="16"/>
      <w:szCs w:val="16"/>
    </w:rPr>
  </w:style>
  <w:style w:type="character" w:customStyle="1" w:styleId="83">
    <w:name w:val="正文文本 2 Char"/>
    <w:basedOn w:val="48"/>
    <w:qFormat/>
    <w:uiPriority w:val="0"/>
    <w:rPr>
      <w:rFonts w:ascii="宋体" w:hAnsi="Calibri" w:eastAsia="宋体" w:cs="Times New Roman"/>
      <w:kern w:val="0"/>
      <w:sz w:val="34"/>
      <w:szCs w:val="20"/>
    </w:rPr>
  </w:style>
  <w:style w:type="character" w:customStyle="1" w:styleId="84">
    <w:name w:val="HTML 预设格式 Char"/>
    <w:basedOn w:val="48"/>
    <w:qFormat/>
    <w:uiPriority w:val="0"/>
    <w:rPr>
      <w:rFonts w:ascii="Courier New" w:hAnsi="Courier New" w:eastAsia="宋体" w:cs="Courier New"/>
      <w:kern w:val="0"/>
      <w:sz w:val="20"/>
      <w:szCs w:val="20"/>
    </w:rPr>
  </w:style>
  <w:style w:type="character" w:customStyle="1" w:styleId="85">
    <w:name w:val="标题 字符"/>
    <w:basedOn w:val="48"/>
    <w:link w:val="42"/>
    <w:qFormat/>
    <w:uiPriority w:val="0"/>
    <w:rPr>
      <w:rFonts w:ascii="Cambria" w:hAnsi="Cambria" w:eastAsia="宋体" w:cs="Times New Roman"/>
      <w:b/>
      <w:bCs/>
      <w:kern w:val="0"/>
      <w:sz w:val="32"/>
      <w:szCs w:val="32"/>
    </w:rPr>
  </w:style>
  <w:style w:type="character" w:customStyle="1" w:styleId="86">
    <w:name w:val="明显引用 Char"/>
    <w:qFormat/>
    <w:uiPriority w:val="0"/>
    <w:rPr>
      <w:rFonts w:ascii="Calibri" w:hAnsi="Calibri" w:eastAsia="宋体"/>
      <w:b/>
      <w:bCs/>
      <w:i/>
      <w:iCs/>
      <w:color w:val="4F81BD"/>
      <w:kern w:val="2"/>
      <w:sz w:val="21"/>
      <w:szCs w:val="22"/>
    </w:rPr>
  </w:style>
  <w:style w:type="paragraph" w:styleId="87">
    <w:name w:val="Intense Quote"/>
    <w:basedOn w:val="1"/>
    <w:next w:val="1"/>
    <w:link w:val="88"/>
    <w:qFormat/>
    <w:uiPriority w:val="0"/>
    <w:pPr>
      <w:pBdr>
        <w:bottom w:val="single" w:color="4F81BD" w:sz="4" w:space="4"/>
      </w:pBdr>
      <w:spacing w:before="200" w:after="280"/>
      <w:ind w:left="936" w:right="936"/>
    </w:pPr>
    <w:rPr>
      <w:rFonts w:ascii="Calibri" w:cstheme="minorBidi"/>
      <w:b/>
      <w:bCs/>
      <w:i/>
      <w:iCs/>
      <w:color w:val="4F81BD"/>
      <w:kern w:val="2"/>
      <w:sz w:val="21"/>
      <w:szCs w:val="22"/>
    </w:rPr>
  </w:style>
  <w:style w:type="character" w:customStyle="1" w:styleId="88">
    <w:name w:val="明显引用 字符"/>
    <w:basedOn w:val="48"/>
    <w:link w:val="87"/>
    <w:qFormat/>
    <w:uiPriority w:val="0"/>
    <w:rPr>
      <w:rFonts w:ascii="Calibri" w:hAnsi="Calibri" w:eastAsia="宋体"/>
      <w:b/>
      <w:bCs/>
      <w:i/>
      <w:iCs/>
      <w:color w:val="4F81BD"/>
    </w:rPr>
  </w:style>
  <w:style w:type="character" w:customStyle="1" w:styleId="89">
    <w:name w:val="纯文本 Char1"/>
    <w:qFormat/>
    <w:uiPriority w:val="99"/>
    <w:rPr>
      <w:rFonts w:ascii="宋体" w:hAnsi="Courier New" w:eastAsia="宋体" w:cs="Courier New"/>
      <w:szCs w:val="21"/>
    </w:rPr>
  </w:style>
  <w:style w:type="character" w:customStyle="1" w:styleId="90">
    <w:name w:val="unnamed31"/>
    <w:qFormat/>
    <w:uiPriority w:val="0"/>
    <w:rPr>
      <w:sz w:val="22"/>
      <w:szCs w:val="22"/>
    </w:rPr>
  </w:style>
  <w:style w:type="character" w:customStyle="1" w:styleId="91">
    <w:name w:val="正文文本缩进 Char2"/>
    <w:qFormat/>
    <w:uiPriority w:val="0"/>
    <w:rPr>
      <w:rFonts w:eastAsia="宋体"/>
      <w:kern w:val="2"/>
      <w:sz w:val="32"/>
    </w:rPr>
  </w:style>
  <w:style w:type="character" w:customStyle="1" w:styleId="92">
    <w:name w:val="font81"/>
    <w:basedOn w:val="48"/>
    <w:qFormat/>
    <w:uiPriority w:val="0"/>
    <w:rPr>
      <w:rFonts w:hint="eastAsia" w:ascii="宋体" w:hAnsi="宋体" w:eastAsia="宋体"/>
      <w:color w:val="000000"/>
      <w:sz w:val="22"/>
      <w:szCs w:val="22"/>
      <w:u w:val="none"/>
    </w:rPr>
  </w:style>
  <w:style w:type="character" w:customStyle="1" w:styleId="93">
    <w:name w:val="Body Text(ch) Char Char"/>
    <w:qFormat/>
    <w:uiPriority w:val="0"/>
    <w:rPr>
      <w:rFonts w:eastAsia="宋体"/>
      <w:sz w:val="24"/>
      <w:szCs w:val="24"/>
      <w:lang w:bidi="ar-SA"/>
    </w:rPr>
  </w:style>
  <w:style w:type="character" w:customStyle="1" w:styleId="94">
    <w:name w:val="font61"/>
    <w:qFormat/>
    <w:uiPriority w:val="0"/>
    <w:rPr>
      <w:rFonts w:hint="eastAsia" w:ascii="宋体" w:hAnsi="宋体" w:eastAsia="宋体"/>
      <w:color w:val="000000"/>
      <w:sz w:val="21"/>
      <w:szCs w:val="21"/>
      <w:u w:val="none"/>
    </w:rPr>
  </w:style>
  <w:style w:type="character" w:customStyle="1" w:styleId="95">
    <w:name w:val="hui3"/>
    <w:qFormat/>
    <w:uiPriority w:val="0"/>
    <w:rPr>
      <w:color w:val="333333"/>
    </w:rPr>
  </w:style>
  <w:style w:type="character" w:customStyle="1" w:styleId="96">
    <w:name w:val="main1"/>
    <w:basedOn w:val="48"/>
    <w:qFormat/>
    <w:uiPriority w:val="0"/>
  </w:style>
  <w:style w:type="character" w:customStyle="1" w:styleId="97">
    <w:name w:val="z-catalog-i2n1"/>
    <w:qFormat/>
    <w:uiPriority w:val="0"/>
    <w:rPr>
      <w:color w:val="AAAAAA"/>
    </w:rPr>
  </w:style>
  <w:style w:type="character" w:customStyle="1" w:styleId="98">
    <w:name w:val="textnorm_chn1"/>
    <w:qFormat/>
    <w:uiPriority w:val="0"/>
    <w:rPr>
      <w:rFonts w:hint="default" w:ascii="Arial" w:hAnsi="Arial" w:cs="Arial"/>
      <w:color w:val="21254A"/>
      <w:sz w:val="22"/>
      <w:szCs w:val="22"/>
    </w:rPr>
  </w:style>
  <w:style w:type="character" w:customStyle="1" w:styleId="99">
    <w:name w:val="headline-content3"/>
    <w:qFormat/>
    <w:uiPriority w:val="0"/>
  </w:style>
  <w:style w:type="character" w:customStyle="1" w:styleId="100">
    <w:name w:val="Char Char16"/>
    <w:qFormat/>
    <w:uiPriority w:val="0"/>
    <w:rPr>
      <w:rFonts w:ascii="宋体" w:hAnsi="Courier New" w:eastAsia="宋体" w:cs="Courier New"/>
      <w:kern w:val="2"/>
      <w:sz w:val="21"/>
      <w:szCs w:val="21"/>
      <w:lang w:val="en-US" w:eastAsia="zh-CN" w:bidi="ar-SA"/>
    </w:rPr>
  </w:style>
  <w:style w:type="character" w:customStyle="1" w:styleId="101">
    <w:name w:val="black1"/>
    <w:qFormat/>
    <w:uiPriority w:val="0"/>
    <w:rPr>
      <w:rFonts w:hint="default" w:ascii="Arial" w:hAnsi="Arial" w:cs="Arial"/>
      <w:color w:val="535353"/>
      <w:sz w:val="12"/>
      <w:szCs w:val="12"/>
    </w:rPr>
  </w:style>
  <w:style w:type="character" w:customStyle="1" w:styleId="102">
    <w:name w:val="headline-1-index1"/>
    <w:qFormat/>
    <w:uiPriority w:val="0"/>
    <w:rPr>
      <w:color w:val="E9E9E9"/>
      <w:sz w:val="24"/>
      <w:szCs w:val="24"/>
      <w:shd w:val="clear" w:color="auto" w:fill="auto"/>
    </w:rPr>
  </w:style>
  <w:style w:type="character" w:customStyle="1" w:styleId="103">
    <w:name w:val="small"/>
    <w:basedOn w:val="48"/>
    <w:qFormat/>
    <w:uiPriority w:val="0"/>
  </w:style>
  <w:style w:type="character" w:customStyle="1" w:styleId="104">
    <w:name w:val="文章正文 Char"/>
    <w:qFormat/>
    <w:uiPriority w:val="0"/>
    <w:rPr>
      <w:rFonts w:ascii="仿宋_GB2312" w:hAnsi="宋体" w:eastAsia="仿宋_GB2312"/>
      <w:color w:val="000000"/>
      <w:kern w:val="2"/>
      <w:sz w:val="28"/>
      <w:lang w:val="en-US" w:eastAsia="zh-CN" w:bidi="ar-SA"/>
    </w:rPr>
  </w:style>
  <w:style w:type="character" w:customStyle="1" w:styleId="105">
    <w:name w:val="param_td12"/>
    <w:basedOn w:val="48"/>
    <w:qFormat/>
    <w:uiPriority w:val="0"/>
  </w:style>
  <w:style w:type="character" w:customStyle="1" w:styleId="106">
    <w:name w:val="列表段落 字符"/>
    <w:link w:val="107"/>
    <w:qFormat/>
    <w:uiPriority w:val="0"/>
    <w:rPr>
      <w:rFonts w:ascii="Calibri" w:hAnsi="Calibri" w:eastAsia="宋体"/>
    </w:rPr>
  </w:style>
  <w:style w:type="paragraph" w:styleId="107">
    <w:name w:val="List Paragraph"/>
    <w:basedOn w:val="1"/>
    <w:link w:val="106"/>
    <w:qFormat/>
    <w:uiPriority w:val="0"/>
    <w:pPr>
      <w:ind w:firstLine="420" w:firstLineChars="200"/>
    </w:pPr>
    <w:rPr>
      <w:rFonts w:ascii="Calibri" w:cstheme="minorBidi"/>
      <w:kern w:val="2"/>
      <w:sz w:val="21"/>
      <w:szCs w:val="22"/>
    </w:rPr>
  </w:style>
  <w:style w:type="character" w:customStyle="1" w:styleId="108">
    <w:name w:val="m_text"/>
    <w:basedOn w:val="48"/>
    <w:qFormat/>
    <w:uiPriority w:val="0"/>
  </w:style>
  <w:style w:type="character" w:customStyle="1" w:styleId="109">
    <w:name w:val="页脚 Char Char"/>
    <w:qFormat/>
    <w:uiPriority w:val="0"/>
    <w:rPr>
      <w:kern w:val="2"/>
      <w:sz w:val="18"/>
      <w:szCs w:val="18"/>
    </w:rPr>
  </w:style>
  <w:style w:type="character" w:customStyle="1" w:styleId="110">
    <w:name w:val="Char Char Char Char Char Char Char Char Char Char Char Char Char Char"/>
    <w:basedOn w:val="111"/>
    <w:link w:val="112"/>
    <w:qFormat/>
    <w:uiPriority w:val="0"/>
    <w:rPr>
      <w:rFonts w:ascii="Tahoma" w:hAnsi="Tahoma" w:eastAsia="宋体" w:cs="Tahoma"/>
      <w:sz w:val="24"/>
      <w:szCs w:val="24"/>
      <w:shd w:val="clear" w:color="auto" w:fill="000080"/>
      <w:lang w:eastAsia="en-US" w:bidi="en-US"/>
    </w:rPr>
  </w:style>
  <w:style w:type="character" w:customStyle="1" w:styleId="111">
    <w:name w:val="文档结构图 Char1"/>
    <w:basedOn w:val="48"/>
    <w:qFormat/>
    <w:uiPriority w:val="0"/>
    <w:rPr>
      <w:rFonts w:ascii="宋体" w:hAnsi="Calibri" w:eastAsia="宋体"/>
      <w:sz w:val="18"/>
      <w:szCs w:val="18"/>
      <w:shd w:val="clear" w:color="auto" w:fill="000080"/>
      <w:lang w:eastAsia="en-US" w:bidi="en-US"/>
    </w:rPr>
  </w:style>
  <w:style w:type="paragraph" w:customStyle="1" w:styleId="112">
    <w:name w:val="Char Char Char Char Char Char Char Char Char Char Char Char Char"/>
    <w:basedOn w:val="15"/>
    <w:link w:val="110"/>
    <w:qFormat/>
    <w:uiPriority w:val="0"/>
    <w:rPr>
      <w:rFonts w:ascii="Tahoma" w:hAnsi="Tahoma" w:cs="Tahoma"/>
      <w:kern w:val="2"/>
      <w:sz w:val="24"/>
      <w:szCs w:val="24"/>
    </w:rPr>
  </w:style>
  <w:style w:type="character" w:customStyle="1" w:styleId="113">
    <w:name w:val="样式11 Char"/>
    <w:link w:val="114"/>
    <w:qFormat/>
    <w:uiPriority w:val="0"/>
    <w:rPr>
      <w:rFonts w:eastAsia="宋体"/>
      <w:b/>
      <w:bCs/>
      <w:sz w:val="32"/>
      <w:szCs w:val="32"/>
    </w:rPr>
  </w:style>
  <w:style w:type="paragraph" w:customStyle="1" w:styleId="114">
    <w:name w:val="样式11"/>
    <w:basedOn w:val="5"/>
    <w:link w:val="113"/>
    <w:qFormat/>
    <w:uiPriority w:val="0"/>
    <w:pPr>
      <w:spacing w:line="360" w:lineRule="auto"/>
    </w:pPr>
    <w:rPr>
      <w:rFonts w:asciiTheme="minorHAnsi" w:hAnsiTheme="minorHAnsi" w:cstheme="minorBidi"/>
    </w:rPr>
  </w:style>
  <w:style w:type="character" w:customStyle="1" w:styleId="115">
    <w:name w:val="Char Char17"/>
    <w:qFormat/>
    <w:uiPriority w:val="0"/>
    <w:rPr>
      <w:b/>
      <w:bCs/>
      <w:kern w:val="2"/>
      <w:lang w:bidi="ar-SA"/>
    </w:rPr>
  </w:style>
  <w:style w:type="character" w:customStyle="1" w:styleId="116">
    <w:name w:val="Char Char2"/>
    <w:qFormat/>
    <w:uiPriority w:val="0"/>
    <w:rPr>
      <w:rFonts w:ascii="宋体" w:hAnsi="Courier New" w:eastAsia="宋体"/>
      <w:kern w:val="2"/>
      <w:sz w:val="21"/>
      <w:lang w:val="en-US" w:eastAsia="zh-CN" w:bidi="ar-SA"/>
    </w:rPr>
  </w:style>
  <w:style w:type="character" w:customStyle="1" w:styleId="117">
    <w:name w:val="标题 3 Char Char"/>
    <w:qFormat/>
    <w:uiPriority w:val="0"/>
    <w:rPr>
      <w:rFonts w:eastAsia="宋体"/>
      <w:b/>
      <w:kern w:val="2"/>
      <w:lang w:val="en-US" w:eastAsia="zh-CN" w:bidi="ar-SA"/>
    </w:rPr>
  </w:style>
  <w:style w:type="character" w:customStyle="1" w:styleId="118">
    <w:name w:val="页码1"/>
    <w:qFormat/>
    <w:uiPriority w:val="0"/>
    <w:rPr>
      <w:rFonts w:cs="Times New Roman"/>
    </w:rPr>
  </w:style>
  <w:style w:type="character" w:customStyle="1" w:styleId="119">
    <w:name w:val="无间隔 字符"/>
    <w:link w:val="120"/>
    <w:qFormat/>
    <w:uiPriority w:val="0"/>
    <w:rPr>
      <w:sz w:val="22"/>
      <w:szCs w:val="24"/>
    </w:rPr>
  </w:style>
  <w:style w:type="paragraph" w:styleId="120">
    <w:name w:val="No Spacing"/>
    <w:link w:val="119"/>
    <w:qFormat/>
    <w:uiPriority w:val="0"/>
    <w:pPr>
      <w:spacing w:line="360" w:lineRule="auto"/>
      <w:jc w:val="both"/>
    </w:pPr>
    <w:rPr>
      <w:rFonts w:asciiTheme="minorHAnsi" w:hAnsiTheme="minorHAnsi" w:eastAsiaTheme="minorEastAsia" w:cstheme="minorBidi"/>
      <w:kern w:val="2"/>
      <w:sz w:val="22"/>
      <w:szCs w:val="24"/>
      <w:lang w:val="en-US" w:eastAsia="zh-CN" w:bidi="ar-SA"/>
    </w:rPr>
  </w:style>
  <w:style w:type="character" w:customStyle="1" w:styleId="121">
    <w:name w:val="15"/>
    <w:qFormat/>
    <w:uiPriority w:val="0"/>
    <w:rPr>
      <w:rFonts w:hint="default" w:ascii="Times New Roman" w:hAnsi="Times New Roman" w:cs="Times New Roman"/>
      <w:color w:val="0000FF"/>
      <w:u w:val="single"/>
    </w:rPr>
  </w:style>
  <w:style w:type="character" w:customStyle="1" w:styleId="122">
    <w:name w:val="文档正文 Char"/>
    <w:link w:val="123"/>
    <w:qFormat/>
    <w:locked/>
    <w:uiPriority w:val="99"/>
    <w:rPr>
      <w:rFonts w:ascii="长城仿宋"/>
      <w:sz w:val="24"/>
    </w:rPr>
  </w:style>
  <w:style w:type="paragraph" w:customStyle="1" w:styleId="123">
    <w:name w:val="文档正文"/>
    <w:basedOn w:val="1"/>
    <w:link w:val="122"/>
    <w:qFormat/>
    <w:uiPriority w:val="99"/>
    <w:pPr>
      <w:adjustRightInd w:val="0"/>
      <w:spacing w:line="480" w:lineRule="atLeast"/>
      <w:ind w:firstLine="567"/>
      <w:textAlignment w:val="baseline"/>
    </w:pPr>
    <w:rPr>
      <w:rFonts w:ascii="长城仿宋" w:hAnsiTheme="minorHAnsi" w:eastAsiaTheme="minorEastAsia" w:cstheme="minorBidi"/>
      <w:kern w:val="2"/>
      <w:sz w:val="24"/>
      <w:szCs w:val="22"/>
    </w:rPr>
  </w:style>
  <w:style w:type="character" w:customStyle="1" w:styleId="124">
    <w:name w:val="Char Char18"/>
    <w:qFormat/>
    <w:uiPriority w:val="0"/>
    <w:rPr>
      <w:kern w:val="2"/>
      <w:lang w:bidi="ar-SA"/>
    </w:rPr>
  </w:style>
  <w:style w:type="character" w:customStyle="1" w:styleId="125">
    <w:name w:val="apple-style-span"/>
    <w:basedOn w:val="48"/>
    <w:qFormat/>
    <w:uiPriority w:val="0"/>
  </w:style>
  <w:style w:type="character" w:customStyle="1" w:styleId="126">
    <w:name w:val="text1"/>
    <w:qFormat/>
    <w:uiPriority w:val="0"/>
    <w:rPr>
      <w:sz w:val="21"/>
      <w:szCs w:val="21"/>
    </w:rPr>
  </w:style>
  <w:style w:type="character" w:customStyle="1" w:styleId="127">
    <w:name w:val="font71"/>
    <w:qFormat/>
    <w:uiPriority w:val="0"/>
    <w:rPr>
      <w:rFonts w:hint="eastAsia" w:ascii="仿宋" w:eastAsia="仿宋"/>
      <w:b/>
      <w:bCs/>
      <w:color w:val="000000"/>
      <w:sz w:val="21"/>
      <w:szCs w:val="21"/>
      <w:u w:val="none"/>
    </w:rPr>
  </w:style>
  <w:style w:type="character" w:customStyle="1" w:styleId="128">
    <w:name w:val="样式14 Char"/>
    <w:link w:val="129"/>
    <w:qFormat/>
    <w:uiPriority w:val="0"/>
    <w:rPr>
      <w:rFonts w:ascii="宋体" w:hAnsi="宋体" w:eastAsia="宋体"/>
      <w:sz w:val="28"/>
      <w:szCs w:val="28"/>
    </w:rPr>
  </w:style>
  <w:style w:type="paragraph" w:customStyle="1" w:styleId="129">
    <w:name w:val="样式14"/>
    <w:basedOn w:val="1"/>
    <w:link w:val="128"/>
    <w:qFormat/>
    <w:uiPriority w:val="0"/>
    <w:pPr>
      <w:spacing w:line="360" w:lineRule="auto"/>
      <w:ind w:firstLine="560" w:firstLineChars="200"/>
    </w:pPr>
    <w:rPr>
      <w:rFonts w:hAnsi="宋体" w:cstheme="minorBidi"/>
      <w:kern w:val="2"/>
      <w:sz w:val="28"/>
      <w:szCs w:val="28"/>
    </w:rPr>
  </w:style>
  <w:style w:type="character" w:customStyle="1" w:styleId="130">
    <w:name w:val="正文文字首行缩进 Char"/>
    <w:qFormat/>
    <w:uiPriority w:val="0"/>
    <w:rPr>
      <w:kern w:val="2"/>
      <w:sz w:val="32"/>
    </w:rPr>
  </w:style>
  <w:style w:type="character" w:customStyle="1" w:styleId="131">
    <w:name w:val="正文首行缩进两字符 Char"/>
    <w:qFormat/>
    <w:uiPriority w:val="0"/>
    <w:rPr>
      <w:rFonts w:eastAsia="宋体"/>
      <w:kern w:val="2"/>
      <w:sz w:val="21"/>
      <w:szCs w:val="24"/>
      <w:lang w:val="en-US" w:eastAsia="zh-CN" w:bidi="ar-SA"/>
    </w:rPr>
  </w:style>
  <w:style w:type="character" w:customStyle="1" w:styleId="132">
    <w:name w:val="font91"/>
    <w:qFormat/>
    <w:uiPriority w:val="0"/>
    <w:rPr>
      <w:rFonts w:hint="eastAsia" w:ascii="宋体" w:hAnsi="宋体" w:eastAsia="宋体"/>
      <w:color w:val="333333"/>
      <w:sz w:val="18"/>
      <w:szCs w:val="18"/>
      <w:u w:val="none"/>
    </w:rPr>
  </w:style>
  <w:style w:type="character" w:customStyle="1" w:styleId="133">
    <w:name w:val="样式7 Char1"/>
    <w:link w:val="134"/>
    <w:qFormat/>
    <w:locked/>
    <w:uiPriority w:val="0"/>
    <w:rPr>
      <w:rFonts w:ascii="宋体" w:hAnsi="宋体" w:eastAsia="宋体"/>
      <w:b/>
      <w:bCs/>
      <w:color w:val="000000"/>
      <w:sz w:val="28"/>
      <w:szCs w:val="28"/>
    </w:rPr>
  </w:style>
  <w:style w:type="paragraph" w:customStyle="1" w:styleId="134">
    <w:name w:val="样式7"/>
    <w:basedOn w:val="1"/>
    <w:link w:val="133"/>
    <w:qFormat/>
    <w:uiPriority w:val="0"/>
    <w:pPr>
      <w:widowControl/>
      <w:spacing w:line="360" w:lineRule="auto"/>
      <w:jc w:val="left"/>
      <w:outlineLvl w:val="1"/>
    </w:pPr>
    <w:rPr>
      <w:rFonts w:hAnsi="宋体" w:cstheme="minorBidi"/>
      <w:b/>
      <w:bCs/>
      <w:color w:val="000000"/>
      <w:kern w:val="2"/>
      <w:sz w:val="28"/>
      <w:szCs w:val="28"/>
    </w:rPr>
  </w:style>
  <w:style w:type="character" w:customStyle="1" w:styleId="135">
    <w:name w:val="书籍标题1"/>
    <w:qFormat/>
    <w:uiPriority w:val="0"/>
    <w:rPr>
      <w:b/>
      <w:bCs/>
      <w:smallCaps/>
      <w:spacing w:val="5"/>
    </w:rPr>
  </w:style>
  <w:style w:type="character" w:customStyle="1" w:styleId="136">
    <w:name w:val="（符号）邀请函中一、"/>
    <w:qFormat/>
    <w:uiPriority w:val="0"/>
    <w:rPr>
      <w:rFonts w:ascii="黑体" w:hAnsi="黑体" w:eastAsia="黑体"/>
      <w:b/>
      <w:bCs/>
      <w:sz w:val="24"/>
    </w:rPr>
  </w:style>
  <w:style w:type="character" w:customStyle="1" w:styleId="137">
    <w:name w:val="catalog-item-index11"/>
    <w:qFormat/>
    <w:uiPriority w:val="0"/>
    <w:rPr>
      <w:color w:val="B2B2B2"/>
      <w:sz w:val="24"/>
      <w:szCs w:val="24"/>
    </w:rPr>
  </w:style>
  <w:style w:type="character" w:customStyle="1" w:styleId="138">
    <w:name w:val="标题 3 字符"/>
    <w:link w:val="5"/>
    <w:qFormat/>
    <w:uiPriority w:val="0"/>
    <w:rPr>
      <w:rFonts w:ascii="Calibri" w:hAnsi="Calibri" w:eastAsia="宋体" w:cs="Times New Roman"/>
      <w:b/>
      <w:bCs/>
      <w:sz w:val="32"/>
      <w:szCs w:val="32"/>
    </w:rPr>
  </w:style>
  <w:style w:type="character" w:customStyle="1" w:styleId="139">
    <w:name w:val="head 1.1 Char"/>
    <w:basedOn w:val="48"/>
    <w:link w:val="140"/>
    <w:qFormat/>
    <w:locked/>
    <w:uiPriority w:val="0"/>
    <w:rPr>
      <w:rFonts w:ascii="宋体" w:hAnsi="宋体"/>
      <w:bCs/>
      <w:szCs w:val="24"/>
    </w:rPr>
  </w:style>
  <w:style w:type="paragraph" w:customStyle="1" w:styleId="140">
    <w:name w:val="head 1.1"/>
    <w:basedOn w:val="141"/>
    <w:link w:val="139"/>
    <w:qFormat/>
    <w:uiPriority w:val="0"/>
    <w:pPr>
      <w:numPr>
        <w:ilvl w:val="1"/>
        <w:numId w:val="4"/>
      </w:numPr>
      <w:spacing w:before="260" w:after="260"/>
      <w:ind w:firstLine="0" w:firstLineChars="0"/>
    </w:pPr>
    <w:rPr>
      <w:rFonts w:ascii="宋体" w:hAnsi="宋体" w:eastAsiaTheme="minorEastAsia" w:cstheme="minorBidi"/>
      <w:bCs/>
      <w:szCs w:val="24"/>
    </w:rPr>
  </w:style>
  <w:style w:type="paragraph" w:customStyle="1" w:styleId="141">
    <w:name w:val="List Paragraph1"/>
    <w:basedOn w:val="1"/>
    <w:qFormat/>
    <w:uiPriority w:val="0"/>
    <w:pPr>
      <w:ind w:firstLine="420" w:firstLineChars="200"/>
    </w:pPr>
    <w:rPr>
      <w:rFonts w:ascii="Calibri"/>
      <w:kern w:val="2"/>
      <w:sz w:val="21"/>
      <w:szCs w:val="22"/>
    </w:rPr>
  </w:style>
  <w:style w:type="character" w:customStyle="1" w:styleId="142">
    <w:name w:val="正文首行缩进两字符 Char Char"/>
    <w:qFormat/>
    <w:uiPriority w:val="0"/>
    <w:rPr>
      <w:rFonts w:eastAsia="宋体"/>
      <w:kern w:val="2"/>
      <w:sz w:val="21"/>
      <w:szCs w:val="24"/>
      <w:lang w:val="en-US" w:eastAsia="zh-CN" w:bidi="ar-SA"/>
    </w:rPr>
  </w:style>
  <w:style w:type="character" w:customStyle="1" w:styleId="143">
    <w:name w:val="v15"/>
    <w:basedOn w:val="48"/>
    <w:qFormat/>
    <w:uiPriority w:val="0"/>
  </w:style>
  <w:style w:type="character" w:customStyle="1" w:styleId="144">
    <w:name w:val="param-value1"/>
    <w:qFormat/>
    <w:uiPriority w:val="0"/>
    <w:rPr>
      <w:color w:val="333333"/>
    </w:rPr>
  </w:style>
  <w:style w:type="character" w:customStyle="1" w:styleId="145">
    <w:name w:val="页眉 Char1"/>
    <w:semiHidden/>
    <w:qFormat/>
    <w:uiPriority w:val="0"/>
    <w:rPr>
      <w:rFonts w:ascii="Times New Roman" w:hAnsi="Times New Roman" w:eastAsia="宋体" w:cs="Times New Roman"/>
      <w:sz w:val="18"/>
      <w:szCs w:val="18"/>
    </w:rPr>
  </w:style>
  <w:style w:type="character" w:customStyle="1" w:styleId="146">
    <w:name w:val="apple-converted-space"/>
    <w:basedOn w:val="48"/>
    <w:qFormat/>
    <w:uiPriority w:val="0"/>
  </w:style>
  <w:style w:type="character" w:customStyle="1" w:styleId="147">
    <w:name w:val="批注文字 Char1"/>
    <w:qFormat/>
    <w:uiPriority w:val="99"/>
    <w:rPr>
      <w:rFonts w:ascii="Times New Roman" w:hAnsi="Times New Roman" w:eastAsia="宋体" w:cs="Times New Roman"/>
      <w:szCs w:val="24"/>
    </w:rPr>
  </w:style>
  <w:style w:type="character" w:customStyle="1" w:styleId="148">
    <w:name w:val="search_content1"/>
    <w:qFormat/>
    <w:uiPriority w:val="0"/>
    <w:rPr>
      <w:sz w:val="20"/>
      <w:szCs w:val="20"/>
    </w:rPr>
  </w:style>
  <w:style w:type="character" w:customStyle="1" w:styleId="149">
    <w:name w:val="正文文本缩进 Char1"/>
    <w:qFormat/>
    <w:uiPriority w:val="0"/>
    <w:rPr>
      <w:kern w:val="2"/>
      <w:sz w:val="21"/>
      <w:szCs w:val="24"/>
    </w:rPr>
  </w:style>
  <w:style w:type="character" w:customStyle="1" w:styleId="150">
    <w:name w:val="maincss1"/>
    <w:qFormat/>
    <w:uiPriority w:val="0"/>
    <w:rPr>
      <w:rFonts w:hint="default" w:ascii="Arial" w:hAnsi="Arial" w:cs="Arial"/>
      <w:color w:val="363636"/>
      <w:sz w:val="12"/>
      <w:szCs w:val="12"/>
      <w:u w:val="none"/>
    </w:rPr>
  </w:style>
  <w:style w:type="character" w:customStyle="1" w:styleId="151">
    <w:name w:val="gray s"/>
    <w:basedOn w:val="48"/>
    <w:qFormat/>
    <w:uiPriority w:val="0"/>
  </w:style>
  <w:style w:type="character" w:customStyle="1" w:styleId="152">
    <w:name w:val="font41"/>
    <w:basedOn w:val="48"/>
    <w:qFormat/>
    <w:uiPriority w:val="0"/>
    <w:rPr>
      <w:rFonts w:hint="eastAsia" w:ascii="宋体" w:hAnsi="宋体" w:eastAsia="宋体"/>
      <w:color w:val="000000"/>
      <w:sz w:val="22"/>
      <w:szCs w:val="22"/>
      <w:u w:val="none"/>
    </w:rPr>
  </w:style>
  <w:style w:type="character" w:customStyle="1" w:styleId="153">
    <w:name w:val="font31"/>
    <w:qFormat/>
    <w:uiPriority w:val="0"/>
    <w:rPr>
      <w:rFonts w:hint="default" w:ascii="Calibri" w:hAnsi="Calibri" w:cs="Calibri"/>
      <w:color w:val="000000"/>
      <w:sz w:val="21"/>
      <w:szCs w:val="21"/>
      <w:u w:val="none"/>
    </w:rPr>
  </w:style>
  <w:style w:type="character" w:customStyle="1" w:styleId="154">
    <w:name w:val="Char Char"/>
    <w:qFormat/>
    <w:uiPriority w:val="0"/>
    <w:rPr>
      <w:rFonts w:eastAsia="宋体"/>
      <w:b/>
      <w:kern w:val="2"/>
      <w:sz w:val="32"/>
      <w:lang w:val="en-US" w:eastAsia="zh-CN" w:bidi="ar-SA"/>
    </w:rPr>
  </w:style>
  <w:style w:type="character" w:customStyle="1" w:styleId="155">
    <w:name w:val="text_edit1"/>
    <w:qFormat/>
    <w:uiPriority w:val="0"/>
    <w:rPr>
      <w:color w:val="3366CC"/>
      <w:sz w:val="18"/>
      <w:szCs w:val="18"/>
    </w:rPr>
  </w:style>
  <w:style w:type="character" w:customStyle="1" w:styleId="156">
    <w:name w:val="param-name1"/>
    <w:qFormat/>
    <w:uiPriority w:val="0"/>
    <w:rPr>
      <w:b/>
    </w:rPr>
  </w:style>
  <w:style w:type="character" w:customStyle="1" w:styleId="157">
    <w:name w:val="表格 Char"/>
    <w:link w:val="158"/>
    <w:qFormat/>
    <w:uiPriority w:val="0"/>
    <w:rPr>
      <w:rFonts w:eastAsia="宋体"/>
      <w:sz w:val="24"/>
      <w:szCs w:val="24"/>
    </w:rPr>
  </w:style>
  <w:style w:type="paragraph" w:customStyle="1" w:styleId="158">
    <w:name w:val="表格"/>
    <w:basedOn w:val="1"/>
    <w:link w:val="157"/>
    <w:qFormat/>
    <w:uiPriority w:val="0"/>
    <w:pPr>
      <w:spacing w:line="400" w:lineRule="exact"/>
    </w:pPr>
    <w:rPr>
      <w:rFonts w:asciiTheme="minorHAnsi" w:hAnsiTheme="minorHAnsi" w:cstheme="minorBidi"/>
      <w:kern w:val="2"/>
      <w:sz w:val="24"/>
      <w:szCs w:val="24"/>
    </w:rPr>
  </w:style>
  <w:style w:type="character" w:customStyle="1" w:styleId="159">
    <w:name w:val="tw4winTerm"/>
    <w:qFormat/>
    <w:uiPriority w:val="0"/>
    <w:rPr>
      <w:color w:val="0000FF"/>
    </w:rPr>
  </w:style>
  <w:style w:type="character" w:customStyle="1" w:styleId="160">
    <w:name w:val="批注主题 Char1"/>
    <w:semiHidden/>
    <w:qFormat/>
    <w:uiPriority w:val="0"/>
    <w:rPr>
      <w:rFonts w:ascii="Times New Roman" w:hAnsi="Times New Roman" w:eastAsia="宋体" w:cs="Times New Roman"/>
      <w:b/>
      <w:bCs/>
      <w:szCs w:val="24"/>
    </w:rPr>
  </w:style>
  <w:style w:type="character" w:customStyle="1" w:styleId="161">
    <w:name w:val="font51"/>
    <w:qFormat/>
    <w:uiPriority w:val="0"/>
    <w:rPr>
      <w:rFonts w:hint="default" w:ascii="Wingdings" w:hAnsi="Wingdings"/>
      <w:color w:val="000000"/>
      <w:sz w:val="21"/>
      <w:szCs w:val="21"/>
      <w:u w:val="none"/>
    </w:rPr>
  </w:style>
  <w:style w:type="character" w:customStyle="1" w:styleId="162">
    <w:name w:val="text11"/>
    <w:qFormat/>
    <w:uiPriority w:val="0"/>
    <w:rPr>
      <w:rFonts w:hint="default" w:ascii="Verdana" w:hAnsi="Verdana"/>
      <w:color w:val="4E4E4E"/>
      <w:sz w:val="18"/>
    </w:rPr>
  </w:style>
  <w:style w:type="character" w:customStyle="1" w:styleId="163">
    <w:name w:val="head 1.1.1 Char"/>
    <w:basedOn w:val="48"/>
    <w:link w:val="164"/>
    <w:qFormat/>
    <w:locked/>
    <w:uiPriority w:val="0"/>
    <w:rPr>
      <w:rFonts w:ascii="Times New Roman" w:hAnsi="Times New Roman"/>
      <w:bCs/>
      <w:szCs w:val="24"/>
    </w:rPr>
  </w:style>
  <w:style w:type="paragraph" w:customStyle="1" w:styleId="164">
    <w:name w:val="head 1.1.1"/>
    <w:basedOn w:val="141"/>
    <w:link w:val="163"/>
    <w:qFormat/>
    <w:uiPriority w:val="0"/>
    <w:pPr>
      <w:numPr>
        <w:ilvl w:val="2"/>
        <w:numId w:val="4"/>
      </w:numPr>
      <w:ind w:firstLine="0" w:firstLineChars="0"/>
    </w:pPr>
    <w:rPr>
      <w:rFonts w:ascii="Times New Roman" w:hAnsi="Times New Roman" w:eastAsiaTheme="minorEastAsia" w:cstheme="minorBidi"/>
      <w:bCs/>
      <w:szCs w:val="24"/>
    </w:rPr>
  </w:style>
  <w:style w:type="character" w:customStyle="1" w:styleId="165">
    <w:name w:val="text91"/>
    <w:qFormat/>
    <w:uiPriority w:val="0"/>
    <w:rPr>
      <w:sz w:val="18"/>
      <w:u w:val="none"/>
    </w:rPr>
  </w:style>
  <w:style w:type="character" w:customStyle="1" w:styleId="166">
    <w:name w:val="正文缩进 字符"/>
    <w:link w:val="8"/>
    <w:qFormat/>
    <w:uiPriority w:val="0"/>
    <w:rPr>
      <w:rFonts w:eastAsia="宋体"/>
      <w:szCs w:val="24"/>
    </w:rPr>
  </w:style>
  <w:style w:type="character" w:customStyle="1" w:styleId="167">
    <w:name w:val="font01"/>
    <w:qFormat/>
    <w:uiPriority w:val="0"/>
    <w:rPr>
      <w:rFonts w:hint="eastAsia" w:ascii="仿宋" w:eastAsia="仿宋"/>
      <w:color w:val="000000"/>
      <w:sz w:val="24"/>
      <w:szCs w:val="24"/>
      <w:u w:val="none"/>
    </w:rPr>
  </w:style>
  <w:style w:type="character" w:customStyle="1" w:styleId="168">
    <w:name w:val="标题 3 Char Char Char"/>
    <w:qFormat/>
    <w:uiPriority w:val="0"/>
    <w:rPr>
      <w:rFonts w:eastAsia="宋体"/>
      <w:b/>
      <w:kern w:val="2"/>
      <w:sz w:val="32"/>
      <w:lang w:val="en-US" w:eastAsia="zh-CN" w:bidi="ar-SA"/>
    </w:rPr>
  </w:style>
  <w:style w:type="character" w:customStyle="1" w:styleId="169">
    <w:name w:val="正文文本缩进 3 字符"/>
    <w:basedOn w:val="48"/>
    <w:link w:val="35"/>
    <w:qFormat/>
    <w:uiPriority w:val="0"/>
    <w:rPr>
      <w:rFonts w:eastAsia="宋体"/>
      <w:sz w:val="16"/>
      <w:szCs w:val="16"/>
    </w:rPr>
  </w:style>
  <w:style w:type="character" w:customStyle="1" w:styleId="170">
    <w:name w:val="批注文字 Char2"/>
    <w:basedOn w:val="48"/>
    <w:qFormat/>
    <w:uiPriority w:val="99"/>
    <w:rPr>
      <w:rFonts w:ascii="宋体" w:hAnsi="Calibri" w:eastAsia="宋体" w:cs="Times New Roman"/>
      <w:sz w:val="34"/>
    </w:rPr>
  </w:style>
  <w:style w:type="character" w:customStyle="1" w:styleId="171">
    <w:name w:val="批注主题 字符"/>
    <w:basedOn w:val="170"/>
    <w:link w:val="43"/>
    <w:qFormat/>
    <w:uiPriority w:val="0"/>
    <w:rPr>
      <w:rFonts w:ascii="宋体" w:hAnsi="Calibri" w:eastAsia="宋体" w:cs="Times New Roman"/>
      <w:b/>
      <w:bCs/>
      <w:sz w:val="20"/>
      <w:szCs w:val="20"/>
    </w:rPr>
  </w:style>
  <w:style w:type="character" w:customStyle="1" w:styleId="172">
    <w:name w:val="日期 字符"/>
    <w:basedOn w:val="48"/>
    <w:link w:val="26"/>
    <w:qFormat/>
    <w:uiPriority w:val="0"/>
    <w:rPr>
      <w:rFonts w:eastAsia="黑体"/>
      <w:sz w:val="36"/>
      <w:szCs w:val="20"/>
    </w:rPr>
  </w:style>
  <w:style w:type="character" w:customStyle="1" w:styleId="173">
    <w:name w:val="文档结构图 字符"/>
    <w:basedOn w:val="48"/>
    <w:link w:val="15"/>
    <w:qFormat/>
    <w:uiPriority w:val="0"/>
    <w:rPr>
      <w:rFonts w:ascii="宋体" w:hAnsi="Calibri" w:eastAsia="宋体"/>
      <w:kern w:val="0"/>
      <w:sz w:val="18"/>
      <w:szCs w:val="18"/>
      <w:shd w:val="clear" w:color="auto" w:fill="000080"/>
      <w:lang w:eastAsia="en-US" w:bidi="en-US"/>
    </w:rPr>
  </w:style>
  <w:style w:type="character" w:customStyle="1" w:styleId="174">
    <w:name w:val="正文文本缩进 2 字符"/>
    <w:basedOn w:val="48"/>
    <w:link w:val="27"/>
    <w:qFormat/>
    <w:uiPriority w:val="0"/>
    <w:rPr>
      <w:rFonts w:eastAsia="宋体"/>
      <w:szCs w:val="24"/>
    </w:rPr>
  </w:style>
  <w:style w:type="character" w:customStyle="1" w:styleId="175">
    <w:name w:val="结束语 字符"/>
    <w:basedOn w:val="48"/>
    <w:link w:val="19"/>
    <w:qFormat/>
    <w:uiPriority w:val="0"/>
    <w:rPr>
      <w:rFonts w:eastAsia="宋体"/>
      <w:szCs w:val="24"/>
    </w:rPr>
  </w:style>
  <w:style w:type="character" w:customStyle="1" w:styleId="176">
    <w:name w:val="正文文本 Char1"/>
    <w:basedOn w:val="48"/>
    <w:semiHidden/>
    <w:qFormat/>
    <w:uiPriority w:val="99"/>
    <w:rPr>
      <w:rFonts w:ascii="宋体" w:hAnsi="Calibri" w:eastAsia="宋体" w:cs="Times New Roman"/>
      <w:sz w:val="34"/>
    </w:rPr>
  </w:style>
  <w:style w:type="character" w:customStyle="1" w:styleId="177">
    <w:name w:val="正文文本首行缩进 字符"/>
    <w:basedOn w:val="176"/>
    <w:link w:val="44"/>
    <w:qFormat/>
    <w:uiPriority w:val="0"/>
    <w:rPr>
      <w:rFonts w:ascii="宋体" w:hAnsi="Calibri" w:eastAsia="宋体" w:cs="Times New Roman"/>
      <w:sz w:val="34"/>
      <w:szCs w:val="20"/>
    </w:rPr>
  </w:style>
  <w:style w:type="character" w:customStyle="1" w:styleId="178">
    <w:name w:val="称呼 字符"/>
    <w:basedOn w:val="48"/>
    <w:link w:val="17"/>
    <w:qFormat/>
    <w:uiPriority w:val="0"/>
    <w:rPr>
      <w:rFonts w:eastAsia="宋体"/>
      <w:szCs w:val="24"/>
    </w:rPr>
  </w:style>
  <w:style w:type="character" w:customStyle="1" w:styleId="179">
    <w:name w:val="HTML 预设格式 字符"/>
    <w:basedOn w:val="48"/>
    <w:link w:val="39"/>
    <w:qFormat/>
    <w:uiPriority w:val="0"/>
    <w:rPr>
      <w:rFonts w:ascii="Arial" w:hAnsi="Arial" w:eastAsia="宋体" w:cs="Arial"/>
      <w:kern w:val="0"/>
      <w:sz w:val="24"/>
      <w:szCs w:val="24"/>
    </w:rPr>
  </w:style>
  <w:style w:type="character" w:customStyle="1" w:styleId="180">
    <w:name w:val="正文文本 2 字符"/>
    <w:basedOn w:val="48"/>
    <w:link w:val="38"/>
    <w:qFormat/>
    <w:uiPriority w:val="0"/>
    <w:rPr>
      <w:rFonts w:eastAsia="宋体"/>
      <w:szCs w:val="24"/>
    </w:rPr>
  </w:style>
  <w:style w:type="character" w:customStyle="1" w:styleId="181">
    <w:name w:val="批注框文本 字符"/>
    <w:basedOn w:val="48"/>
    <w:link w:val="28"/>
    <w:qFormat/>
    <w:uiPriority w:val="99"/>
    <w:rPr>
      <w:rFonts w:ascii="宋体"/>
      <w:kern w:val="0"/>
      <w:sz w:val="18"/>
      <w:szCs w:val="18"/>
    </w:rPr>
  </w:style>
  <w:style w:type="character" w:customStyle="1" w:styleId="182">
    <w:name w:val="正文文本 3 字符"/>
    <w:basedOn w:val="48"/>
    <w:link w:val="18"/>
    <w:qFormat/>
    <w:uiPriority w:val="0"/>
    <w:rPr>
      <w:rFonts w:eastAsia="宋体"/>
      <w:b/>
      <w:bCs/>
      <w:sz w:val="24"/>
      <w:szCs w:val="24"/>
    </w:rPr>
  </w:style>
  <w:style w:type="character" w:customStyle="1" w:styleId="183">
    <w:name w:val="纯文本 字符"/>
    <w:basedOn w:val="48"/>
    <w:link w:val="24"/>
    <w:qFormat/>
    <w:uiPriority w:val="0"/>
    <w:rPr>
      <w:rFonts w:ascii="宋体" w:hAnsi="Courier New" w:eastAsia="宋体" w:cs="Courier New"/>
      <w:szCs w:val="21"/>
    </w:rPr>
  </w:style>
  <w:style w:type="paragraph" w:customStyle="1" w:styleId="184">
    <w:name w:val="p15"/>
    <w:basedOn w:val="1"/>
    <w:qFormat/>
    <w:uiPriority w:val="0"/>
    <w:pPr>
      <w:widowControl/>
      <w:ind w:firstLine="420"/>
    </w:pPr>
    <w:rPr>
      <w:szCs w:val="21"/>
    </w:rPr>
  </w:style>
  <w:style w:type="paragraph" w:customStyle="1" w:styleId="185">
    <w:name w:val="纯文本1"/>
    <w:basedOn w:val="1"/>
    <w:qFormat/>
    <w:uiPriority w:val="0"/>
    <w:pPr>
      <w:adjustRightInd w:val="0"/>
      <w:textAlignment w:val="baseline"/>
    </w:pPr>
    <w:rPr>
      <w:rFonts w:hAnsi="Courier New"/>
    </w:rPr>
  </w:style>
  <w:style w:type="paragraph" w:customStyle="1" w:styleId="186">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sz w:val="20"/>
    </w:rPr>
  </w:style>
  <w:style w:type="paragraph" w:customStyle="1" w:styleId="187">
    <w:name w:val="font13"/>
    <w:basedOn w:val="1"/>
    <w:qFormat/>
    <w:uiPriority w:val="0"/>
    <w:pPr>
      <w:widowControl/>
      <w:spacing w:before="100" w:beforeAutospacing="1" w:after="100" w:afterAutospacing="1"/>
      <w:jc w:val="left"/>
    </w:pPr>
    <w:rPr>
      <w:rFonts w:hAnsi="宋体" w:cs="宋体"/>
      <w:b/>
      <w:bCs/>
      <w:sz w:val="24"/>
    </w:rPr>
  </w:style>
  <w:style w:type="paragraph" w:customStyle="1" w:styleId="188">
    <w:name w:val="et90"/>
    <w:basedOn w:val="1"/>
    <w:qFormat/>
    <w:uiPriority w:val="0"/>
    <w:pPr>
      <w:widowControl/>
      <w:spacing w:before="100" w:beforeAutospacing="1" w:after="100" w:afterAutospacing="1"/>
      <w:jc w:val="left"/>
      <w:textAlignment w:val="center"/>
    </w:pPr>
    <w:rPr>
      <w:rFonts w:hAnsi="宋体" w:cs="宋体"/>
      <w:color w:val="000000"/>
      <w:sz w:val="22"/>
      <w:szCs w:val="22"/>
    </w:rPr>
  </w:style>
  <w:style w:type="paragraph" w:customStyle="1" w:styleId="189">
    <w:name w:val="xl180"/>
    <w:basedOn w:val="1"/>
    <w:qFormat/>
    <w:uiPriority w:val="0"/>
    <w:pPr>
      <w:widowControl/>
      <w:pBdr>
        <w:bottom w:val="single" w:color="auto" w:sz="4" w:space="0"/>
      </w:pBdr>
      <w:spacing w:before="100" w:beforeAutospacing="1" w:after="100" w:afterAutospacing="1"/>
      <w:jc w:val="left"/>
    </w:pPr>
    <w:rPr>
      <w:rFonts w:hAnsi="宋体" w:cs="宋体"/>
      <w:b/>
      <w:bCs/>
      <w:color w:val="0000FF"/>
      <w:sz w:val="20"/>
    </w:rPr>
  </w:style>
  <w:style w:type="paragraph" w:customStyle="1" w:styleId="190">
    <w:name w:val="Char Char Char1 Char Char Char Char"/>
    <w:basedOn w:val="1"/>
    <w:qFormat/>
    <w:uiPriority w:val="0"/>
    <w:pPr>
      <w:spacing w:line="300" w:lineRule="auto"/>
    </w:pPr>
    <w:rPr>
      <w:rFonts w:ascii="Tahoma" w:hAnsi="Tahoma"/>
      <w:sz w:val="24"/>
    </w:rPr>
  </w:style>
  <w:style w:type="paragraph" w:customStyle="1" w:styleId="191">
    <w:name w:val="font7"/>
    <w:basedOn w:val="1"/>
    <w:qFormat/>
    <w:uiPriority w:val="0"/>
    <w:pPr>
      <w:widowControl/>
      <w:spacing w:before="100" w:beforeAutospacing="1" w:after="100" w:afterAutospacing="1"/>
      <w:jc w:val="left"/>
    </w:pPr>
    <w:rPr>
      <w:rFonts w:hAnsi="宋体" w:cs="宋体"/>
      <w:b/>
      <w:bCs/>
      <w:sz w:val="20"/>
    </w:rPr>
  </w:style>
  <w:style w:type="paragraph" w:customStyle="1" w:styleId="192">
    <w:name w:val="xl8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hAnsi="宋体" w:cs="宋体"/>
      <w:sz w:val="20"/>
    </w:rPr>
  </w:style>
  <w:style w:type="paragraph" w:customStyle="1" w:styleId="193">
    <w:name w:val="xl16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hAnsi="宋体" w:cs="宋体"/>
      <w:color w:val="FF0000"/>
      <w:sz w:val="20"/>
    </w:rPr>
  </w:style>
  <w:style w:type="paragraph" w:customStyle="1" w:styleId="194">
    <w:name w:val="TOC 标题1"/>
    <w:basedOn w:val="3"/>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95">
    <w:name w:val="font4"/>
    <w:basedOn w:val="1"/>
    <w:qFormat/>
    <w:uiPriority w:val="0"/>
    <w:pPr>
      <w:widowControl/>
      <w:spacing w:before="100" w:beforeAutospacing="1" w:after="100" w:afterAutospacing="1"/>
      <w:jc w:val="left"/>
    </w:pPr>
    <w:rPr>
      <w:rFonts w:ascii="仿宋" w:hAnsi="宋体" w:eastAsia="仿宋" w:cs="宋体"/>
      <w:color w:val="000000"/>
      <w:sz w:val="21"/>
      <w:szCs w:val="21"/>
    </w:rPr>
  </w:style>
  <w:style w:type="paragraph" w:customStyle="1" w:styleId="196">
    <w:name w:val="xl177"/>
    <w:basedOn w:val="1"/>
    <w:qFormat/>
    <w:uiPriority w:val="0"/>
    <w:pPr>
      <w:widowControl/>
      <w:pBdr>
        <w:top w:val="single" w:color="auto" w:sz="4" w:space="0"/>
        <w:left w:val="single" w:color="auto" w:sz="4" w:space="0"/>
        <w:bottom w:val="single" w:color="auto" w:sz="4" w:space="0"/>
        <w:right w:val="single" w:color="auto" w:sz="4" w:space="0"/>
      </w:pBdr>
      <w:shd w:val="clear" w:color="auto" w:fill="FFFF99"/>
      <w:spacing w:before="100" w:beforeAutospacing="1" w:after="100" w:afterAutospacing="1"/>
      <w:jc w:val="left"/>
    </w:pPr>
    <w:rPr>
      <w:rFonts w:hAnsi="宋体" w:cs="宋体"/>
      <w:b/>
      <w:bCs/>
      <w:color w:val="FF0000"/>
      <w:sz w:val="20"/>
    </w:rPr>
  </w:style>
  <w:style w:type="paragraph" w:customStyle="1" w:styleId="197">
    <w:name w:val="et4"/>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198">
    <w:name w:val="xl169"/>
    <w:basedOn w:val="1"/>
    <w:qFormat/>
    <w:uiPriority w:val="0"/>
    <w:pPr>
      <w:widowControl/>
      <w:pBdr>
        <w:bottom w:val="single" w:color="auto" w:sz="4" w:space="0"/>
      </w:pBdr>
      <w:spacing w:before="100" w:beforeAutospacing="1" w:after="100" w:afterAutospacing="1"/>
      <w:jc w:val="left"/>
    </w:pPr>
    <w:rPr>
      <w:rFonts w:hAnsi="宋体" w:cs="宋体"/>
      <w:color w:val="FF0000"/>
      <w:sz w:val="20"/>
    </w:rPr>
  </w:style>
  <w:style w:type="paragraph" w:customStyle="1" w:styleId="199">
    <w:name w:val="xl14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hAnsi="宋体" w:cs="宋体"/>
      <w:color w:val="C0C0C0"/>
      <w:sz w:val="20"/>
    </w:rPr>
  </w:style>
  <w:style w:type="paragraph" w:customStyle="1" w:styleId="200">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color w:val="C0C0C0"/>
      <w:sz w:val="20"/>
    </w:rPr>
  </w:style>
  <w:style w:type="paragraph" w:customStyle="1" w:styleId="201">
    <w:name w:val="et18"/>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02">
    <w:name w:val="无间隔1"/>
    <w:qFormat/>
    <w:uiPriority w:val="0"/>
    <w:pPr>
      <w:widowControl w:val="0"/>
      <w:jc w:val="both"/>
    </w:pPr>
    <w:rPr>
      <w:rFonts w:ascii="Calibri" w:hAnsi="Calibri" w:eastAsia="宋体" w:cs="Times New Roman"/>
      <w:kern w:val="2"/>
      <w:sz w:val="21"/>
      <w:lang w:val="en-US" w:eastAsia="zh-CN" w:bidi="ar-SA"/>
    </w:rPr>
  </w:style>
  <w:style w:type="paragraph" w:customStyle="1" w:styleId="203">
    <w:name w:val="正文 New New New New"/>
    <w:qFormat/>
    <w:uiPriority w:val="0"/>
    <w:pPr>
      <w:widowControl w:val="0"/>
      <w:jc w:val="both"/>
    </w:pPr>
    <w:rPr>
      <w:rFonts w:ascii="Calibri" w:hAnsi="Calibri" w:eastAsia="宋体" w:cs="Times New Roman"/>
      <w:kern w:val="2"/>
      <w:sz w:val="21"/>
      <w:lang w:val="en-US" w:eastAsia="zh-CN" w:bidi="ar-SA"/>
    </w:rPr>
  </w:style>
  <w:style w:type="paragraph" w:customStyle="1" w:styleId="204">
    <w:name w:val="et12"/>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05">
    <w:name w:val="表"/>
    <w:basedOn w:val="1"/>
    <w:next w:val="1"/>
    <w:qFormat/>
    <w:uiPriority w:val="0"/>
    <w:pPr>
      <w:spacing w:line="360" w:lineRule="auto"/>
    </w:pPr>
    <w:rPr>
      <w:sz w:val="24"/>
      <w:szCs w:val="21"/>
    </w:rPr>
  </w:style>
  <w:style w:type="paragraph" w:customStyle="1" w:styleId="206">
    <w:name w:val="et96"/>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07">
    <w:name w:val="et26"/>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08">
    <w:name w:val="列出段落1"/>
    <w:basedOn w:val="1"/>
    <w:qFormat/>
    <w:uiPriority w:val="99"/>
    <w:pPr>
      <w:ind w:firstLine="420" w:firstLineChars="200"/>
    </w:pPr>
    <w:rPr>
      <w:rFonts w:ascii="Calibri"/>
      <w:szCs w:val="22"/>
    </w:rPr>
  </w:style>
  <w:style w:type="paragraph" w:customStyle="1" w:styleId="209">
    <w:name w:val="xl1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color w:val="FF0000"/>
      <w:sz w:val="20"/>
    </w:rPr>
  </w:style>
  <w:style w:type="paragraph" w:customStyle="1" w:styleId="210">
    <w:name w:val="文章正文"/>
    <w:basedOn w:val="1"/>
    <w:qFormat/>
    <w:uiPriority w:val="0"/>
    <w:pPr>
      <w:ind w:firstLine="560" w:firstLineChars="200"/>
    </w:pPr>
    <w:rPr>
      <w:rFonts w:ascii="仿宋_GB2312" w:hAnsi="宋体" w:eastAsia="仿宋_GB2312"/>
      <w:color w:val="000000"/>
      <w:sz w:val="28"/>
    </w:rPr>
  </w:style>
  <w:style w:type="paragraph" w:customStyle="1" w:styleId="211">
    <w:name w:val="et8"/>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12">
    <w:name w:val="表 靠左"/>
    <w:basedOn w:val="205"/>
    <w:next w:val="205"/>
    <w:qFormat/>
    <w:uiPriority w:val="0"/>
    <w:pPr>
      <w:spacing w:line="240" w:lineRule="auto"/>
      <w:jc w:val="left"/>
    </w:pPr>
  </w:style>
  <w:style w:type="paragraph" w:customStyle="1" w:styleId="213">
    <w:name w:val="et33"/>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14">
    <w:name w:val="font11"/>
    <w:basedOn w:val="1"/>
    <w:qFormat/>
    <w:uiPriority w:val="0"/>
    <w:pPr>
      <w:widowControl/>
      <w:spacing w:before="100" w:beforeAutospacing="1" w:after="100" w:afterAutospacing="1"/>
      <w:jc w:val="left"/>
    </w:pPr>
    <w:rPr>
      <w:rFonts w:hAnsi="宋体" w:cs="宋体"/>
      <w:b/>
      <w:bCs/>
      <w:sz w:val="20"/>
    </w:rPr>
  </w:style>
  <w:style w:type="paragraph" w:customStyle="1" w:styleId="215">
    <w:name w:val="font27"/>
    <w:basedOn w:val="1"/>
    <w:qFormat/>
    <w:uiPriority w:val="0"/>
    <w:pPr>
      <w:widowControl/>
      <w:spacing w:before="100" w:beforeAutospacing="1" w:after="100" w:afterAutospacing="1"/>
      <w:jc w:val="left"/>
    </w:pPr>
    <w:rPr>
      <w:rFonts w:hAnsi="宋体" w:cs="宋体"/>
      <w:color w:val="000000"/>
      <w:sz w:val="24"/>
    </w:rPr>
  </w:style>
  <w:style w:type="paragraph" w:customStyle="1" w:styleId="216">
    <w:name w:val="z-catalog-i1"/>
    <w:basedOn w:val="1"/>
    <w:qFormat/>
    <w:uiPriority w:val="0"/>
    <w:pPr>
      <w:widowControl/>
      <w:spacing w:before="100" w:beforeAutospacing="1" w:after="100" w:afterAutospacing="1"/>
      <w:jc w:val="left"/>
    </w:pPr>
    <w:rPr>
      <w:rFonts w:hAnsi="宋体" w:cs="宋体"/>
      <w:sz w:val="24"/>
    </w:rPr>
  </w:style>
  <w:style w:type="paragraph" w:customStyle="1" w:styleId="217">
    <w:name w:val="album-div1"/>
    <w:basedOn w:val="1"/>
    <w:qFormat/>
    <w:uiPriority w:val="0"/>
    <w:pPr>
      <w:widowControl/>
      <w:shd w:val="clear" w:color="auto" w:fill="FFFFFF"/>
      <w:spacing w:before="100" w:beforeAutospacing="1" w:after="100" w:afterAutospacing="1"/>
      <w:jc w:val="left"/>
    </w:pPr>
    <w:rPr>
      <w:rFonts w:hAnsi="宋体" w:cs="宋体"/>
      <w:sz w:val="24"/>
    </w:rPr>
  </w:style>
  <w:style w:type="paragraph" w:customStyle="1" w:styleId="218">
    <w:name w:val="xl17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hAnsi="宋体" w:cs="宋体"/>
      <w:color w:val="FF0000"/>
      <w:sz w:val="20"/>
    </w:rPr>
  </w:style>
  <w:style w:type="paragraph" w:customStyle="1" w:styleId="219">
    <w:name w:val="Char1"/>
    <w:basedOn w:val="1"/>
    <w:qFormat/>
    <w:uiPriority w:val="0"/>
    <w:rPr>
      <w:szCs w:val="21"/>
    </w:rPr>
  </w:style>
  <w:style w:type="paragraph" w:customStyle="1" w:styleId="220">
    <w:name w:val="xl120"/>
    <w:basedOn w:val="1"/>
    <w:qFormat/>
    <w:uiPriority w:val="0"/>
    <w:pPr>
      <w:widowControl/>
      <w:spacing w:before="100" w:beforeAutospacing="1" w:after="100" w:afterAutospacing="1"/>
      <w:jc w:val="left"/>
      <w:textAlignment w:val="center"/>
    </w:pPr>
    <w:rPr>
      <w:rFonts w:hAnsi="宋体" w:cs="宋体"/>
      <w:sz w:val="20"/>
    </w:rPr>
  </w:style>
  <w:style w:type="paragraph" w:customStyle="1" w:styleId="221">
    <w:name w:val="xl168"/>
    <w:basedOn w:val="1"/>
    <w:qFormat/>
    <w:uiPriority w:val="0"/>
    <w:pPr>
      <w:widowControl/>
      <w:pBdr>
        <w:bottom w:val="single" w:color="auto" w:sz="4" w:space="0"/>
      </w:pBdr>
      <w:spacing w:before="100" w:beforeAutospacing="1" w:after="100" w:afterAutospacing="1"/>
      <w:jc w:val="center"/>
    </w:pPr>
    <w:rPr>
      <w:rFonts w:hAnsi="宋体" w:cs="宋体"/>
      <w:color w:val="FF0000"/>
      <w:sz w:val="20"/>
    </w:rPr>
  </w:style>
  <w:style w:type="paragraph" w:customStyle="1" w:styleId="222">
    <w:name w:val="et75"/>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23">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宋体" w:eastAsia="黑体" w:cs="宋体"/>
      <w:b/>
      <w:bCs/>
      <w:sz w:val="20"/>
    </w:rPr>
  </w:style>
  <w:style w:type="paragraph" w:customStyle="1" w:styleId="224">
    <w:name w:val="et65"/>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25">
    <w:name w:val="xl122"/>
    <w:basedOn w:val="1"/>
    <w:qFormat/>
    <w:uiPriority w:val="0"/>
    <w:pPr>
      <w:widowControl/>
      <w:spacing w:before="100" w:beforeAutospacing="1" w:after="100" w:afterAutospacing="1"/>
      <w:jc w:val="center"/>
      <w:textAlignment w:val="center"/>
    </w:pPr>
    <w:rPr>
      <w:rFonts w:hAnsi="宋体" w:cs="宋体"/>
      <w:b/>
      <w:bCs/>
      <w:color w:val="C0C0C0"/>
      <w:sz w:val="20"/>
    </w:rPr>
  </w:style>
  <w:style w:type="paragraph" w:customStyle="1" w:styleId="226">
    <w:name w:val="xl87"/>
    <w:basedOn w:val="1"/>
    <w:qFormat/>
    <w:uiPriority w:val="0"/>
    <w:pPr>
      <w:widowControl/>
      <w:spacing w:before="100" w:beforeAutospacing="1" w:after="100" w:afterAutospacing="1"/>
      <w:jc w:val="center"/>
    </w:pPr>
    <w:rPr>
      <w:rFonts w:hAnsi="宋体" w:cs="宋体"/>
      <w:sz w:val="20"/>
    </w:rPr>
  </w:style>
  <w:style w:type="paragraph" w:customStyle="1" w:styleId="227">
    <w:name w:val="正文 New New New"/>
    <w:qFormat/>
    <w:uiPriority w:val="0"/>
    <w:pPr>
      <w:widowControl w:val="0"/>
      <w:jc w:val="both"/>
    </w:pPr>
    <w:rPr>
      <w:rFonts w:ascii="Calibri" w:hAnsi="Calibri" w:eastAsia="宋体" w:cs="Times New Roman"/>
      <w:kern w:val="2"/>
      <w:sz w:val="21"/>
      <w:lang w:val="en-US" w:eastAsia="zh-CN" w:bidi="ar-SA"/>
    </w:rPr>
  </w:style>
  <w:style w:type="paragraph" w:customStyle="1" w:styleId="228">
    <w:name w:val="Char2"/>
    <w:basedOn w:val="1"/>
    <w:qFormat/>
    <w:uiPriority w:val="0"/>
    <w:rPr>
      <w:rFonts w:ascii="Tahoma" w:hAnsi="Tahoma" w:eastAsia="仿宋_GB2312"/>
      <w:b/>
      <w:bCs/>
      <w:color w:val="000000"/>
      <w:sz w:val="24"/>
    </w:rPr>
  </w:style>
  <w:style w:type="paragraph" w:customStyle="1" w:styleId="229">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color w:val="FF0000"/>
      <w:sz w:val="20"/>
    </w:rPr>
  </w:style>
  <w:style w:type="paragraph" w:customStyle="1" w:styleId="230">
    <w:name w:val="样式 正文缩进正文缩进 Char正文缩进 Char1 Char正文（首行缩进两字） Char1 Char正文缩进 Cha..."/>
    <w:basedOn w:val="8"/>
    <w:qFormat/>
    <w:uiPriority w:val="0"/>
    <w:pPr>
      <w:ind w:firstLine="0" w:firstLineChars="0"/>
      <w:jc w:val="left"/>
    </w:pPr>
    <w:rPr>
      <w:rFonts w:ascii="宋体" w:hAnsi="宋体" w:cs="宋体"/>
      <w:color w:val="000000"/>
      <w:szCs w:val="21"/>
    </w:rPr>
  </w:style>
  <w:style w:type="paragraph" w:customStyle="1" w:styleId="231">
    <w:name w:val="et6"/>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32">
    <w:name w:val="xl1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color w:val="C0C0C0"/>
      <w:sz w:val="20"/>
    </w:rPr>
  </w:style>
  <w:style w:type="paragraph" w:customStyle="1" w:styleId="233">
    <w:name w:val="xl83"/>
    <w:basedOn w:val="1"/>
    <w:qFormat/>
    <w:uiPriority w:val="0"/>
    <w:pPr>
      <w:widowControl/>
      <w:pBdr>
        <w:top w:val="single" w:color="auto" w:sz="4" w:space="0"/>
      </w:pBdr>
      <w:spacing w:before="100" w:beforeAutospacing="1" w:after="100" w:afterAutospacing="1"/>
      <w:jc w:val="left"/>
    </w:pPr>
    <w:rPr>
      <w:rFonts w:hAnsi="宋体" w:cs="宋体"/>
      <w:sz w:val="20"/>
    </w:rPr>
  </w:style>
  <w:style w:type="paragraph" w:customStyle="1" w:styleId="234">
    <w:name w:val="et59"/>
    <w:basedOn w:val="1"/>
    <w:qFormat/>
    <w:uiPriority w:val="0"/>
    <w:pPr>
      <w:widowControl/>
      <w:spacing w:before="100" w:beforeAutospacing="1" w:after="100" w:afterAutospacing="1"/>
      <w:jc w:val="left"/>
      <w:textAlignment w:val="center"/>
    </w:pPr>
    <w:rPr>
      <w:rFonts w:ascii="Calibri" w:cs="宋体"/>
      <w:color w:val="000000"/>
      <w:sz w:val="22"/>
      <w:szCs w:val="22"/>
    </w:rPr>
  </w:style>
  <w:style w:type="paragraph" w:customStyle="1" w:styleId="235">
    <w:name w:val="font5"/>
    <w:basedOn w:val="1"/>
    <w:qFormat/>
    <w:uiPriority w:val="0"/>
    <w:pPr>
      <w:widowControl/>
      <w:spacing w:before="100" w:beforeAutospacing="1" w:after="100" w:afterAutospacing="1"/>
      <w:jc w:val="left"/>
    </w:pPr>
    <w:rPr>
      <w:rFonts w:hAnsi="宋体" w:cs="宋体"/>
      <w:sz w:val="18"/>
      <w:szCs w:val="18"/>
    </w:rPr>
  </w:style>
  <w:style w:type="paragraph" w:customStyle="1" w:styleId="236">
    <w:name w:val="et47"/>
    <w:basedOn w:val="1"/>
    <w:qFormat/>
    <w:uiPriority w:val="0"/>
    <w:pPr>
      <w:widowControl/>
      <w:spacing w:before="100" w:beforeAutospacing="1" w:after="100" w:afterAutospacing="1"/>
      <w:jc w:val="left"/>
      <w:textAlignment w:val="center"/>
    </w:pPr>
    <w:rPr>
      <w:rFonts w:hAnsi="宋体" w:cs="宋体"/>
      <w:color w:val="000000"/>
      <w:sz w:val="22"/>
      <w:szCs w:val="22"/>
    </w:rPr>
  </w:style>
  <w:style w:type="paragraph" w:customStyle="1" w:styleId="237">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b/>
      <w:bCs/>
      <w:color w:val="C0C0C0"/>
      <w:sz w:val="20"/>
    </w:rPr>
  </w:style>
  <w:style w:type="paragraph" w:customStyle="1" w:styleId="238">
    <w:name w:val="xl8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hAnsi="宋体" w:cs="宋体"/>
      <w:sz w:val="20"/>
    </w:rPr>
  </w:style>
  <w:style w:type="paragraph" w:customStyle="1" w:styleId="239">
    <w:name w:val="xl181"/>
    <w:basedOn w:val="1"/>
    <w:qFormat/>
    <w:uiPriority w:val="0"/>
    <w:pPr>
      <w:widowControl/>
      <w:pBdr>
        <w:bottom w:val="single" w:color="auto" w:sz="4" w:space="0"/>
      </w:pBdr>
      <w:spacing w:before="100" w:beforeAutospacing="1" w:after="100" w:afterAutospacing="1"/>
      <w:jc w:val="left"/>
    </w:pPr>
    <w:rPr>
      <w:rFonts w:hAnsi="宋体" w:cs="宋体"/>
      <w:b/>
      <w:bCs/>
      <w:color w:val="0000FF"/>
      <w:sz w:val="20"/>
    </w:rPr>
  </w:style>
  <w:style w:type="paragraph" w:customStyle="1" w:styleId="240">
    <w:name w:val="Char Char Char Char Char Char"/>
    <w:basedOn w:val="1"/>
    <w:qFormat/>
    <w:uiPriority w:val="0"/>
    <w:rPr>
      <w:rFonts w:ascii="Tahoma" w:hAnsi="Tahoma"/>
      <w:sz w:val="24"/>
    </w:rPr>
  </w:style>
  <w:style w:type="paragraph" w:customStyle="1" w:styleId="241">
    <w:name w:val="Char"/>
    <w:basedOn w:val="1"/>
    <w:qFormat/>
    <w:uiPriority w:val="0"/>
    <w:pPr>
      <w:widowControl/>
      <w:spacing w:before="100" w:beforeAutospacing="1" w:after="100" w:afterAutospacing="1" w:line="360" w:lineRule="auto"/>
      <w:jc w:val="left"/>
    </w:pPr>
    <w:rPr>
      <w:rFonts w:ascii="Verdana" w:hAnsi="Verdana"/>
      <w:sz w:val="20"/>
      <w:szCs w:val="21"/>
      <w:lang w:eastAsia="en-US"/>
    </w:rPr>
  </w:style>
  <w:style w:type="paragraph" w:customStyle="1" w:styleId="242">
    <w:name w:val="xl167"/>
    <w:basedOn w:val="1"/>
    <w:qFormat/>
    <w:uiPriority w:val="0"/>
    <w:pPr>
      <w:widowControl/>
      <w:spacing w:before="100" w:beforeAutospacing="1" w:after="100" w:afterAutospacing="1"/>
      <w:jc w:val="left"/>
    </w:pPr>
    <w:rPr>
      <w:rFonts w:hAnsi="宋体" w:cs="宋体"/>
      <w:sz w:val="20"/>
    </w:rPr>
  </w:style>
  <w:style w:type="paragraph" w:customStyle="1" w:styleId="243">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color w:val="FF0000"/>
      <w:sz w:val="20"/>
    </w:rPr>
  </w:style>
  <w:style w:type="paragraph" w:customStyle="1" w:styleId="244">
    <w:name w:val="xl8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hAnsi="宋体" w:cs="宋体"/>
      <w:sz w:val="20"/>
    </w:rPr>
  </w:style>
  <w:style w:type="paragraph" w:customStyle="1" w:styleId="245">
    <w:name w:val="Char Char Char Char Char Char Char"/>
    <w:basedOn w:val="1"/>
    <w:qFormat/>
    <w:uiPriority w:val="0"/>
  </w:style>
  <w:style w:type="paragraph" w:customStyle="1" w:styleId="246">
    <w:name w:val="xl178"/>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hAnsi="宋体" w:cs="宋体"/>
      <w:b/>
      <w:bCs/>
      <w:color w:val="FF0000"/>
      <w:sz w:val="20"/>
    </w:rPr>
  </w:style>
  <w:style w:type="paragraph" w:customStyle="1" w:styleId="247">
    <w:name w:val="xl2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color w:val="FF0000"/>
      <w:sz w:val="20"/>
    </w:rPr>
  </w:style>
  <w:style w:type="paragraph" w:customStyle="1" w:styleId="248">
    <w:name w:val="et70"/>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49">
    <w:name w:val="et57"/>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50">
    <w:name w:val="xl1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hAnsi="宋体" w:cs="宋体"/>
      <w:sz w:val="20"/>
    </w:rPr>
  </w:style>
  <w:style w:type="paragraph" w:customStyle="1" w:styleId="251">
    <w:name w:val="标书正文格式"/>
    <w:qFormat/>
    <w:uiPriority w:val="0"/>
    <w:pPr>
      <w:spacing w:line="360" w:lineRule="auto"/>
      <w:ind w:firstLine="200" w:firstLineChars="200"/>
    </w:pPr>
    <w:rPr>
      <w:rFonts w:ascii="Calibri" w:hAnsi="Calibri" w:eastAsia="楷体_GB2312" w:cs="Times New Roman"/>
      <w:kern w:val="2"/>
      <w:sz w:val="24"/>
      <w:szCs w:val="24"/>
      <w:lang w:val="en-US" w:eastAsia="zh-CN" w:bidi="ar-SA"/>
    </w:rPr>
  </w:style>
  <w:style w:type="paragraph" w:customStyle="1" w:styleId="252">
    <w:name w:val="et98"/>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53">
    <w:name w:val="xl133"/>
    <w:basedOn w:val="1"/>
    <w:qFormat/>
    <w:uiPriority w:val="0"/>
    <w:pPr>
      <w:widowControl/>
      <w:pBdr>
        <w:top w:val="single" w:color="auto" w:sz="4" w:space="0"/>
      </w:pBdr>
      <w:spacing w:before="100" w:beforeAutospacing="1" w:after="100" w:afterAutospacing="1"/>
      <w:jc w:val="left"/>
    </w:pPr>
    <w:rPr>
      <w:rFonts w:hAnsi="宋体" w:cs="宋体"/>
      <w:color w:val="C0C0C0"/>
      <w:sz w:val="20"/>
    </w:rPr>
  </w:style>
  <w:style w:type="paragraph" w:customStyle="1" w:styleId="254">
    <w:name w:val="et34"/>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55">
    <w:name w:val="正文文本 21"/>
    <w:basedOn w:val="1"/>
    <w:qFormat/>
    <w:uiPriority w:val="0"/>
    <w:pPr>
      <w:adjustRightInd w:val="0"/>
      <w:spacing w:line="300" w:lineRule="auto"/>
      <w:jc w:val="center"/>
      <w:textAlignment w:val="baseline"/>
    </w:pPr>
    <w:rPr>
      <w:rFonts w:hAnsi="宋体"/>
      <w:sz w:val="24"/>
    </w:rPr>
  </w:style>
  <w:style w:type="paragraph" w:customStyle="1" w:styleId="256">
    <w:name w:val="et17"/>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57">
    <w:name w:val="et27"/>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58">
    <w:name w:val="p17"/>
    <w:basedOn w:val="1"/>
    <w:qFormat/>
    <w:uiPriority w:val="0"/>
    <w:pPr>
      <w:widowControl/>
      <w:spacing w:line="360" w:lineRule="auto"/>
      <w:ind w:firstLine="420"/>
    </w:pPr>
    <w:rPr>
      <w:szCs w:val="21"/>
    </w:rPr>
  </w:style>
  <w:style w:type="paragraph" w:customStyle="1" w:styleId="259">
    <w:name w:val="xl76"/>
    <w:basedOn w:val="1"/>
    <w:qFormat/>
    <w:uiPriority w:val="0"/>
    <w:pPr>
      <w:widowControl/>
      <w:spacing w:before="100" w:beforeAutospacing="1" w:after="100" w:afterAutospacing="1"/>
      <w:jc w:val="left"/>
      <w:textAlignment w:val="center"/>
    </w:pPr>
    <w:rPr>
      <w:rFonts w:hAnsi="宋体" w:cs="宋体"/>
      <w:sz w:val="20"/>
    </w:rPr>
  </w:style>
  <w:style w:type="paragraph" w:customStyle="1" w:styleId="260">
    <w:name w:val="xl1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b/>
      <w:bCs/>
      <w:sz w:val="20"/>
    </w:rPr>
  </w:style>
  <w:style w:type="paragraph" w:customStyle="1" w:styleId="261">
    <w:name w:val="正文1"/>
    <w:qFormat/>
    <w:uiPriority w:val="0"/>
    <w:pPr>
      <w:widowControl w:val="0"/>
      <w:adjustRightInd w:val="0"/>
      <w:spacing w:line="312" w:lineRule="atLeast"/>
      <w:jc w:val="both"/>
      <w:textAlignment w:val="baseline"/>
    </w:pPr>
    <w:rPr>
      <w:rFonts w:ascii="宋体" w:hAnsi="Calibri" w:eastAsia="宋体" w:cs="Times New Roman"/>
      <w:sz w:val="34"/>
      <w:lang w:val="en-US" w:eastAsia="zh-CN" w:bidi="ar-SA"/>
    </w:rPr>
  </w:style>
  <w:style w:type="paragraph" w:customStyle="1" w:styleId="262">
    <w:name w:val="et46"/>
    <w:basedOn w:val="1"/>
    <w:qFormat/>
    <w:uiPriority w:val="0"/>
    <w:pPr>
      <w:widowControl/>
      <w:spacing w:before="100" w:beforeAutospacing="1" w:after="100" w:afterAutospacing="1"/>
      <w:jc w:val="left"/>
      <w:textAlignment w:val="center"/>
    </w:pPr>
    <w:rPr>
      <w:rFonts w:ascii="Calibri" w:cs="宋体"/>
      <w:color w:val="000000"/>
      <w:sz w:val="22"/>
      <w:szCs w:val="22"/>
    </w:rPr>
  </w:style>
  <w:style w:type="paragraph" w:customStyle="1" w:styleId="263">
    <w:name w:val="p0"/>
    <w:basedOn w:val="1"/>
    <w:qFormat/>
    <w:uiPriority w:val="0"/>
    <w:pPr>
      <w:widowControl/>
      <w:spacing w:line="365" w:lineRule="atLeast"/>
      <w:ind w:left="1"/>
    </w:pPr>
    <w:rPr>
      <w:sz w:val="20"/>
    </w:rPr>
  </w:style>
  <w:style w:type="paragraph" w:customStyle="1" w:styleId="264">
    <w:name w:val="et45"/>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65">
    <w:name w:val="xl1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color w:val="FF0000"/>
      <w:sz w:val="20"/>
    </w:rPr>
  </w:style>
  <w:style w:type="paragraph" w:customStyle="1" w:styleId="266">
    <w:name w:val="et39"/>
    <w:basedOn w:val="1"/>
    <w:qFormat/>
    <w:uiPriority w:val="0"/>
    <w:pPr>
      <w:widowControl/>
      <w:spacing w:before="100" w:beforeAutospacing="1" w:after="100" w:afterAutospacing="1"/>
      <w:jc w:val="left"/>
      <w:textAlignment w:val="center"/>
    </w:pPr>
    <w:rPr>
      <w:rFonts w:hAnsi="宋体" w:cs="宋体"/>
      <w:color w:val="000000"/>
      <w:sz w:val="22"/>
      <w:szCs w:val="22"/>
    </w:rPr>
  </w:style>
  <w:style w:type="paragraph" w:customStyle="1" w:styleId="267">
    <w:name w:val="et88"/>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68">
    <w:name w:val="Char1 Char Char Char Char Char Char"/>
    <w:basedOn w:val="1"/>
    <w:qFormat/>
    <w:uiPriority w:val="0"/>
    <w:rPr>
      <w:rFonts w:ascii="Tahoma" w:hAnsi="Tahoma"/>
      <w:sz w:val="24"/>
    </w:rPr>
  </w:style>
  <w:style w:type="paragraph" w:customStyle="1" w:styleId="269">
    <w:name w:val="xl37"/>
    <w:basedOn w:val="1"/>
    <w:qFormat/>
    <w:uiPriority w:val="0"/>
    <w:pPr>
      <w:widowControl/>
      <w:pBdr>
        <w:left w:val="single" w:color="auto" w:sz="4" w:space="0"/>
        <w:bottom w:val="single" w:color="auto" w:sz="4" w:space="0"/>
        <w:right w:val="single" w:color="auto" w:sz="4" w:space="0"/>
      </w:pBdr>
      <w:spacing w:before="100" w:beforeAutospacing="1" w:after="100" w:afterAutospacing="1"/>
    </w:pPr>
    <w:rPr>
      <w:rFonts w:hAnsi="宋体"/>
      <w:sz w:val="22"/>
      <w:szCs w:val="22"/>
    </w:rPr>
  </w:style>
  <w:style w:type="paragraph" w:customStyle="1" w:styleId="270">
    <w:name w:val="et40"/>
    <w:basedOn w:val="1"/>
    <w:qFormat/>
    <w:uiPriority w:val="0"/>
    <w:pPr>
      <w:widowControl/>
      <w:spacing w:before="100" w:beforeAutospacing="1" w:after="100" w:afterAutospacing="1"/>
      <w:jc w:val="left"/>
      <w:textAlignment w:val="center"/>
    </w:pPr>
    <w:rPr>
      <w:rFonts w:hAnsi="宋体" w:cs="宋体"/>
      <w:color w:val="000000"/>
      <w:sz w:val="22"/>
      <w:szCs w:val="22"/>
    </w:rPr>
  </w:style>
  <w:style w:type="paragraph" w:customStyle="1" w:styleId="271">
    <w:name w:val="Char2 Char Char Char"/>
    <w:basedOn w:val="1"/>
    <w:qFormat/>
    <w:uiPriority w:val="0"/>
    <w:rPr>
      <w:rFonts w:ascii="仿宋_GB2312" w:eastAsia="仿宋_GB2312"/>
      <w:b/>
      <w:sz w:val="32"/>
      <w:szCs w:val="32"/>
    </w:rPr>
  </w:style>
  <w:style w:type="paragraph" w:customStyle="1" w:styleId="272">
    <w:name w:val="plaintext"/>
    <w:basedOn w:val="1"/>
    <w:qFormat/>
    <w:uiPriority w:val="0"/>
    <w:pPr>
      <w:widowControl/>
      <w:spacing w:before="100" w:beforeAutospacing="1" w:after="100" w:afterAutospacing="1"/>
      <w:jc w:val="left"/>
    </w:pPr>
    <w:rPr>
      <w:rFonts w:hAnsi="宋体"/>
      <w:sz w:val="24"/>
    </w:rPr>
  </w:style>
  <w:style w:type="paragraph" w:customStyle="1" w:styleId="273">
    <w:name w:val="font26"/>
    <w:basedOn w:val="1"/>
    <w:qFormat/>
    <w:uiPriority w:val="0"/>
    <w:pPr>
      <w:widowControl/>
      <w:spacing w:before="100" w:beforeAutospacing="1" w:after="100" w:afterAutospacing="1"/>
      <w:jc w:val="left"/>
    </w:pPr>
    <w:rPr>
      <w:rFonts w:hAnsi="宋体" w:cs="宋体"/>
      <w:b/>
      <w:bCs/>
      <w:sz w:val="24"/>
    </w:rPr>
  </w:style>
  <w:style w:type="paragraph" w:customStyle="1" w:styleId="274">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sz w:val="20"/>
    </w:rPr>
  </w:style>
  <w:style w:type="paragraph" w:customStyle="1" w:styleId="275">
    <w:name w:val="Body Text 21"/>
    <w:basedOn w:val="1"/>
    <w:qFormat/>
    <w:uiPriority w:val="0"/>
    <w:pPr>
      <w:adjustRightInd w:val="0"/>
      <w:spacing w:line="300" w:lineRule="auto"/>
      <w:jc w:val="center"/>
      <w:textAlignment w:val="baseline"/>
    </w:pPr>
    <w:rPr>
      <w:rFonts w:hAnsi="宋体"/>
      <w:sz w:val="24"/>
    </w:rPr>
  </w:style>
  <w:style w:type="paragraph" w:customStyle="1" w:styleId="276">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sz w:val="20"/>
    </w:rPr>
  </w:style>
  <w:style w:type="paragraph" w:customStyle="1" w:styleId="277">
    <w:name w:val="xl1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b/>
      <w:bCs/>
      <w:color w:val="0000FF"/>
      <w:sz w:val="20"/>
    </w:rPr>
  </w:style>
  <w:style w:type="paragraph" w:customStyle="1" w:styleId="278">
    <w:name w:val="xl11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hAnsi="宋体" w:cs="宋体"/>
      <w:sz w:val="20"/>
    </w:rPr>
  </w:style>
  <w:style w:type="paragraph" w:customStyle="1" w:styleId="279">
    <w:name w:val="xl19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hAnsi="宋体" w:cs="宋体"/>
      <w:b/>
      <w:bCs/>
      <w:sz w:val="20"/>
    </w:rPr>
  </w:style>
  <w:style w:type="paragraph" w:customStyle="1" w:styleId="280">
    <w:name w:val="xl114"/>
    <w:basedOn w:val="1"/>
    <w:qFormat/>
    <w:uiPriority w:val="0"/>
    <w:pPr>
      <w:widowControl/>
      <w:pBdr>
        <w:bottom w:val="single" w:color="auto" w:sz="4" w:space="0"/>
        <w:right w:val="single" w:color="auto" w:sz="4" w:space="0"/>
      </w:pBdr>
      <w:shd w:val="clear" w:color="auto" w:fill="FFFFFF"/>
      <w:spacing w:before="100" w:beforeAutospacing="1" w:after="100" w:afterAutospacing="1"/>
      <w:jc w:val="center"/>
    </w:pPr>
    <w:rPr>
      <w:rFonts w:hAnsi="宋体" w:cs="宋体"/>
      <w:sz w:val="20"/>
    </w:rPr>
  </w:style>
  <w:style w:type="paragraph" w:customStyle="1" w:styleId="281">
    <w:name w:val="xl14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hAnsi="宋体" w:cs="宋体"/>
      <w:sz w:val="20"/>
    </w:rPr>
  </w:style>
  <w:style w:type="paragraph" w:customStyle="1" w:styleId="282">
    <w:name w:val="et16"/>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83">
    <w:name w:val="et36"/>
    <w:basedOn w:val="1"/>
    <w:qFormat/>
    <w:uiPriority w:val="0"/>
    <w:pPr>
      <w:widowControl/>
      <w:spacing w:before="100" w:beforeAutospacing="1" w:after="100" w:afterAutospacing="1"/>
      <w:jc w:val="left"/>
      <w:textAlignment w:val="center"/>
    </w:pPr>
    <w:rPr>
      <w:rFonts w:ascii="Wingdings" w:hAnsi="Wingdings" w:cs="宋体"/>
      <w:color w:val="000000"/>
      <w:sz w:val="22"/>
      <w:szCs w:val="22"/>
    </w:rPr>
  </w:style>
  <w:style w:type="paragraph" w:customStyle="1" w:styleId="284">
    <w:name w:val="xl1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b/>
      <w:bCs/>
      <w:color w:val="FF0000"/>
      <w:sz w:val="20"/>
    </w:rPr>
  </w:style>
  <w:style w:type="paragraph" w:customStyle="1" w:styleId="285">
    <w:name w:val="xl1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color w:val="FF0000"/>
      <w:sz w:val="20"/>
    </w:rPr>
  </w:style>
  <w:style w:type="paragraph" w:customStyle="1" w:styleId="286">
    <w:name w:val="正文2"/>
    <w:next w:val="1"/>
    <w:qFormat/>
    <w:uiPriority w:val="0"/>
    <w:pPr>
      <w:widowControl w:val="0"/>
      <w:adjustRightInd w:val="0"/>
      <w:spacing w:line="312" w:lineRule="atLeast"/>
      <w:jc w:val="both"/>
      <w:textAlignment w:val="baseline"/>
    </w:pPr>
    <w:rPr>
      <w:rFonts w:ascii="宋体" w:hAnsi="Calibri" w:eastAsia="宋体" w:cs="Times New Roman"/>
      <w:sz w:val="34"/>
      <w:lang w:val="en-US" w:eastAsia="zh-CN" w:bidi="ar-SA"/>
    </w:rPr>
  </w:style>
  <w:style w:type="paragraph" w:customStyle="1" w:styleId="287">
    <w:name w:val="Char1 Char Char Char"/>
    <w:basedOn w:val="1"/>
    <w:qFormat/>
    <w:uiPriority w:val="0"/>
    <w:rPr>
      <w:rFonts w:ascii="Calibri"/>
      <w:szCs w:val="22"/>
    </w:rPr>
  </w:style>
  <w:style w:type="paragraph" w:customStyle="1" w:styleId="288">
    <w:name w:val="et50"/>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89">
    <w:name w:val="Char Char Char Char Char Char1 Char Char Char Char"/>
    <w:basedOn w:val="1"/>
    <w:qFormat/>
    <w:uiPriority w:val="0"/>
  </w:style>
  <w:style w:type="paragraph" w:customStyle="1" w:styleId="290">
    <w:name w:val="xl9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hAnsi="宋体" w:cs="宋体"/>
      <w:sz w:val="20"/>
    </w:rPr>
  </w:style>
  <w:style w:type="paragraph" w:customStyle="1" w:styleId="291">
    <w:name w:val="xl202"/>
    <w:basedOn w:val="1"/>
    <w:qFormat/>
    <w:uiPriority w:val="0"/>
    <w:pPr>
      <w:widowControl/>
      <w:spacing w:before="100" w:beforeAutospacing="1" w:after="100" w:afterAutospacing="1"/>
      <w:jc w:val="left"/>
    </w:pPr>
    <w:rPr>
      <w:rFonts w:hAnsi="宋体" w:cs="宋体"/>
      <w:b/>
      <w:bCs/>
      <w:color w:val="0000FF"/>
      <w:sz w:val="20"/>
    </w:rPr>
  </w:style>
  <w:style w:type="paragraph" w:customStyle="1" w:styleId="292">
    <w:name w:val="xl18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hAnsi="宋体" w:cs="宋体"/>
      <w:color w:val="FF0000"/>
      <w:sz w:val="20"/>
    </w:rPr>
  </w:style>
  <w:style w:type="paragraph" w:customStyle="1" w:styleId="293">
    <w:name w:val="et20"/>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94">
    <w:name w:val="xl17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hAnsi="宋体" w:cs="宋体"/>
      <w:b/>
      <w:bCs/>
      <w:color w:val="FF0000"/>
      <w:sz w:val="20"/>
    </w:rPr>
  </w:style>
  <w:style w:type="paragraph" w:customStyle="1" w:styleId="295">
    <w:name w:val="et14"/>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96">
    <w:name w:val="正文文本 22"/>
    <w:basedOn w:val="1"/>
    <w:qFormat/>
    <w:uiPriority w:val="0"/>
    <w:pPr>
      <w:adjustRightInd w:val="0"/>
      <w:spacing w:line="300" w:lineRule="auto"/>
      <w:jc w:val="center"/>
      <w:textAlignment w:val="baseline"/>
    </w:pPr>
    <w:rPr>
      <w:rFonts w:hAnsi="宋体"/>
      <w:sz w:val="24"/>
    </w:rPr>
  </w:style>
  <w:style w:type="paragraph" w:customStyle="1" w:styleId="297">
    <w:name w:val="xl140"/>
    <w:basedOn w:val="1"/>
    <w:qFormat/>
    <w:uiPriority w:val="0"/>
    <w:pPr>
      <w:widowControl/>
      <w:spacing w:before="100" w:beforeAutospacing="1" w:after="100" w:afterAutospacing="1"/>
      <w:jc w:val="left"/>
      <w:textAlignment w:val="center"/>
    </w:pPr>
    <w:rPr>
      <w:rFonts w:hAnsi="宋体" w:cs="宋体"/>
      <w:color w:val="C0C0C0"/>
      <w:sz w:val="20"/>
    </w:rPr>
  </w:style>
  <w:style w:type="paragraph" w:customStyle="1" w:styleId="298">
    <w:name w:val="默认段落字体 Para Char Char Char Char Char Char Char"/>
    <w:basedOn w:val="15"/>
    <w:qFormat/>
    <w:uiPriority w:val="0"/>
    <w:rPr>
      <w:rFonts w:ascii="Tahoma" w:hAnsi="Tahoma"/>
      <w:sz w:val="24"/>
    </w:rPr>
  </w:style>
  <w:style w:type="paragraph" w:customStyle="1" w:styleId="299">
    <w:name w:val="Plain Text1"/>
    <w:basedOn w:val="1"/>
    <w:qFormat/>
    <w:uiPriority w:val="0"/>
    <w:pPr>
      <w:adjustRightInd w:val="0"/>
      <w:textAlignment w:val="baseline"/>
    </w:pPr>
    <w:rPr>
      <w:rFonts w:hAnsi="Courier New"/>
    </w:rPr>
  </w:style>
  <w:style w:type="paragraph" w:customStyle="1" w:styleId="300">
    <w:name w:val="Char Char Char Char"/>
    <w:basedOn w:val="1"/>
    <w:qFormat/>
    <w:uiPriority w:val="0"/>
    <w:pPr>
      <w:widowControl/>
      <w:spacing w:before="100" w:beforeAutospacing="1" w:after="100" w:afterAutospacing="1" w:line="360" w:lineRule="auto"/>
      <w:jc w:val="left"/>
    </w:pPr>
    <w:rPr>
      <w:rFonts w:ascii="Verdana" w:hAnsi="Verdana"/>
      <w:sz w:val="20"/>
      <w:szCs w:val="21"/>
      <w:lang w:eastAsia="en-US"/>
    </w:rPr>
  </w:style>
  <w:style w:type="paragraph" w:customStyle="1" w:styleId="301">
    <w:name w:val="xl150"/>
    <w:basedOn w:val="1"/>
    <w:qFormat/>
    <w:uiPriority w:val="0"/>
    <w:pPr>
      <w:widowControl/>
      <w:spacing w:before="100" w:beforeAutospacing="1" w:after="100" w:afterAutospacing="1"/>
      <w:jc w:val="left"/>
    </w:pPr>
    <w:rPr>
      <w:rFonts w:hAnsi="宋体" w:cs="宋体"/>
      <w:color w:val="FF0000"/>
      <w:sz w:val="20"/>
    </w:rPr>
  </w:style>
  <w:style w:type="paragraph" w:customStyle="1" w:styleId="302">
    <w:name w:val="xl176"/>
    <w:basedOn w:val="1"/>
    <w:qFormat/>
    <w:uiPriority w:val="0"/>
    <w:pPr>
      <w:widowControl/>
      <w:pBdr>
        <w:bottom w:val="single" w:color="auto" w:sz="4" w:space="0"/>
        <w:right w:val="single" w:color="auto" w:sz="4" w:space="0"/>
      </w:pBdr>
      <w:shd w:val="clear" w:color="auto" w:fill="FFFFFF"/>
      <w:spacing w:before="100" w:beforeAutospacing="1" w:after="100" w:afterAutospacing="1"/>
      <w:jc w:val="center"/>
    </w:pPr>
    <w:rPr>
      <w:rFonts w:hAnsi="宋体" w:cs="宋体"/>
      <w:color w:val="FF0000"/>
      <w:sz w:val="20"/>
    </w:rPr>
  </w:style>
  <w:style w:type="paragraph" w:customStyle="1" w:styleId="303">
    <w:name w:val="font10"/>
    <w:basedOn w:val="1"/>
    <w:qFormat/>
    <w:uiPriority w:val="0"/>
    <w:pPr>
      <w:widowControl/>
      <w:spacing w:before="100" w:beforeAutospacing="1" w:after="100" w:afterAutospacing="1"/>
      <w:jc w:val="left"/>
    </w:pPr>
    <w:rPr>
      <w:sz w:val="20"/>
    </w:rPr>
  </w:style>
  <w:style w:type="paragraph" w:customStyle="1" w:styleId="304">
    <w:name w:val="xl187"/>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hAnsi="宋体" w:cs="宋体"/>
      <w:color w:val="FF0000"/>
      <w:sz w:val="20"/>
    </w:rPr>
  </w:style>
  <w:style w:type="paragraph" w:customStyle="1" w:styleId="305">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sz w:val="20"/>
    </w:rPr>
  </w:style>
  <w:style w:type="paragraph" w:customStyle="1" w:styleId="30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b/>
      <w:bCs/>
      <w:sz w:val="20"/>
    </w:rPr>
  </w:style>
  <w:style w:type="paragraph" w:customStyle="1" w:styleId="307">
    <w:name w:val="xl19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hAnsi="宋体" w:cs="宋体"/>
      <w:sz w:val="20"/>
    </w:rPr>
  </w:style>
  <w:style w:type="paragraph" w:customStyle="1" w:styleId="308">
    <w:name w:val="xl204"/>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hAnsi="宋体" w:cs="宋体"/>
      <w:sz w:val="20"/>
    </w:rPr>
  </w:style>
  <w:style w:type="paragraph" w:customStyle="1" w:styleId="309">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color w:val="FF0000"/>
      <w:sz w:val="20"/>
    </w:rPr>
  </w:style>
  <w:style w:type="paragraph" w:customStyle="1" w:styleId="310">
    <w:name w:val="et93"/>
    <w:basedOn w:val="1"/>
    <w:qFormat/>
    <w:uiPriority w:val="0"/>
    <w:pPr>
      <w:widowControl/>
      <w:spacing w:before="100" w:beforeAutospacing="1" w:after="100" w:afterAutospacing="1"/>
      <w:jc w:val="left"/>
      <w:textAlignment w:val="center"/>
    </w:pPr>
    <w:rPr>
      <w:rFonts w:hAnsi="宋体" w:cs="宋体"/>
      <w:color w:val="000000"/>
      <w:sz w:val="22"/>
      <w:szCs w:val="22"/>
    </w:rPr>
  </w:style>
  <w:style w:type="paragraph" w:customStyle="1" w:styleId="311">
    <w:name w:val="xl95"/>
    <w:basedOn w:val="1"/>
    <w:qFormat/>
    <w:uiPriority w:val="0"/>
    <w:pPr>
      <w:widowControl/>
      <w:pBdr>
        <w:bottom w:val="single" w:color="auto" w:sz="4" w:space="0"/>
      </w:pBdr>
      <w:spacing w:before="100" w:beforeAutospacing="1" w:after="100" w:afterAutospacing="1"/>
      <w:jc w:val="center"/>
    </w:pPr>
    <w:rPr>
      <w:rFonts w:hAnsi="宋体" w:cs="宋体"/>
      <w:sz w:val="20"/>
    </w:rPr>
  </w:style>
  <w:style w:type="paragraph" w:customStyle="1" w:styleId="312">
    <w:name w:val="p16"/>
    <w:basedOn w:val="1"/>
    <w:qFormat/>
    <w:uiPriority w:val="0"/>
    <w:pPr>
      <w:widowControl/>
    </w:pPr>
    <w:rPr>
      <w:szCs w:val="21"/>
    </w:rPr>
  </w:style>
  <w:style w:type="paragraph" w:customStyle="1" w:styleId="313">
    <w:name w:val="xl125"/>
    <w:basedOn w:val="1"/>
    <w:qFormat/>
    <w:uiPriority w:val="0"/>
    <w:pPr>
      <w:widowControl/>
      <w:spacing w:before="100" w:beforeAutospacing="1" w:after="100" w:afterAutospacing="1"/>
      <w:jc w:val="left"/>
      <w:textAlignment w:val="center"/>
    </w:pPr>
    <w:rPr>
      <w:rFonts w:hAnsi="宋体" w:cs="宋体"/>
      <w:color w:val="C0C0C0"/>
      <w:sz w:val="20"/>
    </w:rPr>
  </w:style>
  <w:style w:type="paragraph" w:customStyle="1" w:styleId="314">
    <w:name w:val="xl193"/>
    <w:basedOn w:val="1"/>
    <w:qFormat/>
    <w:uiPriority w:val="0"/>
    <w:pPr>
      <w:widowControl/>
      <w:pBdr>
        <w:bottom w:val="single" w:color="auto" w:sz="4" w:space="0"/>
        <w:right w:val="single" w:color="auto" w:sz="4" w:space="0"/>
      </w:pBdr>
      <w:spacing w:before="100" w:beforeAutospacing="1" w:after="100" w:afterAutospacing="1"/>
      <w:jc w:val="center"/>
    </w:pPr>
    <w:rPr>
      <w:rFonts w:hAnsi="宋体" w:cs="宋体"/>
      <w:sz w:val="20"/>
    </w:rPr>
  </w:style>
  <w:style w:type="paragraph" w:customStyle="1" w:styleId="315">
    <w:name w:val="et7"/>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16">
    <w:name w:val="font3"/>
    <w:basedOn w:val="1"/>
    <w:qFormat/>
    <w:uiPriority w:val="0"/>
    <w:pPr>
      <w:widowControl/>
      <w:spacing w:before="100" w:beforeAutospacing="1" w:after="100" w:afterAutospacing="1"/>
      <w:jc w:val="left"/>
    </w:pPr>
    <w:rPr>
      <w:rFonts w:ascii="Calibri" w:cs="宋体"/>
      <w:color w:val="000000"/>
      <w:sz w:val="21"/>
      <w:szCs w:val="21"/>
    </w:rPr>
  </w:style>
  <w:style w:type="paragraph" w:customStyle="1" w:styleId="317">
    <w:name w:val="xl20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b/>
      <w:bCs/>
      <w:sz w:val="20"/>
    </w:rPr>
  </w:style>
  <w:style w:type="paragraph" w:customStyle="1" w:styleId="318">
    <w:name w:val="msonormalcxspmiddle"/>
    <w:basedOn w:val="1"/>
    <w:qFormat/>
    <w:uiPriority w:val="0"/>
    <w:pPr>
      <w:widowControl/>
      <w:spacing w:before="100" w:beforeAutospacing="1" w:after="100" w:afterAutospacing="1"/>
      <w:jc w:val="left"/>
    </w:pPr>
    <w:rPr>
      <w:rFonts w:hint="eastAsia" w:hAnsi="宋体" w:cs="宋体"/>
      <w:sz w:val="24"/>
      <w:szCs w:val="24"/>
    </w:rPr>
  </w:style>
  <w:style w:type="paragraph" w:customStyle="1" w:styleId="319">
    <w:name w:val="xl151"/>
    <w:basedOn w:val="1"/>
    <w:qFormat/>
    <w:uiPriority w:val="0"/>
    <w:pPr>
      <w:widowControl/>
      <w:pBdr>
        <w:bottom w:val="single" w:color="auto" w:sz="4" w:space="0"/>
      </w:pBdr>
      <w:shd w:val="clear" w:color="auto" w:fill="FFFF99"/>
      <w:spacing w:before="100" w:beforeAutospacing="1" w:after="100" w:afterAutospacing="1"/>
      <w:jc w:val="left"/>
    </w:pPr>
    <w:rPr>
      <w:rFonts w:hAnsi="宋体" w:cs="宋体"/>
      <w:b/>
      <w:bCs/>
      <w:color w:val="FF0000"/>
      <w:sz w:val="20"/>
    </w:rPr>
  </w:style>
  <w:style w:type="paragraph" w:customStyle="1" w:styleId="320">
    <w:name w:val="et74"/>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21">
    <w:name w:val="xl18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hAnsi="宋体" w:cs="宋体"/>
      <w:b/>
      <w:bCs/>
      <w:color w:val="FF0000"/>
      <w:sz w:val="20"/>
    </w:rPr>
  </w:style>
  <w:style w:type="paragraph" w:customStyle="1" w:styleId="322">
    <w:name w:val="et23"/>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23">
    <w:name w:val="et21"/>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24">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sz w:val="20"/>
    </w:rPr>
  </w:style>
  <w:style w:type="paragraph" w:customStyle="1" w:styleId="325">
    <w:name w:val="xl164"/>
    <w:basedOn w:val="1"/>
    <w:qFormat/>
    <w:uiPriority w:val="0"/>
    <w:pPr>
      <w:widowControl/>
      <w:spacing w:before="100" w:beforeAutospacing="1" w:after="100" w:afterAutospacing="1"/>
      <w:jc w:val="left"/>
    </w:pPr>
    <w:rPr>
      <w:rFonts w:hAnsi="宋体" w:cs="宋体"/>
      <w:sz w:val="24"/>
    </w:rPr>
  </w:style>
  <w:style w:type="paragraph" w:customStyle="1" w:styleId="326">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color w:val="FF0000"/>
      <w:sz w:val="20"/>
    </w:rPr>
  </w:style>
  <w:style w:type="paragraph" w:customStyle="1" w:styleId="327">
    <w:name w:val="xl102"/>
    <w:basedOn w:val="1"/>
    <w:qFormat/>
    <w:uiPriority w:val="0"/>
    <w:pPr>
      <w:widowControl/>
      <w:pBdr>
        <w:bottom w:val="single" w:color="auto" w:sz="4" w:space="0"/>
      </w:pBdr>
      <w:spacing w:before="100" w:beforeAutospacing="1" w:after="100" w:afterAutospacing="1"/>
      <w:jc w:val="left"/>
    </w:pPr>
    <w:rPr>
      <w:rFonts w:hAnsi="宋体" w:cs="宋体"/>
      <w:sz w:val="20"/>
    </w:rPr>
  </w:style>
  <w:style w:type="paragraph" w:customStyle="1" w:styleId="328">
    <w:name w:val="Char Char Char"/>
    <w:basedOn w:val="1"/>
    <w:qFormat/>
    <w:uiPriority w:val="0"/>
    <w:pPr>
      <w:widowControl/>
      <w:spacing w:after="160" w:line="240" w:lineRule="exact"/>
      <w:jc w:val="left"/>
    </w:pPr>
    <w:rPr>
      <w:rFonts w:ascii="Verdana" w:hAnsi="Verdana"/>
      <w:sz w:val="20"/>
      <w:lang w:eastAsia="en-US"/>
    </w:rPr>
  </w:style>
  <w:style w:type="paragraph" w:customStyle="1" w:styleId="329">
    <w:name w:val="et62"/>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30">
    <w:name w:val="et28"/>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31">
    <w:name w:val="et54"/>
    <w:basedOn w:val="1"/>
    <w:qFormat/>
    <w:uiPriority w:val="0"/>
    <w:pPr>
      <w:widowControl/>
      <w:spacing w:before="100" w:beforeAutospacing="1" w:after="100" w:afterAutospacing="1"/>
      <w:jc w:val="left"/>
      <w:textAlignment w:val="center"/>
    </w:pPr>
    <w:rPr>
      <w:rFonts w:ascii="Wingdings" w:hAnsi="Wingdings" w:cs="宋体"/>
      <w:color w:val="000000"/>
      <w:sz w:val="22"/>
      <w:szCs w:val="22"/>
    </w:rPr>
  </w:style>
  <w:style w:type="paragraph" w:customStyle="1" w:styleId="332">
    <w:name w:val="xl11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hAnsi="宋体" w:cs="宋体"/>
      <w:sz w:val="20"/>
    </w:rPr>
  </w:style>
  <w:style w:type="paragraph" w:customStyle="1" w:styleId="333">
    <w:name w:val="xl153"/>
    <w:basedOn w:val="1"/>
    <w:qFormat/>
    <w:uiPriority w:val="0"/>
    <w:pPr>
      <w:widowControl/>
      <w:spacing w:before="100" w:beforeAutospacing="1" w:after="100" w:afterAutospacing="1"/>
      <w:jc w:val="left"/>
      <w:textAlignment w:val="center"/>
    </w:pPr>
    <w:rPr>
      <w:rFonts w:hAnsi="宋体" w:cs="宋体"/>
      <w:sz w:val="24"/>
    </w:rPr>
  </w:style>
  <w:style w:type="paragraph" w:customStyle="1" w:styleId="334">
    <w:name w:val="et51"/>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35">
    <w:name w:val="xl206"/>
    <w:basedOn w:val="1"/>
    <w:qFormat/>
    <w:uiPriority w:val="0"/>
    <w:pPr>
      <w:widowControl/>
      <w:pBdr>
        <w:top w:val="single" w:color="auto" w:sz="4" w:space="0"/>
        <w:bottom w:val="single" w:color="auto" w:sz="4" w:space="0"/>
      </w:pBdr>
      <w:spacing w:before="100" w:beforeAutospacing="1" w:after="100" w:afterAutospacing="1"/>
      <w:jc w:val="left"/>
    </w:pPr>
    <w:rPr>
      <w:rFonts w:hAnsi="宋体" w:cs="宋体"/>
      <w:b/>
      <w:bCs/>
      <w:sz w:val="20"/>
    </w:rPr>
  </w:style>
  <w:style w:type="paragraph" w:customStyle="1" w:styleId="336">
    <w:name w:val="Char Char Char Char Char Char Char Char Char Char Char Char1 Char Char Char Char Char Char1 Char Char Char Char Char Char Char Char Char Char"/>
    <w:basedOn w:val="1"/>
    <w:qFormat/>
    <w:uiPriority w:val="0"/>
    <w:rPr>
      <w:rFonts w:ascii="Tahoma" w:hAnsi="Tahoma" w:cs="仿宋_GB2312"/>
      <w:sz w:val="24"/>
    </w:rPr>
  </w:style>
  <w:style w:type="paragraph" w:customStyle="1" w:styleId="337">
    <w:name w:val="xl8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hAnsi="宋体" w:cs="宋体"/>
      <w:sz w:val="20"/>
    </w:rPr>
  </w:style>
  <w:style w:type="paragraph" w:customStyle="1" w:styleId="338">
    <w:name w:val="font15"/>
    <w:basedOn w:val="1"/>
    <w:qFormat/>
    <w:uiPriority w:val="0"/>
    <w:pPr>
      <w:widowControl/>
      <w:spacing w:before="100" w:beforeAutospacing="1" w:after="100" w:afterAutospacing="1"/>
      <w:jc w:val="left"/>
    </w:pPr>
    <w:rPr>
      <w:rFonts w:hAnsi="宋体" w:cs="宋体"/>
      <w:sz w:val="24"/>
    </w:rPr>
  </w:style>
  <w:style w:type="paragraph" w:customStyle="1" w:styleId="339">
    <w:name w:val="xl149"/>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hAnsi="宋体" w:cs="宋体"/>
      <w:color w:val="FF0000"/>
      <w:sz w:val="20"/>
    </w:rPr>
  </w:style>
  <w:style w:type="paragraph" w:customStyle="1" w:styleId="340">
    <w:name w:val="Char Char Char Char Char Char1 Char"/>
    <w:basedOn w:val="15"/>
    <w:qFormat/>
    <w:uiPriority w:val="0"/>
    <w:rPr>
      <w:rFonts w:ascii="Tahoma" w:hAnsi="Tahoma"/>
      <w:sz w:val="24"/>
    </w:rPr>
  </w:style>
  <w:style w:type="paragraph" w:customStyle="1" w:styleId="341">
    <w:name w:val="font21"/>
    <w:basedOn w:val="1"/>
    <w:qFormat/>
    <w:uiPriority w:val="0"/>
    <w:pPr>
      <w:widowControl/>
      <w:spacing w:before="100" w:beforeAutospacing="1" w:after="100" w:afterAutospacing="1"/>
      <w:jc w:val="left"/>
    </w:pPr>
    <w:rPr>
      <w:rFonts w:hAnsi="宋体" w:cs="宋体"/>
      <w:color w:val="000000"/>
      <w:sz w:val="24"/>
    </w:rPr>
  </w:style>
  <w:style w:type="paragraph" w:customStyle="1" w:styleId="342">
    <w:name w:val="xl1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宋体" w:eastAsia="黑体" w:cs="宋体"/>
      <w:b/>
      <w:bCs/>
      <w:color w:val="FF0000"/>
      <w:sz w:val="20"/>
    </w:rPr>
  </w:style>
  <w:style w:type="paragraph" w:customStyle="1" w:styleId="343">
    <w:name w:val="xl11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hAnsi="宋体" w:cs="宋体"/>
      <w:b/>
      <w:bCs/>
      <w:sz w:val="20"/>
    </w:rPr>
  </w:style>
  <w:style w:type="paragraph" w:customStyle="1" w:styleId="344">
    <w:name w:val="xl111"/>
    <w:basedOn w:val="1"/>
    <w:qFormat/>
    <w:uiPriority w:val="0"/>
    <w:pPr>
      <w:widowControl/>
      <w:pBdr>
        <w:left w:val="single" w:color="auto" w:sz="8" w:space="0"/>
        <w:bottom w:val="single" w:color="auto" w:sz="8" w:space="0"/>
        <w:right w:val="single" w:color="auto" w:sz="8" w:space="0"/>
      </w:pBdr>
      <w:spacing w:before="100" w:beforeAutospacing="1" w:after="100" w:afterAutospacing="1"/>
      <w:textAlignment w:val="center"/>
    </w:pPr>
    <w:rPr>
      <w:color w:val="FF0000"/>
      <w:sz w:val="20"/>
    </w:rPr>
  </w:style>
  <w:style w:type="paragraph" w:customStyle="1" w:styleId="345">
    <w:name w:val="font14"/>
    <w:basedOn w:val="1"/>
    <w:qFormat/>
    <w:uiPriority w:val="0"/>
    <w:pPr>
      <w:widowControl/>
      <w:spacing w:before="100" w:beforeAutospacing="1" w:after="100" w:afterAutospacing="1"/>
      <w:jc w:val="left"/>
    </w:pPr>
    <w:rPr>
      <w:rFonts w:hAnsi="宋体" w:cs="宋体"/>
      <w:b/>
      <w:bCs/>
      <w:color w:val="000000"/>
      <w:sz w:val="24"/>
    </w:rPr>
  </w:style>
  <w:style w:type="paragraph" w:customStyle="1" w:styleId="346">
    <w:name w:val="et72"/>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47">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b/>
      <w:bCs/>
      <w:color w:val="000000"/>
      <w:sz w:val="20"/>
    </w:rPr>
  </w:style>
  <w:style w:type="paragraph" w:customStyle="1" w:styleId="348">
    <w:name w:val="et13"/>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49">
    <w:name w:val="font28"/>
    <w:basedOn w:val="1"/>
    <w:qFormat/>
    <w:uiPriority w:val="0"/>
    <w:pPr>
      <w:widowControl/>
      <w:spacing w:before="100" w:beforeAutospacing="1" w:after="100" w:afterAutospacing="1"/>
      <w:jc w:val="left"/>
    </w:pPr>
    <w:rPr>
      <w:rFonts w:hAnsi="宋体" w:cs="宋体"/>
      <w:b/>
      <w:bCs/>
      <w:sz w:val="24"/>
    </w:rPr>
  </w:style>
  <w:style w:type="paragraph" w:customStyle="1" w:styleId="350">
    <w:name w:val="font12"/>
    <w:basedOn w:val="1"/>
    <w:qFormat/>
    <w:uiPriority w:val="0"/>
    <w:pPr>
      <w:widowControl/>
      <w:spacing w:before="100" w:beforeAutospacing="1" w:after="100" w:afterAutospacing="1"/>
      <w:jc w:val="left"/>
    </w:pPr>
    <w:rPr>
      <w:color w:val="FF0000"/>
      <w:sz w:val="20"/>
    </w:rPr>
  </w:style>
  <w:style w:type="paragraph" w:customStyle="1" w:styleId="351">
    <w:name w:val="et67"/>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52">
    <w:name w:val="xl17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hAnsi="宋体" w:cs="宋体"/>
      <w:color w:val="FF0000"/>
      <w:sz w:val="20"/>
    </w:rPr>
  </w:style>
  <w:style w:type="paragraph" w:customStyle="1" w:styleId="353">
    <w:name w:val="xl19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hAnsi="宋体" w:cs="宋体"/>
      <w:color w:val="FF0000"/>
      <w:sz w:val="20"/>
    </w:rPr>
  </w:style>
  <w:style w:type="paragraph" w:customStyle="1" w:styleId="354">
    <w:name w:val="et42"/>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55">
    <w:name w:val="xl1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sz w:val="20"/>
    </w:rPr>
  </w:style>
  <w:style w:type="paragraph" w:customStyle="1" w:styleId="356">
    <w:name w:val="et79"/>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57">
    <w:name w:val="xl91"/>
    <w:basedOn w:val="1"/>
    <w:qFormat/>
    <w:uiPriority w:val="0"/>
    <w:pPr>
      <w:widowControl/>
      <w:pBdr>
        <w:top w:val="single" w:color="auto" w:sz="4" w:space="0"/>
      </w:pBdr>
      <w:spacing w:before="100" w:beforeAutospacing="1" w:after="100" w:afterAutospacing="1"/>
      <w:jc w:val="left"/>
    </w:pPr>
    <w:rPr>
      <w:rFonts w:hAnsi="宋体" w:cs="宋体"/>
      <w:sz w:val="20"/>
    </w:rPr>
  </w:style>
  <w:style w:type="paragraph" w:customStyle="1" w:styleId="358">
    <w:name w:val="xl14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hAnsi="宋体" w:cs="宋体"/>
      <w:b/>
      <w:bCs/>
      <w:color w:val="C0C0C0"/>
      <w:sz w:val="20"/>
    </w:rPr>
  </w:style>
  <w:style w:type="paragraph" w:customStyle="1" w:styleId="359">
    <w:name w:val="font9"/>
    <w:basedOn w:val="1"/>
    <w:qFormat/>
    <w:uiPriority w:val="0"/>
    <w:pPr>
      <w:widowControl/>
      <w:spacing w:before="100" w:beforeAutospacing="1" w:after="100" w:afterAutospacing="1"/>
      <w:jc w:val="left"/>
    </w:pPr>
    <w:rPr>
      <w:rFonts w:hAnsi="宋体" w:cs="宋体"/>
      <w:sz w:val="20"/>
    </w:rPr>
  </w:style>
  <w:style w:type="paragraph" w:customStyle="1" w:styleId="360">
    <w:name w:val="xl90"/>
    <w:basedOn w:val="1"/>
    <w:qFormat/>
    <w:uiPriority w:val="0"/>
    <w:pPr>
      <w:widowControl/>
      <w:pBdr>
        <w:top w:val="single" w:color="auto" w:sz="4" w:space="0"/>
      </w:pBdr>
      <w:spacing w:before="100" w:beforeAutospacing="1" w:after="100" w:afterAutospacing="1"/>
      <w:jc w:val="center"/>
    </w:pPr>
    <w:rPr>
      <w:rFonts w:hAnsi="宋体" w:cs="宋体"/>
      <w:sz w:val="20"/>
    </w:rPr>
  </w:style>
  <w:style w:type="paragraph" w:customStyle="1" w:styleId="361">
    <w:name w:val="xl1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color w:val="FF0000"/>
      <w:sz w:val="20"/>
    </w:rPr>
  </w:style>
  <w:style w:type="paragraph" w:customStyle="1" w:styleId="362">
    <w:name w:val="font20"/>
    <w:basedOn w:val="1"/>
    <w:qFormat/>
    <w:uiPriority w:val="0"/>
    <w:pPr>
      <w:widowControl/>
      <w:spacing w:before="100" w:beforeAutospacing="1" w:after="100" w:afterAutospacing="1"/>
      <w:jc w:val="left"/>
    </w:pPr>
    <w:rPr>
      <w:rFonts w:hAnsi="宋体" w:cs="宋体"/>
      <w:color w:val="000000"/>
      <w:sz w:val="24"/>
    </w:rPr>
  </w:style>
  <w:style w:type="paragraph" w:customStyle="1" w:styleId="363">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rPr>
  </w:style>
  <w:style w:type="paragraph" w:customStyle="1" w:styleId="364">
    <w:name w:val="xl82"/>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hAnsi="宋体" w:cs="宋体"/>
      <w:sz w:val="20"/>
    </w:rPr>
  </w:style>
  <w:style w:type="paragraph" w:customStyle="1" w:styleId="365">
    <w:name w:val="et49"/>
    <w:basedOn w:val="1"/>
    <w:qFormat/>
    <w:uiPriority w:val="0"/>
    <w:pPr>
      <w:widowControl/>
      <w:spacing w:before="100" w:beforeAutospacing="1" w:after="100" w:afterAutospacing="1"/>
      <w:jc w:val="left"/>
      <w:textAlignment w:val="center"/>
    </w:pPr>
    <w:rPr>
      <w:rFonts w:hAnsi="宋体" w:cs="宋体"/>
      <w:color w:val="000000"/>
      <w:sz w:val="22"/>
      <w:szCs w:val="22"/>
    </w:rPr>
  </w:style>
  <w:style w:type="paragraph" w:customStyle="1" w:styleId="366">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sz w:val="20"/>
    </w:rPr>
  </w:style>
  <w:style w:type="paragraph" w:customStyle="1" w:styleId="367">
    <w:name w:val="xl1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color w:val="C0C0C0"/>
      <w:sz w:val="20"/>
    </w:rPr>
  </w:style>
  <w:style w:type="paragraph" w:customStyle="1" w:styleId="368">
    <w:name w:val="et81"/>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69">
    <w:name w:val="xl110"/>
    <w:basedOn w:val="1"/>
    <w:qFormat/>
    <w:uiPriority w:val="0"/>
    <w:pPr>
      <w:widowControl/>
      <w:pBdr>
        <w:bottom w:val="single" w:color="auto" w:sz="8" w:space="0"/>
        <w:right w:val="single" w:color="auto" w:sz="8" w:space="0"/>
      </w:pBdr>
      <w:spacing w:before="100" w:beforeAutospacing="1" w:after="100" w:afterAutospacing="1"/>
      <w:jc w:val="left"/>
      <w:textAlignment w:val="center"/>
    </w:pPr>
    <w:rPr>
      <w:color w:val="FF0000"/>
      <w:sz w:val="20"/>
    </w:rPr>
  </w:style>
  <w:style w:type="paragraph" w:customStyle="1" w:styleId="370">
    <w:name w:val="默认段落字体 Para Char Char Char Char"/>
    <w:basedOn w:val="1"/>
    <w:qFormat/>
    <w:uiPriority w:val="0"/>
  </w:style>
  <w:style w:type="paragraph" w:customStyle="1" w:styleId="371">
    <w:name w:val="_Style 4"/>
    <w:basedOn w:val="1"/>
    <w:qFormat/>
    <w:uiPriority w:val="0"/>
  </w:style>
  <w:style w:type="paragraph" w:customStyle="1" w:styleId="372">
    <w:name w:val="font24"/>
    <w:basedOn w:val="1"/>
    <w:qFormat/>
    <w:uiPriority w:val="0"/>
    <w:pPr>
      <w:widowControl/>
      <w:spacing w:before="100" w:beforeAutospacing="1" w:after="100" w:afterAutospacing="1"/>
      <w:jc w:val="left"/>
    </w:pPr>
    <w:rPr>
      <w:rFonts w:hAnsi="宋体" w:cs="宋体"/>
      <w:b/>
      <w:bCs/>
      <w:sz w:val="24"/>
    </w:rPr>
  </w:style>
  <w:style w:type="paragraph" w:customStyle="1" w:styleId="373">
    <w:name w:val="xl1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color w:val="FF0000"/>
      <w:sz w:val="20"/>
    </w:rPr>
  </w:style>
  <w:style w:type="paragraph" w:customStyle="1" w:styleId="374">
    <w:name w:val="et30"/>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75">
    <w:name w:val="table head"/>
    <w:basedOn w:val="1"/>
    <w:qFormat/>
    <w:uiPriority w:val="0"/>
    <w:pPr>
      <w:keepNext/>
      <w:keepLines/>
      <w:adjustRightInd w:val="0"/>
      <w:spacing w:line="312" w:lineRule="atLeast"/>
      <w:jc w:val="center"/>
      <w:textAlignment w:val="baseline"/>
    </w:pPr>
    <w:rPr>
      <w:b/>
    </w:rPr>
  </w:style>
  <w:style w:type="paragraph" w:customStyle="1" w:styleId="376">
    <w:name w:val="font0"/>
    <w:basedOn w:val="1"/>
    <w:qFormat/>
    <w:uiPriority w:val="0"/>
    <w:pPr>
      <w:widowControl/>
      <w:spacing w:before="100" w:beforeAutospacing="1" w:after="100" w:afterAutospacing="1"/>
      <w:jc w:val="left"/>
    </w:pPr>
    <w:rPr>
      <w:rFonts w:hAnsi="宋体" w:cs="宋体"/>
      <w:sz w:val="24"/>
    </w:rPr>
  </w:style>
  <w:style w:type="paragraph" w:customStyle="1" w:styleId="377">
    <w:name w:val="正文缩进1"/>
    <w:basedOn w:val="1"/>
    <w:next w:val="1"/>
    <w:qFormat/>
    <w:uiPriority w:val="0"/>
    <w:pPr>
      <w:widowControl/>
      <w:ind w:firstLine="420"/>
    </w:pPr>
    <w:rPr>
      <w:color w:val="000000"/>
    </w:rPr>
  </w:style>
  <w:style w:type="paragraph" w:customStyle="1" w:styleId="378">
    <w:name w:val="xl10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hAnsi="宋体" w:cs="宋体"/>
      <w:sz w:val="20"/>
    </w:rPr>
  </w:style>
  <w:style w:type="paragraph" w:customStyle="1" w:styleId="379">
    <w:name w:val="xl1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color w:val="FF0000"/>
      <w:sz w:val="20"/>
    </w:rPr>
  </w:style>
  <w:style w:type="paragraph" w:customStyle="1" w:styleId="380">
    <w:name w:val="xl195"/>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hAnsi="宋体" w:cs="宋体"/>
      <w:b/>
      <w:bCs/>
      <w:sz w:val="20"/>
    </w:rPr>
  </w:style>
  <w:style w:type="paragraph" w:customStyle="1" w:styleId="381">
    <w:name w:val="et86"/>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82">
    <w:name w:val="et24"/>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83">
    <w:name w:val="et11"/>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84">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color w:val="C0C0C0"/>
      <w:sz w:val="20"/>
    </w:rPr>
  </w:style>
  <w:style w:type="paragraph" w:customStyle="1" w:styleId="385">
    <w:name w:val="et31"/>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86">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sz w:val="20"/>
    </w:rPr>
  </w:style>
  <w:style w:type="paragraph" w:customStyle="1" w:styleId="387">
    <w:name w:val="xl188"/>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hAnsi="宋体" w:cs="宋体"/>
      <w:color w:val="FF0000"/>
      <w:sz w:val="20"/>
    </w:rPr>
  </w:style>
  <w:style w:type="paragraph" w:customStyle="1" w:styleId="388">
    <w:name w:val="Char Char1 Char Char Char Char Char Char Char"/>
    <w:basedOn w:val="1"/>
    <w:qFormat/>
    <w:uiPriority w:val="0"/>
    <w:rPr>
      <w:rFonts w:ascii="Calibri"/>
    </w:rPr>
  </w:style>
  <w:style w:type="paragraph" w:customStyle="1" w:styleId="389">
    <w:name w:val="et84"/>
    <w:basedOn w:val="1"/>
    <w:qFormat/>
    <w:uiPriority w:val="0"/>
    <w:pPr>
      <w:widowControl/>
      <w:spacing w:before="100" w:beforeAutospacing="1" w:after="100" w:afterAutospacing="1"/>
      <w:jc w:val="left"/>
      <w:textAlignment w:val="center"/>
    </w:pPr>
    <w:rPr>
      <w:rFonts w:hAnsi="宋体" w:cs="宋体"/>
      <w:color w:val="000000"/>
      <w:sz w:val="22"/>
      <w:szCs w:val="22"/>
    </w:rPr>
  </w:style>
  <w:style w:type="paragraph" w:customStyle="1" w:styleId="390">
    <w:name w:val="xl67"/>
    <w:basedOn w:val="1"/>
    <w:qFormat/>
    <w:uiPriority w:val="0"/>
    <w:pPr>
      <w:widowControl/>
      <w:spacing w:before="100" w:beforeAutospacing="1" w:after="100" w:afterAutospacing="1"/>
      <w:jc w:val="left"/>
    </w:pPr>
    <w:rPr>
      <w:rFonts w:hAnsi="宋体" w:cs="宋体"/>
      <w:sz w:val="20"/>
    </w:rPr>
  </w:style>
  <w:style w:type="paragraph" w:customStyle="1" w:styleId="391">
    <w:name w:val="xl162"/>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hAnsi="宋体" w:cs="宋体"/>
      <w:color w:val="FF0000"/>
      <w:sz w:val="20"/>
    </w:rPr>
  </w:style>
  <w:style w:type="paragraph" w:customStyle="1" w:styleId="392">
    <w:name w:val="总标题"/>
    <w:basedOn w:val="1"/>
    <w:qFormat/>
    <w:uiPriority w:val="0"/>
    <w:pPr>
      <w:spacing w:beforeLines="50" w:afterLines="50" w:line="360" w:lineRule="auto"/>
      <w:ind w:firstLine="200" w:firstLineChars="200"/>
      <w:jc w:val="center"/>
    </w:pPr>
    <w:rPr>
      <w:rFonts w:eastAsia="黑体"/>
      <w:b/>
      <w:sz w:val="44"/>
    </w:rPr>
  </w:style>
  <w:style w:type="paragraph" w:customStyle="1" w:styleId="393">
    <w:name w:val="样式2"/>
    <w:basedOn w:val="1"/>
    <w:qFormat/>
    <w:uiPriority w:val="0"/>
    <w:pPr>
      <w:adjustRightInd w:val="0"/>
      <w:spacing w:line="410" w:lineRule="atLeast"/>
      <w:textAlignment w:val="baseline"/>
    </w:pPr>
    <w:rPr>
      <w:sz w:val="24"/>
    </w:rPr>
  </w:style>
  <w:style w:type="paragraph" w:customStyle="1" w:styleId="394">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395">
    <w:name w:val="xl9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Ansi="宋体" w:cs="宋体"/>
      <w:sz w:val="20"/>
    </w:rPr>
  </w:style>
  <w:style w:type="paragraph" w:customStyle="1" w:styleId="396">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color w:val="C0C0C0"/>
      <w:sz w:val="20"/>
    </w:rPr>
  </w:style>
  <w:style w:type="paragraph" w:customStyle="1" w:styleId="397">
    <w:name w:val="xl126"/>
    <w:basedOn w:val="1"/>
    <w:qFormat/>
    <w:uiPriority w:val="0"/>
    <w:pPr>
      <w:widowControl/>
      <w:spacing w:before="100" w:beforeAutospacing="1" w:after="100" w:afterAutospacing="1"/>
      <w:jc w:val="center"/>
    </w:pPr>
    <w:rPr>
      <w:rFonts w:hAnsi="宋体" w:cs="宋体"/>
      <w:color w:val="C0C0C0"/>
      <w:sz w:val="20"/>
    </w:rPr>
  </w:style>
  <w:style w:type="paragraph" w:customStyle="1" w:styleId="398">
    <w:name w:val="et61"/>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99">
    <w:name w:val="font16"/>
    <w:basedOn w:val="1"/>
    <w:qFormat/>
    <w:uiPriority w:val="0"/>
    <w:pPr>
      <w:widowControl/>
      <w:spacing w:before="100" w:beforeAutospacing="1" w:after="100" w:afterAutospacing="1"/>
      <w:jc w:val="left"/>
    </w:pPr>
    <w:rPr>
      <w:rFonts w:hAnsi="宋体" w:cs="宋体"/>
      <w:color w:val="FF0000"/>
      <w:sz w:val="24"/>
    </w:rPr>
  </w:style>
  <w:style w:type="paragraph" w:customStyle="1" w:styleId="400">
    <w:name w:val="font23"/>
    <w:basedOn w:val="1"/>
    <w:qFormat/>
    <w:uiPriority w:val="0"/>
    <w:pPr>
      <w:widowControl/>
      <w:spacing w:before="100" w:beforeAutospacing="1" w:after="100" w:afterAutospacing="1"/>
      <w:jc w:val="left"/>
    </w:pPr>
    <w:rPr>
      <w:rFonts w:hAnsi="宋体" w:cs="宋体"/>
      <w:sz w:val="24"/>
    </w:rPr>
  </w:style>
  <w:style w:type="paragraph" w:customStyle="1" w:styleId="401">
    <w:name w:val="et48"/>
    <w:basedOn w:val="1"/>
    <w:qFormat/>
    <w:uiPriority w:val="0"/>
    <w:pPr>
      <w:widowControl/>
      <w:spacing w:before="100" w:beforeAutospacing="1" w:after="100" w:afterAutospacing="1"/>
      <w:jc w:val="left"/>
      <w:textAlignment w:val="center"/>
    </w:pPr>
    <w:rPr>
      <w:rFonts w:ascii="Calibri" w:cs="宋体"/>
      <w:color w:val="000000"/>
      <w:sz w:val="22"/>
      <w:szCs w:val="22"/>
    </w:rPr>
  </w:style>
  <w:style w:type="paragraph" w:customStyle="1" w:styleId="402">
    <w:name w:val="xl40"/>
    <w:basedOn w:val="1"/>
    <w:qFormat/>
    <w:uiPriority w:val="0"/>
    <w:pPr>
      <w:widowControl/>
      <w:pBdr>
        <w:left w:val="single" w:color="auto" w:sz="4" w:space="0"/>
        <w:right w:val="single" w:color="auto" w:sz="4" w:space="0"/>
      </w:pBdr>
      <w:spacing w:before="100" w:beforeAutospacing="1" w:after="100" w:afterAutospacing="1"/>
      <w:jc w:val="center"/>
    </w:pPr>
    <w:rPr>
      <w:rFonts w:hAnsi="宋体"/>
      <w:sz w:val="24"/>
    </w:rPr>
  </w:style>
  <w:style w:type="paragraph" w:customStyle="1" w:styleId="403">
    <w:name w:val="默认段落字体 Para Char Char Char1 Char"/>
    <w:basedOn w:val="1"/>
    <w:next w:val="1"/>
    <w:qFormat/>
    <w:uiPriority w:val="0"/>
    <w:pPr>
      <w:spacing w:line="240" w:lineRule="atLeast"/>
      <w:ind w:left="420" w:firstLine="420"/>
      <w:jc w:val="left"/>
    </w:pPr>
    <w:rPr>
      <w:szCs w:val="21"/>
    </w:rPr>
  </w:style>
  <w:style w:type="paragraph" w:customStyle="1" w:styleId="404">
    <w:name w:val="xl2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b/>
      <w:bCs/>
      <w:color w:val="0000FF"/>
      <w:sz w:val="20"/>
    </w:rPr>
  </w:style>
  <w:style w:type="paragraph" w:customStyle="1" w:styleId="405">
    <w:name w:val="font22"/>
    <w:basedOn w:val="1"/>
    <w:qFormat/>
    <w:uiPriority w:val="0"/>
    <w:pPr>
      <w:widowControl/>
      <w:spacing w:before="100" w:beforeAutospacing="1" w:after="100" w:afterAutospacing="1"/>
      <w:jc w:val="left"/>
    </w:pPr>
    <w:rPr>
      <w:rFonts w:hAnsi="宋体" w:cs="宋体"/>
      <w:color w:val="000000"/>
      <w:sz w:val="24"/>
    </w:rPr>
  </w:style>
  <w:style w:type="paragraph" w:customStyle="1" w:styleId="406">
    <w:name w:val="xl68"/>
    <w:basedOn w:val="1"/>
    <w:qFormat/>
    <w:uiPriority w:val="0"/>
    <w:pPr>
      <w:widowControl/>
      <w:spacing w:before="100" w:beforeAutospacing="1" w:after="100" w:afterAutospacing="1"/>
      <w:jc w:val="left"/>
    </w:pPr>
    <w:rPr>
      <w:rFonts w:hAnsi="宋体" w:cs="宋体"/>
      <w:sz w:val="20"/>
    </w:rPr>
  </w:style>
  <w:style w:type="paragraph" w:customStyle="1" w:styleId="407">
    <w:name w:val="et56"/>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08">
    <w:name w:val="xl197"/>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hAnsi="宋体" w:cs="宋体"/>
      <w:sz w:val="20"/>
    </w:rPr>
  </w:style>
  <w:style w:type="paragraph" w:customStyle="1" w:styleId="409">
    <w:name w:val="et87"/>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10">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sz w:val="20"/>
    </w:rPr>
  </w:style>
  <w:style w:type="paragraph" w:customStyle="1" w:styleId="411">
    <w:name w:val="xl135"/>
    <w:basedOn w:val="1"/>
    <w:qFormat/>
    <w:uiPriority w:val="0"/>
    <w:pPr>
      <w:widowControl/>
      <w:spacing w:before="100" w:beforeAutospacing="1" w:after="100" w:afterAutospacing="1"/>
      <w:jc w:val="center"/>
      <w:textAlignment w:val="center"/>
    </w:pPr>
    <w:rPr>
      <w:rFonts w:hAnsi="宋体" w:cs="宋体"/>
      <w:color w:val="C0C0C0"/>
      <w:sz w:val="20"/>
    </w:rPr>
  </w:style>
  <w:style w:type="paragraph" w:customStyle="1" w:styleId="412">
    <w:name w:val="font19"/>
    <w:basedOn w:val="1"/>
    <w:qFormat/>
    <w:uiPriority w:val="0"/>
    <w:pPr>
      <w:widowControl/>
      <w:spacing w:before="100" w:beforeAutospacing="1" w:after="100" w:afterAutospacing="1"/>
      <w:jc w:val="left"/>
    </w:pPr>
    <w:rPr>
      <w:rFonts w:hAnsi="宋体" w:cs="宋体"/>
      <w:color w:val="000000"/>
      <w:sz w:val="24"/>
    </w:rPr>
  </w:style>
  <w:style w:type="paragraph" w:customStyle="1" w:styleId="413">
    <w:name w:val="xl152"/>
    <w:basedOn w:val="1"/>
    <w:qFormat/>
    <w:uiPriority w:val="0"/>
    <w:pPr>
      <w:widowControl/>
      <w:spacing w:before="100" w:beforeAutospacing="1" w:after="100" w:afterAutospacing="1"/>
      <w:jc w:val="left"/>
      <w:textAlignment w:val="center"/>
    </w:pPr>
    <w:rPr>
      <w:rFonts w:hAnsi="宋体" w:cs="宋体"/>
      <w:color w:val="FF0000"/>
      <w:sz w:val="20"/>
    </w:rPr>
  </w:style>
  <w:style w:type="paragraph" w:customStyle="1" w:styleId="414">
    <w:name w:val="et63"/>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15">
    <w:name w:val="Char Char1 Char Char Char Char Char Char Char Char Char Char Char Char Char Char Char"/>
    <w:basedOn w:val="1"/>
    <w:qFormat/>
    <w:uiPriority w:val="0"/>
    <w:pPr>
      <w:widowControl/>
      <w:spacing w:after="160" w:line="240" w:lineRule="exact"/>
      <w:jc w:val="left"/>
    </w:pPr>
    <w:rPr>
      <w:rFonts w:ascii="Verdana" w:hAnsi="Verdana"/>
      <w:sz w:val="20"/>
      <w:lang w:eastAsia="en-US"/>
    </w:rPr>
  </w:style>
  <w:style w:type="paragraph" w:customStyle="1" w:styleId="416">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b/>
      <w:bCs/>
      <w:sz w:val="24"/>
    </w:rPr>
  </w:style>
  <w:style w:type="paragraph" w:customStyle="1" w:styleId="417">
    <w:name w:val="et85"/>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18">
    <w:name w:val="xl192"/>
    <w:basedOn w:val="1"/>
    <w:qFormat/>
    <w:uiPriority w:val="0"/>
    <w:pPr>
      <w:widowControl/>
      <w:pBdr>
        <w:left w:val="single" w:color="auto" w:sz="4" w:space="0"/>
        <w:bottom w:val="single" w:color="auto" w:sz="4" w:space="0"/>
      </w:pBdr>
      <w:spacing w:before="100" w:beforeAutospacing="1" w:after="100" w:afterAutospacing="1"/>
      <w:jc w:val="center"/>
    </w:pPr>
    <w:rPr>
      <w:rFonts w:hAnsi="宋体" w:cs="宋体"/>
      <w:sz w:val="20"/>
    </w:rPr>
  </w:style>
  <w:style w:type="paragraph" w:customStyle="1" w:styleId="419">
    <w:name w:val="font25"/>
    <w:basedOn w:val="1"/>
    <w:qFormat/>
    <w:uiPriority w:val="0"/>
    <w:pPr>
      <w:widowControl/>
      <w:spacing w:before="100" w:beforeAutospacing="1" w:after="100" w:afterAutospacing="1"/>
      <w:jc w:val="left"/>
    </w:pPr>
    <w:rPr>
      <w:rFonts w:hAnsi="宋体" w:cs="宋体"/>
      <w:sz w:val="18"/>
      <w:szCs w:val="18"/>
    </w:rPr>
  </w:style>
  <w:style w:type="paragraph" w:customStyle="1" w:styleId="420">
    <w:name w:val="xl1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color w:val="FF0000"/>
      <w:sz w:val="20"/>
    </w:rPr>
  </w:style>
  <w:style w:type="paragraph" w:customStyle="1" w:styleId="421">
    <w:name w:val="xl121"/>
    <w:basedOn w:val="1"/>
    <w:qFormat/>
    <w:uiPriority w:val="0"/>
    <w:pPr>
      <w:widowControl/>
      <w:spacing w:before="100" w:beforeAutospacing="1" w:after="100" w:afterAutospacing="1"/>
      <w:jc w:val="left"/>
    </w:pPr>
    <w:rPr>
      <w:rFonts w:hAnsi="宋体" w:cs="宋体"/>
      <w:color w:val="C0C0C0"/>
      <w:sz w:val="20"/>
    </w:rPr>
  </w:style>
  <w:style w:type="paragraph" w:customStyle="1" w:styleId="422">
    <w:name w:val="font2"/>
    <w:basedOn w:val="1"/>
    <w:qFormat/>
    <w:uiPriority w:val="0"/>
    <w:pPr>
      <w:widowControl/>
      <w:spacing w:before="100" w:beforeAutospacing="1" w:after="100" w:afterAutospacing="1"/>
      <w:jc w:val="left"/>
    </w:pPr>
    <w:rPr>
      <w:rFonts w:ascii="Times New Roman" w:hAnsi="Times New Roman"/>
      <w:color w:val="000000"/>
      <w:sz w:val="14"/>
      <w:szCs w:val="14"/>
    </w:rPr>
  </w:style>
  <w:style w:type="paragraph" w:customStyle="1" w:styleId="423">
    <w:name w:val="xl17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hAnsi="宋体" w:cs="宋体"/>
      <w:color w:val="FF0000"/>
      <w:sz w:val="20"/>
    </w:rPr>
  </w:style>
  <w:style w:type="paragraph" w:customStyle="1" w:styleId="424">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宋体" w:eastAsia="黑体" w:cs="宋体"/>
      <w:b/>
      <w:bCs/>
      <w:color w:val="000000"/>
      <w:sz w:val="20"/>
    </w:rPr>
  </w:style>
  <w:style w:type="paragraph" w:customStyle="1" w:styleId="425">
    <w:name w:val="et66"/>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26">
    <w:name w:val="et2"/>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27">
    <w:name w:val="xl134"/>
    <w:basedOn w:val="1"/>
    <w:qFormat/>
    <w:uiPriority w:val="0"/>
    <w:pPr>
      <w:widowControl/>
      <w:spacing w:before="100" w:beforeAutospacing="1" w:after="100" w:afterAutospacing="1"/>
      <w:jc w:val="center"/>
      <w:textAlignment w:val="center"/>
    </w:pPr>
    <w:rPr>
      <w:rFonts w:hAnsi="宋体" w:cs="宋体"/>
      <w:b/>
      <w:bCs/>
      <w:color w:val="C0C0C0"/>
      <w:sz w:val="20"/>
    </w:rPr>
  </w:style>
  <w:style w:type="paragraph" w:customStyle="1" w:styleId="428">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color w:val="000000"/>
      <w:sz w:val="20"/>
    </w:rPr>
  </w:style>
  <w:style w:type="paragraph" w:customStyle="1" w:styleId="429">
    <w:name w:val="Item List"/>
    <w:qFormat/>
    <w:uiPriority w:val="0"/>
    <w:pPr>
      <w:tabs>
        <w:tab w:val="left" w:pos="1440"/>
      </w:tabs>
      <w:spacing w:line="300" w:lineRule="auto"/>
      <w:ind w:left="1440" w:hanging="1440"/>
      <w:jc w:val="both"/>
    </w:pPr>
    <w:rPr>
      <w:rFonts w:ascii="Arial" w:hAnsi="Arial" w:eastAsia="宋体" w:cs="Arial"/>
      <w:sz w:val="21"/>
      <w:szCs w:val="21"/>
      <w:lang w:val="en-US" w:eastAsia="zh-CN" w:bidi="ar-SA"/>
    </w:rPr>
  </w:style>
  <w:style w:type="paragraph" w:customStyle="1" w:styleId="430">
    <w:name w:val="xl10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hAnsi="宋体" w:cs="宋体"/>
      <w:sz w:val="20"/>
    </w:rPr>
  </w:style>
  <w:style w:type="paragraph" w:customStyle="1" w:styleId="431">
    <w:name w:val="xl1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color w:val="FF0000"/>
      <w:sz w:val="20"/>
    </w:rPr>
  </w:style>
  <w:style w:type="paragraph" w:customStyle="1" w:styleId="432">
    <w:name w:val="font29"/>
    <w:basedOn w:val="1"/>
    <w:qFormat/>
    <w:uiPriority w:val="0"/>
    <w:pPr>
      <w:widowControl/>
      <w:spacing w:before="100" w:beforeAutospacing="1" w:after="100" w:afterAutospacing="1"/>
      <w:jc w:val="left"/>
    </w:pPr>
    <w:rPr>
      <w:rFonts w:hAnsi="宋体" w:cs="宋体"/>
      <w:sz w:val="24"/>
    </w:rPr>
  </w:style>
  <w:style w:type="paragraph" w:customStyle="1" w:styleId="43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sz w:val="20"/>
    </w:rPr>
  </w:style>
  <w:style w:type="paragraph" w:customStyle="1" w:styleId="434">
    <w:name w:val="et71"/>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35">
    <w:name w:val="xl11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hAnsi="宋体" w:cs="宋体"/>
      <w:b/>
      <w:bCs/>
      <w:color w:val="808080"/>
      <w:sz w:val="20"/>
    </w:rPr>
  </w:style>
  <w:style w:type="paragraph" w:customStyle="1" w:styleId="436">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color w:val="FF0000"/>
      <w:sz w:val="20"/>
    </w:rPr>
  </w:style>
  <w:style w:type="paragraph" w:customStyle="1" w:styleId="437">
    <w:name w:val="xl170"/>
    <w:basedOn w:val="1"/>
    <w:qFormat/>
    <w:uiPriority w:val="0"/>
    <w:pPr>
      <w:widowControl/>
      <w:spacing w:before="100" w:beforeAutospacing="1" w:after="100" w:afterAutospacing="1"/>
      <w:jc w:val="center"/>
    </w:pPr>
    <w:rPr>
      <w:rFonts w:hAnsi="宋体" w:cs="宋体"/>
      <w:color w:val="FF0000"/>
      <w:sz w:val="20"/>
    </w:rPr>
  </w:style>
  <w:style w:type="paragraph" w:customStyle="1" w:styleId="438">
    <w:name w:val="Table Text"/>
    <w:basedOn w:val="1"/>
    <w:qFormat/>
    <w:uiPriority w:val="0"/>
    <w:pPr>
      <w:widowControl/>
      <w:spacing w:before="60" w:after="60"/>
      <w:jc w:val="left"/>
    </w:pPr>
  </w:style>
  <w:style w:type="paragraph" w:customStyle="1" w:styleId="439">
    <w:name w:val="xl81"/>
    <w:basedOn w:val="1"/>
    <w:qFormat/>
    <w:uiPriority w:val="0"/>
    <w:pPr>
      <w:widowControl/>
      <w:pBdr>
        <w:top w:val="single" w:color="auto" w:sz="4" w:space="0"/>
        <w:bottom w:val="single" w:color="auto" w:sz="4" w:space="0"/>
      </w:pBdr>
      <w:spacing w:before="100" w:beforeAutospacing="1" w:after="100" w:afterAutospacing="1"/>
      <w:jc w:val="center"/>
    </w:pPr>
    <w:rPr>
      <w:rFonts w:hAnsi="宋体" w:cs="宋体"/>
      <w:sz w:val="20"/>
    </w:rPr>
  </w:style>
  <w:style w:type="paragraph" w:customStyle="1" w:styleId="44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b/>
      <w:bCs/>
      <w:sz w:val="24"/>
    </w:rPr>
  </w:style>
  <w:style w:type="paragraph" w:customStyle="1" w:styleId="441">
    <w:name w:val="et69"/>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42">
    <w:name w:val="xl19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hAnsi="宋体" w:cs="宋体"/>
      <w:sz w:val="20"/>
    </w:rPr>
  </w:style>
  <w:style w:type="paragraph" w:customStyle="1" w:styleId="443">
    <w:name w:val="表格内字体字号"/>
    <w:basedOn w:val="1"/>
    <w:qFormat/>
    <w:uiPriority w:val="0"/>
    <w:pPr>
      <w:topLinePunct/>
      <w:snapToGrid w:val="0"/>
      <w:spacing w:beforeLines="20" w:afterLines="20"/>
      <w:ind w:left="30" w:leftChars="30" w:right="30" w:rightChars="30"/>
      <w:jc w:val="center"/>
    </w:pPr>
    <w:rPr>
      <w:rFonts w:ascii="Times New Roman" w:hAnsi="Times New Roman"/>
      <w:kern w:val="2"/>
      <w:sz w:val="18"/>
      <w:szCs w:val="18"/>
    </w:rPr>
  </w:style>
  <w:style w:type="paragraph" w:customStyle="1" w:styleId="444">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sz w:val="20"/>
    </w:rPr>
  </w:style>
  <w:style w:type="paragraph" w:customStyle="1" w:styleId="445">
    <w:name w:val="et76"/>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46">
    <w:name w:val="xl20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hAnsi="宋体" w:cs="宋体"/>
      <w:b/>
      <w:bCs/>
      <w:sz w:val="20"/>
    </w:rPr>
  </w:style>
  <w:style w:type="paragraph" w:customStyle="1" w:styleId="447">
    <w:name w:val="font6"/>
    <w:basedOn w:val="1"/>
    <w:qFormat/>
    <w:uiPriority w:val="0"/>
    <w:pPr>
      <w:widowControl/>
      <w:spacing w:before="100" w:beforeAutospacing="1" w:after="100" w:afterAutospacing="1"/>
      <w:jc w:val="left"/>
    </w:pPr>
    <w:rPr>
      <w:rFonts w:hAnsi="宋体" w:cs="宋体"/>
      <w:sz w:val="20"/>
    </w:rPr>
  </w:style>
  <w:style w:type="paragraph" w:customStyle="1" w:styleId="448">
    <w:name w:val="xl13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hAnsi="宋体" w:cs="宋体"/>
      <w:color w:val="C0C0C0"/>
      <w:sz w:val="20"/>
    </w:rPr>
  </w:style>
  <w:style w:type="paragraph" w:customStyle="1" w:styleId="449">
    <w:name w:val="xl11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hAnsi="宋体" w:cs="宋体"/>
      <w:b/>
      <w:bCs/>
      <w:sz w:val="20"/>
    </w:rPr>
  </w:style>
  <w:style w:type="paragraph" w:customStyle="1" w:styleId="450">
    <w:name w:val="font8"/>
    <w:basedOn w:val="1"/>
    <w:qFormat/>
    <w:uiPriority w:val="0"/>
    <w:pPr>
      <w:widowControl/>
      <w:spacing w:before="100" w:beforeAutospacing="1" w:after="100" w:afterAutospacing="1"/>
      <w:jc w:val="left"/>
    </w:pPr>
    <w:rPr>
      <w:rFonts w:hAnsi="宋体" w:cs="宋体"/>
      <w:color w:val="FF0000"/>
      <w:sz w:val="20"/>
    </w:rPr>
  </w:style>
  <w:style w:type="paragraph" w:customStyle="1" w:styleId="451">
    <w:name w:val="et95"/>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52">
    <w:name w:val="et3"/>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53">
    <w:name w:val="xl14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hAnsi="宋体" w:cs="宋体"/>
      <w:b/>
      <w:bCs/>
      <w:color w:val="C0C0C0"/>
      <w:sz w:val="20"/>
    </w:rPr>
  </w:style>
  <w:style w:type="paragraph" w:customStyle="1" w:styleId="454">
    <w:name w:val="xl129"/>
    <w:basedOn w:val="1"/>
    <w:qFormat/>
    <w:uiPriority w:val="0"/>
    <w:pPr>
      <w:widowControl/>
      <w:spacing w:before="100" w:beforeAutospacing="1" w:after="100" w:afterAutospacing="1"/>
      <w:jc w:val="left"/>
    </w:pPr>
    <w:rPr>
      <w:rFonts w:hAnsi="宋体" w:cs="宋体"/>
      <w:color w:val="C0C0C0"/>
      <w:sz w:val="20"/>
    </w:rPr>
  </w:style>
  <w:style w:type="paragraph" w:customStyle="1" w:styleId="455">
    <w:name w:val="et53"/>
    <w:basedOn w:val="1"/>
    <w:qFormat/>
    <w:uiPriority w:val="0"/>
    <w:pPr>
      <w:widowControl/>
      <w:spacing w:before="100" w:beforeAutospacing="1" w:after="100" w:afterAutospacing="1"/>
      <w:jc w:val="left"/>
      <w:textAlignment w:val="center"/>
    </w:pPr>
    <w:rPr>
      <w:rFonts w:ascii="Wingdings" w:hAnsi="Wingdings" w:cs="宋体"/>
      <w:color w:val="000000"/>
      <w:sz w:val="22"/>
      <w:szCs w:val="22"/>
    </w:rPr>
  </w:style>
  <w:style w:type="paragraph" w:customStyle="1" w:styleId="456">
    <w:name w:val="et37"/>
    <w:basedOn w:val="1"/>
    <w:qFormat/>
    <w:uiPriority w:val="0"/>
    <w:pPr>
      <w:widowControl/>
      <w:spacing w:before="100" w:beforeAutospacing="1" w:after="100" w:afterAutospacing="1"/>
      <w:jc w:val="left"/>
      <w:textAlignment w:val="center"/>
    </w:pPr>
    <w:rPr>
      <w:rFonts w:ascii="Wingdings" w:hAnsi="Wingdings" w:cs="宋体"/>
      <w:color w:val="000000"/>
      <w:sz w:val="22"/>
      <w:szCs w:val="22"/>
    </w:rPr>
  </w:style>
  <w:style w:type="paragraph" w:customStyle="1" w:styleId="457">
    <w:name w:val="et60"/>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58">
    <w:name w:val="xl13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hAnsi="宋体" w:cs="宋体"/>
      <w:color w:val="C0C0C0"/>
      <w:sz w:val="20"/>
    </w:rPr>
  </w:style>
  <w:style w:type="paragraph" w:customStyle="1" w:styleId="459">
    <w:name w:val="et92"/>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60">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hAnsi="宋体" w:cs="宋体"/>
      <w:color w:val="C0C0C0"/>
      <w:sz w:val="20"/>
    </w:rPr>
  </w:style>
  <w:style w:type="paragraph" w:customStyle="1" w:styleId="461">
    <w:name w:val="xl11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hAnsi="宋体" w:cs="宋体"/>
      <w:b/>
      <w:bCs/>
      <w:color w:val="969696"/>
      <w:sz w:val="20"/>
    </w:rPr>
  </w:style>
  <w:style w:type="paragraph" w:customStyle="1" w:styleId="462">
    <w:name w:val="et10"/>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63">
    <w:name w:val="xl189"/>
    <w:basedOn w:val="1"/>
    <w:qFormat/>
    <w:uiPriority w:val="0"/>
    <w:pPr>
      <w:widowControl/>
      <w:pBdr>
        <w:top w:val="single" w:color="auto" w:sz="4" w:space="0"/>
        <w:bottom w:val="single" w:color="auto" w:sz="4" w:space="0"/>
      </w:pBdr>
      <w:spacing w:before="100" w:beforeAutospacing="1" w:after="100" w:afterAutospacing="1"/>
      <w:jc w:val="center"/>
    </w:pPr>
    <w:rPr>
      <w:rFonts w:hAnsi="宋体" w:cs="宋体"/>
      <w:color w:val="FF0000"/>
      <w:sz w:val="20"/>
    </w:rPr>
  </w:style>
  <w:style w:type="paragraph" w:customStyle="1" w:styleId="464">
    <w:name w:val="xl1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color w:val="FF0000"/>
      <w:sz w:val="20"/>
    </w:rPr>
  </w:style>
  <w:style w:type="paragraph" w:customStyle="1" w:styleId="465">
    <w:name w:val="f_center"/>
    <w:basedOn w:val="1"/>
    <w:qFormat/>
    <w:uiPriority w:val="0"/>
    <w:pPr>
      <w:widowControl/>
      <w:spacing w:before="100" w:beforeAutospacing="1" w:after="100" w:afterAutospacing="1"/>
      <w:jc w:val="left"/>
    </w:pPr>
    <w:rPr>
      <w:rFonts w:hAnsi="宋体" w:cs="宋体"/>
      <w:sz w:val="24"/>
    </w:rPr>
  </w:style>
  <w:style w:type="paragraph" w:customStyle="1" w:styleId="466">
    <w:name w:val="xl1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color w:val="FF0000"/>
      <w:sz w:val="20"/>
    </w:rPr>
  </w:style>
  <w:style w:type="paragraph" w:customStyle="1" w:styleId="467">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color w:val="C0C0C0"/>
      <w:sz w:val="20"/>
    </w:rPr>
  </w:style>
  <w:style w:type="paragraph" w:customStyle="1" w:styleId="468">
    <w:name w:val="0"/>
    <w:basedOn w:val="1"/>
    <w:qFormat/>
    <w:uiPriority w:val="0"/>
    <w:pPr>
      <w:widowControl/>
      <w:spacing w:before="100" w:beforeAutospacing="1" w:after="100" w:afterAutospacing="1"/>
      <w:jc w:val="left"/>
    </w:pPr>
    <w:rPr>
      <w:rFonts w:hAnsi="宋体" w:cs="宋体"/>
      <w:sz w:val="24"/>
    </w:rPr>
  </w:style>
  <w:style w:type="paragraph" w:customStyle="1" w:styleId="469">
    <w:name w:val="font17"/>
    <w:basedOn w:val="1"/>
    <w:qFormat/>
    <w:uiPriority w:val="0"/>
    <w:pPr>
      <w:widowControl/>
      <w:spacing w:before="100" w:beforeAutospacing="1" w:after="100" w:afterAutospacing="1"/>
      <w:jc w:val="left"/>
    </w:pPr>
    <w:rPr>
      <w:rFonts w:hAnsi="宋体" w:cs="宋体"/>
      <w:sz w:val="24"/>
    </w:rPr>
  </w:style>
  <w:style w:type="paragraph" w:customStyle="1" w:styleId="470">
    <w:name w:val="规范正文"/>
    <w:basedOn w:val="1"/>
    <w:qFormat/>
    <w:uiPriority w:val="0"/>
    <w:pPr>
      <w:adjustRightInd w:val="0"/>
      <w:spacing w:line="360" w:lineRule="auto"/>
      <w:ind w:left="480"/>
      <w:textAlignment w:val="baseline"/>
    </w:pPr>
    <w:rPr>
      <w:sz w:val="24"/>
    </w:rPr>
  </w:style>
  <w:style w:type="paragraph" w:customStyle="1" w:styleId="471">
    <w:name w:val="Normal1"/>
    <w:qFormat/>
    <w:uiPriority w:val="0"/>
    <w:pPr>
      <w:widowControl w:val="0"/>
      <w:adjustRightInd w:val="0"/>
      <w:spacing w:line="312" w:lineRule="atLeast"/>
      <w:jc w:val="both"/>
      <w:textAlignment w:val="baseline"/>
    </w:pPr>
    <w:rPr>
      <w:rFonts w:ascii="宋体" w:hAnsi="Calibri" w:eastAsia="宋体" w:cs="Times New Roman"/>
      <w:sz w:val="34"/>
      <w:lang w:val="en-US" w:eastAsia="zh-CN" w:bidi="ar-SA"/>
    </w:rPr>
  </w:style>
  <w:style w:type="paragraph" w:customStyle="1" w:styleId="472">
    <w:name w:val="xl26"/>
    <w:basedOn w:val="1"/>
    <w:qFormat/>
    <w:uiPriority w:val="0"/>
    <w:pPr>
      <w:widowControl/>
      <w:pBdr>
        <w:left w:val="single" w:color="auto" w:sz="4" w:space="0"/>
        <w:right w:val="single" w:color="auto" w:sz="4" w:space="0"/>
      </w:pBdr>
      <w:spacing w:before="100" w:beforeAutospacing="1" w:after="100" w:afterAutospacing="1"/>
      <w:jc w:val="center"/>
      <w:textAlignment w:val="center"/>
    </w:pPr>
    <w:rPr>
      <w:sz w:val="24"/>
    </w:rPr>
  </w:style>
  <w:style w:type="paragraph" w:customStyle="1" w:styleId="473">
    <w:name w:val="font30"/>
    <w:basedOn w:val="1"/>
    <w:qFormat/>
    <w:uiPriority w:val="0"/>
    <w:pPr>
      <w:widowControl/>
      <w:spacing w:before="100" w:beforeAutospacing="1" w:after="100" w:afterAutospacing="1"/>
      <w:jc w:val="left"/>
    </w:pPr>
    <w:rPr>
      <w:rFonts w:hAnsi="宋体" w:cs="宋体"/>
      <w:b/>
      <w:bCs/>
      <w:sz w:val="24"/>
    </w:rPr>
  </w:style>
  <w:style w:type="paragraph" w:customStyle="1" w:styleId="474">
    <w:name w:val="xl199"/>
    <w:basedOn w:val="1"/>
    <w:qFormat/>
    <w:uiPriority w:val="0"/>
    <w:pPr>
      <w:widowControl/>
      <w:pBdr>
        <w:top w:val="single" w:color="auto" w:sz="4" w:space="0"/>
        <w:bottom w:val="single" w:color="auto" w:sz="4" w:space="0"/>
      </w:pBdr>
      <w:spacing w:before="100" w:beforeAutospacing="1" w:after="100" w:afterAutospacing="1"/>
      <w:jc w:val="left"/>
    </w:pPr>
    <w:rPr>
      <w:rFonts w:hAnsi="宋体" w:cs="宋体"/>
      <w:sz w:val="24"/>
    </w:rPr>
  </w:style>
  <w:style w:type="paragraph" w:customStyle="1" w:styleId="475">
    <w:name w:val="font18"/>
    <w:basedOn w:val="1"/>
    <w:qFormat/>
    <w:uiPriority w:val="0"/>
    <w:pPr>
      <w:widowControl/>
      <w:spacing w:before="100" w:beforeAutospacing="1" w:after="100" w:afterAutospacing="1"/>
      <w:jc w:val="left"/>
    </w:pPr>
    <w:rPr>
      <w:rFonts w:hAnsi="宋体" w:cs="宋体"/>
      <w:sz w:val="18"/>
      <w:szCs w:val="18"/>
    </w:rPr>
  </w:style>
  <w:style w:type="paragraph" w:customStyle="1" w:styleId="476">
    <w:name w:val="et80"/>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77">
    <w:name w:val="Default"/>
    <w:qFormat/>
    <w:uiPriority w:val="0"/>
    <w:pPr>
      <w:widowControl w:val="0"/>
      <w:autoSpaceDE w:val="0"/>
      <w:autoSpaceDN w:val="0"/>
      <w:adjustRightInd w:val="0"/>
    </w:pPr>
    <w:rPr>
      <w:rFonts w:ascii="Bodoni MT" w:hAnsi="Bodoni MT" w:eastAsia="宋体" w:cs="Bodoni MT"/>
      <w:color w:val="000000"/>
      <w:sz w:val="24"/>
      <w:szCs w:val="24"/>
      <w:lang w:val="en-US" w:eastAsia="zh-CN" w:bidi="ar-SA"/>
    </w:rPr>
  </w:style>
  <w:style w:type="paragraph" w:customStyle="1" w:styleId="478">
    <w:name w:val="xl1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sz w:val="20"/>
    </w:rPr>
  </w:style>
  <w:style w:type="paragraph" w:customStyle="1" w:styleId="479">
    <w:name w:val="xl14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hAnsi="宋体" w:cs="宋体"/>
      <w:color w:val="C0C0C0"/>
      <w:sz w:val="20"/>
    </w:rPr>
  </w:style>
  <w:style w:type="paragraph" w:customStyle="1" w:styleId="480">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b/>
      <w:bCs/>
      <w:sz w:val="20"/>
    </w:rPr>
  </w:style>
  <w:style w:type="paragraph" w:customStyle="1" w:styleId="481">
    <w:name w:val="et43"/>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82">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color w:val="FF0000"/>
      <w:sz w:val="20"/>
    </w:rPr>
  </w:style>
  <w:style w:type="paragraph" w:customStyle="1" w:styleId="483">
    <w:name w:val="xl109"/>
    <w:basedOn w:val="1"/>
    <w:qFormat/>
    <w:uiPriority w:val="0"/>
    <w:pPr>
      <w:widowControl/>
      <w:pBdr>
        <w:left w:val="single" w:color="auto" w:sz="8" w:space="0"/>
        <w:bottom w:val="single" w:color="auto" w:sz="8" w:space="0"/>
        <w:right w:val="single" w:color="auto" w:sz="8" w:space="0"/>
      </w:pBdr>
      <w:spacing w:before="100" w:beforeAutospacing="1" w:after="100" w:afterAutospacing="1"/>
      <w:textAlignment w:val="center"/>
    </w:pPr>
    <w:rPr>
      <w:rFonts w:hAnsi="宋体" w:cs="宋体"/>
      <w:color w:val="FF0000"/>
      <w:sz w:val="20"/>
    </w:rPr>
  </w:style>
  <w:style w:type="paragraph" w:customStyle="1" w:styleId="48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sz w:val="20"/>
    </w:rPr>
  </w:style>
  <w:style w:type="paragraph" w:customStyle="1" w:styleId="485">
    <w:name w:val="xl1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b/>
      <w:bCs/>
      <w:color w:val="FF0000"/>
      <w:sz w:val="20"/>
    </w:rPr>
  </w:style>
  <w:style w:type="paragraph" w:customStyle="1" w:styleId="486">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color w:val="C0C0C0"/>
      <w:sz w:val="20"/>
    </w:rPr>
  </w:style>
  <w:style w:type="paragraph" w:customStyle="1" w:styleId="487">
    <w:name w:val="et83"/>
    <w:basedOn w:val="1"/>
    <w:qFormat/>
    <w:uiPriority w:val="0"/>
    <w:pPr>
      <w:widowControl/>
      <w:spacing w:before="100" w:beforeAutospacing="1" w:after="100" w:afterAutospacing="1"/>
      <w:jc w:val="left"/>
      <w:textAlignment w:val="center"/>
    </w:pPr>
    <w:rPr>
      <w:rFonts w:hAnsi="宋体" w:cs="宋体"/>
      <w:color w:val="000000"/>
      <w:sz w:val="22"/>
      <w:szCs w:val="22"/>
    </w:rPr>
  </w:style>
  <w:style w:type="paragraph" w:customStyle="1" w:styleId="488">
    <w:name w:val="et25"/>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89">
    <w:name w:val="正文首行缩进两字符"/>
    <w:basedOn w:val="1"/>
    <w:qFormat/>
    <w:uiPriority w:val="0"/>
    <w:pPr>
      <w:spacing w:line="360" w:lineRule="auto"/>
      <w:ind w:firstLine="200" w:firstLineChars="200"/>
    </w:pPr>
  </w:style>
  <w:style w:type="paragraph" w:customStyle="1" w:styleId="490">
    <w:name w:val="xl20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hAnsi="宋体" w:cs="宋体"/>
      <w:sz w:val="24"/>
    </w:rPr>
  </w:style>
  <w:style w:type="paragraph" w:customStyle="1" w:styleId="491">
    <w:name w:val="默认段落字体 Para Char Char Char Char Char Char Char Char Char1 Char Char Char Char"/>
    <w:basedOn w:val="1"/>
    <w:qFormat/>
    <w:uiPriority w:val="0"/>
    <w:rPr>
      <w:rFonts w:ascii="Tahoma" w:hAnsi="Tahoma"/>
      <w:sz w:val="24"/>
    </w:rPr>
  </w:style>
  <w:style w:type="paragraph" w:customStyle="1" w:styleId="492">
    <w:name w:val="xl18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hAnsi="宋体" w:cs="宋体"/>
      <w:sz w:val="20"/>
    </w:rPr>
  </w:style>
  <w:style w:type="paragraph" w:customStyle="1" w:styleId="493">
    <w:name w:val="纯文本2"/>
    <w:basedOn w:val="1"/>
    <w:qFormat/>
    <w:uiPriority w:val="0"/>
    <w:pPr>
      <w:adjustRightInd w:val="0"/>
      <w:textAlignment w:val="baseline"/>
    </w:pPr>
    <w:rPr>
      <w:rFonts w:hAnsi="Courier New"/>
    </w:rPr>
  </w:style>
  <w:style w:type="paragraph" w:customStyle="1" w:styleId="494">
    <w:name w:val="列出段落2"/>
    <w:basedOn w:val="1"/>
    <w:qFormat/>
    <w:uiPriority w:val="0"/>
    <w:pPr>
      <w:ind w:firstLine="420" w:firstLineChars="200"/>
    </w:pPr>
    <w:rPr>
      <w:rFonts w:ascii="Calibri" w:cs="Calibri"/>
      <w:szCs w:val="21"/>
    </w:rPr>
  </w:style>
  <w:style w:type="paragraph" w:customStyle="1" w:styleId="495">
    <w:name w:val="样式 首行缩进:  2 字符"/>
    <w:basedOn w:val="1"/>
    <w:qFormat/>
    <w:uiPriority w:val="0"/>
    <w:pPr>
      <w:spacing w:line="400" w:lineRule="exact"/>
      <w:ind w:firstLine="200" w:firstLineChars="200"/>
    </w:pPr>
    <w:rPr>
      <w:rFonts w:cs="宋体"/>
      <w:sz w:val="24"/>
    </w:rPr>
  </w:style>
  <w:style w:type="character" w:customStyle="1" w:styleId="496">
    <w:name w:val="Char Char3"/>
    <w:qFormat/>
    <w:uiPriority w:val="0"/>
    <w:rPr>
      <w:rFonts w:ascii="Arial" w:hAnsi="Arial" w:eastAsia="黑体"/>
      <w:b/>
      <w:kern w:val="2"/>
      <w:sz w:val="32"/>
      <w:lang w:val="en-US" w:eastAsia="zh-CN"/>
    </w:rPr>
  </w:style>
  <w:style w:type="paragraph" w:customStyle="1" w:styleId="497">
    <w:name w:val="正文缩近"/>
    <w:basedOn w:val="1"/>
    <w:qFormat/>
    <w:uiPriority w:val="0"/>
    <w:pPr>
      <w:spacing w:line="360" w:lineRule="auto"/>
      <w:ind w:firstLine="200" w:firstLineChars="200"/>
    </w:pPr>
    <w:rPr>
      <w:rFonts w:ascii="Times New Roman" w:hAnsi="Times New Roman"/>
      <w:kern w:val="2"/>
      <w:sz w:val="24"/>
      <w:szCs w:val="24"/>
    </w:rPr>
  </w:style>
  <w:style w:type="paragraph" w:customStyle="1" w:styleId="498">
    <w:name w:val="_Style 2"/>
    <w:basedOn w:val="1"/>
    <w:qFormat/>
    <w:uiPriority w:val="0"/>
    <w:pPr>
      <w:spacing w:after="160" w:line="259" w:lineRule="auto"/>
      <w:ind w:firstLine="420" w:firstLineChars="200"/>
    </w:pPr>
    <w:rPr>
      <w:rFonts w:ascii="Calibri"/>
      <w:kern w:val="2"/>
      <w:sz w:val="18"/>
      <w:szCs w:val="18"/>
    </w:rPr>
  </w:style>
  <w:style w:type="paragraph" w:customStyle="1" w:styleId="499">
    <w:name w:val="正文 A"/>
    <w:next w:val="2"/>
    <w:qFormat/>
    <w:uiPriority w:val="0"/>
    <w:pPr>
      <w:widowControl w:val="0"/>
      <w:spacing w:line="312" w:lineRule="atLeast"/>
      <w:jc w:val="both"/>
    </w:pPr>
    <w:rPr>
      <w:rFonts w:ascii="Times New Roman" w:hAnsi="Times New Roman" w:eastAsia="Calibri" w:cs="Calibri"/>
      <w:color w:val="000000"/>
      <w:kern w:val="2"/>
      <w:sz w:val="21"/>
      <w:szCs w:val="21"/>
      <w:lang w:val="en-US" w:eastAsia="zh-CN" w:bidi="ar-SA"/>
    </w:rPr>
  </w:style>
  <w:style w:type="character" w:customStyle="1" w:styleId="500">
    <w:name w:val="layui-this"/>
    <w:basedOn w:val="48"/>
    <w:qFormat/>
    <w:uiPriority w:val="0"/>
    <w:rPr>
      <w:bdr w:val="single" w:color="EEEEEE" w:sz="6" w:space="0"/>
      <w:shd w:val="clear" w:color="auto" w:fill="FFFFFF"/>
    </w:rPr>
  </w:style>
  <w:style w:type="character" w:customStyle="1" w:styleId="501">
    <w:name w:val="first-child"/>
    <w:basedOn w:val="48"/>
    <w:qFormat/>
    <w:uiPriority w:val="0"/>
  </w:style>
  <w:style w:type="paragraph" w:customStyle="1" w:styleId="502">
    <w:name w:val="正文3"/>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 w:type="paragraph" w:customStyle="1" w:styleId="503">
    <w:name w:val="Body text|1"/>
    <w:basedOn w:val="1"/>
    <w:qFormat/>
    <w:uiPriority w:val="0"/>
    <w:pPr>
      <w:spacing w:line="410" w:lineRule="auto"/>
      <w:ind w:firstLine="400"/>
    </w:pPr>
    <w:rPr>
      <w:rFonts w:hAnsi="宋体" w:cs="宋体"/>
      <w:sz w:val="28"/>
      <w:szCs w:val="28"/>
      <w:lang w:val="zh-TW" w:eastAsia="zh-TW" w:bidi="zh-TW"/>
    </w:rPr>
  </w:style>
  <w:style w:type="paragraph" w:customStyle="1" w:styleId="504">
    <w:name w:val="列出段落11"/>
    <w:basedOn w:val="1"/>
    <w:qFormat/>
    <w:uiPriority w:val="0"/>
    <w:pPr>
      <w:ind w:firstLine="420" w:firstLineChars="200"/>
    </w:pPr>
    <w:rPr>
      <w:sz w:val="18"/>
      <w:szCs w:val="18"/>
    </w:rPr>
  </w:style>
  <w:style w:type="character" w:customStyle="1" w:styleId="505">
    <w:name w:val="ca-01"/>
    <w:qFormat/>
    <w:uiPriority w:val="0"/>
    <w:rPr>
      <w:rFonts w:hint="eastAsia" w:ascii="宋体" w:hAnsi="宋体" w:eastAsia="宋体"/>
      <w:sz w:val="21"/>
      <w:szCs w:val="21"/>
    </w:rPr>
  </w:style>
  <w:style w:type="paragraph" w:customStyle="1" w:styleId="506">
    <w:name w:val="表注1"/>
    <w:basedOn w:val="202"/>
    <w:qFormat/>
    <w:uiPriority w:val="0"/>
    <w:rPr>
      <w:rFonts w:ascii="Times New Roman" w:hAnsi="Times New Roman"/>
      <w:sz w:val="18"/>
      <w:szCs w:val="24"/>
    </w:rPr>
  </w:style>
  <w:style w:type="table" w:customStyle="1" w:styleId="507">
    <w:name w:val="Table Normal"/>
    <w:unhideWhenUsed/>
    <w:qFormat/>
    <w:uiPriority w:val="0"/>
    <w:tblPr>
      <w:tblCellMar>
        <w:top w:w="0" w:type="dxa"/>
        <w:left w:w="0" w:type="dxa"/>
        <w:bottom w:w="0" w:type="dxa"/>
        <w:right w:w="0" w:type="dxa"/>
      </w:tblCellMar>
    </w:tblPr>
  </w:style>
  <w:style w:type="character" w:customStyle="1" w:styleId="508">
    <w:name w:val="索引 1 Char"/>
    <w:link w:val="41"/>
    <w:qFormat/>
    <w:uiPriority w:val="0"/>
    <w:rPr>
      <w:rFonts w:ascii="仿宋_GB2312" w:hAnsi="宋体" w:eastAsia="仿宋_GB2312"/>
      <w:b/>
      <w:bCs/>
      <w:sz w:val="30"/>
    </w:rPr>
  </w:style>
  <w:style w:type="paragraph" w:customStyle="1" w:styleId="509">
    <w:name w:val="HtmlNormal"/>
    <w:basedOn w:val="1"/>
    <w:qFormat/>
    <w:uiPriority w:val="0"/>
    <w:pPr>
      <w:widowControl/>
      <w:spacing w:before="100" w:beforeAutospacing="1" w:after="100" w:afterAutospacing="1"/>
      <w:jc w:val="left"/>
      <w:textAlignment w:val="baseline"/>
    </w:pPr>
    <w:rPr>
      <w:rFonts w:ascii="宋体" w:hAnsi="宋体"/>
      <w:kern w:val="0"/>
      <w:sz w:val="18"/>
      <w:szCs w:val="18"/>
      <w:lang w:val="en-US" w:eastAsia="zh-CN" w:bidi="ar-SA"/>
    </w:rPr>
  </w:style>
  <w:style w:type="character" w:customStyle="1" w:styleId="510">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694C88-92C1-406C-A685-1340CB6922F6}">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121</Pages>
  <Words>48525</Words>
  <Characters>50662</Characters>
  <Lines>1</Lines>
  <Paragraphs>1</Paragraphs>
  <TotalTime>54</TotalTime>
  <ScaleCrop>false</ScaleCrop>
  <LinksUpToDate>false</LinksUpToDate>
  <CharactersWithSpaces>52337</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2018-12-25T03:10:00Z</dcterms:created>
  <dc:creator>xb21cn</dc:creator>
  <cp:lastModifiedBy>123456</cp:lastModifiedBy>
  <dcterms:modified xsi:type="dcterms:W3CDTF">2021-10-09T01:31:49Z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BFD74BC590E544909D51B4D184B9A8AD</vt:lpwstr>
  </property>
</Properties>
</file>